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333-261466</w:t>
      </w:r>
    </w:p>
    <w:p>
      <w:pPr>
        <w:spacing w:after="0" w:line="237" w:lineRule="auto"/>
        <w:rPr>
          <w:sz w:val="20"/>
          <w:szCs w:val="20"/>
          <w:color w:val="auto"/>
        </w:rPr>
      </w:pPr>
      <w:r>
        <w:rPr>
          <w:rFonts w:ascii="Times New Roman" w:cs="Times New Roman" w:eastAsia="Times New Roman" w:hAnsi="Times New Roman"/>
          <w:sz w:val="17"/>
          <w:szCs w:val="17"/>
          <w:b w:val="1"/>
          <w:bCs w:val="1"/>
          <w:color w:val="auto"/>
        </w:rPr>
        <w:t>Prospectus Supplement No. 1</w:t>
      </w:r>
    </w:p>
    <w:p>
      <w:pPr>
        <w:spacing w:after="0"/>
        <w:rPr>
          <w:sz w:val="20"/>
          <w:szCs w:val="20"/>
          <w:color w:val="auto"/>
        </w:rPr>
      </w:pPr>
      <w:r>
        <w:rPr>
          <w:rFonts w:ascii="Times New Roman" w:cs="Times New Roman" w:eastAsia="Times New Roman" w:hAnsi="Times New Roman"/>
          <w:sz w:val="17"/>
          <w:szCs w:val="17"/>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2343150</wp:posOffset>
            </wp:positionH>
            <wp:positionV relativeFrom="paragraph">
              <wp:posOffset>153035</wp:posOffset>
            </wp:positionV>
            <wp:extent cx="2456180" cy="736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6180" cy="736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This prospectus supplement updates and supplements the prospectus dated December 10, 2021 (the “Prospectus”), which forms a part of our Registration Statement on Form S-1, as amended (Registration No. 333-261466). This prospectus supplement is being filed to update and supplement the information in the Prospectus with the information contained in our Quarterly Report on Form 10-Q filed with the Securities and Exchange Commission on May 6, 2022 (the “Quarterly Report on Form 10-Q”). Accordingly, we have attached the Quarterly Report on Form 10-Q to this prospectus supplement.</w:t>
      </w:r>
    </w:p>
    <w:p>
      <w:pPr>
        <w:spacing w:after="0" w:line="198" w:lineRule="exact"/>
        <w:rPr>
          <w:sz w:val="24"/>
          <w:szCs w:val="24"/>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02" w:lineRule="exact"/>
        <w:rPr>
          <w:sz w:val="24"/>
          <w:szCs w:val="24"/>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Class A Common Stock is listed on The Nasdaq Global Select Market (“Nasdaq”) under the symbol “MAPS.” On May 5, 2022, the closing price of our Class A Common Stock was $5.76.</w:t>
      </w:r>
    </w:p>
    <w:p>
      <w:pPr>
        <w:spacing w:after="0" w:line="173" w:lineRule="exact"/>
        <w:rPr>
          <w:sz w:val="24"/>
          <w:szCs w:val="24"/>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b w:val="1"/>
          <w:bCs w:val="1"/>
          <w:color w:val="auto"/>
        </w:rPr>
        <w:t>SEE THE SECTION ENTITLED “RISK FACTORS” BEGINNING ON PAGE 5 OF THE PROSPECTUS, AS UPDATED AND SUPPLEMENTED UNDER SIMILAR HEADINGS IN ANY FURTHER AMENDMENTS OR SUPPLEMENTS TO THE PROSPECTUS, TO READ ABOUT FACTORS YOU SHOULD CONSIDER BEFORE BUYING OUR SECURITIES.</w:t>
      </w:r>
    </w:p>
    <w:p>
      <w:pPr>
        <w:spacing w:after="0" w:line="191" w:lineRule="exact"/>
        <w:rPr>
          <w:sz w:val="24"/>
          <w:szCs w:val="24"/>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May 6, 2022.</w:t>
      </w:r>
    </w:p>
    <w:p>
      <w:pPr>
        <w:sectPr>
          <w:pgSz w:w="11900" w:h="16838" w:orient="portrait"/>
          <w:cols w:equalWidth="0" w:num="1">
            <w:col w:w="11240"/>
          </w:cols>
          <w:pgMar w:left="320" w:top="121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688340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713105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32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27"/>
                <w:szCs w:val="27"/>
                <w:b w:val="1"/>
                <w:bCs w:val="1"/>
                <w:color w:val="auto"/>
              </w:rPr>
              <w:t>UNITED STATES</w:t>
            </w:r>
          </w:p>
        </w:tc>
      </w:tr>
      <w:tr>
        <w:trPr>
          <w:trHeight w:val="365"/>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tc>
      </w:tr>
      <w:tr>
        <w:trPr>
          <w:trHeight w:val="291"/>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7"/>
                <w:szCs w:val="17"/>
                <w:b w:val="1"/>
                <w:bCs w:val="1"/>
                <w:color w:val="auto"/>
                <w:w w:val="99"/>
              </w:rPr>
              <w:t>Washington, D.C. 20549</w:t>
            </w:r>
          </w:p>
        </w:tc>
      </w:tr>
      <w:tr>
        <w:trPr>
          <w:trHeight w:val="182"/>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_______________________________________________________________________________</w:t>
            </w:r>
          </w:p>
        </w:tc>
      </w:tr>
      <w:tr>
        <w:trPr>
          <w:trHeight w:val="398"/>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27"/>
                <w:szCs w:val="27"/>
                <w:b w:val="1"/>
                <w:bCs w:val="1"/>
                <w:color w:val="auto"/>
              </w:rPr>
              <w:t>FORM 10-Q</w:t>
            </w:r>
          </w:p>
        </w:tc>
      </w:tr>
      <w:tr>
        <w:trPr>
          <w:trHeight w:val="182"/>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_______________________________________________________________________________</w:t>
            </w:r>
          </w:p>
        </w:tc>
      </w:tr>
      <w:tr>
        <w:trPr>
          <w:trHeight w:val="376"/>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tc>
      </w:tr>
      <w:tr>
        <w:trPr>
          <w:trHeight w:val="247"/>
        </w:trPr>
        <w:tc>
          <w:tcPr>
            <w:tcW w:w="1000" w:type="dxa"/>
            <w:vAlign w:val="bottom"/>
          </w:tcPr>
          <w:p>
            <w:pPr>
              <w:spacing w:after="0"/>
              <w:rPr>
                <w:sz w:val="21"/>
                <w:szCs w:val="21"/>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2022</w:t>
            </w:r>
          </w:p>
        </w:tc>
      </w:tr>
      <w:tr>
        <w:trPr>
          <w:trHeight w:val="267"/>
        </w:trPr>
        <w:tc>
          <w:tcPr>
            <w:tcW w:w="1000" w:type="dxa"/>
            <w:vAlign w:val="bottom"/>
          </w:tcPr>
          <w:p>
            <w:pPr>
              <w:spacing w:after="0"/>
              <w:rPr>
                <w:sz w:val="23"/>
                <w:szCs w:val="23"/>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5"/>
              </w:rPr>
              <w:t>OR</w:t>
            </w:r>
          </w:p>
        </w:tc>
      </w:tr>
      <w:tr>
        <w:trPr>
          <w:trHeight w:val="376"/>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tc>
      </w:tr>
      <w:tr>
        <w:trPr>
          <w:trHeight w:val="217"/>
        </w:trPr>
        <w:tc>
          <w:tcPr>
            <w:tcW w:w="1000" w:type="dxa"/>
            <w:vAlign w:val="bottom"/>
          </w:tcPr>
          <w:p>
            <w:pPr>
              <w:spacing w:after="0"/>
              <w:rPr>
                <w:sz w:val="18"/>
                <w:szCs w:val="18"/>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7"/>
              </w:rPr>
              <w:t>For the transition period from ____ to ____</w:t>
            </w:r>
          </w:p>
        </w:tc>
      </w:tr>
      <w:tr>
        <w:trPr>
          <w:trHeight w:val="256"/>
        </w:trPr>
        <w:tc>
          <w:tcPr>
            <w:tcW w:w="1000" w:type="dxa"/>
            <w:vAlign w:val="bottom"/>
          </w:tcPr>
          <w:p>
            <w:pPr>
              <w:spacing w:after="0"/>
              <w:rPr>
                <w:sz w:val="22"/>
                <w:szCs w:val="22"/>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001-39021</w:t>
            </w:r>
          </w:p>
        </w:tc>
      </w:tr>
      <w:tr>
        <w:trPr>
          <w:trHeight w:val="182"/>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_______________________________________________________________________________</w:t>
            </w: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WM TECHNOLOGY,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30"/>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41 Discovery</w:t>
            </w:r>
          </w:p>
        </w:tc>
        <w:tc>
          <w:tcPr>
            <w:tcW w:w="24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Irvine, California</w:t>
            </w:r>
          </w:p>
        </w:tc>
        <w:tc>
          <w:tcPr>
            <w:tcW w:w="2420" w:type="dxa"/>
            <w:vAlign w:val="bottom"/>
          </w:tcPr>
          <w:p>
            <w:pPr>
              <w:spacing w:after="0"/>
              <w:rPr>
                <w:sz w:val="15"/>
                <w:szCs w:val="15"/>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50"/>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w w:val="98"/>
              </w:rPr>
              <w:t>(844) 933-3627</w:t>
            </w:r>
          </w:p>
        </w:tc>
        <w:tc>
          <w:tcPr>
            <w:tcW w:w="3760" w:type="dxa"/>
            <w:vAlign w:val="bottom"/>
          </w:tcPr>
          <w:p>
            <w:pPr>
              <w:spacing w:after="0"/>
              <w:rPr>
                <w:sz w:val="24"/>
                <w:szCs w:val="24"/>
                <w:color w:val="auto"/>
              </w:rPr>
            </w:pPr>
          </w:p>
        </w:tc>
      </w:tr>
      <w:tr>
        <w:trPr>
          <w:trHeight w:val="178"/>
        </w:trPr>
        <w:tc>
          <w:tcPr>
            <w:tcW w:w="7480" w:type="dxa"/>
            <w:vAlign w:val="bottom"/>
            <w:gridSpan w:val="2"/>
          </w:tcPr>
          <w:p>
            <w:pPr>
              <w:jc w:val="center"/>
              <w:ind w:left="3711"/>
              <w:spacing w:after="0"/>
              <w:rPr>
                <w:sz w:val="20"/>
                <w:szCs w:val="20"/>
                <w:color w:val="auto"/>
              </w:rPr>
            </w:pPr>
            <w:r>
              <w:rPr>
                <w:rFonts w:ascii="Times New Roman" w:cs="Times New Roman" w:eastAsia="Times New Roman" w:hAnsi="Times New Roman"/>
                <w:sz w:val="14"/>
                <w:szCs w:val="14"/>
                <w:color w:val="auto"/>
                <w:w w:val="97"/>
              </w:rPr>
              <w:t>(Registrant’ telephone number, including area code)</w:t>
            </w:r>
          </w:p>
        </w:tc>
        <w:tc>
          <w:tcPr>
            <w:tcW w:w="3760" w:type="dxa"/>
            <w:vAlign w:val="bottom"/>
          </w:tcPr>
          <w:p>
            <w:pPr>
              <w:spacing w:after="0"/>
              <w:rPr>
                <w:sz w:val="15"/>
                <w:szCs w:val="15"/>
                <w:color w:val="auto"/>
              </w:rPr>
            </w:pPr>
          </w:p>
        </w:tc>
      </w:tr>
      <w:tr>
        <w:trPr>
          <w:trHeight w:val="271"/>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3760" w:type="dxa"/>
            <w:vAlign w:val="bottom"/>
          </w:tcPr>
          <w:p>
            <w:pPr>
              <w:spacing w:after="0"/>
              <w:rPr>
                <w:sz w:val="23"/>
                <w:szCs w:val="23"/>
                <w:color w:val="auto"/>
              </w:rPr>
            </w:pPr>
          </w:p>
        </w:tc>
      </w:tr>
      <w:tr>
        <w:trPr>
          <w:trHeight w:val="309"/>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77"/>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A Common Stock, $0.0001 par value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9"/>
              </w:rPr>
              <w:t>MAPS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r>
        <w:trPr>
          <w:trHeight w:val="183"/>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Warrants, each whole warrant exercisable for one share of Class A Common Stock at an</w:t>
            </w:r>
          </w:p>
        </w:tc>
        <w:tc>
          <w:tcPr>
            <w:tcW w:w="24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7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exercise price of $11.50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MAPSW</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01"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0"/>
          <w:szCs w:val="20"/>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6"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6"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84" w:lineRule="exact"/>
        <w:rPr>
          <w:sz w:val="20"/>
          <w:szCs w:val="20"/>
          <w:color w:val="auto"/>
        </w:rPr>
      </w:pPr>
    </w:p>
    <w:p>
      <w:pPr>
        <w:sectPr>
          <w:pgSz w:w="11900" w:h="16838" w:orient="portrait"/>
          <w:cols w:equalWidth="0" w:num="6">
            <w:col w:w="2380" w:space="720"/>
            <w:col w:w="120" w:space="540"/>
            <w:col w:w="2380" w:space="720"/>
            <w:col w:w="120" w:space="540"/>
            <w:col w:w="2360" w:space="720"/>
            <w:col w:w="640"/>
          </w:cols>
          <w:pgMar w:left="320" w:top="226" w:right="339" w:bottom="1440" w:gutter="0" w:footer="0" w:header="0"/>
          <w:type w:val="continuous"/>
        </w:sectPr>
      </w:pPr>
    </w:p>
    <w:p>
      <w:pPr>
        <w:spacing w:after="0" w:line="20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0"/>
          <w:szCs w:val="20"/>
          <w:color w:val="auto"/>
        </w:rPr>
      </w:pPr>
    </w:p>
    <w:p>
      <w:pPr>
        <w:spacing w:after="0" w:line="161" w:lineRule="exact"/>
        <w:tabs>
          <w:tab w:leader="none" w:pos="5820" w:val="left"/>
          <w:tab w:leader="none" w:pos="6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2, 2022, there were 86,103,114 shares of the registrant’s Class A common stock outstanding and 58,294,288 shares of Class V common stock outstanding.</w:t>
      </w:r>
    </w:p>
    <w:p>
      <w:pPr>
        <w:sectPr>
          <w:pgSz w:w="11900" w:h="16838" w:orient="portrait"/>
          <w:cols w:equalWidth="0" w:num="1">
            <w:col w:w="11240"/>
          </w:cols>
          <w:pgMar w:left="320" w:top="226"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gridSpan w:val="10"/>
          </w:tcPr>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WM TECHNOLOGY, INC.</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gridSpan w:val="10"/>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60" w:type="dxa"/>
            <w:vAlign w:val="bottom"/>
            <w:gridSpan w:val="16"/>
            <w:vMerge w:val="restart"/>
          </w:tcPr>
          <w:p>
            <w:pPr>
              <w:spacing w:after="0"/>
              <w:rPr>
                <w:sz w:val="20"/>
                <w:szCs w:val="20"/>
                <w:color w:val="auto"/>
              </w:rPr>
            </w:pPr>
            <w:r>
              <w:rPr>
                <w:rFonts w:ascii="Times New Roman" w:cs="Times New Roman" w:eastAsia="Times New Roman" w:hAnsi="Times New Roman"/>
                <w:sz w:val="17"/>
                <w:szCs w:val="17"/>
                <w:color w:val="0000FF"/>
              </w:rPr>
              <w:t>Forward-Looking Statements</w:t>
            </w: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gridSpan w:val="16"/>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036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1.</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Condensed Consolidated Financial Statements (Unaudited)</w:t>
            </w: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Condensed Consolidated Balance Sheets as of March 31, 2022 and December 31, 2021</w:t>
            </w:r>
          </w:p>
        </w:tc>
        <w:tc>
          <w:tcPr>
            <w:tcW w:w="420" w:type="dxa"/>
            <w:vAlign w:val="bottom"/>
          </w:tcPr>
          <w:p>
            <w:pPr>
              <w:spacing w:after="0"/>
              <w:rPr>
                <w:sz w:val="19"/>
                <w:szCs w:val="19"/>
                <w:color w:val="auto"/>
              </w:rPr>
            </w:pPr>
          </w:p>
        </w:tc>
        <w:tc>
          <w:tcPr>
            <w:tcW w:w="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gridSpan w:val="2"/>
          </w:tcPr>
          <w:p>
            <w:pPr>
              <w:spacing w:after="0" w:line="20" w:lineRule="exact"/>
              <w:rPr>
                <w:sz w:val="1"/>
                <w:szCs w:val="1"/>
                <w:color w:val="auto"/>
              </w:rPr>
            </w:pPr>
          </w:p>
        </w:tc>
        <w:tc>
          <w:tcPr>
            <w:tcW w:w="160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360" w:type="dxa"/>
            <w:vAlign w:val="bottom"/>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Condensed Consolidated Statements of Operations for the Three Months Ended March 31, 2022 and 2021</w:t>
            </w:r>
          </w:p>
        </w:tc>
        <w:tc>
          <w:tcPr>
            <w:tcW w:w="1900" w:type="dxa"/>
            <w:vAlign w:val="bottom"/>
          </w:tcPr>
          <w:p>
            <w:pPr>
              <w:spacing w:after="0"/>
              <w:rPr>
                <w:sz w:val="16"/>
                <w:szCs w:val="16"/>
                <w:color w:val="auto"/>
              </w:rPr>
            </w:pPr>
          </w:p>
        </w:tc>
        <w:tc>
          <w:tcPr>
            <w:tcW w:w="480" w:type="dxa"/>
            <w:vAlign w:val="bottom"/>
            <w:gridSpan w:val="2"/>
          </w:tcPr>
          <w:p>
            <w:pPr>
              <w:jc w:val="center"/>
              <w:ind w:left="314"/>
              <w:spacing w:after="0" w:line="185" w:lineRule="exact"/>
              <w:rPr>
                <w:sz w:val="20"/>
                <w:szCs w:val="20"/>
                <w:color w:val="auto"/>
              </w:rPr>
            </w:pPr>
            <w:r>
              <w:rPr>
                <w:rFonts w:ascii="Times New Roman" w:cs="Times New Roman" w:eastAsia="Times New Roman" w:hAnsi="Times New Roman"/>
                <w:sz w:val="17"/>
                <w:szCs w:val="17"/>
                <w:color w:val="0000EE"/>
                <w:w w:val="93"/>
              </w:rPr>
              <w:t>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Condensed Consolidated Statements of Equity for the Three Months Ended March 31, 2022 and 2021</w:t>
            </w:r>
          </w:p>
        </w:tc>
        <w:tc>
          <w:tcPr>
            <w:tcW w:w="1900" w:type="dxa"/>
            <w:vAlign w:val="bottom"/>
          </w:tcPr>
          <w:p>
            <w:pPr>
              <w:spacing w:after="0"/>
              <w:rPr>
                <w:sz w:val="19"/>
                <w:szCs w:val="19"/>
                <w:color w:val="auto"/>
              </w:rPr>
            </w:pP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Condensed Consolidated Statements of Cash Flows for the Three Months Ended March 31, 2022 and 2021</w:t>
            </w:r>
          </w:p>
        </w:tc>
        <w:tc>
          <w:tcPr>
            <w:tcW w:w="1900" w:type="dxa"/>
            <w:vAlign w:val="bottom"/>
          </w:tcPr>
          <w:p>
            <w:pPr>
              <w:spacing w:after="0"/>
              <w:rPr>
                <w:sz w:val="19"/>
                <w:szCs w:val="19"/>
                <w:color w:val="auto"/>
              </w:rPr>
            </w:pP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27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3.</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420" w:type="dxa"/>
            <w:vAlign w:val="bottom"/>
          </w:tcPr>
          <w:p>
            <w:pPr>
              <w:spacing w:after="0"/>
              <w:rPr>
                <w:sz w:val="19"/>
                <w:szCs w:val="19"/>
                <w:color w:val="auto"/>
              </w:rPr>
            </w:pPr>
          </w:p>
        </w:tc>
        <w:tc>
          <w:tcPr>
            <w:tcW w:w="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4"/>
                <w:szCs w:val="14"/>
                <w:color w:val="0000EE"/>
                <w:w w:val="71"/>
              </w:rPr>
              <w:t>41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gridSpan w:val="2"/>
          </w:tcPr>
          <w:p>
            <w:pPr>
              <w:spacing w:after="0" w:line="20" w:lineRule="exact"/>
              <w:rPr>
                <w:sz w:val="1"/>
                <w:szCs w:val="1"/>
                <w:color w:val="auto"/>
              </w:rPr>
            </w:pPr>
          </w:p>
        </w:tc>
        <w:tc>
          <w:tcPr>
            <w:tcW w:w="194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0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0000EE"/>
              </w:rPr>
              <w:t>Item 4.</w:t>
            </w:r>
          </w:p>
        </w:tc>
        <w:tc>
          <w:tcPr>
            <w:tcW w:w="9260" w:type="dxa"/>
            <w:vAlign w:val="bottom"/>
            <w:gridSpan w:val="16"/>
          </w:tcPr>
          <w:p>
            <w:pPr>
              <w:spacing w:after="0" w:line="185" w:lineRule="exact"/>
              <w:rPr>
                <w:sz w:val="20"/>
                <w:szCs w:val="20"/>
                <w:color w:val="auto"/>
              </w:rPr>
            </w:pPr>
            <w:r>
              <w:rPr>
                <w:rFonts w:ascii="Times New Roman" w:cs="Times New Roman" w:eastAsia="Times New Roman" w:hAnsi="Times New Roman"/>
                <w:sz w:val="17"/>
                <w:szCs w:val="17"/>
                <w:color w:val="0000EE"/>
              </w:rPr>
              <w:t>Controls and Procedures</w:t>
            </w:r>
          </w:p>
        </w:tc>
        <w:tc>
          <w:tcPr>
            <w:tcW w:w="540" w:type="dxa"/>
            <w:vAlign w:val="bottom"/>
            <w:gridSpan w:val="3"/>
          </w:tcPr>
          <w:p>
            <w:pPr>
              <w:jc w:val="center"/>
              <w:ind w:left="234"/>
              <w:spacing w:after="0" w:line="185" w:lineRule="exact"/>
              <w:rPr>
                <w:sz w:val="20"/>
                <w:szCs w:val="20"/>
                <w:color w:val="auto"/>
              </w:rPr>
            </w:pPr>
            <w:r>
              <w:rPr>
                <w:rFonts w:ascii="Times New Roman" w:cs="Times New Roman" w:eastAsia="Times New Roman" w:hAnsi="Times New Roman"/>
                <w:sz w:val="17"/>
                <w:szCs w:val="17"/>
                <w:color w:val="0000EE"/>
              </w:rPr>
              <w:t>41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036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420" w:type="dxa"/>
            <w:vAlign w:val="bottom"/>
          </w:tcPr>
          <w:p>
            <w:pPr>
              <w:spacing w:after="0"/>
              <w:rPr>
                <w:sz w:val="24"/>
                <w:szCs w:val="24"/>
                <w:color w:val="auto"/>
              </w:rPr>
            </w:pPr>
          </w:p>
        </w:tc>
        <w:tc>
          <w:tcPr>
            <w:tcW w:w="120" w:type="dxa"/>
            <w:vAlign w:val="bottom"/>
            <w:tcBorders>
              <w:bottom w:val="single" w:sz="8" w:color="0000EE"/>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0000EE"/>
                <w:w w:val="71"/>
              </w:rPr>
              <w:t>43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1.</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1A.</w:t>
            </w:r>
          </w:p>
        </w:tc>
        <w:tc>
          <w:tcPr>
            <w:tcW w:w="480" w:type="dxa"/>
            <w:vAlign w:val="bottom"/>
            <w:gridSpan w:val="2"/>
          </w:tcPr>
          <w:p>
            <w:pPr>
              <w:spacing w:after="0"/>
              <w:rPr>
                <w:sz w:val="19"/>
                <w:szCs w:val="19"/>
                <w:color w:val="auto"/>
              </w:rPr>
            </w:pPr>
          </w:p>
        </w:tc>
        <w:tc>
          <w:tcPr>
            <w:tcW w:w="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380" w:type="dxa"/>
            <w:vAlign w:val="bottom"/>
            <w:gridSpan w:val="14"/>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4"/>
                <w:szCs w:val="14"/>
                <w:color w:val="0000EE"/>
                <w:w w:val="71"/>
              </w:rPr>
              <w:t>43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3.</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4.</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5.</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6.</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Exhibits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34" w:lineRule="exact"/>
        <w:rPr>
          <w:sz w:val="20"/>
          <w:szCs w:val="20"/>
          <w:color w:val="auto"/>
        </w:rPr>
      </w:pPr>
    </w:p>
    <w:p>
      <w:pPr>
        <w:jc w:val="both"/>
        <w:ind w:firstLine="344"/>
        <w:spacing w:after="0"/>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4"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and business performance, including key business metrics and any underlying assumptions thereunder;</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timing related to commercial product launches;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go-to-market strategy;</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business and expand our offerings;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advantages and growth strategies;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and sources and uses of cash;</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future operations;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market, financial, political and legal conditions;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 affecting the cannabis industry;</w:t>
      </w:r>
    </w:p>
    <w:p>
      <w:pPr>
        <w:ind w:left="620" w:hanging="307"/>
        <w:spacing w:after="0" w:line="221"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industry;</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capitalize on new and existing cannabis markets, including our ability to successfully monetize our solutions in those markets;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future growth;</w:t>
      </w:r>
    </w:p>
    <w:p>
      <w:pPr>
        <w:ind w:left="620" w:hanging="307"/>
        <w:spacing w:after="0" w:line="237"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our future business;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officers, key employees or directors;</w:t>
      </w:r>
    </w:p>
    <w:p>
      <w:pPr>
        <w:ind w:left="620" w:hanging="307"/>
        <w:spacing w:after="0" w:line="237"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we have identified a material weakness in our internal control over financial reporting which, if not corrected, could affect the reliability of our consolidated financial statements; and</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w:t>
      </w:r>
    </w:p>
    <w:p>
      <w:pPr>
        <w:spacing w:after="0" w:line="212" w:lineRule="exact"/>
        <w:rPr>
          <w:sz w:val="20"/>
          <w:szCs w:val="20"/>
          <w:color w:val="auto"/>
        </w:rPr>
      </w:pPr>
    </w:p>
    <w:p>
      <w:pPr>
        <w:jc w:val="both"/>
        <w:ind w:firstLine="344"/>
        <w:spacing w:after="0"/>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2" w:lineRule="exact"/>
        <w:rPr>
          <w:sz w:val="20"/>
          <w:szCs w:val="20"/>
          <w:color w:val="auto"/>
        </w:rPr>
      </w:pPr>
    </w:p>
    <w:p>
      <w:pPr>
        <w:jc w:val="both"/>
        <w:ind w:firstLine="344"/>
        <w:spacing w:after="0" w:line="248"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8" w:lineRule="exact"/>
        <w:rPr>
          <w:sz w:val="20"/>
          <w:szCs w:val="20"/>
          <w:color w:val="auto"/>
        </w:rPr>
      </w:pPr>
    </w:p>
    <w:p>
      <w:pPr>
        <w:jc w:val="both"/>
        <w:ind w:firstLine="344"/>
        <w:spacing w:after="0" w:line="241"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19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0" w:type="dxa"/>
            <w:vAlign w:val="bottom"/>
          </w:tcPr>
          <w:p>
            <w:pPr>
              <w:spacing w:after="0"/>
              <w:rPr>
                <w:sz w:val="1"/>
                <w:szCs w:val="1"/>
                <w:color w:val="auto"/>
              </w:rPr>
            </w:pP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13,607</w:t>
            </w:r>
          </w:p>
        </w:tc>
        <w:tc>
          <w:tcPr>
            <w:tcW w:w="0" w:type="dxa"/>
            <w:vAlign w:val="bottom"/>
          </w:tcPr>
          <w:p>
            <w:pPr>
              <w:spacing w:after="0"/>
              <w:rPr>
                <w:sz w:val="1"/>
                <w:szCs w:val="1"/>
                <w:color w:val="auto"/>
              </w:rPr>
            </w:pPr>
          </w:p>
        </w:tc>
      </w:tr>
      <w:tr>
        <w:trPr>
          <w:trHeight w:val="212"/>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98,934</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36,549</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152,097</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8,057</w:t>
            </w:r>
          </w:p>
        </w:tc>
        <w:tc>
          <w:tcPr>
            <w:tcW w:w="0" w:type="dxa"/>
            <w:vAlign w:val="bottom"/>
          </w:tcPr>
          <w:p>
            <w:pPr>
              <w:spacing w:after="0"/>
              <w:rPr>
                <w:sz w:val="1"/>
                <w:szCs w:val="1"/>
                <w:color w:val="auto"/>
              </w:rPr>
            </w:pP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2"/>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39,377</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128,567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233,204</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3)</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equity/Members’ equity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Preferred Stock - $0.0001 par value; 75,000,000 shares authorized; no shares issued and outstanding</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at March 31, 2022 and December 31, 2021</w:t>
            </w:r>
          </w:p>
        </w:tc>
        <w:tc>
          <w:tcPr>
            <w:tcW w:w="26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72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A Common Stock - $0.0001 par value; 1,500,000,000 shares authorized; 83,098,990 shares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March 31, 2022 and 65,677,361 shares issued and outstanding at</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68"/>
        </w:trPr>
        <w:tc>
          <w:tcPr>
            <w:tcW w:w="724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V Common Stock - $0.0001 par value; 500,000,000 shares authorized, 61,206,773 shares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40" w:type="dxa"/>
            <w:vAlign w:val="bottom"/>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March 31, 2022 and 65,502,347 shares issued and outstanding at</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47,476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61,369</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WM Technology, Inc. stockholders’ equity</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63,556</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68,384</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131,940</w:t>
            </w:r>
          </w:p>
        </w:tc>
        <w:tc>
          <w:tcPr>
            <w:tcW w:w="0" w:type="dxa"/>
            <w:vAlign w:val="bottom"/>
          </w:tcPr>
          <w:p>
            <w:pPr>
              <w:spacing w:after="0"/>
              <w:rPr>
                <w:sz w:val="1"/>
                <w:szCs w:val="1"/>
                <w:color w:val="auto"/>
              </w:rPr>
            </w:pPr>
          </w:p>
        </w:tc>
      </w:tr>
      <w:tr>
        <w:trPr>
          <w:trHeight w:val="212"/>
        </w:trPr>
        <w:tc>
          <w:tcPr>
            <w:tcW w:w="7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equity/members’ equity</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405,206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22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10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12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r>
      <w:tr>
        <w:trPr>
          <w:trHeight w:val="245"/>
        </w:trPr>
        <w:tc>
          <w:tcPr>
            <w:tcW w:w="8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Cost of revenues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7,868</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w:t>
            </w:r>
          </w:p>
        </w:tc>
      </w:tr>
      <w:tr>
        <w:trPr>
          <w:trHeight w:val="219"/>
        </w:trPr>
        <w:tc>
          <w:tcPr>
            <w:tcW w:w="8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2"/>
        </w:trPr>
        <w:tc>
          <w:tcPr>
            <w:tcW w:w="8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w:t>
            </w: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2"/>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N/A¹</w:t>
            </w:r>
          </w:p>
        </w:tc>
      </w:tr>
      <w:tr>
        <w:trPr>
          <w:trHeight w:val="245"/>
        </w:trPr>
        <w:tc>
          <w:tcPr>
            <w:tcW w:w="8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Weighted average basic and diluted shares outstanding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72,450,204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N/A¹</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10" w:lineRule="exact"/>
        <w:rPr>
          <w:sz w:val="20"/>
          <w:szCs w:val="20"/>
          <w:color w:val="auto"/>
        </w:rPr>
      </w:pPr>
    </w:p>
    <w:p>
      <w:pPr>
        <w:jc w:val="both"/>
        <w:ind w:firstLine="3"/>
        <w:spacing w:after="0" w:line="253" w:lineRule="auto"/>
        <w:tabs>
          <w:tab w:leader="none" w:pos="7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2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2021</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Issuance of common stock - vesting of</w:t>
      </w:r>
    </w:p>
    <w:p>
      <w:pPr>
        <w:ind w:left="160" w:right="400"/>
        <w:spacing w:after="0" w:line="218" w:lineRule="auto"/>
        <w:rPr>
          <w:sz w:val="20"/>
          <w:szCs w:val="20"/>
          <w:color w:val="auto"/>
        </w:rPr>
      </w:pPr>
      <w:r>
        <w:rPr>
          <w:rFonts w:ascii="Times New Roman" w:cs="Times New Roman" w:eastAsia="Times New Roman" w:hAnsi="Times New Roman"/>
          <w:sz w:val="14"/>
          <w:szCs w:val="14"/>
          <w:color w:val="auto"/>
        </w:rPr>
        <w:t>restricted stock units, net of shares withheld for taxes</w:t>
      </w:r>
    </w:p>
    <w:p>
      <w:pPr>
        <w:spacing w:after="0" w:line="16" w:lineRule="exact"/>
        <w:rPr>
          <w:sz w:val="20"/>
          <w:szCs w:val="20"/>
          <w:color w:val="auto"/>
        </w:rPr>
      </w:pPr>
    </w:p>
    <w:p>
      <w:pPr>
        <w:ind w:left="160"/>
        <w:spacing w:after="0" w:line="238" w:lineRule="auto"/>
        <w:rPr>
          <w:sz w:val="20"/>
          <w:szCs w:val="20"/>
          <w:color w:val="auto"/>
        </w:rPr>
      </w:pPr>
      <w:r>
        <w:rPr>
          <w:rFonts w:ascii="Times New Roman" w:cs="Times New Roman" w:eastAsia="Times New Roman" w:hAnsi="Times New Roman"/>
          <w:sz w:val="14"/>
          <w:szCs w:val="14"/>
          <w:color w:val="auto"/>
        </w:rPr>
        <w:t>Issuance of common stock for acquisition (Note 6)</w:t>
      </w:r>
    </w:p>
    <w:p>
      <w:pPr>
        <w:spacing w:after="0" w:line="3" w:lineRule="exact"/>
        <w:rPr>
          <w:sz w:val="20"/>
          <w:szCs w:val="20"/>
          <w:color w:val="auto"/>
        </w:rPr>
      </w:pPr>
    </w:p>
    <w:p>
      <w:pPr>
        <w:ind w:left="160"/>
        <w:spacing w:after="0" w:line="238" w:lineRule="auto"/>
        <w:rPr>
          <w:sz w:val="20"/>
          <w:szCs w:val="20"/>
          <w:color w:val="auto"/>
        </w:rPr>
      </w:pPr>
      <w:r>
        <w:rPr>
          <w:rFonts w:ascii="Times New Roman" w:cs="Times New Roman" w:eastAsia="Times New Roman" w:hAnsi="Times New Roman"/>
          <w:sz w:val="14"/>
          <w:szCs w:val="14"/>
          <w:color w:val="auto"/>
        </w:rPr>
        <w:t>Issuance of common stock - Class A Unit exchange</w:t>
      </w:r>
    </w:p>
    <w:p>
      <w:pPr>
        <w:spacing w:after="0" w:line="3" w:lineRule="exact"/>
        <w:rPr>
          <w:sz w:val="20"/>
          <w:szCs w:val="20"/>
          <w:color w:val="auto"/>
        </w:rPr>
      </w:pPr>
    </w:p>
    <w:p>
      <w:pPr>
        <w:ind w:left="160" w:right="20"/>
        <w:spacing w:after="0" w:line="238" w:lineRule="auto"/>
        <w:rPr>
          <w:sz w:val="20"/>
          <w:szCs w:val="20"/>
          <w:color w:val="auto"/>
        </w:rPr>
      </w:pPr>
      <w:r>
        <w:rPr>
          <w:rFonts w:ascii="Times New Roman" w:cs="Times New Roman" w:eastAsia="Times New Roman" w:hAnsi="Times New Roman"/>
          <w:sz w:val="14"/>
          <w:szCs w:val="14"/>
          <w:color w:val="auto"/>
        </w:rPr>
        <w:t>Issuance of common stock - Class P Unit exchange</w:t>
      </w:r>
    </w:p>
    <w:p>
      <w:pPr>
        <w:spacing w:after="0" w:line="3" w:lineRule="exact"/>
        <w:rPr>
          <w:sz w:val="20"/>
          <w:szCs w:val="20"/>
          <w:color w:val="auto"/>
        </w:rPr>
      </w:pPr>
    </w:p>
    <w:p>
      <w:pPr>
        <w:ind w:left="160" w:right="240"/>
        <w:spacing w:after="0" w:line="238" w:lineRule="auto"/>
        <w:rPr>
          <w:sz w:val="20"/>
          <w:szCs w:val="20"/>
          <w:color w:val="auto"/>
        </w:rPr>
      </w:pPr>
      <w:r>
        <w:rPr>
          <w:rFonts w:ascii="Times New Roman" w:cs="Times New Roman" w:eastAsia="Times New Roman" w:hAnsi="Times New Roman"/>
          <w:sz w:val="14"/>
          <w:szCs w:val="14"/>
          <w:color w:val="auto"/>
        </w:rPr>
        <w:t>Issuance of common stock - warrants exercised</w:t>
      </w:r>
    </w:p>
    <w:p>
      <w:pPr>
        <w:spacing w:after="0" w:line="3" w:lineRule="exact"/>
        <w:rPr>
          <w:sz w:val="20"/>
          <w:szCs w:val="20"/>
          <w:color w:val="auto"/>
        </w:rPr>
      </w:pPr>
    </w:p>
    <w:p>
      <w:pPr>
        <w:ind w:left="160"/>
        <w:spacing w:after="0" w:line="238" w:lineRule="auto"/>
        <w:rPr>
          <w:sz w:val="20"/>
          <w:szCs w:val="20"/>
          <w:color w:val="auto"/>
        </w:rPr>
      </w:pPr>
      <w:r>
        <w:rPr>
          <w:rFonts w:ascii="Times New Roman" w:cs="Times New Roman" w:eastAsia="Times New Roman" w:hAnsi="Times New Roman"/>
          <w:sz w:val="14"/>
          <w:szCs w:val="14"/>
          <w:color w:val="auto"/>
        </w:rPr>
        <w:t>Impact of Tax Receivable Agreement due to exchanges of Units</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loss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11"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5525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577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Total WM</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Technology, Inc.</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1"/>
              </w:rPr>
              <w:t>Par</w:t>
            </w: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20" w:type="dxa"/>
            <w:vAlign w:val="bottom"/>
          </w:tcPr>
          <w:p>
            <w:pPr>
              <w:spacing w:after="0"/>
              <w:rPr>
                <w:sz w:val="11"/>
                <w:szCs w:val="11"/>
                <w:color w:val="auto"/>
              </w:rPr>
            </w:pPr>
          </w:p>
        </w:tc>
        <w:tc>
          <w:tcPr>
            <w:tcW w:w="9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65,677,361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61,369</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63,556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68,384</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131,940</w:t>
            </w:r>
          </w:p>
        </w:tc>
        <w:tc>
          <w:tcPr>
            <w:tcW w:w="0" w:type="dxa"/>
            <w:vAlign w:val="bottom"/>
          </w:tcPr>
          <w:p>
            <w:pPr>
              <w:spacing w:after="0"/>
              <w:rPr>
                <w:sz w:val="1"/>
                <w:szCs w:val="1"/>
                <w:color w:val="auto"/>
              </w:rPr>
            </w:pPr>
          </w:p>
        </w:tc>
      </w:tr>
      <w:tr>
        <w:trPr>
          <w:trHeight w:val="18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464"/>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879,284</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4,721,706</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7,525,045</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9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0" w:type="dxa"/>
            <w:vAlign w:val="bottom"/>
          </w:tcPr>
          <w:p>
            <w:pPr>
              <w:spacing w:after="0"/>
              <w:rPr>
                <w:sz w:val="1"/>
                <w:szCs w:val="1"/>
                <w:color w:val="auto"/>
              </w:rPr>
            </w:pP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83,098,990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61,206,773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43,970</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47,476</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91,460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57,511</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148,971</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-1857375</wp:posOffset>
            </wp:positionV>
            <wp:extent cx="7080885" cy="130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13081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-1604010</wp:posOffset>
            </wp:positionV>
            <wp:extent cx="7080885" cy="294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885" cy="29464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-1104265</wp:posOffset>
            </wp:positionV>
            <wp:extent cx="7080885" cy="204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0885" cy="20447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-695325</wp:posOffset>
            </wp:positionV>
            <wp:extent cx="7080885" cy="204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885" cy="20447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-285750</wp:posOffset>
            </wp:positionV>
            <wp:extent cx="7080885" cy="122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40"/>
            <w:col w:w="8740"/>
          </w:cols>
          <w:pgMar w:left="320" w:top="226" w:right="339" w:bottom="1440" w:gutter="0" w:footer="0" w:header="0"/>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Total WM</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1500" w:type="dxa"/>
            <w:vAlign w:val="bottom"/>
          </w:tcPr>
          <w:p>
            <w:pPr>
              <w:spacing w:after="0"/>
              <w:rPr>
                <w:sz w:val="5"/>
                <w:szCs w:val="5"/>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Technology, Inc.</w:t>
            </w: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As of December 31, 2020</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 $</w:t>
            </w:r>
          </w:p>
        </w:tc>
        <w:tc>
          <w:tcPr>
            <w:tcW w:w="4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Distributions to</w:t>
            </w:r>
          </w:p>
        </w:tc>
        <w:tc>
          <w:tcPr>
            <w:tcW w:w="10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0" w:type="dxa"/>
            <w:vAlign w:val="bottom"/>
          </w:tcPr>
          <w:p>
            <w:pPr>
              <w:spacing w:after="0"/>
              <w:rPr>
                <w:sz w:val="1"/>
                <w:szCs w:val="1"/>
                <w:color w:val="auto"/>
              </w:rPr>
            </w:pPr>
          </w:p>
        </w:tc>
      </w:tr>
      <w:tr>
        <w:trPr>
          <w:trHeight w:val="186"/>
        </w:trPr>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50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Repurchase of Class B</w:t>
            </w:r>
          </w:p>
        </w:tc>
        <w:tc>
          <w:tcPr>
            <w:tcW w:w="100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3"/>
        </w:trPr>
        <w:tc>
          <w:tcPr>
            <w:tcW w:w="1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22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740" w:type="dxa"/>
            <w:vAlign w:val="bottom"/>
            <w:gridSpan w:val="2"/>
          </w:tcPr>
          <w:p>
            <w:pPr>
              <w:jc w:val="center"/>
              <w:ind w:left="9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780" w:type="dxa"/>
            <w:vAlign w:val="bottom"/>
          </w:tcPr>
          <w:p>
            <w:pPr>
              <w:jc w:val="center"/>
              <w:ind w:left="19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12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(31,233)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income to net cash (used in) provided by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12"/>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10,587</w:t>
            </w:r>
          </w:p>
        </w:tc>
      </w:tr>
      <w:tr>
        <w:trPr>
          <w:trHeight w:val="135"/>
        </w:trPr>
        <w:tc>
          <w:tcPr>
            <w:tcW w:w="1220" w:type="dxa"/>
            <w:vAlign w:val="bottom"/>
            <w:shd w:val="clear" w:color="auto" w:fill="CCEEFF"/>
          </w:tcPr>
          <w:p>
            <w:pPr>
              <w:spacing w:after="0"/>
              <w:rPr>
                <w:sz w:val="11"/>
                <w:szCs w:val="11"/>
                <w:color w:val="auto"/>
              </w:rPr>
            </w:pPr>
          </w:p>
        </w:tc>
        <w:tc>
          <w:tcPr>
            <w:tcW w:w="6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135"/>
        </w:trPr>
        <w:tc>
          <w:tcPr>
            <w:tcW w:w="12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 to members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Repurchase of Class B Units</w:t>
            </w:r>
          </w:p>
        </w:tc>
        <w:tc>
          <w:tcPr>
            <w:tcW w:w="9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2"/>
        </w:trPr>
        <w:tc>
          <w:tcPr>
            <w:tcW w:w="8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r>
      <w:tr>
        <w:trPr>
          <w:trHeight w:val="135"/>
        </w:trPr>
        <w:tc>
          <w:tcPr>
            <w:tcW w:w="12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219"/>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 beginning of period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19,919</w:t>
            </w:r>
          </w:p>
        </w:tc>
      </w:tr>
      <w:tr>
        <w:trPr>
          <w:trHeight w:val="237"/>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end of period</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19,604</w:t>
            </w: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12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Issuance of equity for acquisitions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Holdback liability recognized in connection with acquisition</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Accrued liabilities assumed in connection with acquisition</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 capitalized for software development</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-4755515</wp:posOffset>
            </wp:positionV>
            <wp:extent cx="5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2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Organization</w:t>
      </w:r>
    </w:p>
    <w:p>
      <w:pPr>
        <w:spacing w:after="0" w:line="118"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WM Technology, Inc. (the “Company”) is one of the oldest and largest marketplace and technology solutions providers exclusively servicing the cannabis industry, primarily consumers, retailers, delivery services and brands in the United States state-legal and Canadian cannabis markets. The Company’s business primarily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Exchange products, where available. The Company charges a monthly fee to clients for access to its WM Business subscription package and then offers other add-on products for additional fees, including its featured listings and its Sprout (customer relationship management), Cannveya (delivery and logistics software) and Enlighten (software, digital signage services and multi-media offerings)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8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March 31, 2022, and results of its operations and its cash flows for the interim periods presented. The results of operations for the three months ended March 31,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Accordingly, for accounting purposes, the Reverse Recapitalization was treated as the equivalent of Legacy WMH issuing stock for the net assets of Silver Spike, accompanied by a recapitalization.</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Legacy WMH was determined to be the accounting acquirer based on evaluation of the following facts and circumstances:</w:t>
      </w:r>
    </w:p>
    <w:p>
      <w:pPr>
        <w:spacing w:after="0" w:line="114" w:lineRule="exact"/>
        <w:rPr>
          <w:sz w:val="20"/>
          <w:szCs w:val="20"/>
          <w:color w:val="auto"/>
        </w:rPr>
      </w:pPr>
    </w:p>
    <w:p>
      <w:pPr>
        <w:ind w:left="1240" w:hanging="309"/>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Class A Unit holders, through their ownership of the Class V Common Stock, have the greatest voting interest in the Company with over 50% of the voting interest;</w:t>
      </w:r>
    </w:p>
    <w:p>
      <w:pPr>
        <w:spacing w:after="0" w:line="4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selected the majority of the new board of directors of the Company;</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senior management is the senior management of the Company; and</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is the larger entity based on historical operating activity and has the larger employee base.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Thus, the financial statements included in this quarterly report reflect (i) the historical operating results of Legacy WMH prior to the Business Combination;</w:t>
      </w:r>
    </w:p>
    <w:p>
      <w:pPr>
        <w:spacing w:after="0" w:line="28" w:lineRule="exact"/>
        <w:rPr>
          <w:sz w:val="20"/>
          <w:szCs w:val="20"/>
          <w:color w:val="auto"/>
        </w:rPr>
      </w:pPr>
    </w:p>
    <w:p>
      <w:pPr>
        <w:ind w:firstLine="3"/>
        <w:spacing w:after="0" w:line="266" w:lineRule="auto"/>
        <w:tabs>
          <w:tab w:leader="none" w:pos="2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 xml:space="preserve">The Company operates in a relatively new industry where laws and regulations vary significantly by jurisdiction. Currently, the majority of U.S. states permit medical cannabis, and several permit adult- use. However, under federal law, cannabis, other than hemp (defined by the U.S. government as </w:t>
      </w:r>
      <w:r>
        <w:rPr>
          <w:rFonts w:ascii="Times New Roman" w:cs="Times New Roman" w:eastAsia="Times New Roman" w:hAnsi="Times New Roman"/>
          <w:sz w:val="17"/>
          <w:szCs w:val="17"/>
          <w:i w:val="1"/>
          <w:iCs w:val="1"/>
          <w:color w:val="auto"/>
        </w:rPr>
        <w:t>Cannabis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sativa L</w:t>
      </w:r>
      <w:r>
        <w:rPr>
          <w:rFonts w:ascii="Times New Roman" w:cs="Times New Roman" w:eastAsia="Times New Roman" w:hAnsi="Times New Roman"/>
          <w:sz w:val="17"/>
          <w:szCs w:val="17"/>
          <w:color w:val="auto"/>
        </w:rPr>
        <w:t>. with a THC concentration of not more than 0.3% on a dry weight basis), is still a Schedule I controlled substance under the Controlled Substances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16" w:lineRule="exact"/>
        <w:rPr>
          <w:sz w:val="20"/>
          <w:szCs w:val="20"/>
          <w:color w:val="auto"/>
        </w:rPr>
      </w:pPr>
    </w:p>
    <w:p>
      <w:pPr>
        <w:jc w:val="both"/>
        <w:ind w:firstLine="464"/>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in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w:t>
      </w:r>
    </w:p>
    <w:p>
      <w:pPr>
        <w:spacing w:after="0" w:line="4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0" w:lineRule="exact"/>
        <w:rPr>
          <w:sz w:val="20"/>
          <w:szCs w:val="20"/>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based on the Company assessment of the assumptions that market participants would use in pricing the asset or liability.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Accounts receivable is recorded at the invoiced amount and does not bear interest.</w:t>
      </w:r>
    </w:p>
    <w:p>
      <w:pPr>
        <w:spacing w:after="0" w:line="110" w:lineRule="exact"/>
        <w:rPr>
          <w:sz w:val="20"/>
          <w:szCs w:val="20"/>
          <w:color w:val="auto"/>
        </w:rPr>
      </w:pPr>
    </w:p>
    <w:p>
      <w:pPr>
        <w:ind w:firstLine="464"/>
        <w:spacing w:after="0" w:line="292" w:lineRule="auto"/>
        <w:rPr>
          <w:sz w:val="20"/>
          <w:szCs w:val="20"/>
          <w:color w:val="auto"/>
        </w:rPr>
      </w:pPr>
      <w:r>
        <w:rPr>
          <w:rFonts w:ascii="Times New Roman" w:cs="Times New Roman" w:eastAsia="Times New Roman" w:hAnsi="Times New Roman"/>
          <w:sz w:val="17"/>
          <w:szCs w:val="17"/>
          <w:color w:val="auto"/>
        </w:rPr>
        <w:t xml:space="preserve">The Company measures credit losses on its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Losses</w:t>
      </w:r>
      <w:r>
        <w:rPr>
          <w:rFonts w:ascii="Times New Roman" w:cs="Times New Roman" w:eastAsia="Times New Roman" w:hAnsi="Times New Roman"/>
          <w:sz w:val="17"/>
          <w:szCs w:val="17"/>
          <w:color w:val="auto"/>
        </w:rPr>
        <w:t>, which is based on the expected losses rather than incurred losses. Under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loss model, lifetime expected credit losses are measured and recognized at each reporting date based on historical, current and forecast information.</w:t>
      </w:r>
    </w:p>
    <w:p>
      <w:pPr>
        <w:spacing w:after="0" w:line="11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Account balances are written off against the allowance when it is determined that it is probable that the receivable will not be recovered. The Company recorded a provision for doubtful accounts of $7.2 million and $5.2 million as of March 31, 2022 and December 31, 2021,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doubtful accounts: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77"/>
        </w:trPr>
        <w:tc>
          <w:tcPr>
            <w:tcW w:w="776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12"/>
        </w:trPr>
        <w:tc>
          <w:tcPr>
            <w:tcW w:w="7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beginning of year</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914</w:t>
            </w:r>
          </w:p>
        </w:tc>
      </w:tr>
      <w:tr>
        <w:trPr>
          <w:trHeight w:val="21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 to allowance</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 net of recoveries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(354)</w:t>
            </w: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end of period</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color w:val="auto"/>
              </w:rPr>
              <w:t>675</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Equity Securities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xml:space="preserve"> are accounted for at cost, less any impairment, plus or minus changes resulting from observable price changes in orderly transactions for an identical or similar investment of the same issuer. As of March 31,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lease costs for the three months ended March 31, 2022 and 2021 were $2.5 million and $2.9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4"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 xml:space="preserve">The Company evaluated the Warrants under ASC 815-40 </w:t>
      </w:r>
      <w:r>
        <w:rPr>
          <w:rFonts w:ascii="Times New Roman" w:cs="Times New Roman" w:eastAsia="Times New Roman" w:hAnsi="Times New Roman"/>
          <w:sz w:val="17"/>
          <w:szCs w:val="17"/>
          <w:i w:val="1"/>
          <w:iCs w:val="1"/>
          <w:color w:val="auto"/>
        </w:rPr>
        <w:t>- Derivatives and Hedging - Contracts in Entity’s Own Equity</w:t>
      </w:r>
      <w:r>
        <w:rPr>
          <w:rFonts w:ascii="Times New Roman" w:cs="Times New Roman" w:eastAsia="Times New Roman" w:hAnsi="Times New Roman"/>
          <w:sz w:val="17"/>
          <w:szCs w:val="17"/>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March 31, 2022 of $7.9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All revenues during the periods presented were recognized over time, as opposed to at a point in time. All revenue has been generated in the United States during the periods presented.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Company’s cost of revenue primarily consists of web hosting, internet service costs, credit card processing costs and inventory costs related to multi-media offerings.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Costs</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expenses the cost of advertising in the period incurred. Advertising expense totaled $4.9 million and $3.0 million for the three months ended March 31, 2022 and 2021, respectively, and are included in sales and marketing expense in the accompanying condensed consolidated statements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6"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For the three months ended March 31, 2022, the Company recorded an income tax benefit of $1.7 million and for the three months ended March 31, 2021 an income tax provision of $0.2 million was recorded. The income tax benefit for the first quarter of 2022 was the result of the tax benefit of the Company’s pro rata share of losses and tax credits flowing through from WM Holding LLC.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During the period ended March 31, 2022, the Company acquired additional interest in WM Holding Company LLC (“LLC Interests”) in connection with the exchange of LLC Interests, and activity relating to its stock compensation plan. The Company recognized a deferred tax asset in the amount of $17.2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$5.6 million, and these amounts were recorded through equity.</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and its subsidiaries operate in one business segment.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Fair Value Measurements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liabilities that are measured at fair value on a recurring basis at March 31, 2022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 and indicates the fair value hierarchy of the valuation inputs the Company utilized to determine such fair value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9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16,750</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r>
      <w:tr>
        <w:trPr>
          <w:trHeight w:val="212"/>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warrant liability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-596900</wp:posOffset>
            </wp:positionV>
            <wp:extent cx="5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-596900</wp:posOffset>
            </wp:positionV>
            <wp:extent cx="5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-596900</wp:posOffset>
            </wp:positionV>
            <wp:extent cx="5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summarize the changes in the fair value of the warrant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220" w:type="dxa"/>
            <w:vAlign w:val="bottom"/>
          </w:tcPr>
          <w:p>
            <w:pPr>
              <w:spacing w:after="0"/>
              <w:rPr>
                <w:sz w:val="13"/>
                <w:szCs w:val="13"/>
                <w:color w:val="auto"/>
              </w:rPr>
            </w:pPr>
          </w:p>
        </w:tc>
        <w:tc>
          <w:tcPr>
            <w:tcW w:w="1200" w:type="dxa"/>
            <w:vAlign w:val="bottom"/>
          </w:tcPr>
          <w:p>
            <w:pPr>
              <w:jc w:val="right"/>
              <w:ind w:right="314"/>
              <w:spacing w:after="0" w:line="161"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32"/>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20" w:type="dxa"/>
            <w:vAlign w:val="bottom"/>
          </w:tcPr>
          <w:p>
            <w:pPr>
              <w:spacing w:after="0"/>
              <w:rPr>
                <w:sz w:val="20"/>
                <w:szCs w:val="20"/>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16,750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10,750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27,500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Warrants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$27.5 million and $16.8 million as of March 31, 2022 and December 31, 2021,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Placement Warrants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inputs at their measurement dates: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180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11.50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800" w:type="dxa"/>
            <w:vAlign w:val="bottom"/>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7.82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5.98</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52.4 %</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r>
    </w:tbl>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fair value of the Private Placement Warrants was $18.2 million and $10.7 million as of March 31, 2022 and December 31, 2021, respectively.</w:t>
      </w:r>
    </w:p>
    <w:p>
      <w:pPr>
        <w:spacing w:after="0" w:line="110"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color w:val="auto"/>
        </w:rPr>
        <w:t xml:space="preserve">The Warrants were accounted for as liabilities in accordance with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were no transfers in or out of Level 3 from other levels in the fair value hierarchy.</w:t>
      </w:r>
    </w:p>
    <w:p>
      <w:pPr>
        <w:spacing w:after="0" w:line="213" w:lineRule="exact"/>
        <w:rPr>
          <w:sz w:val="20"/>
          <w:szCs w:val="20"/>
          <w:color w:val="auto"/>
        </w:rPr>
      </w:pPr>
    </w:p>
    <w:p>
      <w:pPr>
        <w:ind w:left="340" w:hanging="337"/>
        <w:spacing w:after="0"/>
        <w:tabs>
          <w:tab w:leader="none" w:pos="3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previously discussed in Note 1, on June 16, 2021, the Company consummated the Business Combination pursuant to the Merger Agreement.</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Silver Spike was domesticated and continues as a Delaware corporation, changing its name to “WM Technology, Inc.”</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the aggregate amount of transaction expenses incurred by the parties to the Business Combination Agreement.</w:t>
      </w:r>
    </w:p>
    <w:p>
      <w:pPr>
        <w:spacing w:after="0" w:line="9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transferred $455.2 million to the Legacy WMH equity holders as cash consideration.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Legacy WMH equity holders retained an aggregate of 65,502,347 Class A Units and 25,896,042 Class P Units.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65,502,347 shares of Class V Common Stock to Class A Unit holders, representing the same number of Class A Units retained by the Legacy WMH equity holders.</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71" w:lineRule="exact"/>
        <w:rPr>
          <w:sz w:val="20"/>
          <w:szCs w:val="20"/>
          <w:color w:val="auto"/>
        </w:rPr>
      </w:pPr>
    </w:p>
    <w:p>
      <w:pPr>
        <w:ind w:left="340" w:hanging="337"/>
        <w:spacing w:after="0"/>
        <w:tabs>
          <w:tab w:leader="none" w:pos="3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Eyechronic</w:t>
      </w:r>
    </w:p>
    <w:p>
      <w:pPr>
        <w:spacing w:after="0" w:line="23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January 14, 2022, the Company acquired all the equity interests of Eyechronic LLC (“Eyechronic”) d/b/a Enlighten,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acquired assets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preliminary estimated fair value of assets acquired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Share consideration </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28,725</w:t>
            </w: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6" w:lineRule="exact"/>
        <w:rPr>
          <w:sz w:val="20"/>
          <w:szCs w:val="20"/>
          <w:color w:val="auto"/>
        </w:rPr>
      </w:pPr>
    </w:p>
    <w:p>
      <w:pPr>
        <w:ind w:left="320" w:hanging="240"/>
        <w:spacing w:after="0" w:line="237"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$0.2 million settlement of pre-existing accounts payable with seller and holdback of $0.1 million recorded within other liabilities on the Company’s condensed consolidated balance sheets.</w:t>
      </w:r>
    </w:p>
    <w:p>
      <w:pPr>
        <w:ind w:left="320" w:hanging="240"/>
        <w:spacing w:after="0" w:line="249"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9820" w:type="dxa"/>
            <w:vAlign w:val="bottom"/>
          </w:tcPr>
          <w:p>
            <w:pPr>
              <w:jc w:val="center"/>
              <w:ind w:left="1354"/>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7"/>
        </w:trPr>
        <w:tc>
          <w:tcPr>
            <w:tcW w:w="9820" w:type="dxa"/>
            <w:vAlign w:val="bottom"/>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88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 and Liabilities Assumed:</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20,427</w:t>
            </w:r>
          </w:p>
        </w:tc>
      </w:tr>
      <w:tr>
        <w:trPr>
          <w:trHeight w:val="212"/>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30,008</w:t>
            </w:r>
          </w:p>
        </w:tc>
      </w:tr>
      <w:tr>
        <w:trPr>
          <w:trHeight w:val="225"/>
        </w:trPr>
        <w:tc>
          <w:tcPr>
            <w:tcW w:w="9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5"/>
        </w:trPr>
        <w:tc>
          <w:tcPr>
            <w:tcW w:w="9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2022, the Company incurred transaction expenses associated with the Eyechronic acquisition of $0.1 million, which is included in general and administrative expenses in the condensed consolidated statements of operations.</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Eyechronic included the Company’s condensed consolidated statements of operations for the period from January 14, 2022 (acquisition date) through March 31, 2022 were $0.8 million and $0.4 million respectively. Pro forma revenue and earnings amounts on a combined basis have not been presented as they are not material to the Company’s historical pre-acquisition financial statements.</w:t>
      </w:r>
    </w:p>
    <w:p>
      <w:pPr>
        <w:spacing w:after="0" w:line="19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Sprout</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7"/>
          <w:szCs w:val="17"/>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preliminary estimated fair value of assets acquired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26,686</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31,286</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16" w:lineRule="exact"/>
        <w:rPr>
          <w:sz w:val="20"/>
          <w:szCs w:val="20"/>
          <w:color w:val="auto"/>
        </w:rPr>
      </w:pPr>
    </w:p>
    <w:p>
      <w:pPr>
        <w:ind w:left="320" w:hanging="317"/>
        <w:spacing w:after="0" w:line="249"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20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Sprout included the Company’s condensed consolidated statements of operations for the three months ended March 31, 2022 were not material. Pro forma revenue and earnings amounts on a combined basis have not been presented as they are not material to the Company’s historical pre-acquisition financial statements.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Transport Logistics Holding</w:t>
      </w:r>
    </w:p>
    <w:p>
      <w:pPr>
        <w:spacing w:after="0" w:line="23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preliminary estimated fair value of assets acquired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14,648</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4"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holdback of $1.0 million recorded within other current liabilities on the Company’s condensed consolidated balance sheets.</w:t>
      </w:r>
    </w:p>
    <w:p>
      <w:pPr>
        <w:ind w:left="940" w:hanging="318"/>
        <w:spacing w:after="0" w:line="236" w:lineRule="auto"/>
        <w:tabs>
          <w:tab w:leader="none" w:pos="93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21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TLH included the Company’s condensed consolidated statements of operations for the three months ended March 31, 2022 were not material. Pro forma revenue and earnings amounts on a combined basis have not been presented as they are not material to the Company’s historical pre-acquisition financial statements.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18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9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changes in goodwill for the three months ended March 31, 2022 is as follows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1"/>
        </w:trPr>
        <w:tc>
          <w:tcPr>
            <w:tcW w:w="98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Goodwill</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45,295</w:t>
            </w:r>
          </w:p>
        </w:tc>
      </w:tr>
      <w:tr>
        <w:trPr>
          <w:trHeight w:val="219"/>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Acquisition of Eyechronic</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20,427</w:t>
            </w: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as of March 31, 2022 and December 31, 2021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6"/>
          </w:tcPr>
          <w:p>
            <w:pPr>
              <w:jc w:val="center"/>
              <w:ind w:right="34"/>
              <w:spacing w:after="0" w:line="161"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Gross Intangible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Net Intangible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left="94"/>
              <w:spacing w:after="0" w:line="167"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Period (Years)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1440" w:type="dxa"/>
            <w:vAlign w:val="bottom"/>
            <w:gridSpan w:val="2"/>
          </w:tcPr>
          <w:p>
            <w:pPr>
              <w:jc w:val="center"/>
              <w:ind w:left="494"/>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4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40" w:type="dxa"/>
            <w:vAlign w:val="bottom"/>
            <w:gridSpan w:val="2"/>
          </w:tcPr>
          <w:p>
            <w:pPr>
              <w:jc w:val="center"/>
              <w:ind w:left="494"/>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21,568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(8,080)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6"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80" w:type="dxa"/>
            <w:vAlign w:val="bottom"/>
          </w:tcPr>
          <w:p>
            <w:pPr>
              <w:spacing w:after="0"/>
              <w:rPr>
                <w:sz w:val="14"/>
                <w:szCs w:val="14"/>
                <w:color w:val="auto"/>
              </w:rPr>
            </w:pPr>
          </w:p>
        </w:tc>
        <w:tc>
          <w:tcPr>
            <w:tcW w:w="144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4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8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Period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15,803</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expense for intangible assets was $0.6 million and $0.2 million during the three months ended March 31, 2022 and 2021, respectively.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future amortization expense of intangible assets as of March 31, 2022 is as follows (in thousands):</w:t>
      </w:r>
    </w:p>
    <w:p>
      <w:pPr>
        <w:sectPr>
          <w:pgSz w:w="11900" w:h="16838" w:orient="portrait"/>
          <w:cols w:equalWidth="0" w:num="1">
            <w:col w:w="11340"/>
          </w:cols>
          <w:pgMar w:left="320" w:top="123"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Remaining period in 2022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-121285</wp:posOffset>
            </wp:positionV>
            <wp:extent cx="680593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2024</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2026</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340" w:hanging="337"/>
        <w:spacing w:after="0"/>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payable and accrued liabilities as of March 31, 2022 and December 31, 2021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993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1023" w:lineRule="exact"/>
        <w:rPr>
          <w:sz w:val="20"/>
          <w:szCs w:val="20"/>
          <w:color w:val="auto"/>
        </w:rPr>
      </w:pPr>
    </w:p>
    <w:p>
      <w:pPr>
        <w:sectPr>
          <w:pgSz w:w="11900" w:h="16838" w:orient="portrait"/>
          <w:cols w:equalWidth="0" w:num="2">
            <w:col w:w="9500" w:space="300"/>
            <w:col w:w="1540"/>
          </w:cols>
          <w:pgMar w:left="320" w:top="123" w:right="239" w:bottom="1440" w:gutter="0" w:footer="0" w:header="0"/>
          <w:type w:val="continuous"/>
        </w:sectPr>
      </w:pPr>
    </w:p>
    <w:tbl>
      <w:tblPr>
        <w:tblLayout w:type="fixed"/>
        <w:tblInd w:w="62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9,965</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6,012</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12"/>
        </w:trPr>
        <w:tc>
          <w:tcPr>
            <w:tcW w:w="72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22,355</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-605155</wp:posOffset>
            </wp:positionV>
            <wp:extent cx="5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-605155</wp:posOffset>
            </wp:positionV>
            <wp:extent cx="5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3" w:lineRule="exact"/>
        <w:rPr>
          <w:sz w:val="20"/>
          <w:szCs w:val="20"/>
          <w:color w:val="auto"/>
        </w:rPr>
      </w:pPr>
    </w:p>
    <w:p>
      <w:pPr>
        <w:ind w:left="340" w:hanging="337"/>
        <w:spacing w:after="0"/>
        <w:tabs>
          <w:tab w:leader="none" w:pos="3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 Liability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At March 31, 2022, there were 12,499,973 Public Warrants outstanding and 7,000,000 Private Placement Warrants outstanding.</w:t>
      </w:r>
    </w:p>
    <w:p>
      <w:pPr>
        <w:spacing w:after="0" w:line="114" w:lineRule="exact"/>
        <w:rPr>
          <w:sz w:val="20"/>
          <w:szCs w:val="20"/>
          <w:color w:val="auto"/>
        </w:rPr>
      </w:pPr>
    </w:p>
    <w:p>
      <w:pPr>
        <w:jc w:val="both"/>
        <w:ind w:right="100" w:firstLine="464"/>
        <w:spacing w:after="0" w:line="264" w:lineRule="auto"/>
        <w:rPr>
          <w:sz w:val="20"/>
          <w:szCs w:val="20"/>
          <w:color w:val="auto"/>
        </w:rPr>
      </w:pPr>
      <w:r>
        <w:rPr>
          <w:rFonts w:ascii="Times New Roman" w:cs="Times New Roman" w:eastAsia="Times New Roman" w:hAnsi="Times New Roman"/>
          <w:sz w:val="17"/>
          <w:szCs w:val="17"/>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right="100" w:firstLine="464"/>
        <w:spacing w:after="0" w:line="261" w:lineRule="auto"/>
        <w:rPr>
          <w:sz w:val="20"/>
          <w:szCs w:val="20"/>
          <w:color w:val="auto"/>
        </w:rPr>
      </w:pPr>
      <w:r>
        <w:rPr>
          <w:rFonts w:ascii="Times New Roman" w:cs="Times New Roman" w:eastAsia="Times New Roman" w:hAnsi="Times New Roman"/>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2" w:lineRule="exact"/>
        <w:rPr>
          <w:sz w:val="20"/>
          <w:szCs w:val="20"/>
          <w:color w:val="auto"/>
        </w:rPr>
      </w:pPr>
    </w:p>
    <w:p>
      <w:pPr>
        <w:jc w:val="both"/>
        <w:ind w:right="100" w:firstLine="464"/>
        <w:spacing w:after="0" w:line="257" w:lineRule="auto"/>
        <w:rPr>
          <w:sz w:val="20"/>
          <w:szCs w:val="20"/>
          <w:color w:val="auto"/>
        </w:rPr>
      </w:pPr>
      <w:r>
        <w:rPr>
          <w:rFonts w:ascii="Times New Roman" w:cs="Times New Roman" w:eastAsia="Times New Roman" w:hAnsi="Times New Roman"/>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340"/>
          </w:cols>
          <w:pgMar w:left="320" w:top="123"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may exercise its redemption right even if it is unable to register or qualify the underlying securities for sale under all applicable state securities laws.</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was remeasured as of March 31, 2022, resulting in a non-cash loss of $18.2 million in the condensed consolidated statements of operations for the three months ended March 31, 2022.</w:t>
      </w:r>
    </w:p>
    <w:p>
      <w:pPr>
        <w:spacing w:after="0" w:line="167" w:lineRule="exact"/>
        <w:rPr>
          <w:sz w:val="20"/>
          <w:szCs w:val="20"/>
          <w:color w:val="auto"/>
        </w:rPr>
      </w:pPr>
    </w:p>
    <w:p>
      <w:pPr>
        <w:ind w:left="440" w:hanging="437"/>
        <w:spacing w:after="0"/>
        <w:tabs>
          <w:tab w:leader="none" w:pos="4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23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Common Stock</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3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the Company’s board of directors.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the Company’s assets.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Issuance and Retirement of Class V Common Stock</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2022, there were no shares of preferred stock issued or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noncontrolling interest represents the Units held by holders other than the Company. As of March 31, 2022, the noncontrolling interests owned 46.3% of the Units outstanding. The noncontrolling interests’ ownership percentage can fluctuate over time, including as the WMH LLC equity holders elect to exchange Units for Class A Common Stock.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Company has consolidated the financial position and results of operations of WMH LLC and reflected the proportionate interest held by the WMH LLC Unit equity holders as noncontrolling interests.</w:t>
      </w:r>
    </w:p>
    <w:p>
      <w:pPr>
        <w:spacing w:after="0" w:line="147" w:lineRule="exact"/>
        <w:rPr>
          <w:sz w:val="20"/>
          <w:szCs w:val="20"/>
          <w:color w:val="auto"/>
        </w:rPr>
      </w:pPr>
    </w:p>
    <w:p>
      <w:pPr>
        <w:ind w:left="420" w:hanging="417"/>
        <w:spacing w:after="0"/>
        <w:tabs>
          <w:tab w:leader="none" w:pos="4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Holding Company, LLC Equity Incentive Plan</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7"/>
          <w:szCs w:val="17"/>
          <w:i w:val="1"/>
          <w:iCs w:val="1"/>
          <w:color w:val="auto"/>
        </w:rPr>
        <w:t>Stock Based Compensation</w:t>
      </w:r>
      <w:r>
        <w:rPr>
          <w:rFonts w:ascii="Times New Roman" w:cs="Times New Roman" w:eastAsia="Times New Roman" w:hAnsi="Times New Roman"/>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Class P Unit activity for the three months ended March 31, 2022 is as follows: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Number of Units</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25,660,529</w:t>
            </w:r>
          </w:p>
        </w:tc>
      </w:tr>
      <w:tr>
        <w:trPr>
          <w:trHeight w:val="219"/>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(27,891)</w:t>
            </w:r>
          </w:p>
        </w:tc>
      </w:tr>
      <w:tr>
        <w:trPr>
          <w:trHeight w:val="21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Exchanged for Class A Common Stock</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(9,383,608)</w:t>
            </w:r>
          </w:p>
        </w:tc>
      </w:tr>
      <w:tr>
        <w:trPr>
          <w:trHeight w:val="212"/>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Class P Units, March 31, 2022</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16,249,030</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6"/>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March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14,702,575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2022, unrecognized stock-based compensation expense for non-vested Class P Units was $3.5 million, which is expected to be recognized over a weighted-average period of 1.9 years. For the three months ended March 31, 2022, the Company recorded stock-based compensation expense for the Class P Units of $0.7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Technology, Inc. Equity Incentive Plan</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2022, 25,768,971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2022, 12,213,211 shares of Class A Common Stock are available for future issuance.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restricted stock unit (“RSU”) activity for the three months ended March 31, 2022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7"/>
                <w:szCs w:val="17"/>
                <w:color w:val="auto"/>
              </w:rPr>
            </w:pPr>
          </w:p>
        </w:tc>
        <w:tc>
          <w:tcPr>
            <w:tcW w:w="22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24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5,062,234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2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color w:val="auto"/>
              </w:rPr>
              <w:t>(319,588)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2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color w:val="auto"/>
              </w:rPr>
              <w:t>(342,681)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March 31,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10,229,846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2022, unrecognized stock-based compensation expense for non-vested RSUs was $80.1 million, which is expected to be recognized over a weighted-average period of 3.3 years. For the three months ended March 31, 2022, the Company recorded stock-based compensation expense for the RSUs of $5.0 million.</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 summary of the PRSU activity for the three months ended March 31, 2022 is as follows: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March 31, 2022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2022, unrecognized stock-based compensation expense for non-vested PRSUs was $13.3 million, which is expected to be recognized over a weighted-average period of 1.8 years. For the three months ended March 31, 2022, the Company recorded stock-based compensation expense for the PRSUs of $1.9 million.</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cost related to the Class P Units, RSUs and PRSUs in the following expense categories on the accompanying condensed consolidated statements of operations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8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March 31, 2022</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w:t>
            </w: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w:t>
            </w:r>
          </w:p>
        </w:tc>
      </w:tr>
      <w:tr>
        <w:trPr>
          <w:trHeight w:val="212"/>
        </w:trPr>
        <w:tc>
          <w:tcPr>
            <w:tcW w:w="8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7,517</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capitalized to software development</w:t>
            </w: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12"/>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cost</w:t>
            </w: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7,927</w:t>
            </w: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40" w:hanging="437"/>
        <w:spacing w:after="0"/>
        <w:tabs>
          <w:tab w:leader="none" w:pos="4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11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w:t>
      </w:r>
    </w:p>
    <w:p>
      <w:pPr>
        <w:spacing w:after="0" w:line="6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computation of loss per share attributable to WM Technology, Inc. and weighted-average shares of the Company’s Class A Common Stock outstanding are as follows for the three months ended March 31, 2022 (amounts in thousands, except for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w:t>
            </w:r>
          </w:p>
        </w:tc>
      </w:tr>
      <w:tr>
        <w:trPr>
          <w:trHeight w:val="230"/>
        </w:trPr>
        <w:tc>
          <w:tcPr>
            <w:tcW w:w="8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31, 2022</w:t>
            </w:r>
          </w:p>
        </w:tc>
      </w:tr>
      <w:tr>
        <w:trPr>
          <w:trHeight w:val="20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(31,233)</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(17,340)</w:t>
            </w:r>
          </w:p>
        </w:tc>
      </w:tr>
      <w:tr>
        <w:trPr>
          <w:trHeight w:val="186"/>
        </w:trPr>
        <w:tc>
          <w:tcPr>
            <w:tcW w:w="898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Net loss attributable to WM Technology, Inc. - basic and diluted</w:t>
            </w:r>
          </w:p>
        </w:tc>
        <w:tc>
          <w:tcPr>
            <w:tcW w:w="480" w:type="dxa"/>
            <w:vAlign w:val="bottom"/>
            <w:tcBorders>
              <w:bottom w:val="single" w:sz="8" w:color="auto"/>
            </w:tcBorders>
          </w:tcPr>
          <w:p>
            <w:pPr>
              <w:jc w:val="right"/>
              <w:ind w:right="27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(13,893)</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1"/>
        </w:trPr>
        <w:tc>
          <w:tcPr>
            <w:tcW w:w="8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11"/>
        </w:trPr>
        <w:tc>
          <w:tcPr>
            <w:tcW w:w="898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Weighted average Class A Common Stock outstanding - basic and diluted</w:t>
            </w:r>
          </w:p>
        </w:tc>
        <w:tc>
          <w:tcPr>
            <w:tcW w:w="4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72,450,204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 of Class A Common Stock:</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r>
      <w:tr>
        <w:trPr>
          <w:trHeight w:val="212"/>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of Class A Common Stock - basic and diluted</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0"/>
        </w:trPr>
        <w:tc>
          <w:tcPr>
            <w:tcW w:w="8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Company excluded the following securities from its computation of diluted shares outstanding, as their effect would have been anti-dilutive: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6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30"/>
        </w:trPr>
        <w:tc>
          <w:tcPr>
            <w:tcW w:w="3760" w:type="dxa"/>
            <w:vAlign w:val="bottom"/>
          </w:tcPr>
          <w:p>
            <w:pPr>
              <w:spacing w:after="0"/>
              <w:rPr>
                <w:sz w:val="19"/>
                <w:szCs w:val="19"/>
                <w:color w:val="auto"/>
              </w:rPr>
            </w:pPr>
          </w:p>
        </w:tc>
        <w:tc>
          <w:tcPr>
            <w:tcW w:w="7480" w:type="dxa"/>
            <w:vAlign w:val="bottom"/>
            <w:gridSpan w:val="2"/>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Units</w:t>
            </w:r>
          </w:p>
        </w:tc>
        <w:tc>
          <w:tcPr>
            <w:tcW w:w="48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61,206,773</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P Units</w:t>
            </w:r>
          </w:p>
        </w:tc>
        <w:tc>
          <w:tcPr>
            <w:tcW w:w="7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16,249,030</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10,229,846</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7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2,437,500</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Warrants</w:t>
            </w:r>
          </w:p>
        </w:tc>
        <w:tc>
          <w:tcPr>
            <w:tcW w:w="7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7,000,000</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holdback shares</w:t>
            </w: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677,847</w:t>
            </w:r>
          </w:p>
        </w:tc>
      </w:tr>
      <w:tr>
        <w:trPr>
          <w:trHeight w:val="851"/>
        </w:trPr>
        <w:tc>
          <w:tcPr>
            <w:tcW w:w="3760" w:type="dxa"/>
            <w:vAlign w:val="bottom"/>
          </w:tcPr>
          <w:p>
            <w:pPr>
              <w:spacing w:after="0"/>
              <w:rPr>
                <w:sz w:val="24"/>
                <w:szCs w:val="24"/>
                <w:color w:val="auto"/>
              </w:rPr>
            </w:pPr>
          </w:p>
        </w:tc>
        <w:tc>
          <w:tcPr>
            <w:tcW w:w="4860" w:type="dxa"/>
            <w:vAlign w:val="bottom"/>
          </w:tcPr>
          <w:p>
            <w:pPr>
              <w:jc w:val="right"/>
              <w:ind w:right="2834"/>
              <w:spacing w:after="0"/>
              <w:rPr>
                <w:sz w:val="20"/>
                <w:szCs w:val="20"/>
                <w:color w:val="auto"/>
              </w:rPr>
            </w:pPr>
            <w:r>
              <w:rPr>
                <w:rFonts w:ascii="Times New Roman" w:cs="Times New Roman" w:eastAsia="Times New Roman" w:hAnsi="Times New Roman"/>
                <w:sz w:val="17"/>
                <w:szCs w:val="17"/>
                <w:color w:val="auto"/>
              </w:rPr>
              <w:t>26</w:t>
            </w:r>
          </w:p>
        </w:tc>
        <w:tc>
          <w:tcPr>
            <w:tcW w:w="262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4" w:lineRule="exact"/>
        <w:rPr>
          <w:sz w:val="20"/>
          <w:szCs w:val="20"/>
          <w:color w:val="auto"/>
        </w:rPr>
      </w:pPr>
    </w:p>
    <w:p>
      <w:pPr>
        <w:jc w:val="both"/>
        <w:ind w:firstLine="464"/>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70"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primarily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March 31, 2022, we had 16.4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Exchange products, where available. We charge a monthly fee to clients for access to our WM Business subscription package and then offer other add-on products for additional fees, including our featured listings and our Sprout (customer relationship management), Cannveya (delivery and logistics software) solutions and Enlighten (software, digital signage services and multi-media offerings)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8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patients and customers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have grown the Weedmaps marketplace to become the premier destination for cannabis consumers to discover and browse information regarding cannabis and cannabis products, with 16.4 million monthly active users (“MAUs”) as of March 31, 2022 on the demand-side and 5,026 average monthly paying business clients during the three months March 31, 2022 on the supply-side of our marketplace. These paying clients include retailers, brands and other client types (such as doctors). Further, these clients, who can choose to purchase multiple listings solutions for each business, had purchased over 9,700 listing pages as of March 31, 2022 (of the over 18,400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 and Public Company Costs</w:t>
      </w:r>
    </w:p>
    <w:p>
      <w:pPr>
        <w:spacing w:after="0" w:line="247"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0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01"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24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22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934"/>
        </w:trPr>
        <w:tc>
          <w:tcPr>
            <w:tcW w:w="1220" w:type="dxa"/>
            <w:vAlign w:val="bottom"/>
            <w:tcBorders>
              <w:top w:val="single" w:sz="8" w:color="0000FF"/>
            </w:tcBorders>
          </w:tcPr>
          <w:p>
            <w:pPr>
              <w:spacing w:after="0"/>
              <w:rPr>
                <w:sz w:val="24"/>
                <w:szCs w:val="24"/>
                <w:color w:val="auto"/>
              </w:rPr>
            </w:pPr>
          </w:p>
        </w:tc>
        <w:tc>
          <w:tcPr>
            <w:tcW w:w="6380" w:type="dxa"/>
            <w:vAlign w:val="bottom"/>
          </w:tcPr>
          <w:p>
            <w:pPr>
              <w:spacing w:after="0"/>
              <w:rPr>
                <w:sz w:val="24"/>
                <w:szCs w:val="24"/>
                <w:color w:val="auto"/>
              </w:rPr>
            </w:pPr>
          </w:p>
        </w:tc>
        <w:tc>
          <w:tcPr>
            <w:tcW w:w="306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160"/>
        </w:trPr>
        <w:tc>
          <w:tcPr>
            <w:tcW w:w="12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640" w:type="dxa"/>
            <w:vAlign w:val="bottom"/>
            <w:gridSpan w:val="4"/>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(dollars in thousands, except for revenue per</w:t>
            </w:r>
          </w:p>
        </w:tc>
      </w:tr>
      <w:tr>
        <w:trPr>
          <w:trHeight w:val="230"/>
        </w:trPr>
        <w:tc>
          <w:tcPr>
            <w:tcW w:w="12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gridSpan w:val="2"/>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paying client)</w:t>
            </w:r>
          </w:p>
        </w:tc>
        <w:tc>
          <w:tcPr>
            <w:tcW w:w="580" w:type="dxa"/>
            <w:vAlign w:val="bottom"/>
          </w:tcPr>
          <w:p>
            <w:pPr>
              <w:spacing w:after="0"/>
              <w:rPr>
                <w:sz w:val="19"/>
                <w:szCs w:val="19"/>
                <w:color w:val="auto"/>
              </w:rPr>
            </w:pPr>
          </w:p>
        </w:tc>
      </w:tr>
      <w:tr>
        <w:trPr>
          <w:trHeight w:val="2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57,452</w:t>
            </w:r>
          </w:p>
        </w:tc>
        <w:tc>
          <w:tcPr>
            <w:tcW w:w="12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r>
      <w:tr>
        <w:trPr>
          <w:trHeight w:val="21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(31,233)</w:t>
            </w:r>
          </w:p>
        </w:tc>
        <w:tc>
          <w:tcPr>
            <w:tcW w:w="124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3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(29,036)</w:t>
            </w:r>
          </w:p>
        </w:tc>
        <w:tc>
          <w:tcPr>
            <w:tcW w:w="12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32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4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3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r>
              <w:rPr>
                <w:rFonts w:ascii="Times New Roman" w:cs="Times New Roman" w:eastAsia="Times New Roman" w:hAnsi="Times New Roman"/>
                <w:sz w:val="22"/>
                <w:szCs w:val="22"/>
                <w:color w:val="auto"/>
                <w:vertAlign w:val="superscript"/>
              </w:rPr>
              <w:t>(2)</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3,810</w:t>
            </w:r>
          </w:p>
        </w:tc>
        <w:tc>
          <w:tcPr>
            <w:tcW w:w="12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3,503</w:t>
            </w:r>
          </w:p>
        </w:tc>
      </w:tr>
      <w:tr>
        <w:trPr>
          <w:trHeight w:val="32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r>
              <w:rPr>
                <w:rFonts w:ascii="Times New Roman" w:cs="Times New Roman" w:eastAsia="Times New Roman" w:hAnsi="Times New Roman"/>
                <w:sz w:val="22"/>
                <w:szCs w:val="22"/>
                <w:color w:val="auto"/>
                <w:vertAlign w:val="superscript"/>
              </w:rPr>
              <w:t>(3)</w:t>
            </w:r>
          </w:p>
        </w:tc>
        <w:tc>
          <w:tcPr>
            <w:tcW w:w="112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5,026</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w:t>
            </w:r>
          </w:p>
        </w:tc>
      </w:tr>
      <w:tr>
        <w:trPr>
          <w:trHeight w:val="3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MAUs (in thousands)</w:t>
            </w:r>
            <w:r>
              <w:rPr>
                <w:rFonts w:ascii="Times New Roman" w:cs="Times New Roman" w:eastAsia="Times New Roman" w:hAnsi="Times New Roman"/>
                <w:sz w:val="22"/>
                <w:szCs w:val="22"/>
                <w:color w:val="auto"/>
                <w:vertAlign w:val="superscript"/>
              </w:rPr>
              <w:t>(4)</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16,437</w:t>
            </w:r>
          </w:p>
        </w:tc>
        <w:tc>
          <w:tcPr>
            <w:tcW w:w="1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10,800</w:t>
            </w:r>
          </w:p>
        </w:tc>
      </w:tr>
      <w:tr>
        <w:trPr>
          <w:trHeight w:val="297"/>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6" w:lineRule="exact"/>
        <w:rPr>
          <w:sz w:val="20"/>
          <w:szCs w:val="20"/>
          <w:color w:val="auto"/>
        </w:rPr>
      </w:pPr>
    </w:p>
    <w:p>
      <w:pPr>
        <w:ind w:left="320" w:hanging="317"/>
        <w:spacing w:after="0" w:line="253"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information about how we calculate EBITDA and Adjusted EBITDA as well as limitations of its use and a reconciliation of EBITDA and Adjusted EBITDA to net income, see “—EBITDA and Adjusted EBITDA” below.</w:t>
      </w:r>
    </w:p>
    <w:p>
      <w:pPr>
        <w:jc w:val="both"/>
        <w:ind w:left="320" w:hanging="317"/>
        <w:spacing w:after="0" w:line="239"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20" w:hanging="317"/>
        <w:spacing w:after="0" w:line="239"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jc w:val="both"/>
        <w:ind w:left="320" w:hanging="317"/>
        <w:spacing w:after="0" w:line="250"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generate revenue primarily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EBITDA and Adjusted EBITDA</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35" w:lineRule="exact"/>
        <w:rPr>
          <w:sz w:val="20"/>
          <w:szCs w:val="20"/>
          <w:color w:val="auto"/>
        </w:rPr>
      </w:pPr>
    </w:p>
    <w:p>
      <w:pPr>
        <w:jc w:val="both"/>
        <w:ind w:left="780" w:hanging="313"/>
        <w:spacing w:after="0" w:line="259" w:lineRule="auto"/>
        <w:tabs>
          <w:tab w:leader="none" w:pos="77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26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10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 to us.</w:t>
      </w:r>
    </w:p>
    <w:p>
      <w:pPr>
        <w:spacing w:after="0" w:line="114"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21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96"/>
        </w:trPr>
        <w:tc>
          <w:tcPr>
            <w:tcW w:w="7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 reconciliation of net (loss) income to non-GAAP EBITDA and Adjusted EBITDA is as follows: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8"/>
        </w:trPr>
        <w:tc>
          <w:tcPr>
            <w:tcW w:w="12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540" w:type="dxa"/>
            <w:vAlign w:val="bottom"/>
          </w:tcPr>
          <w:p>
            <w:pPr>
              <w:spacing w:after="0"/>
              <w:rPr>
                <w:sz w:val="18"/>
                <w:szCs w:val="18"/>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(29,036)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 related bonuses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Transaction costs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settlements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20"/>
        </w:trPr>
        <w:tc>
          <w:tcPr>
            <w:tcW w:w="1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Revenue Per Paying Client</w:t>
      </w:r>
    </w:p>
    <w:p>
      <w:pPr>
        <w:spacing w:after="0" w:line="249"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definition: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3,503</w:t>
            </w:r>
          </w:p>
        </w:tc>
      </w:tr>
      <w:tr>
        <w:trPr>
          <w:trHeight w:val="619"/>
        </w:trPr>
        <w:tc>
          <w:tcPr>
            <w:tcW w:w="83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Prior definition¹:</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9"/>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Monthly revenue per paying client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24" w:lineRule="exact"/>
        <w:rPr>
          <w:sz w:val="20"/>
          <w:szCs w:val="20"/>
          <w:color w:val="auto"/>
        </w:rPr>
      </w:pPr>
    </w:p>
    <w:p>
      <w:pPr>
        <w:jc w:val="both"/>
        <w:ind w:firstLine="3"/>
        <w:spacing w:after="0" w:line="268" w:lineRule="auto"/>
        <w:tabs>
          <w:tab w:leader="none" w:pos="9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Paying Clients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March 31, 2022 increased approximately 28% to 5,026 average monthly paying clients from 3,916 average monthly paying clients in the same period in 2021. The increase in average monthly paying clients in the three months ended March 31, 2022 as compared to the same period in 2021 was primarily due to broad increases throughout our Featured Listing product, WM Business subscription offering and other ad solutions represented.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2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definition:</w:t>
      </w:r>
    </w:p>
    <w:p>
      <w:pPr>
        <w:spacing w:after="0" w:line="4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6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7"/>
                <w:szCs w:val="17"/>
                <w:color w:val="auto"/>
              </w:rPr>
            </w:pPr>
          </w:p>
        </w:tc>
      </w:tr>
      <w:tr>
        <w:trPr>
          <w:trHeight w:val="218"/>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w:t>
            </w:r>
          </w:p>
        </w:tc>
      </w:tr>
      <w:tr>
        <w:trPr>
          <w:trHeight w:val="632"/>
        </w:trPr>
        <w:tc>
          <w:tcPr>
            <w:tcW w:w="92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Prior definition¹:</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360" w:type="dxa"/>
            <w:vAlign w:val="bottom"/>
          </w:tcPr>
          <w:p>
            <w:pPr>
              <w:spacing w:after="0"/>
              <w:rPr>
                <w:sz w:val="17"/>
                <w:szCs w:val="17"/>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7"/>
                <w:szCs w:val="17"/>
                <w:color w:val="auto"/>
              </w:rPr>
            </w:pPr>
          </w:p>
        </w:tc>
      </w:tr>
      <w:tr>
        <w:trPr>
          <w:trHeight w:val="22"/>
        </w:trPr>
        <w:tc>
          <w:tcPr>
            <w:tcW w:w="926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1"/>
        </w:trPr>
        <w:tc>
          <w:tcPr>
            <w:tcW w:w="836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5"/>
                <w:szCs w:val="15"/>
                <w:color w:val="auto"/>
              </w:rPr>
            </w:pPr>
          </w:p>
        </w:tc>
      </w:tr>
      <w:tr>
        <w:trPr>
          <w:trHeight w:val="218"/>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clients</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w:t>
            </w:r>
          </w:p>
        </w:tc>
      </w:tr>
      <w:tr>
        <w:trPr>
          <w:trHeight w:val="275"/>
        </w:trPr>
        <w:tc>
          <w:tcPr>
            <w:tcW w:w="836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jc w:val="both"/>
        <w:ind w:firstLine="3"/>
        <w:spacing w:after="0" w:line="250" w:lineRule="auto"/>
        <w:tabs>
          <w:tab w:leader="none" w:pos="94"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Monthly Active Users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our business has grown, our MAUs increased each year from 2018 through the current period.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Since the beginning of the pandemic, we have continued to grow our MAUs, reaching 16.4 million at March 31, 2022. While we believe, like other industries, the pandemic accelerated existing trends towards consumer adoption of online platforms, we cannot be certain to what impact, if any, the end of the pandemic will have on our MAUs or MAU growth.</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believe as we increase MAUs, we increase the value of our bundled SaaS solutions to business customers.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definition: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60" w:type="dxa"/>
            <w:vAlign w:val="bottom"/>
          </w:tcPr>
          <w:p>
            <w:pPr>
              <w:spacing w:after="0"/>
              <w:rPr>
                <w:sz w:val="15"/>
                <w:szCs w:val="15"/>
                <w:color w:val="auto"/>
              </w:rPr>
            </w:pPr>
          </w:p>
        </w:tc>
      </w:tr>
      <w:tr>
        <w:trPr>
          <w:trHeight w:val="35"/>
        </w:trPr>
        <w:tc>
          <w:tcPr>
            <w:tcW w:w="8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MAUs (in thousands)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10,800</w:t>
            </w:r>
          </w:p>
        </w:tc>
      </w:tr>
      <w:tr>
        <w:trPr>
          <w:trHeight w:val="619"/>
        </w:trPr>
        <w:tc>
          <w:tcPr>
            <w:tcW w:w="83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Prior definition¹:</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2"/>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w w:val="98"/>
              </w:rPr>
              <w:t>As of March 31,</w:t>
            </w:r>
          </w:p>
        </w:tc>
        <w:tc>
          <w:tcPr>
            <w:tcW w:w="860" w:type="dxa"/>
            <w:vAlign w:val="bottom"/>
          </w:tcPr>
          <w:p>
            <w:pPr>
              <w:spacing w:after="0"/>
              <w:rPr>
                <w:sz w:val="24"/>
                <w:szCs w:val="24"/>
                <w:color w:val="auto"/>
              </w:rPr>
            </w:pPr>
          </w:p>
        </w:tc>
      </w:tr>
      <w:tr>
        <w:trPr>
          <w:trHeight w:val="35"/>
        </w:trPr>
        <w:tc>
          <w:tcPr>
            <w:tcW w:w="836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MAUs (in thousands)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15,866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9,163</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1" w:lineRule="exact"/>
        <w:rPr>
          <w:sz w:val="20"/>
          <w:szCs w:val="20"/>
          <w:color w:val="auto"/>
        </w:rPr>
      </w:pPr>
    </w:p>
    <w:p>
      <w:pPr>
        <w:ind w:firstLine="3"/>
        <w:spacing w:after="0" w:line="266" w:lineRule="auto"/>
        <w:tabs>
          <w:tab w:leader="none" w:pos="8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calculating our MAUs, we previously excluded the MAUs attributed to the Learn section of weedmaps.com, which we began tracking in March 2021. We believe including MAUs from the Learn section of weedmaps.com more accurately reflects our total MAUs.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Our Two-Sided Weedmaps Marketplace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and Retention of Our Paying Clients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102% in the first three months of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Maturation of Cannabis Markets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6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Reputation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Growth</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On January 14, 2022, the Company acquired Eyechronic LLC (“Eyechronic”) d/b/a Enlighten, a Delaware limited liability company and a provider of software, digital signage services and multi-media offerings to dispensaries and brands.</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On September 3, 2021, the Company acquired certain assets of the Sprout business (“Sprout"), a leading, cloud-based customer relationship management (“CRM”) and marketing platform for the cannabis industry.</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are working towards the integration of these businesses and will invest in them appropriately to scale both solutions during this fiscal year 2022. We will also continue to explore inorganic opportunities that can help support and accelerate growth opportunities and new market openings.</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operating expenses and capital expenditures fluctuate over time, we may accordingly experience short-term, negative impacts to our operating results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generate revenue primarily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placement subscriptions services we record deferred revenue and recognizes revenue over the applicable subscription term.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revenue primarily consists of web hosting, internet service, credit card processing costs and inventory costs related to multi-media offerings.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19"/>
                <w:szCs w:val="19"/>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40" w:type="dxa"/>
            <w:vAlign w:val="bottom"/>
          </w:tcPr>
          <w:p>
            <w:pPr>
              <w:spacing w:after="0"/>
              <w:rPr>
                <w:sz w:val="18"/>
                <w:szCs w:val="18"/>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r>
      <w:tr>
        <w:trPr>
          <w:trHeight w:val="245"/>
        </w:trPr>
        <w:tc>
          <w:tcPr>
            <w:tcW w:w="7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 of revenues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r>
      <w:tr>
        <w:trPr>
          <w:trHeight w:val="21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7,868</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w:t>
            </w:r>
          </w:p>
        </w:tc>
      </w:tr>
      <w:tr>
        <w:trPr>
          <w:trHeight w:val="219"/>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71,712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w:t>
            </w:r>
          </w:p>
        </w:tc>
      </w:tr>
      <w:tr>
        <w:trPr>
          <w:trHeight w:val="212"/>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(loss)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(14,260)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(18,219)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income, net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(32,981)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(31,233)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(17,340)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(13,893)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7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 of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2"/>
        </w:trPr>
        <w:tc>
          <w:tcPr>
            <w:tcW w:w="7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(loss) income</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income,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12"/>
        </w:trPr>
        <w:tc>
          <w:tcPr>
            <w:tcW w:w="7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2"/>
        </w:trPr>
        <w:tc>
          <w:tcPr>
            <w:tcW w:w="89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35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77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March 31, 2022 and 2021</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09"/>
        </w:trPr>
        <w:tc>
          <w:tcPr>
            <w:tcW w:w="4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8"/>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40" w:type="dxa"/>
            <w:vAlign w:val="bottom"/>
          </w:tcPr>
          <w:p>
            <w:pPr>
              <w:spacing w:after="0"/>
              <w:rPr>
                <w:sz w:val="24"/>
                <w:szCs w:val="24"/>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80" w:type="dxa"/>
            <w:vAlign w:val="bottom"/>
          </w:tcPr>
          <w:p>
            <w:pPr>
              <w:spacing w:after="0"/>
              <w:rPr>
                <w:sz w:val="24"/>
                <w:szCs w:val="24"/>
                <w:color w:val="auto"/>
              </w:rPr>
            </w:pPr>
          </w:p>
        </w:tc>
      </w:tr>
      <w:tr>
        <w:trPr>
          <w:trHeight w:val="212"/>
        </w:trPr>
        <w:tc>
          <w:tcPr>
            <w:tcW w:w="46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16,298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bl>
    <w:p>
      <w:pPr>
        <w:spacing w:after="0" w:line="17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Total revenue increased by $16.3 million, or 40%, for the three months ended March 31, 2022 compared to the same period in 2021. The increase was driven by a 9% increase in average monthly revenue per paying client and a 28% increase in average monthly paying clients. Our growth in average monthly revenue per paying client and average monthly paying clients primarily reflects continued growth in our WM Business subscription offering and other ad solutions and more client engagement driven by the increased functionality across our WM Business suite of solutions. For the three months ended March 31, 2022, Featured Listing product, WM Business subscription offering and other ad solutions represented 53%, 20% and 27% of our total revenues,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4260" w:type="dxa"/>
            <w:vAlign w:val="bottom"/>
          </w:tcPr>
          <w:p>
            <w:pPr>
              <w:spacing w:after="0"/>
              <w:rPr>
                <w:sz w:val="24"/>
                <w:szCs w:val="24"/>
                <w:color w:val="auto"/>
              </w:rPr>
            </w:pPr>
          </w:p>
        </w:tc>
        <w:tc>
          <w:tcPr>
            <w:tcW w:w="3500" w:type="dxa"/>
            <w:vAlign w:val="bottom"/>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6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4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gridSpan w:val="4"/>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3,740</w:t>
            </w:r>
          </w:p>
        </w:tc>
        <w:tc>
          <w:tcPr>
            <w:tcW w:w="10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1,857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1,883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6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Cost of revenue increased by $1.9 million, or 101%, for the three months ended March 31, 2022 compared to the same period in 2021. The increase was primarily related to an increase of $1.6 million attributable to inventory costs in connection with certain advertising revenue as well as cost of revenue attributable to a company we acquired in the third quarter of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8"/>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80" w:type="dxa"/>
            <w:vAlign w:val="bottom"/>
          </w:tcPr>
          <w:p>
            <w:pPr>
              <w:spacing w:after="0"/>
              <w:rPr>
                <w:sz w:val="24"/>
                <w:szCs w:val="24"/>
                <w:color w:val="auto"/>
              </w:rPr>
            </w:pPr>
          </w:p>
        </w:tc>
      </w:tr>
      <w:tr>
        <w:trPr>
          <w:trHeight w:val="212"/>
        </w:trPr>
        <w:tc>
          <w:tcPr>
            <w:tcW w:w="46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3"/>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21,882</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12,765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Sales and marketing expenses increased by $12.8 million, or 140%, for the three months ended March 31, 2022 compared to the same period in 2021. The increase was primarily due to an increase in personnel-related costs of $9.0 million, an increase in outside services costs of $1.8 million, an increase in website advertising costs of $1.0 million and an increase in branding and advertising costs of $0.5 million. The increase in personnel-related costs was primarily due to increased headcount, including increases in salaries and wages of $3.9 million, bonus expense of $2.8 million, which includes $1.3 million of expense amortization related future bonus payouts in connection with prior acquisitions, and stock-based compensation expense of $1.8 million.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48"/>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6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20" w:type="dxa"/>
            <w:vAlign w:val="bottom"/>
          </w:tcPr>
          <w:p>
            <w:pPr>
              <w:spacing w:after="0"/>
              <w:rPr>
                <w:sz w:val="24"/>
                <w:szCs w:val="24"/>
                <w:color w:val="auto"/>
              </w:rPr>
            </w:pPr>
          </w:p>
        </w:tc>
      </w:tr>
      <w:tr>
        <w:trPr>
          <w:trHeight w:val="212"/>
        </w:trPr>
        <w:tc>
          <w:tcPr>
            <w:tcW w:w="4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13,090</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7,868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5,222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173"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Product development expenses increased by $5.2 million, or 66% for the three months ended March 31, 2022 compared to the same period in 2021. The increase was primarily due to increases in personnel-related costs of $7.4 million and 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increase in outside services of $0.8 million, offset by an increase in capitalized software development costs of $3.1 million. The increase in personnel-related costs was primarily due to increases in salaries, wages and bonus of $5.5 million, due to increased headcount, and stock-based compensation costs of $1.8 million. Bonus expense for the first quarter of 2022 includes $0.5 million of expense amortization related to future bonus payouts in connection with prior acquisitions.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8"/>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0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80" w:type="dxa"/>
            <w:vAlign w:val="bottom"/>
          </w:tcPr>
          <w:p>
            <w:pPr>
              <w:spacing w:after="0"/>
              <w:rPr>
                <w:sz w:val="24"/>
                <w:szCs w:val="24"/>
                <w:color w:val="auto"/>
              </w:rPr>
            </w:pPr>
          </w:p>
        </w:tc>
      </w:tr>
      <w:tr>
        <w:trPr>
          <w:trHeight w:val="212"/>
        </w:trPr>
        <w:tc>
          <w:tcPr>
            <w:tcW w:w="46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29,055</w:t>
            </w:r>
          </w:p>
        </w:tc>
        <w:tc>
          <w:tcPr>
            <w:tcW w:w="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13,366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15,689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60" w:lineRule="exact"/>
        <w:rPr>
          <w:sz w:val="20"/>
          <w:szCs w:val="20"/>
          <w:color w:val="auto"/>
        </w:rPr>
      </w:pPr>
    </w:p>
    <w:p>
      <w:pPr>
        <w:jc w:val="both"/>
        <w:ind w:firstLine="464"/>
        <w:spacing w:after="0"/>
        <w:rPr>
          <w:sz w:val="20"/>
          <w:szCs w:val="20"/>
          <w:color w:val="auto"/>
        </w:rPr>
      </w:pPr>
      <w:r>
        <w:rPr>
          <w:rFonts w:ascii="Times New Roman" w:cs="Times New Roman" w:eastAsia="Times New Roman" w:hAnsi="Times New Roman"/>
          <w:sz w:val="17"/>
          <w:szCs w:val="17"/>
          <w:color w:val="auto"/>
        </w:rPr>
        <w:t>General and administrative expenses increased by $15.7 million, or 117%, for the three months ended March 31, 2022 compared to the same period in 2021. This increase was primarily due to an increase in personnel-related costs of $7.0 million, insurance costs of $3.1 million as a result of additional insurance coverage as a public company, bad debt expense of $2.7 million due to higher reserves for past due balances outstanding greater than ninety days, software expense of $1.4 million and professional services of $1.1 million. The increase in personal-related costs was primarily due to increases in stock-based compensation expense of $4.3 million, salaries and wages expense of $1.3 million and bonus expense of $0.9 million, which includes $0.2 million of expense amortization related future bonus payouts in connection with prior acquisitions.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4560" w:type="dxa"/>
            <w:vAlign w:val="bottom"/>
          </w:tcPr>
          <w:p>
            <w:pPr>
              <w:spacing w:after="0"/>
              <w:rPr>
                <w:sz w:val="24"/>
                <w:szCs w:val="24"/>
                <w:color w:val="auto"/>
              </w:rPr>
            </w:pPr>
          </w:p>
        </w:tc>
        <w:tc>
          <w:tcPr>
            <w:tcW w:w="352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80" w:type="dxa"/>
            <w:vAlign w:val="bottom"/>
          </w:tcPr>
          <w:p>
            <w:pPr>
              <w:spacing w:after="0"/>
              <w:rPr>
                <w:sz w:val="24"/>
                <w:szCs w:val="24"/>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4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3,945</w:t>
            </w:r>
          </w:p>
        </w:tc>
        <w:tc>
          <w:tcPr>
            <w:tcW w:w="108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2,943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Depreciation and amortization increased $2.9 million for the three months ended March 31, 2022 compared to the same period in 2021. The increase was primarily due to increases in capitalized software amortization of $1.7 million, fixed asset depreciation of $0.8 million and intangible asset amortization of $0.4 million. Capitalized software amortization included accelerated depreciation of $1.1 million related to discontinued product features of WM Retail.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 net</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4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00" w:type="dxa"/>
            <w:vAlign w:val="bottom"/>
            <w:gridSpan w:val="6"/>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20" w:type="dxa"/>
            <w:vAlign w:val="bottom"/>
          </w:tcPr>
          <w:p>
            <w:pPr>
              <w:spacing w:after="0"/>
              <w:rPr>
                <w:sz w:val="21"/>
                <w:szCs w:val="21"/>
                <w:color w:val="auto"/>
              </w:rPr>
            </w:pPr>
          </w:p>
        </w:tc>
      </w:tr>
      <w:tr>
        <w:trPr>
          <w:trHeight w:val="212"/>
        </w:trPr>
        <w:tc>
          <w:tcPr>
            <w:tcW w:w="44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(18,219)</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474"/>
              <w:spacing w:after="0"/>
              <w:rPr>
                <w:sz w:val="20"/>
                <w:szCs w:val="20"/>
                <w:color w:val="auto"/>
              </w:rPr>
            </w:pPr>
            <w:r>
              <w:rPr>
                <w:rFonts w:ascii="Times New Roman" w:cs="Times New Roman" w:eastAsia="Times New Roman" w:hAnsi="Times New Roman"/>
                <w:sz w:val="17"/>
                <w:szCs w:val="17"/>
                <w:color w:val="auto"/>
              </w:rPr>
              <w:t>(530)</w:t>
            </w:r>
          </w:p>
        </w:tc>
        <w:tc>
          <w:tcPr>
            <w:tcW w:w="11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7"/>
                <w:szCs w:val="17"/>
                <w:color w:val="auto"/>
                <w:w w:val="99"/>
              </w:rPr>
              <w:t>N/M</w:t>
            </w:r>
          </w:p>
        </w:tc>
      </w:tr>
      <w:tr>
        <w:trPr>
          <w:trHeight w:val="212"/>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(18,721)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(18,749)</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9"/>
              </w:rPr>
              <w:t>N/M</w:t>
            </w:r>
          </w:p>
        </w:tc>
      </w:tr>
    </w:tbl>
    <w:p>
      <w:pPr>
        <w:ind w:left="20"/>
        <w:spacing w:after="0"/>
        <w:tabs>
          <w:tab w:leader="none" w:pos="5660" w:val="left"/>
          <w:tab w:leader="none" w:pos="7520" w:val="left"/>
        </w:tabs>
        <w:rPr>
          <w:sz w:val="20"/>
          <w:szCs w:val="20"/>
          <w:color w:val="auto"/>
        </w:rPr>
      </w:pPr>
      <w:r>
        <w:rPr>
          <w:rFonts w:ascii="Times New Roman" w:cs="Times New Roman" w:eastAsia="Times New Roman" w:hAnsi="Times New Roman"/>
          <w:sz w:val="17"/>
          <w:szCs w:val="17"/>
          <w:color w:val="auto"/>
        </w:rPr>
        <w:t>Percentage of revenue</w:t>
      </w:r>
      <w:r>
        <w:rPr>
          <w:sz w:val="20"/>
          <w:szCs w:val="20"/>
          <w:color w:val="auto"/>
        </w:rPr>
        <w:tab/>
      </w: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 %</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114"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Other (expense) income, net increased by $18.7 million for the three months ended March 31, 2022 compared to the same period in 2021. The increase in other expense was primarily due to changes in fair value of warrant liability of $18.2 million as well as an increase in other expense, net of $0.5 million.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show our cash, accounts receivable and working capital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3"/>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17,550</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54,620</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61,134</w:t>
            </w:r>
          </w:p>
        </w:tc>
      </w:tr>
    </w:tbl>
    <w:p>
      <w:pPr>
        <w:spacing w:after="0" w:line="17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of March 31, 2022, we had cash of $55.9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primarily finance our operations and capital expenditures through cash flows generated by operations.</w:t>
      </w:r>
    </w:p>
    <w:p>
      <w:pPr>
        <w:spacing w:after="0" w:line="11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61"/>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8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2021</w:t>
            </w:r>
          </w:p>
        </w:tc>
      </w:tr>
      <w:tr>
        <w:trPr>
          <w:trHeight w:val="212"/>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840" w:type="dxa"/>
            <w:vAlign w:val="bottom"/>
          </w:tcPr>
          <w:p>
            <w:pPr>
              <w:spacing w:after="0"/>
              <w:rPr>
                <w:sz w:val="18"/>
                <w:szCs w:val="18"/>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(6,993)</w:t>
            </w:r>
          </w:p>
        </w:tc>
        <w:tc>
          <w:tcPr>
            <w:tcW w:w="5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10,587</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(4,914)</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5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r>
    </w:tbl>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Provided by Operating Activities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Cash from operating activities consists primarily of net income (loss) adjusted for certain non-cash items, including depreciation and amortization, change in fair value of warrant liability, stock-based compensation, provision for doubtful accounts, deferred taxes and the effect of changes in working capital.</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2022 was $7.0 million, which resulted from a net loss of $31.2 million, together with net cash outflows of $6.5 million from changes in operating assets and liabilities, and non-cash items of $30.7 million, consisting of depreciation and amortization of $3.9 million, fair value of warrant liability of $18.2 million, stock-based compensation of $7.5 million, deferred income taxes of $1.7 million and provision for doubtful accounts of $2.8 million. Net cash outflows from changes in operating assets and liabilities were primarily due to an increase in accounts receivable of $7.8 million and a decrease in deferred revenue of 0.3 million, offset by a decrease in prepaid and other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of $1.6 million. The changes in operating assets and liabilities are mostly due to fluctuations in timing of cash receipts and payments.</w:t>
      </w:r>
    </w:p>
    <w:p>
      <w:pPr>
        <w:spacing w:after="0" w:line="11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Net cash provided by operating activities for the three months ended March 31, 2021 was $10.6 million, which resulted from net income of approximately $7.7 million, together with net cash inflows of approximately $1.7 million from changes in operating assets and liabilities, and non-cash items of $1.1 million, consisting of depreciation and amortization and provision for doubtful accounts. The net cash inflows from changes in operating assets and liabilities were primarily due to a decrease in accounts receivables of $1.8 million, an increase in accounts payable and accrued expenses of $1.6 million and an increase in deferred revenue of $0.9 million. These changes were partially offset by an increase in prepaid expenses and other current assets of $2.5 million. The changes in operating assets and liabilities are mostly due to fluctuations in timing of cash receipts and payments.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Cash used in investing activities for the three months ended March 31, 2022 was $4.9 million, which resulted from $4.2 million cash paid for purchases of property and equipment, including certain capitalized software development cost and $0.7 million net cash paid for acquisition.</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used in investing activities for the three months ended March 31, 2021 was $0.3 million for purchases of property and equipment.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Financing Activities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Less than $0.1 million of cash outflow was used in financing activities for the three months ended March 31, 2022 for the taxes paid related to net share settlement of equity awards.</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March 31, 2021 was $10.6 million, which resulted from $10.5 million distributions to members and $0.1 million paid for the repurchase of Class B Units.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recognition of such items as over time or point-in-time requires us to make significant judgement and estimates.</w:t>
      </w:r>
    </w:p>
    <w:p>
      <w:pPr>
        <w:spacing w:after="0" w:line="28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March 31, 2022, total net deferred tax assets and TRA liability were $171.0 million and $134.1 million, respectively.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months ended March 31, 2022, we recognized stock-based compensation expense of $7.5 million. See Note 11 to our condensed consolidated financial statements included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months ended March 31, 2022, we capitalized $4.1 million of costs related to the development of software applications.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March 31, 2022, 12,499,973 of the Public Warrants and all of the Private Placement Warrants remained outstanding . The warrants are measured at fair value under ASC 820 -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March 31, 2022 and December 31, 2021, warranty liability was $45.7 million and $27.5 million, respectively. See Note 4 to our condensed consolidated financial statements included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2 to our condensed consolidated financial statements included herein.</w:t>
      </w:r>
    </w:p>
    <w:p>
      <w:pPr>
        <w:spacing w:after="0" w:line="2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 As of March 31, 2022, we did not have any cash equivalents.</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6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for the year ended December 31, 2020,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March 31, 2022, our disclosure controls and procedures continue to not be effective.</w:t>
      </w:r>
    </w:p>
    <w:p>
      <w:pPr>
        <w:spacing w:after="0" w:line="6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for the year ended December 31, 2020,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7"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7"/>
          <w:szCs w:val="17"/>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when making investment decisions regarding our securities. The risk factors that were disclosed in our 2021 Form 10-K have not materially changed since the date of our 2021 Form 10-K was filed.</w:t>
      </w: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On January 3, 2022, the Company entered into the Agreement and Plan of Reorganization with Janus Merger Sub I, LLC, WM In-Store Solutions, LLC, Eyechronic and Brian Schwartz, as certain holders’ representative, pursuant to which the Company acquired Eyechronic for a total consideration of approximately $29.4 million, including the issuance by the Company of 4,721,706 shares of Class A Common Stock. The shares were issued in reliance on the exemption from registration in Section 4(a)(2) under the Securities Act.</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6" w:right="359" w:bottom="1440" w:gutter="0" w:footer="0" w:header="0"/>
        </w:sectPr>
      </w:pP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31.1</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31.2</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19685</wp:posOffset>
            </wp:positionV>
            <wp:extent cx="713867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 Amended and Restated Non-Employee Director Compensation Policy, effective February 9,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 letter by and between Ghost Management Group, LLC and Brian Camire, dated April 4, 2019.</w:t>
      </w:r>
    </w:p>
    <w:p>
      <w:pPr>
        <w:spacing w:after="0" w:line="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Certification of the Principal Financial Officer pursuant to Rules 13a-14(a) and 15d-14(a) under the Securities Exchange Act of 1934, as adopted pursuant to Section 302 of the Sarbanes-Oxley Act of 2002</w:t>
      </w: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line="239" w:lineRule="auto"/>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-121285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96" w:lineRule="exact"/>
        <w:rPr>
          <w:sz w:val="20"/>
          <w:szCs w:val="20"/>
          <w:color w:val="auto"/>
        </w:rPr>
      </w:pPr>
    </w:p>
    <w:p>
      <w:pPr>
        <w:sectPr>
          <w:pgSz w:w="11900" w:h="16838" w:orient="portrait"/>
          <w:cols w:equalWidth="0" w:num="2">
            <w:col w:w="860" w:space="340"/>
            <w:col w:w="10020"/>
          </w:cols>
          <w:pgMar w:left="320" w:top="22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Indicates management contract or compensatory plan, contract or agreement.</w:t>
      </w:r>
    </w:p>
    <w:p>
      <w:pPr>
        <w:spacing w:after="0" w:line="49" w:lineRule="exact"/>
        <w:rPr>
          <w:sz w:val="20"/>
          <w:szCs w:val="20"/>
          <w:color w:val="auto"/>
        </w:rPr>
      </w:pPr>
    </w:p>
    <w:p>
      <w:pPr>
        <w:jc w:val="both"/>
        <w:ind w:left="1200" w:hanging="217"/>
        <w:spacing w:after="0" w:line="254" w:lineRule="auto"/>
        <w:tabs>
          <w:tab w:leader="none" w:pos="12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20"/>
          </w:cols>
          <w:pgMar w:left="320" w:top="226"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720" w:type="dxa"/>
            <w:vAlign w:val="bottom"/>
            <w:gridSpan w:val="3"/>
          </w:tcPr>
          <w:p>
            <w:pPr>
              <w:ind w:left="2460"/>
              <w:spacing w:after="0"/>
              <w:rPr>
                <w:sz w:val="20"/>
                <w:szCs w:val="20"/>
                <w:color w:val="auto"/>
              </w:rPr>
            </w:pPr>
            <w:r>
              <w:rPr>
                <w:rFonts w:ascii="Times New Roman" w:cs="Times New Roman" w:eastAsia="Times New Roman" w:hAnsi="Times New Roman"/>
                <w:sz w:val="17"/>
                <w:szCs w:val="17"/>
                <w:b w:val="1"/>
                <w:bCs w:val="1"/>
                <w:color w:val="auto"/>
              </w:rPr>
              <w:t>WM TECHNOLOGY, INC.</w:t>
            </w:r>
          </w:p>
        </w:tc>
      </w:tr>
      <w:tr>
        <w:trPr>
          <w:trHeight w:val="70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6, 2022</w:t>
            </w:r>
          </w:p>
        </w:tc>
        <w:tc>
          <w:tcPr>
            <w:tcW w:w="290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Christopher Beals</w:t>
            </w:r>
          </w:p>
        </w:tc>
      </w:tr>
      <w:tr>
        <w:trPr>
          <w:trHeight w:val="209"/>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Christopher Beals</w:t>
            </w:r>
          </w:p>
        </w:tc>
      </w:tr>
      <w:tr>
        <w:trPr>
          <w:trHeight w:val="215"/>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567"/>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6, 2022</w:t>
            </w:r>
          </w:p>
        </w:tc>
        <w:tc>
          <w:tcPr>
            <w:tcW w:w="290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Arden Lee</w:t>
            </w:r>
          </w:p>
        </w:tc>
      </w:tr>
      <w:tr>
        <w:trPr>
          <w:trHeight w:val="209"/>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Arden Lee</w:t>
            </w:r>
          </w:p>
        </w:tc>
      </w:tr>
      <w:tr>
        <w:trPr>
          <w:trHeight w:val="215"/>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75"/>
        </w:trPr>
        <w:tc>
          <w:tcPr>
            <w:tcW w:w="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20" w:type="dxa"/>
            <w:vAlign w:val="bottom"/>
          </w:tcPr>
          <w:p>
            <w:pPr>
              <w:ind w:left="120"/>
              <w:spacing w:after="0" w:line="175" w:lineRule="exact"/>
              <w:rPr>
                <w:sz w:val="20"/>
                <w:szCs w:val="20"/>
                <w:color w:val="auto"/>
              </w:rPr>
            </w:pPr>
            <w:r>
              <w:rPr>
                <w:rFonts w:ascii="Times New Roman" w:cs="Times New Roman" w:eastAsia="Times New Roman" w:hAnsi="Times New Roman"/>
                <w:sz w:val="17"/>
                <w:szCs w:val="17"/>
                <w:i w:val="1"/>
                <w:iCs w:val="1"/>
                <w:color w:val="auto"/>
              </w:rPr>
              <w:t>(Principal Financial Officer and Principal Accounting</w:t>
            </w:r>
          </w:p>
        </w:tc>
      </w:tr>
      <w:tr>
        <w:trPr>
          <w:trHeight w:val="227"/>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Officer)</w:t>
            </w:r>
          </w:p>
        </w:tc>
      </w:tr>
      <w:tr>
        <w:trPr>
          <w:trHeight w:val="869"/>
        </w:trPr>
        <w:tc>
          <w:tcPr>
            <w:tcW w:w="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45</w:t>
            </w:r>
          </w:p>
        </w:tc>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¹"/>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0"/>
    </w:lvl>
  </w:abstractNum>
  <w:abstractNum w:abstractNumId="14">
    <w:nsid w:val="3F2DBA31"/>
    <w:multiLevelType w:val="hybridMultilevel"/>
    <w:lvl w:ilvl="0">
      <w:lvlJc w:val="left"/>
      <w:lvlText w:val="%1."/>
      <w:numFmt w:val="decimal"/>
      <w:start w:val="1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¹"/>
      <w:numFmt w:val="bullet"/>
      <w:start w:val="1"/>
    </w:lvl>
  </w:abstractNum>
  <w:abstractNum w:abstractNumId="19">
    <w:nsid w:val="628C895D"/>
    <w:multiLevelType w:val="hybridMultilevel"/>
    <w:lvl w:ilvl="0">
      <w:lvlJc w:val="left"/>
      <w:lvlText w:val="¹"/>
      <w:numFmt w:val="bullet"/>
      <w:start w:val="1"/>
    </w:lvl>
  </w:abstractNum>
  <w:abstractNum w:abstractNumId="20">
    <w:nsid w:val="333AB105"/>
    <w:multiLevelType w:val="hybridMultilevel"/>
    <w:lvl w:ilvl="0">
      <w:lvlJc w:val="left"/>
      <w:lvlText w:val="¹"/>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2022-05-09T06:16:39Z</dcterms:created>
  <dcterms:modified xsi:type="dcterms:W3CDTF">2022-05-09T06:16:39Z</dcterms:modified>
</cp:coreProperties>
</file>