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8" w:lineRule="exact"/>
        <w:rPr>
          <w:sz w:val="24"/>
          <w:szCs w:val="24"/>
          <w:color w:val="auto"/>
        </w:rPr>
      </w:pPr>
    </w:p>
    <w:p>
      <w:pPr>
        <w:jc w:val="right"/>
        <w:ind w:right="459"/>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ind w:right="419"/>
        <w:spacing w:after="0"/>
        <w:rPr>
          <w:sz w:val="20"/>
          <w:szCs w:val="20"/>
          <w:color w:val="auto"/>
        </w:rPr>
      </w:pPr>
      <w:r>
        <w:rPr>
          <w:rFonts w:ascii="Times New Roman" w:cs="Times New Roman" w:eastAsia="Times New Roman" w:hAnsi="Times New Roman"/>
          <w:sz w:val="18"/>
          <w:szCs w:val="18"/>
          <w:b w:val="1"/>
          <w:bCs w:val="1"/>
          <w:color w:val="auto"/>
        </w:rPr>
        <w:t>Registration No. 333-257774</w:t>
      </w:r>
    </w:p>
    <w:p>
      <w:pPr>
        <w:spacing w:after="0" w:line="351"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1145540</wp:posOffset>
            </wp:positionH>
            <wp:positionV relativeFrom="paragraph">
              <wp:posOffset>182880</wp:posOffset>
            </wp:positionV>
            <wp:extent cx="3429000" cy="1019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9000" cy="10198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ind w:left="400"/>
        <w:spacing w:after="0"/>
        <w:rPr>
          <w:sz w:val="20"/>
          <w:szCs w:val="20"/>
          <w:color w:val="auto"/>
        </w:rPr>
      </w:pPr>
      <w:r>
        <w:rPr>
          <w:rFonts w:ascii="Times New Roman" w:cs="Times New Roman" w:eastAsia="Times New Roman" w:hAnsi="Times New Roman"/>
          <w:sz w:val="18"/>
          <w:szCs w:val="18"/>
          <w:color w:val="auto"/>
        </w:rPr>
        <w:t> </w:t>
      </w:r>
    </w:p>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110,898,382 Shares of Class A Common Stock</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105,014,011 Shares of Class A Common Stock</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Up to 7,000,000 Warrants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Offered by the Selling Securityholders</w:t>
      </w:r>
    </w:p>
    <w:p>
      <w:pPr>
        <w:spacing w:after="0" w:line="99" w:lineRule="exact"/>
        <w:rPr>
          <w:sz w:val="24"/>
          <w:szCs w:val="24"/>
          <w:color w:val="auto"/>
        </w:rPr>
      </w:pPr>
    </w:p>
    <w:p>
      <w:pPr>
        <w:jc w:val="both"/>
        <w:ind w:left="400" w:right="419" w:firstLine="360"/>
        <w:spacing w:after="0" w:line="253" w:lineRule="auto"/>
        <w:rPr>
          <w:sz w:val="20"/>
          <w:szCs w:val="20"/>
          <w:color w:val="auto"/>
        </w:rPr>
      </w:pPr>
      <w:r>
        <w:rPr>
          <w:rFonts w:ascii="Times New Roman" w:cs="Times New Roman" w:eastAsia="Times New Roman" w:hAnsi="Times New Roman"/>
          <w:sz w:val="18"/>
          <w:szCs w:val="18"/>
          <w:color w:val="auto"/>
        </w:rPr>
        <w:t>This prospectus relates to the issuance by us of an aggregate of up to 110,898,382 shares of our Class A Common Stock, $0.0001 par value per share (“Class A Common Stock”), consisting of (i) 7,000,000 shares of Class A Common Stock issuable upon exercise of warrants originally issued in a private placement (the “Private Placement Warrants”) in connection with the initial public offering of Silver Spike Acquisition Corp. (“Silver Spike”) by the holders thereof, (ii) 12,499,993 shares of Class A Common Stock issuable upon exercise of the public warrants originally issued in the initial public offering of Silver Spike (the “Public Warrants” and together with the Private Placement Warrants, the “Warrants”) by the holders thereof, (iii) 65,502,347 shares of Class A Common Stock issuable upon exchange of Class A units representing limited liability company interests of WM Holding Company, LLC (“WMH LLC” and such units, the “Class A Units”)) combined with an equivalent number of shares of Class V Common Stock, par value $0.0001 per share (together with the Class A Units, the “Paired Interests”) and (iv) 25,896,042 shares of Class A Common Stock issuable upon exchange of Class P units representing limited liability company interests WMH LLC (“Class P Units” and together with the Class A Units, the “Units”). We will receive the proceeds from any exercise of any Warrants for cash.</w:t>
      </w:r>
    </w:p>
    <w:p>
      <w:pPr>
        <w:spacing w:after="0" w:line="79" w:lineRule="exact"/>
        <w:rPr>
          <w:sz w:val="24"/>
          <w:szCs w:val="24"/>
          <w:color w:val="auto"/>
        </w:rPr>
      </w:pPr>
    </w:p>
    <w:p>
      <w:pPr>
        <w:jc w:val="both"/>
        <w:ind w:left="400" w:right="419" w:firstLine="360"/>
        <w:spacing w:after="0" w:line="270" w:lineRule="auto"/>
        <w:rPr>
          <w:sz w:val="20"/>
          <w:szCs w:val="20"/>
          <w:color w:val="auto"/>
        </w:rPr>
      </w:pPr>
      <w:r>
        <w:rPr>
          <w:rFonts w:ascii="Times New Roman" w:cs="Times New Roman" w:eastAsia="Times New Roman" w:hAnsi="Times New Roman"/>
          <w:sz w:val="17"/>
          <w:szCs w:val="17"/>
          <w:color w:val="auto"/>
        </w:rPr>
        <w:t>This prospectus also relates to the offer and sale from time to time by the selling securityholders named in this prospectus (the “Selling Securityholders”) of up to (i) 112,014,011 shares of Class A Common Stock, consisting of (a) (i) 38,750,000 issued and outstanding shares of Class A Common Stock, (ii) 59,264,011 shares of Class A Common Stock issuable upon exchange of such Selling Securityholder’s Paired Interests or Class P Units, and (iii) 7,000,000 shares of Class A Common Stock issuable upon exercise of the Private Placement Warrants and (b) 7,000,000 Private Placement Warrants. We will not receive any proceeds from the sale of shares of Class A Common Stock or Warrants by the Selling Securityholders pursuant to this prospectus. However, we will pay the expenses, other than underwriting discounts and commissions and expenses incurred by the Selling Securityholders for brokerage, accounting, tax or legal services or any other expenses incurred by the Selling Securityholders in disposing of the securities, associated with the sale of securities pursuant to this prospectus.</w:t>
      </w:r>
    </w:p>
    <w:p>
      <w:pPr>
        <w:spacing w:after="0" w:line="69" w:lineRule="exact"/>
        <w:rPr>
          <w:sz w:val="24"/>
          <w:szCs w:val="24"/>
          <w:color w:val="auto"/>
        </w:rPr>
      </w:pPr>
    </w:p>
    <w:p>
      <w:pPr>
        <w:jc w:val="both"/>
        <w:ind w:left="400" w:right="419" w:firstLine="360"/>
        <w:spacing w:after="0" w:line="255" w:lineRule="auto"/>
        <w:rPr>
          <w:sz w:val="20"/>
          <w:szCs w:val="20"/>
          <w:color w:val="auto"/>
        </w:rPr>
      </w:pPr>
      <w:r>
        <w:rPr>
          <w:rFonts w:ascii="Times New Roman" w:cs="Times New Roman" w:eastAsia="Times New Roman" w:hAnsi="Times New Roman"/>
          <w:sz w:val="18"/>
          <w:szCs w:val="18"/>
          <w:color w:val="auto"/>
        </w:rPr>
        <w:t>Our registration of the securities covered by this prospectus does not mean that the Selling Securityholders will offer or sell any of the shares of Class A Common Stock or Warrants. The Selling Securityholders may offer, sell or distribute all or a portion of their shares of Class A Common Stock or Warrants publicly or through private transactions at prevailing market prices or at negotiated prices. We will not receive any proceeds from the sale of shares of Class A Common Stock or Warrants by the Selling Securityholders pursuant to this prospectus. We provide more information about how the Selling Securityholders may sell the shares or Warrants in the section entitled “Plan of Distribution.”</w:t>
      </w:r>
    </w:p>
    <w:p>
      <w:pPr>
        <w:spacing w:after="0" w:line="81" w:lineRule="exact"/>
        <w:rPr>
          <w:sz w:val="24"/>
          <w:szCs w:val="24"/>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The Nasdaq Global Select Market (“Nasdaq”) under the symbols “MAPS” and “MAPSW,” respectively. On October 18, the closing price of our Class A Common Stock was $1.80 and the closing price for our Public Warrants was $0.50.</w:t>
      </w:r>
    </w:p>
    <w:p>
      <w:pPr>
        <w:spacing w:after="0" w:line="68" w:lineRule="exact"/>
        <w:rPr>
          <w:sz w:val="24"/>
          <w:szCs w:val="24"/>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 xml:space="preserve">See the section entitled “Risk Factors” beginning on page </w:t>
      </w:r>
      <w:r>
        <w:rPr>
          <w:rFonts w:ascii="Times New Roman" w:cs="Times New Roman" w:eastAsia="Times New Roman" w:hAnsi="Times New Roman"/>
          <w:sz w:val="18"/>
          <w:szCs w:val="18"/>
          <w:u w:val="single" w:color="auto"/>
          <w:color w:val="0000EE"/>
        </w:rPr>
        <w:t>7</w:t>
      </w:r>
      <w:r>
        <w:rPr>
          <w:rFonts w:ascii="Times New Roman" w:cs="Times New Roman" w:eastAsia="Times New Roman" w:hAnsi="Times New Roman"/>
          <w:sz w:val="18"/>
          <w:szCs w:val="18"/>
          <w:color w:val="auto"/>
        </w:rPr>
        <w:t xml:space="preserve"> of this prospectus, and under similar headings in any amendments or supplements to this prospectus and the documents incorporated herein by reference, to read about factors you should consider before buying our securities.</w:t>
      </w:r>
    </w:p>
    <w:p>
      <w:pPr>
        <w:spacing w:after="0" w:line="68" w:lineRule="exact"/>
        <w:rPr>
          <w:sz w:val="24"/>
          <w:szCs w:val="24"/>
          <w:color w:val="auto"/>
        </w:rPr>
      </w:pPr>
    </w:p>
    <w:p>
      <w:pPr>
        <w:jc w:val="both"/>
        <w:ind w:left="400" w:right="419" w:firstLine="360"/>
        <w:spacing w:after="0" w:line="266"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date of this prospectus is October 19,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131445</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3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w w:val="97"/>
              </w:rPr>
              <w:t>Page</w:t>
            </w:r>
          </w:p>
        </w:tc>
      </w:tr>
      <w:tr>
        <w:trPr>
          <w:trHeight w:val="51"/>
        </w:trPr>
        <w:tc>
          <w:tcPr>
            <w:tcW w:w="7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280" w:type="dxa"/>
            <w:vAlign w:val="bottom"/>
            <w:tcBorders>
              <w:bottom w:val="single" w:sz="8" w:color="CCEEFF"/>
            </w:tcBorders>
          </w:tcPr>
          <w:p>
            <w:pPr>
              <w:spacing w:after="0"/>
              <w:rPr>
                <w:sz w:val="4"/>
                <w:szCs w:val="4"/>
                <w:color w:val="auto"/>
              </w:rPr>
            </w:pPr>
          </w:p>
        </w:tc>
        <w:tc>
          <w:tcPr>
            <w:tcW w:w="1300" w:type="dxa"/>
            <w:vAlign w:val="bottom"/>
            <w:tcBorders>
              <w:bottom w:val="single" w:sz="8" w:color="CCEEFF"/>
            </w:tcBorders>
          </w:tcPr>
          <w:p>
            <w:pPr>
              <w:spacing w:after="0"/>
              <w:rPr>
                <w:sz w:val="4"/>
                <w:szCs w:val="4"/>
                <w:color w:val="auto"/>
              </w:rPr>
            </w:pPr>
          </w:p>
        </w:tc>
        <w:tc>
          <w:tcPr>
            <w:tcW w:w="19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34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r>
      <w:tr>
        <w:trPr>
          <w:trHeight w:val="237"/>
        </w:trPr>
        <w:tc>
          <w:tcPr>
            <w:tcW w:w="8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ABOUT THIS PROSPECTUS</w:t>
            </w: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1</w:t>
            </w:r>
          </w:p>
        </w:tc>
        <w:tc>
          <w:tcPr>
            <w:tcW w:w="60" w:type="dxa"/>
            <w:vAlign w:val="bottom"/>
            <w:shd w:val="clear" w:color="auto" w:fill="CCEEFF"/>
          </w:tcPr>
          <w:p>
            <w:pPr>
              <w:spacing w:after="0"/>
              <w:rPr>
                <w:sz w:val="20"/>
                <w:szCs w:val="20"/>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CAUTIONARY NOTE REGARDING FORWARD-LOOKING STATEMENTS</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2</w:t>
            </w:r>
          </w:p>
        </w:tc>
        <w:tc>
          <w:tcPr>
            <w:tcW w:w="60" w:type="dxa"/>
            <w:vAlign w:val="bottom"/>
          </w:tcPr>
          <w:p>
            <w:pPr>
              <w:spacing w:after="0"/>
              <w:rPr>
                <w:sz w:val="19"/>
                <w:szCs w:val="19"/>
                <w:color w:val="auto"/>
              </w:rPr>
            </w:pP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Borders>
              <w:top w:val="single" w:sz="8" w:color="0000EE"/>
            </w:tcBorders>
          </w:tcPr>
          <w:p>
            <w:pPr>
              <w:spacing w:after="0"/>
              <w:rPr>
                <w:sz w:val="6"/>
                <w:szCs w:val="6"/>
                <w:color w:val="auto"/>
              </w:rPr>
            </w:pPr>
          </w:p>
        </w:tc>
        <w:tc>
          <w:tcPr>
            <w:tcW w:w="196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2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PROSPECTUS SUMMARY</w:t>
            </w: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4</w:t>
            </w:r>
          </w:p>
        </w:tc>
        <w:tc>
          <w:tcPr>
            <w:tcW w:w="6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THE OFFERING</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5</w:t>
            </w:r>
          </w:p>
        </w:tc>
        <w:tc>
          <w:tcPr>
            <w:tcW w:w="6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7</w:t>
            </w:r>
          </w:p>
        </w:tc>
        <w:tc>
          <w:tcPr>
            <w:tcW w:w="60" w:type="dxa"/>
            <w:vAlign w:val="bottom"/>
            <w:shd w:val="clear" w:color="auto" w:fill="CCEEFF"/>
          </w:tcPr>
          <w:p>
            <w:pPr>
              <w:spacing w:after="0"/>
              <w:rPr>
                <w:sz w:val="19"/>
                <w:szCs w:val="19"/>
                <w:color w:val="auto"/>
              </w:rPr>
            </w:pP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8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USE OF PROCEEDS</w:t>
            </w:r>
          </w:p>
        </w:tc>
        <w:tc>
          <w:tcPr>
            <w:tcW w:w="24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EE"/>
              </w:rPr>
              <w:t>8</w:t>
            </w:r>
          </w:p>
        </w:tc>
        <w:tc>
          <w:tcPr>
            <w:tcW w:w="60" w:type="dxa"/>
            <w:vAlign w:val="bottom"/>
          </w:tcPr>
          <w:p>
            <w:pPr>
              <w:spacing w:after="0"/>
              <w:rPr>
                <w:sz w:val="19"/>
                <w:szCs w:val="19"/>
                <w:color w:val="auto"/>
              </w:rPr>
            </w:pP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SELLING SECURITYHOLDERS</w:t>
            </w:r>
          </w:p>
        </w:tc>
        <w:tc>
          <w:tcPr>
            <w:tcW w:w="2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rPr>
              <w:t>9</w:t>
            </w:r>
          </w:p>
        </w:tc>
        <w:tc>
          <w:tcPr>
            <w:tcW w:w="60" w:type="dxa"/>
            <w:vAlign w:val="bottom"/>
            <w:shd w:val="clear" w:color="auto" w:fill="CCEEFF"/>
          </w:tcPr>
          <w:p>
            <w:pPr>
              <w:spacing w:after="0"/>
              <w:rPr>
                <w:sz w:val="19"/>
                <w:szCs w:val="19"/>
                <w:color w:val="auto"/>
              </w:rPr>
            </w:pP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DESCRIPTION OF SECURITIES</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16</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280" w:type="dxa"/>
            <w:vAlign w:val="bottom"/>
            <w:tcBorders>
              <w:top w:val="single" w:sz="8" w:color="0000EE"/>
            </w:tcBorders>
          </w:tcPr>
          <w:p>
            <w:pPr>
              <w:spacing w:after="0"/>
              <w:rPr>
                <w:sz w:val="6"/>
                <w:szCs w:val="6"/>
                <w:color w:val="auto"/>
              </w:rPr>
            </w:pPr>
          </w:p>
        </w:tc>
        <w:tc>
          <w:tcPr>
            <w:tcW w:w="13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30"/>
        </w:trPr>
        <w:tc>
          <w:tcPr>
            <w:tcW w:w="8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MATERIAL UNITED STATES FEDERAL INCOME TAX CONSEQUENCES</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24</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300" w:type="dxa"/>
            <w:vAlign w:val="bottom"/>
            <w:tcBorders>
              <w:top w:val="single" w:sz="8" w:color="0000EE"/>
            </w:tcBorders>
            <w:shd w:val="clear" w:color="auto" w:fill="CCEEFF"/>
          </w:tcPr>
          <w:p>
            <w:pPr>
              <w:spacing w:after="0"/>
              <w:rPr>
                <w:sz w:val="6"/>
                <w:szCs w:val="6"/>
                <w:color w:val="auto"/>
              </w:rPr>
            </w:pPr>
          </w:p>
        </w:tc>
        <w:tc>
          <w:tcPr>
            <w:tcW w:w="196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30"/>
        </w:trPr>
        <w:tc>
          <w:tcPr>
            <w:tcW w:w="8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29</w:t>
            </w:r>
          </w:p>
        </w:tc>
      </w:tr>
      <w:tr>
        <w:trPr>
          <w:trHeight w:val="74"/>
        </w:trPr>
        <w:tc>
          <w:tcPr>
            <w:tcW w:w="76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80" w:type="dxa"/>
            <w:vAlign w:val="bottom"/>
            <w:tcBorders>
              <w:top w:val="single" w:sz="8" w:color="0000EE"/>
            </w:tcBorders>
          </w:tcPr>
          <w:p>
            <w:pPr>
              <w:spacing w:after="0"/>
              <w:rPr>
                <w:sz w:val="6"/>
                <w:szCs w:val="6"/>
                <w:color w:val="auto"/>
              </w:rPr>
            </w:pPr>
          </w:p>
        </w:tc>
        <w:tc>
          <w:tcPr>
            <w:tcW w:w="140" w:type="dxa"/>
            <w:vAlign w:val="bottom"/>
            <w:tcBorders>
              <w:top w:val="single" w:sz="8" w:color="0000EE"/>
            </w:tcBorders>
          </w:tcPr>
          <w:p>
            <w:pPr>
              <w:spacing w:after="0"/>
              <w:rPr>
                <w:sz w:val="6"/>
                <w:szCs w:val="6"/>
                <w:color w:val="auto"/>
              </w:rPr>
            </w:pPr>
          </w:p>
        </w:tc>
        <w:tc>
          <w:tcPr>
            <w:tcW w:w="46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LEGAL MATTERS</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31</w:t>
            </w:r>
          </w:p>
        </w:tc>
      </w:tr>
      <w:tr>
        <w:trPr>
          <w:trHeight w:val="75"/>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46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140" w:type="dxa"/>
            <w:vAlign w:val="bottom"/>
            <w:tcBorders>
              <w:top w:val="single" w:sz="8" w:color="CCEEFF"/>
            </w:tcBorders>
            <w:shd w:val="clear" w:color="auto" w:fill="CCEEFF"/>
          </w:tcPr>
          <w:p>
            <w:pPr>
              <w:spacing w:after="0"/>
              <w:rPr>
                <w:sz w:val="6"/>
                <w:szCs w:val="6"/>
                <w:color w:val="auto"/>
              </w:rPr>
            </w:pPr>
          </w:p>
        </w:tc>
        <w:tc>
          <w:tcPr>
            <w:tcW w:w="280" w:type="dxa"/>
            <w:vAlign w:val="bottom"/>
            <w:tcBorders>
              <w:top w:val="single" w:sz="8" w:color="CCEEFF"/>
            </w:tcBorders>
            <w:shd w:val="clear" w:color="auto" w:fill="CCEEFF"/>
          </w:tcPr>
          <w:p>
            <w:pPr>
              <w:spacing w:after="0"/>
              <w:rPr>
                <w:sz w:val="6"/>
                <w:szCs w:val="6"/>
                <w:color w:val="auto"/>
              </w:rPr>
            </w:pPr>
          </w:p>
        </w:tc>
        <w:tc>
          <w:tcPr>
            <w:tcW w:w="1300" w:type="dxa"/>
            <w:vAlign w:val="bottom"/>
            <w:tcBorders>
              <w:top w:val="single" w:sz="8" w:color="CCEEFF"/>
            </w:tcBorders>
            <w:shd w:val="clear" w:color="auto" w:fill="CCEEFF"/>
          </w:tcPr>
          <w:p>
            <w:pPr>
              <w:spacing w:after="0"/>
              <w:rPr>
                <w:sz w:val="6"/>
                <w:szCs w:val="6"/>
                <w:color w:val="auto"/>
              </w:rPr>
            </w:pPr>
          </w:p>
        </w:tc>
        <w:tc>
          <w:tcPr>
            <w:tcW w:w="1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r>
        <w:trPr>
          <w:trHeight w:val="229"/>
        </w:trPr>
        <w:tc>
          <w:tcPr>
            <w:tcW w:w="812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EXPERTS</w:t>
            </w:r>
          </w:p>
        </w:tc>
        <w:tc>
          <w:tcPr>
            <w:tcW w:w="300" w:type="dxa"/>
            <w:vAlign w:val="bottom"/>
            <w:gridSpan w:val="5"/>
          </w:tcPr>
          <w:p>
            <w:pPr>
              <w:jc w:val="right"/>
              <w:ind w:right="60"/>
              <w:spacing w:after="0"/>
              <w:rPr>
                <w:sz w:val="20"/>
                <w:szCs w:val="20"/>
                <w:color w:val="auto"/>
              </w:rPr>
            </w:pPr>
            <w:r>
              <w:rPr>
                <w:rFonts w:ascii="Times New Roman" w:cs="Times New Roman" w:eastAsia="Times New Roman" w:hAnsi="Times New Roman"/>
                <w:sz w:val="18"/>
                <w:szCs w:val="18"/>
                <w:color w:val="0000EE"/>
              </w:rPr>
              <w:t>31</w:t>
            </w:r>
          </w:p>
        </w:tc>
      </w:tr>
      <w:tr>
        <w:trPr>
          <w:trHeight w:val="75"/>
        </w:trPr>
        <w:tc>
          <w:tcPr>
            <w:tcW w:w="760" w:type="dxa"/>
            <w:vAlign w:val="bottom"/>
            <w:tcBorders>
              <w:top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0" w:type="dxa"/>
            <w:vAlign w:val="bottom"/>
          </w:tcPr>
          <w:p>
            <w:pPr>
              <w:spacing w:after="0"/>
              <w:rPr>
                <w:sz w:val="6"/>
                <w:szCs w:val="6"/>
                <w:color w:val="auto"/>
              </w:rPr>
            </w:pPr>
          </w:p>
        </w:tc>
        <w:tc>
          <w:tcPr>
            <w:tcW w:w="23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60" w:type="dxa"/>
            <w:vAlign w:val="bottom"/>
          </w:tcPr>
          <w:p>
            <w:pPr>
              <w:spacing w:after="0"/>
              <w:rPr>
                <w:sz w:val="6"/>
                <w:szCs w:val="6"/>
                <w:color w:val="auto"/>
              </w:rPr>
            </w:pPr>
          </w:p>
        </w:tc>
      </w:tr>
      <w:tr>
        <w:trPr>
          <w:trHeight w:val="229"/>
        </w:trPr>
        <w:tc>
          <w:tcPr>
            <w:tcW w:w="8120" w:type="dxa"/>
            <w:vAlign w:val="bottom"/>
            <w:gridSpan w:val="13"/>
            <w:shd w:val="clear" w:color="auto" w:fill="CCEEFF"/>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300" w:type="dxa"/>
            <w:vAlign w:val="bottom"/>
            <w:gridSpan w:val="5"/>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0000EE"/>
              </w:rPr>
              <w:t>32</w:t>
            </w:r>
          </w:p>
        </w:tc>
      </w:tr>
      <w:tr>
        <w:trPr>
          <w:trHeight w:val="74"/>
        </w:trPr>
        <w:tc>
          <w:tcPr>
            <w:tcW w:w="760" w:type="dxa"/>
            <w:vAlign w:val="bottom"/>
            <w:tcBorders>
              <w:top w:val="single" w:sz="8" w:color="0000EE"/>
            </w:tcBorders>
            <w:shd w:val="clear" w:color="auto" w:fill="CCEEFF"/>
          </w:tcPr>
          <w:p>
            <w:pPr>
              <w:spacing w:after="0"/>
              <w:rPr>
                <w:sz w:val="6"/>
                <w:szCs w:val="6"/>
                <w:color w:val="auto"/>
              </w:rPr>
            </w:pPr>
          </w:p>
        </w:tc>
        <w:tc>
          <w:tcPr>
            <w:tcW w:w="4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8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46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140" w:type="dxa"/>
            <w:vAlign w:val="bottom"/>
            <w:tcBorders>
              <w:top w:val="single" w:sz="8" w:color="0000EE"/>
            </w:tcBorders>
            <w:shd w:val="clear" w:color="auto" w:fill="CCEEFF"/>
          </w:tcPr>
          <w:p>
            <w:pPr>
              <w:spacing w:after="0"/>
              <w:rPr>
                <w:sz w:val="6"/>
                <w:szCs w:val="6"/>
                <w:color w:val="auto"/>
              </w:rPr>
            </w:pPr>
          </w:p>
        </w:tc>
        <w:tc>
          <w:tcPr>
            <w:tcW w:w="280" w:type="dxa"/>
            <w:vAlign w:val="bottom"/>
            <w:tcBorders>
              <w:top w:val="single" w:sz="8" w:color="0000EE"/>
            </w:tcBorders>
            <w:shd w:val="clear" w:color="auto" w:fill="CCEEFF"/>
          </w:tcPr>
          <w:p>
            <w:pPr>
              <w:spacing w:after="0"/>
              <w:rPr>
                <w:sz w:val="6"/>
                <w:szCs w:val="6"/>
                <w:color w:val="auto"/>
              </w:rPr>
            </w:pPr>
          </w:p>
        </w:tc>
        <w:tc>
          <w:tcPr>
            <w:tcW w:w="1300" w:type="dxa"/>
            <w:vAlign w:val="bottom"/>
            <w:tcBorders>
              <w:top w:val="single" w:sz="8" w:color="0000EE"/>
            </w:tcBorders>
            <w:shd w:val="clear" w:color="auto" w:fill="CCEEFF"/>
          </w:tcPr>
          <w:p>
            <w:pPr>
              <w:spacing w:after="0"/>
              <w:rPr>
                <w:sz w:val="6"/>
                <w:szCs w:val="6"/>
                <w:color w:val="auto"/>
              </w:rPr>
            </w:pPr>
          </w:p>
        </w:tc>
        <w:tc>
          <w:tcPr>
            <w:tcW w:w="196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2340" w:type="dxa"/>
            <w:vAlign w:val="bottom"/>
            <w:tcBorders>
              <w:top w:val="single" w:sz="8" w:color="CCEEFF"/>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60" w:type="dxa"/>
            <w:vAlign w:val="bottom"/>
            <w:tcBorders>
              <w:top w:val="single" w:sz="8" w:color="CCEEFF"/>
            </w:tcBorders>
            <w:shd w:val="clear" w:color="auto" w:fill="CCEEFF"/>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-2691130</wp:posOffset>
            </wp:positionV>
            <wp:extent cx="1111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6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provided in this prospectus, as well as the information incorporated by reference into this prospectus and any applicable prospectus supplement. Neither we nor the Selling Securityholders have authorized anyone to provide you with different information. Neither we nor the Selling Securityholders are making an offer of these securities in any jurisdiction where the offer is not permitted. You should not assume that the information in this prospectus or any applicable prospectus supplement is accurate as of any date other than the date of the applicable document. Since the date of this prospectus and the documents incorporated by reference into this prospectus, our business, financial condition, results of operations and prospects may have 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105410</wp:posOffset>
            </wp:positionV>
            <wp:extent cx="6995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121"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This prospectus is part of a registration statement that we filed with the Securities and Exchange Commission (the “SEC”) using the “shelf” registration process. Under this shelf registration process, the Selling Securityholders may, from time to time, sell the securities offered by them described in this prospectus. We will not receive any proceeds from the sale by such Selling Securityholders of the securities offered by them described in this prospectus. This prospectus also relates to the issuance by us of the shares of Class A Common Stock issuable upon exercise of any Warrants, Paired Interests and Class P Units. We will not receive any proceeds from the sale of shares of Class A Common Stock issuable upon exercise of the Warrants, or upon exchange of the Paired Interests or the Class P Units pursuant to this prospectus, except with respect to amounts received by us upon exercise of the Warrants for cash.</w:t>
      </w:r>
    </w:p>
    <w:p>
      <w:pPr>
        <w:spacing w:after="0" w:line="64"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Neither we nor the Selling Securityholders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Securityholders take responsibility for, or provide any assurance as to the reliability of, any other information that others may give you. Neither we nor the Selling Securityholders will make an offer to sell these securities in any jurisdiction where the offer or sale is not permitted.</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sections of this prospectus entitled “Where You Can Find More Information,” and “Incorporation of Certain Information by Reference.”</w:t>
      </w:r>
    </w:p>
    <w:p>
      <w:pPr>
        <w:spacing w:after="0" w:line="75"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On June 16, 2021 (the “Closing Date”), Silver Spike, our predecessor company, consummated the Business Combination, which was previously announced, pursuant to that certain Agreement and Plan of Merger, dated December 10, 2020 (the “Merger Agreement”), by and among Silver Spike, Silver Spike Merger Sub LLC, a Delaware limited liability company and a wholly owned direct subsidiary of Silver Spike (“Merger Sub”), WM Holding Company, LLC, a Delaware limited liability company (when referred to in its pre-Business Combination (as defined below) capacity, “Legacy WMH”), and Ghost Media Group, LLC, a Nevada limited liability company, solely in its capacity as the initial holder representative (the “Holder Representative”). Pursuant to the Merger Agreement, Merger Sub merged with and into WMH, whereupon the separate limited liability company existence of Merger Sub ceased and WMH became the surviving company and continued in existence as a subsidiary of Silver Spike (the transactions contemplated by the Merger Agreement, the “Business Combination”). On the Closing Date, and in connection with the closing of the Business Combination (the “Closing”), Silver Spike changed its name to WM Technology, Inc.</w:t>
      </w:r>
    </w:p>
    <w:p>
      <w:pPr>
        <w:spacing w:after="0" w:line="8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Unless the context indicates otherwise, references in this prospectus to the “Company,” “WMH,” “we,” “us,” “our” and similar terms refer to WM Technology, Inc. (f/k/a Silver Spike Acquisition Corp.) and its consolidated subsidiaries (including Legacy WMH). References to “Silver Spike” refer to our predecessor company prior to the consummation of the Business Combination.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This prospectus, the documents incorporated by reference herein and any prospectus supplement delivered with this prospectus may contain forward-looking statements within the meaning of Section 27A of the Securities Act, and Section 21E of the Securities Exchange Act of 1934, as amended (the “Exchange Act”). We have based these forward-looking statements on our current expectations and projections about future events. All statements, other than statements of present or historical fact included in this prospectus, our future financial performance, strategy, expansion plans, future operations, future operating results, estimated revenues, losses, projected costs, prospects, plans and objectives of management are forward-looking statements. Any statements that refer to projections, forecasts or other characterizations of future events or circumstances, including any underlying assumptions, are forward-looking statements. In some cases, you can identify forward-looking statements by terminology such as “anticipate,” “believe,” “continue,” “could,” “estimate,” “expect,” “intends,” “may,” “might,” “plan,” “possible,” “potential,” “predict,” “project,” “should,” “will,” “would” or the negative of such terms or other similar expressions.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Except as otherwise required by applicable law, we disclaim any duty to update any forward-looking statements, all of which are expressly qualified by the statements in this section, to reflect events or circumstances after the date of this prospectus. We caution you that these forward-looking statements are subject to numerous risks and uncertainties, most of which are difficult to predict and many of which are beyond our control.</w:t>
      </w:r>
    </w:p>
    <w:p>
      <w:pPr>
        <w:spacing w:after="0" w:line="1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Forward-looking statements in this prospectus may include, for example, statements about:</w:t>
      </w:r>
    </w:p>
    <w:p>
      <w:pPr>
        <w:spacing w:after="0" w:line="117" w:lineRule="exact"/>
        <w:rPr>
          <w:sz w:val="20"/>
          <w:szCs w:val="20"/>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and business performance, including key business metrics and any underlying assumptions thereunder;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market opportunity and our ability to acquire new customers and retain existing customers;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and timing related to commercial product launches;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go-to-market strategy;</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scale our business and expand our offerings;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advantages and growth strategies;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capital requirements and sources and uses of cash;</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funding for our future operations;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domestic and foreign business, market, financial, political and legal conditions;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global, regional or local economic and market conditions affecting the cannabis industry;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effects and enforcement of and changes to laws and regulations, including with respect to the cannabis industry;</w:t>
      </w:r>
    </w:p>
    <w:p>
      <w:pPr>
        <w:spacing w:after="0" w:line="53"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capitalize on new and existing cannabis markets, including our ability to successfully monetize our solutions in those markets;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future growth;</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solutions, bring them to market in a timely manner, and make enhancements to our platform and our ability to maintain and grow our two sided digital network, including our ability to acquire and retain paying customers;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competition on our future business;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in retaining or recruiting, or changes required in, officers, key employees or directors;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or competitive factors.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4" w:name="page5"/>
    <w:bookmarkEnd w:id="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Given these risks and uncertainties, you should not place undue reliance on these forward-looking statements. Additional cautionary statements or discussions of risks and uncertainties that could affect our results or the achievement of the expectations described in forward-looking statements may also be contained in any accompanying prospectus supplement.</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Should one or more of the risks or uncertainties described in this prospectus, the documents incorporated by reference herein and any prospectus supplement, or should underlying assumptions prove incorrect, actual results and plans could differ materially from those expressed in any forward-looking statements. Additional information concerning these and other factors that may impact the operations and projections discussed herein can be found in the section entitled “Risk Factors” and in our periodic filings with the SEC. Our SEC filings are available publicly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You should read this prospectus, the documents incorporated by reference herein and any accompanying prospectus supplement completely and with the understanding that our actual future results, levels of activity and performance as well as other events and circumstances may be materially different from what we expect. We qualify all of our forward-looking statements by these cautionary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5" w:name="page6"/>
    <w:bookmarkEnd w:id="5"/>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7393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3405" cy="73933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121" w:lineRule="exact"/>
        <w:rPr>
          <w:sz w:val="20"/>
          <w:szCs w:val="20"/>
          <w:color w:val="auto"/>
        </w:rPr>
      </w:pPr>
    </w:p>
    <w:p>
      <w:pPr>
        <w:jc w:val="both"/>
        <w:ind w:left="320" w:right="279" w:firstLine="360"/>
        <w:spacing w:after="0" w:line="258" w:lineRule="auto"/>
        <w:rPr>
          <w:sz w:val="20"/>
          <w:szCs w:val="20"/>
          <w:color w:val="auto"/>
        </w:rPr>
      </w:pPr>
      <w:r>
        <w:rPr>
          <w:rFonts w:ascii="Times New Roman" w:cs="Times New Roman" w:eastAsia="Times New Roman" w:hAnsi="Times New Roman"/>
          <w:sz w:val="18"/>
          <w:szCs w:val="18"/>
          <w:color w:val="auto"/>
        </w:rPr>
        <w:t>This summary highlights selected information appearing in this prospectus. Because it is a summary, it may not contain all of the information that may be important to you. To understand this offering fully, you should read this entire prospectus carefully, including the information set forth in the sections entitled “Risk Factors” included elsewhere in this prospectus and other information incorporated by reference from our filings with the SEC before making an investment decision.</w:t>
      </w:r>
    </w:p>
    <w:p>
      <w:pPr>
        <w:spacing w:after="0" w:line="3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We were founded in 2008 and operate a leading online cannabis marketplace for consumers together with a comprehensive set of eCommerce and compliance software solutions for cannabis businesses, which are sold to retailers and brands in the U.S. state-legal and Canadian cannabis markets. The Company’s mission is to power a transparent and inclusive global cannabis economy. Our technology addresses the challenges facing both consumers seeking to understand cannabis products and businesses who serve cannabis users in a legally compliant fashion. Over the past 14 years, the Weedmaps marketplace has become a premier destination for cannabis consumers to discover and browse information regarding cannabis and cannabis products, permitting product discovery and order-ahead for pickup or delivery by participating retailers. Weedmaps for Business is a set of eCommerce-enablement tools designed to help retailers and brands get the best out of the Weedmaps’ consumer experience, create labor efficiencies, and manage compliance needs.</w:t>
      </w:r>
    </w:p>
    <w:p>
      <w:pPr>
        <w:spacing w:after="0" w:line="86" w:lineRule="exact"/>
        <w:rPr>
          <w:sz w:val="20"/>
          <w:szCs w:val="20"/>
          <w:color w:val="auto"/>
        </w:rPr>
      </w:pPr>
    </w:p>
    <w:p>
      <w:pPr>
        <w:jc w:val="both"/>
        <w:ind w:left="320" w:right="299"/>
        <w:spacing w:after="0" w:line="256" w:lineRule="auto"/>
        <w:rPr>
          <w:sz w:val="20"/>
          <w:szCs w:val="20"/>
          <w:color w:val="auto"/>
        </w:rPr>
      </w:pPr>
      <w:r>
        <w:rPr>
          <w:rFonts w:ascii="Times New Roman" w:cs="Times New Roman" w:eastAsia="Times New Roman" w:hAnsi="Times New Roman"/>
          <w:sz w:val="18"/>
          <w:szCs w:val="18"/>
          <w:color w:val="auto"/>
        </w:rPr>
        <w:t>We hold a strong belief in the importance of enabling safe, legal access to cannabis for consumers worldwide. We believe we offer the only comprehensive software platform that allows cannabis retailers to reach their target audience, quickly and cost effectively, addressing a wide range of needs. We are committed to building the software solutions that power cannabis businesses compliantly in the industry, to advocating for legalization, licensing and social equity of cannabis, and to facilitating further learning through partnership with subject matter experts on providing detailed, accurate information about cannabis.</w:t>
      </w:r>
    </w:p>
    <w:p>
      <w:pPr>
        <w:spacing w:after="0" w:line="3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Background</w:t>
      </w:r>
    </w:p>
    <w:p>
      <w:pPr>
        <w:spacing w:after="0" w:line="121" w:lineRule="exact"/>
        <w:rPr>
          <w:sz w:val="20"/>
          <w:szCs w:val="20"/>
          <w:color w:val="auto"/>
        </w:rPr>
      </w:pPr>
    </w:p>
    <w:p>
      <w:pPr>
        <w:jc w:val="both"/>
        <w:ind w:left="320" w:right="279" w:firstLine="360"/>
        <w:spacing w:after="0" w:line="256" w:lineRule="auto"/>
        <w:rPr>
          <w:sz w:val="20"/>
          <w:szCs w:val="20"/>
          <w:color w:val="auto"/>
        </w:rPr>
      </w:pPr>
      <w:r>
        <w:rPr>
          <w:rFonts w:ascii="Times New Roman" w:cs="Times New Roman" w:eastAsia="Times New Roman" w:hAnsi="Times New Roman"/>
          <w:sz w:val="18"/>
          <w:szCs w:val="18"/>
          <w:color w:val="auto"/>
        </w:rPr>
        <w:t>On June 16, 2021, Silver Spike, our predecessor company, consummated the Business Combination, which was previously announced, pursuant to the Merger Agreement, by and among Silver Spike, Merger Sub, Legacy WMH, and the Holder Representative. Pursuant to the Merger Agreement, Merger Sub merged with and into Legacy WMH, whereupon the separate limited liability company existence of Merger Sub ceased and Legacy WMH became the surviving company and continued in existence as a subsidiary of Silver Spike. On the Closing Date, and in connection with the Closing, Silver Spike changed its name to WM Technology, Inc.</w:t>
      </w:r>
    </w:p>
    <w:p>
      <w:pPr>
        <w:spacing w:after="0" w:line="3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jc w:val="both"/>
        <w:ind w:left="320" w:right="279" w:firstLine="360"/>
        <w:spacing w:after="0" w:line="253" w:lineRule="auto"/>
        <w:rPr>
          <w:sz w:val="20"/>
          <w:szCs w:val="20"/>
          <w:color w:val="auto"/>
        </w:rPr>
      </w:pPr>
      <w:r>
        <w:rPr>
          <w:rFonts w:ascii="Times New Roman" w:cs="Times New Roman" w:eastAsia="Times New Roman" w:hAnsi="Times New Roman"/>
          <w:sz w:val="18"/>
          <w:szCs w:val="18"/>
          <w:color w:val="auto"/>
        </w:rPr>
        <w:t>Silver Spike, which was incorporated on June 7, 2019 as a Cayman Islands exempted company and formed for the purpose of effecting a merger, amalgamation, share exchange, asset acquisition, share purchase, reorganization or similar business combination with one or more businesses. Silver Spike completed its initial public offering in August 2019. In June 2021, Merger Sub merged with and into Legacy WMH, whereupon the separate limited liability company existence of Merger Sub ceased and Legacy WMH became the surviving company and continued in existence as a subsidiary of Silver Spike. Prior to the Closing Date, Silver Spike changed its jurisdiction of incorporation from the Cayman Islands to the State of Delaware by deregistering as an exempted company in the Cayman Islands and domesticating and continuing as a corporation formed under the laws of the State of Delaware (the “Domestication”). On the Closing Date, and in connection with the Closing, Silver Spike changed its name to WM Technology.</w:t>
      </w:r>
    </w:p>
    <w:p>
      <w:pPr>
        <w:spacing w:after="0" w:line="86" w:lineRule="exact"/>
        <w:rPr>
          <w:sz w:val="20"/>
          <w:szCs w:val="20"/>
          <w:color w:val="auto"/>
        </w:rPr>
      </w:pPr>
    </w:p>
    <w:p>
      <w:pPr>
        <w:jc w:val="both"/>
        <w:ind w:left="320" w:right="299" w:firstLine="360"/>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41 Discovery, Irvine, California 92618. Our telephone number is (844) 933-3627.</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6" w:name="page7"/>
    <w:bookmarkEnd w:id="6"/>
    <w:p>
      <w:pPr>
        <w:ind w:left="10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681355</wp:posOffset>
            </wp:positionH>
            <wp:positionV relativeFrom="paragraph">
              <wp:posOffset>91440</wp:posOffset>
            </wp:positionV>
            <wp:extent cx="5653405" cy="83966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3405" cy="8396605"/>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THE OFFERING</w:t>
      </w:r>
    </w:p>
    <w:p>
      <w:pPr>
        <w:spacing w:after="0" w:line="131" w:lineRule="exact"/>
        <w:rPr>
          <w:sz w:val="20"/>
          <w:szCs w:val="20"/>
          <w:color w:val="auto"/>
        </w:rPr>
      </w:pPr>
    </w:p>
    <w:p>
      <w:pPr>
        <w:ind w:left="132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Issuer</w:t>
      </w:r>
      <w:r>
        <w:rPr>
          <w:sz w:val="20"/>
          <w:szCs w:val="20"/>
          <w:color w:val="auto"/>
        </w:rPr>
        <w:tab/>
      </w:r>
      <w:r>
        <w:rPr>
          <w:rFonts w:ascii="Times New Roman" w:cs="Times New Roman" w:eastAsia="Times New Roman" w:hAnsi="Times New Roman"/>
          <w:sz w:val="18"/>
          <w:szCs w:val="18"/>
          <w:color w:val="auto"/>
        </w:rPr>
        <w:t>WM Technology, Inc. (f/k/a Silver Spike Acquisition</w:t>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Corp.).</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Issuance of Class A Common Stock</w:t>
      </w:r>
    </w:p>
    <w:p>
      <w:pPr>
        <w:sectPr>
          <w:pgSz w:w="11900" w:h="16838" w:orient="portrait"/>
          <w:cols w:equalWidth="0" w:num="1">
            <w:col w:w="11020"/>
          </w:cols>
          <w:pgMar w:left="440" w:top="263" w:right="439" w:bottom="1440" w:gutter="0" w:footer="0" w:header="0"/>
        </w:sectPr>
      </w:pPr>
    </w:p>
    <w:p>
      <w:pPr>
        <w:spacing w:after="0" w:line="1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Shares of Class A Common Stock Offered by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Prior to Exercise of All Warrants and Exchange of Paired Interests and Class P Units</w:t>
      </w:r>
    </w:p>
    <w:p>
      <w:pPr>
        <w:spacing w:after="0" w:line="103" w:lineRule="exact"/>
        <w:rPr>
          <w:sz w:val="20"/>
          <w:szCs w:val="20"/>
          <w:color w:val="auto"/>
        </w:rPr>
      </w:pPr>
    </w:p>
    <w:p>
      <w:pPr>
        <w:ind w:left="1480" w:hanging="179"/>
        <w:spacing w:after="0" w:line="268" w:lineRule="auto"/>
        <w:rPr>
          <w:sz w:val="20"/>
          <w:szCs w:val="20"/>
          <w:color w:val="auto"/>
        </w:rPr>
      </w:pPr>
      <w:r>
        <w:rPr>
          <w:rFonts w:ascii="Times New Roman" w:cs="Times New Roman" w:eastAsia="Times New Roman" w:hAnsi="Times New Roman"/>
          <w:sz w:val="18"/>
          <w:szCs w:val="18"/>
          <w:b w:val="1"/>
          <w:bCs w:val="1"/>
          <w:color w:val="auto"/>
        </w:rPr>
        <w:t>Shares of Class A Common Stock Outstanding Assuming Exercise of All Warrants and Exchange of Paired Interests and Class P Units</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jc w:val="both"/>
        <w:ind w:right="1280"/>
        <w:spacing w:after="0" w:line="255" w:lineRule="auto"/>
        <w:rPr>
          <w:sz w:val="20"/>
          <w:szCs w:val="20"/>
          <w:color w:val="auto"/>
        </w:rPr>
      </w:pPr>
      <w:r>
        <w:rPr>
          <w:rFonts w:ascii="Times New Roman" w:cs="Times New Roman" w:eastAsia="Times New Roman" w:hAnsi="Times New Roman"/>
          <w:sz w:val="18"/>
          <w:szCs w:val="18"/>
          <w:color w:val="auto"/>
        </w:rPr>
        <w:t>Up to 110,898,382 shares of our Class A Common Stock consisting of (i) 7,000,000 shares of Class A Common Stock issuable upon exercise of the Private Placement Warrants by the holders thereof,</w:t>
      </w:r>
    </w:p>
    <w:p>
      <w:pPr>
        <w:spacing w:after="0" w:line="3" w:lineRule="exact"/>
        <w:rPr>
          <w:sz w:val="20"/>
          <w:szCs w:val="20"/>
          <w:color w:val="auto"/>
        </w:rPr>
      </w:pPr>
    </w:p>
    <w:p>
      <w:pPr>
        <w:jc w:val="both"/>
        <w:ind w:right="1280" w:firstLine="6"/>
        <w:spacing w:after="0" w:line="252" w:lineRule="auto"/>
        <w:tabs>
          <w:tab w:leader="none" w:pos="31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88,836,328 shares (as of June 30, 2022).</w:t>
      </w:r>
    </w:p>
    <w:p>
      <w:pPr>
        <w:spacing w:after="0" w:line="200" w:lineRule="exact"/>
        <w:rPr>
          <w:sz w:val="20"/>
          <w:szCs w:val="20"/>
          <w:color w:val="auto"/>
        </w:rPr>
      </w:pPr>
    </w:p>
    <w:p>
      <w:pPr>
        <w:spacing w:after="0" w:line="349" w:lineRule="exact"/>
        <w:rPr>
          <w:sz w:val="20"/>
          <w:szCs w:val="20"/>
          <w:color w:val="auto"/>
        </w:rPr>
      </w:pPr>
    </w:p>
    <w:p>
      <w:pPr>
        <w:ind w:right="1300"/>
        <w:spacing w:after="0" w:line="282" w:lineRule="auto"/>
        <w:rPr>
          <w:sz w:val="20"/>
          <w:szCs w:val="20"/>
          <w:color w:val="auto"/>
        </w:rPr>
      </w:pPr>
      <w:r>
        <w:rPr>
          <w:rFonts w:ascii="Times New Roman" w:cs="Times New Roman" w:eastAsia="Times New Roman" w:hAnsi="Times New Roman"/>
          <w:sz w:val="18"/>
          <w:szCs w:val="18"/>
          <w:color w:val="auto"/>
        </w:rPr>
        <w:t>180,542,595 shares (based on total shares outstanding as of June 30, 2022).</w:t>
      </w:r>
    </w:p>
    <w:p>
      <w:pPr>
        <w:spacing w:after="0" w:line="90" w:lineRule="exact"/>
        <w:rPr>
          <w:sz w:val="20"/>
          <w:szCs w:val="20"/>
          <w:color w:val="auto"/>
        </w:rPr>
      </w:pPr>
    </w:p>
    <w:p>
      <w:pPr>
        <w:sectPr>
          <w:pgSz w:w="11900" w:h="16838" w:orient="portrait"/>
          <w:cols w:equalWidth="0" w:num="2">
            <w:col w:w="5520" w:space="320"/>
            <w:col w:w="5180"/>
          </w:cols>
          <w:pgMar w:left="440" w:top="263" w:right="439" w:bottom="1440" w:gutter="0" w:footer="0" w:header="0"/>
          <w:type w:val="continuous"/>
        </w:sectPr>
      </w:pPr>
    </w:p>
    <w:p>
      <w:pPr>
        <w:ind w:left="132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Exercise Price of Warrants</w:t>
      </w:r>
      <w:r>
        <w:rPr>
          <w:sz w:val="20"/>
          <w:szCs w:val="20"/>
          <w:color w:val="auto"/>
        </w:rPr>
        <w:tab/>
      </w:r>
      <w:r>
        <w:rPr>
          <w:rFonts w:ascii="Times New Roman" w:cs="Times New Roman" w:eastAsia="Times New Roman" w:hAnsi="Times New Roman"/>
          <w:sz w:val="18"/>
          <w:szCs w:val="18"/>
          <w:color w:val="auto"/>
        </w:rPr>
        <w:t>$11.50 per share, subject to adjustment as described</w:t>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herein.</w:t>
      </w:r>
    </w:p>
    <w:p>
      <w:pPr>
        <w:spacing w:after="0" w:line="122" w:lineRule="exact"/>
        <w:rPr>
          <w:sz w:val="20"/>
          <w:szCs w:val="20"/>
          <w:color w:val="auto"/>
        </w:rPr>
      </w:pPr>
    </w:p>
    <w:p>
      <w:pPr>
        <w:ind w:left="132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Use of Proceeds</w:t>
      </w:r>
      <w:r>
        <w:rPr>
          <w:sz w:val="20"/>
          <w:szCs w:val="20"/>
          <w:color w:val="auto"/>
        </w:rPr>
        <w:tab/>
      </w:r>
      <w:r>
        <w:rPr>
          <w:rFonts w:ascii="Times New Roman" w:cs="Times New Roman" w:eastAsia="Times New Roman" w:hAnsi="Times New Roman"/>
          <w:sz w:val="18"/>
          <w:szCs w:val="18"/>
          <w:color w:val="auto"/>
        </w:rPr>
        <w:t>We will receive up to an aggregate of approximately</w:t>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$224.3 million from the exercise of the Warrants,</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assuming the exercise in full of all of the Warrants for</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cash. We expect to use the net proceeds from the</w:t>
      </w:r>
    </w:p>
    <w:p>
      <w:pPr>
        <w:spacing w:after="0" w:line="9" w:lineRule="exact"/>
        <w:rPr>
          <w:sz w:val="20"/>
          <w:szCs w:val="20"/>
          <w:color w:val="auto"/>
        </w:rPr>
      </w:pPr>
    </w:p>
    <w:p>
      <w:pPr>
        <w:ind w:left="5840"/>
        <w:spacing w:after="0"/>
        <w:tabs>
          <w:tab w:leader="none" w:pos="6560" w:val="left"/>
          <w:tab w:leader="none" w:pos="6860" w:val="left"/>
          <w:tab w:leader="none" w:pos="7220" w:val="left"/>
          <w:tab w:leader="none" w:pos="8000" w:val="left"/>
          <w:tab w:leader="none" w:pos="8360" w:val="left"/>
          <w:tab w:leader="none" w:pos="9040" w:val="left"/>
        </w:tabs>
        <w:rPr>
          <w:sz w:val="20"/>
          <w:szCs w:val="20"/>
          <w:color w:val="auto"/>
        </w:rPr>
      </w:pPr>
      <w:r>
        <w:rPr>
          <w:rFonts w:ascii="Times New Roman" w:cs="Times New Roman" w:eastAsia="Times New Roman" w:hAnsi="Times New Roman"/>
          <w:sz w:val="18"/>
          <w:szCs w:val="18"/>
          <w:color w:val="auto"/>
        </w:rPr>
        <w:t>exercise</w:t>
        <w:tab/>
        <w:t>of</w:t>
        <w:tab/>
        <w:t>the</w:t>
        <w:tab/>
        <w:t>Warrants</w:t>
        <w:tab/>
        <w:t>for</w:t>
        <w:tab/>
        <w:t>general</w:t>
        <w:tab/>
        <w:t>corporate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purposes. See the section entitled “Use of Proceeds.”</w:t>
      </w:r>
    </w:p>
    <w:p>
      <w:pPr>
        <w:spacing w:after="0" w:line="13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Resale of Class A Common Stock and Warrants</w:t>
      </w:r>
    </w:p>
    <w:p>
      <w:pPr>
        <w:spacing w:after="0" w:line="11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b w:val="1"/>
          <w:bCs w:val="1"/>
          <w:color w:val="auto"/>
        </w:rPr>
        <w:t>Shares of Class A Common Stock Offered by the</w:t>
      </w:r>
    </w:p>
    <w:p>
      <w:pPr>
        <w:spacing w:after="0" w:line="31" w:lineRule="exact"/>
        <w:rPr>
          <w:sz w:val="20"/>
          <w:szCs w:val="20"/>
          <w:color w:val="auto"/>
        </w:rPr>
      </w:pPr>
    </w:p>
    <w:p>
      <w:pPr>
        <w:ind w:left="1480"/>
        <w:spacing w:after="0"/>
        <w:tabs>
          <w:tab w:leader="none" w:pos="5820" w:val="left"/>
        </w:tabs>
        <w:rPr>
          <w:sz w:val="20"/>
          <w:szCs w:val="20"/>
          <w:color w:val="auto"/>
        </w:rPr>
      </w:pPr>
      <w:r>
        <w:rPr>
          <w:rFonts w:ascii="Times New Roman" w:cs="Times New Roman" w:eastAsia="Times New Roman" w:hAnsi="Times New Roman"/>
          <w:sz w:val="18"/>
          <w:szCs w:val="18"/>
          <w:b w:val="1"/>
          <w:bCs w:val="1"/>
          <w:color w:val="auto"/>
        </w:rPr>
        <w:t>Selling Securityholders</w:t>
      </w:r>
      <w:r>
        <w:rPr>
          <w:sz w:val="20"/>
          <w:szCs w:val="20"/>
          <w:color w:val="auto"/>
        </w:rPr>
        <w:tab/>
      </w:r>
      <w:r>
        <w:rPr>
          <w:rFonts w:ascii="Times New Roman" w:cs="Times New Roman" w:eastAsia="Times New Roman" w:hAnsi="Times New Roman"/>
          <w:sz w:val="18"/>
          <w:szCs w:val="18"/>
          <w:color w:val="auto"/>
        </w:rPr>
        <w:t>Up to (i) 105,014,011 shares of Class A Common</w:t>
      </w:r>
    </w:p>
    <w:p>
      <w:pPr>
        <w:spacing w:after="0" w:line="9" w:lineRule="exact"/>
        <w:rPr>
          <w:sz w:val="20"/>
          <w:szCs w:val="20"/>
          <w:color w:val="auto"/>
        </w:rPr>
      </w:pPr>
    </w:p>
    <w:p>
      <w:pPr>
        <w:jc w:val="right"/>
        <w:ind w:right="1280"/>
        <w:spacing w:after="0"/>
        <w:tabs>
          <w:tab w:leader="none" w:pos="3280" w:val="left"/>
          <w:tab w:leader="none" w:pos="2400" w:val="left"/>
          <w:tab w:leader="none" w:pos="2100" w:val="left"/>
          <w:tab w:leader="none" w:pos="1800" w:val="left"/>
          <w:tab w:leader="none" w:pos="840" w:val="left"/>
          <w:tab w:leader="none" w:pos="240" w:val="left"/>
        </w:tabs>
        <w:rPr>
          <w:sz w:val="20"/>
          <w:szCs w:val="20"/>
          <w:color w:val="auto"/>
        </w:rPr>
      </w:pPr>
      <w:r>
        <w:rPr>
          <w:rFonts w:ascii="Times New Roman" w:cs="Times New Roman" w:eastAsia="Times New Roman" w:hAnsi="Times New Roman"/>
          <w:sz w:val="18"/>
          <w:szCs w:val="18"/>
          <w:color w:val="auto"/>
        </w:rPr>
        <w:t>Stock,</w:t>
        <w:tab/>
        <w:t>consisting</w:t>
        <w:tab/>
        <w:t>of</w:t>
        <w:tab/>
        <w:t>(i)</w:t>
        <w:tab/>
        <w:t>38,750,000</w:t>
        <w:tab/>
        <w:t>issued</w:t>
        <w:tab/>
        <w:t>and</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outstanding  shares  of  Class  A  Common  Stock,</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(ii) 59,264,011 shares of Class A Common Stock</w:t>
      </w:r>
    </w:p>
    <w:p>
      <w:pPr>
        <w:spacing w:after="0" w:line="9" w:lineRule="exact"/>
        <w:rPr>
          <w:sz w:val="20"/>
          <w:szCs w:val="20"/>
          <w:color w:val="auto"/>
        </w:rPr>
      </w:pPr>
    </w:p>
    <w:p>
      <w:pPr>
        <w:ind w:left="5840"/>
        <w:spacing w:after="0"/>
        <w:tabs>
          <w:tab w:leader="none" w:pos="6660" w:val="left"/>
          <w:tab w:leader="none" w:pos="7280" w:val="left"/>
          <w:tab w:leader="none" w:pos="8220" w:val="left"/>
          <w:tab w:leader="none" w:pos="8620" w:val="left"/>
          <w:tab w:leader="none" w:pos="9200" w:val="left"/>
        </w:tabs>
        <w:rPr>
          <w:sz w:val="20"/>
          <w:szCs w:val="20"/>
          <w:color w:val="auto"/>
        </w:rPr>
      </w:pPr>
      <w:r>
        <w:rPr>
          <w:rFonts w:ascii="Times New Roman" w:cs="Times New Roman" w:eastAsia="Times New Roman" w:hAnsi="Times New Roman"/>
          <w:sz w:val="18"/>
          <w:szCs w:val="18"/>
          <w:color w:val="auto"/>
        </w:rPr>
        <w:t>issuable</w:t>
        <w:tab/>
        <w:t>upon</w:t>
        <w:tab/>
        <w:t>exchange</w:t>
        <w:tab/>
        <w:t>of</w:t>
        <w:tab/>
        <w:t>such</w:t>
        <w:tab/>
        <w:t>Selling</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Securityholder’s Paired Interests or Class P Units and</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(iii) 7,000,000 shares of Class A Common Stock</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issuable  upon  exercise  of  the  Private  Placement</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Warrants.</w:t>
      </w:r>
    </w:p>
    <w:p>
      <w:pPr>
        <w:sectPr>
          <w:pgSz w:w="11900" w:h="16838" w:orient="portrait"/>
          <w:cols w:equalWidth="0" w:num="1">
            <w:col w:w="11020"/>
          </w:cols>
          <w:pgMar w:left="440" w:top="263" w:right="439" w:bottom="1440" w:gutter="0" w:footer="0" w:header="0"/>
          <w:type w:val="continuous"/>
        </w:sectPr>
      </w:pPr>
    </w:p>
    <w:p>
      <w:pPr>
        <w:spacing w:after="0" w:line="135" w:lineRule="exact"/>
        <w:rPr>
          <w:sz w:val="20"/>
          <w:szCs w:val="20"/>
          <w:color w:val="auto"/>
        </w:rPr>
      </w:pPr>
    </w:p>
    <w:p>
      <w:pPr>
        <w:ind w:left="1320" w:right="80"/>
        <w:spacing w:after="0" w:line="490" w:lineRule="auto"/>
        <w:rPr>
          <w:sz w:val="20"/>
          <w:szCs w:val="20"/>
          <w:color w:val="auto"/>
        </w:rPr>
      </w:pPr>
      <w:r>
        <w:rPr>
          <w:rFonts w:ascii="Times New Roman" w:cs="Times New Roman" w:eastAsia="Times New Roman" w:hAnsi="Times New Roman"/>
          <w:sz w:val="18"/>
          <w:szCs w:val="18"/>
          <w:b w:val="1"/>
          <w:bCs w:val="1"/>
          <w:color w:val="auto"/>
        </w:rPr>
        <w:t>Warrants Offered by the Selling Securityholders Redemption</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7,000,000 Private Placement Warrants.</w:t>
      </w:r>
    </w:p>
    <w:p>
      <w:pPr>
        <w:spacing w:after="0" w:line="158" w:lineRule="exact"/>
        <w:rPr>
          <w:sz w:val="20"/>
          <w:szCs w:val="20"/>
          <w:color w:val="auto"/>
        </w:rPr>
      </w:pPr>
    </w:p>
    <w:p>
      <w:pPr>
        <w:jc w:val="both"/>
        <w:ind w:right="1280"/>
        <w:spacing w:after="0" w:line="266" w:lineRule="auto"/>
        <w:rPr>
          <w:sz w:val="20"/>
          <w:szCs w:val="20"/>
          <w:color w:val="auto"/>
        </w:rPr>
      </w:pPr>
      <w:r>
        <w:rPr>
          <w:rFonts w:ascii="Times New Roman" w:cs="Times New Roman" w:eastAsia="Times New Roman" w:hAnsi="Times New Roman"/>
          <w:sz w:val="18"/>
          <w:szCs w:val="18"/>
          <w:color w:val="auto"/>
        </w:rPr>
        <w:t>The Warrants are redeemable in certain circumstances. See the section entitled “Description of our Securities—Warrants” for further discussion.</w:t>
      </w:r>
    </w:p>
    <w:p>
      <w:pPr>
        <w:spacing w:after="0" w:line="104" w:lineRule="exact"/>
        <w:rPr>
          <w:sz w:val="20"/>
          <w:szCs w:val="20"/>
          <w:color w:val="auto"/>
        </w:rPr>
      </w:pPr>
    </w:p>
    <w:p>
      <w:pPr>
        <w:sectPr>
          <w:pgSz w:w="11900" w:h="16838" w:orient="portrait"/>
          <w:cols w:equalWidth="0" w:num="2">
            <w:col w:w="5120" w:space="720"/>
            <w:col w:w="5180"/>
          </w:cols>
          <w:pgMar w:left="440" w:top="263" w:right="4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1080" w:type="dxa"/>
            <w:vAlign w:val="bottom"/>
          </w:tcPr>
          <w:p>
            <w:pPr>
              <w:spacing w:after="0"/>
              <w:rPr>
                <w:sz w:val="19"/>
                <w:szCs w:val="19"/>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Market for Class A Common Stock and Warrants</w:t>
            </w:r>
          </w:p>
        </w:tc>
        <w:tc>
          <w:tcPr>
            <w:tcW w:w="5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Our Class A Common Stock and Public Warrants are</w:t>
            </w:r>
          </w:p>
        </w:tc>
      </w:tr>
      <w:tr>
        <w:trPr>
          <w:trHeight w:val="216"/>
        </w:trPr>
        <w:tc>
          <w:tcPr>
            <w:tcW w:w="108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5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currently  traded  on  Nasdaq  under  the  symbols</w:t>
            </w: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“MAPS” and “MAPSW,” respectively.</w:t>
            </w:r>
          </w:p>
        </w:tc>
      </w:tr>
      <w:tr>
        <w:trPr>
          <w:trHeight w:val="333"/>
        </w:trPr>
        <w:tc>
          <w:tcPr>
            <w:tcW w:w="1080" w:type="dxa"/>
            <w:vAlign w:val="bottom"/>
          </w:tcPr>
          <w:p>
            <w:pPr>
              <w:spacing w:after="0"/>
              <w:rPr>
                <w:sz w:val="24"/>
                <w:szCs w:val="24"/>
                <w:color w:val="auto"/>
              </w:rPr>
            </w:pPr>
          </w:p>
        </w:tc>
        <w:tc>
          <w:tcPr>
            <w:tcW w:w="42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5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See  the  section  entitled  “Risk  Factors,”  other</w:t>
            </w:r>
          </w:p>
        </w:tc>
      </w:tr>
      <w:tr>
        <w:trPr>
          <w:trHeight w:val="234"/>
        </w:trPr>
        <w:tc>
          <w:tcPr>
            <w:tcW w:w="108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72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information included in this prospectus, and under</w:t>
            </w:r>
          </w:p>
        </w:tc>
      </w:tr>
      <w:tr>
        <w:trPr>
          <w:trHeight w:val="226"/>
        </w:trPr>
        <w:tc>
          <w:tcPr>
            <w:tcW w:w="1080" w:type="dxa"/>
            <w:vAlign w:val="bottom"/>
          </w:tcPr>
          <w:p>
            <w:pPr>
              <w:spacing w:after="0"/>
              <w:rPr>
                <w:sz w:val="19"/>
                <w:szCs w:val="19"/>
                <w:color w:val="auto"/>
              </w:rPr>
            </w:pPr>
          </w:p>
        </w:tc>
        <w:tc>
          <w:tcPr>
            <w:tcW w:w="4220" w:type="dxa"/>
            <w:vAlign w:val="bottom"/>
            <w:tcBorders>
              <w:bottom w:val="single" w:sz="8" w:color="auto"/>
            </w:tcBorders>
          </w:tcPr>
          <w:p>
            <w:pPr>
              <w:spacing w:after="0"/>
              <w:rPr>
                <w:sz w:val="19"/>
                <w:szCs w:val="19"/>
                <w:color w:val="auto"/>
              </w:rPr>
            </w:pPr>
          </w:p>
        </w:tc>
        <w:tc>
          <w:tcPr>
            <w:tcW w:w="4680" w:type="dxa"/>
            <w:vAlign w:val="bottom"/>
            <w:tcBorders>
              <w:bottom w:val="single" w:sz="8" w:color="auto"/>
            </w:tcBorders>
          </w:tcPr>
          <w:p>
            <w:pPr>
              <w:spacing w:after="0"/>
              <w:rPr>
                <w:sz w:val="19"/>
                <w:szCs w:val="19"/>
                <w:color w:val="auto"/>
              </w:rPr>
            </w:pPr>
          </w:p>
        </w:tc>
        <w:tc>
          <w:tcPr>
            <w:tcW w:w="1040" w:type="dxa"/>
            <w:vAlign w:val="bottom"/>
          </w:tcPr>
          <w:p>
            <w:pPr>
              <w:spacing w:after="0"/>
              <w:rPr>
                <w:sz w:val="19"/>
                <w:szCs w:val="19"/>
                <w:color w:val="auto"/>
              </w:rPr>
            </w:pPr>
          </w:p>
        </w:tc>
      </w:tr>
      <w:tr>
        <w:trPr>
          <w:trHeight w:val="429"/>
        </w:trPr>
        <w:tc>
          <w:tcPr>
            <w:tcW w:w="108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46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w:t>
            </w:r>
          </w:p>
        </w:tc>
        <w:tc>
          <w:tcPr>
            <w:tcW w:w="1040" w:type="dxa"/>
            <w:vAlign w:val="bottom"/>
          </w:tcPr>
          <w:p>
            <w:pPr>
              <w:spacing w:after="0"/>
              <w:rPr>
                <w:sz w:val="24"/>
                <w:szCs w:val="24"/>
                <w:color w:val="auto"/>
              </w:rPr>
            </w:pPr>
          </w:p>
        </w:tc>
      </w:tr>
      <w:tr>
        <w:trPr>
          <w:trHeight w:val="183"/>
        </w:trPr>
        <w:tc>
          <w:tcPr>
            <w:tcW w:w="1080" w:type="dxa"/>
            <w:vAlign w:val="bottom"/>
            <w:tcBorders>
              <w:bottom w:val="single" w:sz="8" w:color="auto"/>
            </w:tcBorders>
          </w:tcPr>
          <w:p>
            <w:pPr>
              <w:spacing w:after="0"/>
              <w:rPr>
                <w:sz w:val="15"/>
                <w:szCs w:val="15"/>
                <w:color w:val="auto"/>
              </w:rPr>
            </w:pPr>
          </w:p>
        </w:tc>
        <w:tc>
          <w:tcPr>
            <w:tcW w:w="4220" w:type="dxa"/>
            <w:vAlign w:val="bottom"/>
            <w:tcBorders>
              <w:bottom w:val="single" w:sz="8" w:color="auto"/>
            </w:tcBorders>
          </w:tcPr>
          <w:p>
            <w:pPr>
              <w:spacing w:after="0"/>
              <w:rPr>
                <w:sz w:val="15"/>
                <w:szCs w:val="15"/>
                <w:color w:val="auto"/>
              </w:rPr>
            </w:pPr>
          </w:p>
        </w:tc>
        <w:tc>
          <w:tcPr>
            <w:tcW w:w="46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r>
    </w:tbl>
    <w:p>
      <w:pPr>
        <w:sectPr>
          <w:pgSz w:w="11900" w:h="16838" w:orient="portrait"/>
          <w:cols w:equalWidth="0" w:num="1">
            <w:col w:w="11020"/>
          </w:cols>
          <w:pgMar w:left="440" w:top="263" w:right="439" w:bottom="1440" w:gutter="0" w:footer="0" w:header="0"/>
          <w:type w:val="continuous"/>
        </w:sectPr>
      </w:pPr>
    </w:p>
    <w:bookmarkStart w:id="7" w:name="page8"/>
    <w:bookmarkEnd w:id="7"/>
    <w:p>
      <w:pPr>
        <w:ind w:left="8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91440</wp:posOffset>
            </wp:positionV>
            <wp:extent cx="5653405" cy="9302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3405" cy="93027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similar headings in any amendments or supplements</w:t>
      </w:r>
    </w:p>
    <w:p>
      <w:pPr>
        <w:spacing w:after="0" w:line="27"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to this prospectus and the documents incorporated</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herein by reference, for a discussion of factors you</w:t>
      </w:r>
    </w:p>
    <w:p>
      <w:pPr>
        <w:spacing w:after="0" w:line="9"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18"/>
          <w:szCs w:val="18"/>
          <w:color w:val="auto"/>
        </w:rPr>
        <w:t>should consider before investing in our securities.</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Investing in our securities involves risks. Before you make a decision to buy our securities, in addition to the risks and uncertainties discussed above under “Cautionary Note Regarding Forward-Looking Statements,” you should carefully consider the risk factors incorporated by reference to our Annual Report on Form 10-K for fiscal year ended December 31, 2021, any subsequent Quarterly Reports on Form 10-Q or Current Reports on Form 8-K, and all other information contained or incorporated by reference into this prospectus, as updated by our subsequent filings under the Exchange Act, and the risk factors and other information contained in any applicable prospectus supplement before acquiring any of such securities.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or any prospectus supplement are not the only risks and uncertainties that we face. Additional risks and uncertainties not presently known to us or that we currently believe to be immaterial may become material and adversely affect our business.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All of the Class A Common Stock and Warrants offered by the Selling Securityholders pursuant to this prospectus will be sold by the Selling Securityholders for their respective accounts. We will not receive any of the proceeds from these sales.</w:t>
      </w:r>
    </w:p>
    <w:p>
      <w:pPr>
        <w:spacing w:after="0" w:line="68"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will receive up to an aggregate of approximately $224.3 million from the exercise of the Warrants, assuming the exercise in full of all of the Warrants for cash. We expect to use the net proceeds from the exercise of the Warrants for general corporate purposes. We will have broad discretion over the use of proceeds from the exercise of the Warrants. There is no assurance that the holders of the Warrants will elect to exercise any or all of such Warrants. To the extent that the Warrants are exercised on a “cashless basis,” the amount of cash we would receive from the exercise of the Warrants will decrease.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SELLING SECURITYHOLDERS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Selling Securityholders acquired the Private Placement Warrants and shares of our Class A Common Stock from us in private offerings pursuant to exemptions from registration under Section 4(a)(2) of the Securities Act in connection with a private placement concurrent with Silver Spike’s initial public offering and in connection with the Business Combination. Pursuant to the Amended and Restated Registration Rights Agreement, dated June 16, 2021 among us and certain of our stockholders, the subscription agreements pursuant to which certain of purchasers subscribed to purchase from Silver Spike an aggregate of 32,500,000 shares of Silver Spike’s Class A Common Stock, for a purchase price of $10.00 per share and an aggregate purchase price of $325,000,000, and the Warrant Agreement, dated as of August 7, 2019 (the “Warrant Agreement”), we agreed to file a registration statement with the SEC for the purposes of registering for resale (i) the Private Placement Warrants (and the shares of Class A Common Stock that may be issued upon exercise of the Private Placement Warrants) and (ii) the shares of our Class A Common Stock issued to the Selling Securityholders.</w:t>
      </w:r>
    </w:p>
    <w:p>
      <w:pPr>
        <w:spacing w:after="0" w:line="84"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Except as set forth in the footnotes below, the following table sets forth, based on written representations from the Selling Securityholders, certain information as of June 16, 2021 regarding the beneficial ownership of our Class A Common Stock and Warrants by the Selling Securityholders and the shares of Class A Common Stock and Warrants being offered by the Selling Securityholders (“Registrable Securities”). The applicable percentage ownership of Class A Common Stock is based on 88,836,328 shares of our Class A Common Stock issued and outstanding as of June 30, 2022 and do not take into account the issuance of any shares of Class A Common Stock upon (i) the exercise of 19,499,973 Warrants to purchase an aggregate of 19,499,973 shares of Class A Common Stock, (ii) the exchange of 15,740,281 Class P Units for up to 15,740,281 shares of Class A Common Stock or</w:t>
      </w:r>
    </w:p>
    <w:p>
      <w:pPr>
        <w:spacing w:after="0" w:line="1" w:lineRule="exact"/>
        <w:rPr>
          <w:sz w:val="20"/>
          <w:szCs w:val="20"/>
          <w:color w:val="auto"/>
        </w:rPr>
      </w:pPr>
    </w:p>
    <w:p>
      <w:pPr>
        <w:jc w:val="both"/>
        <w:ind w:left="300" w:right="299" w:hanging="8"/>
        <w:spacing w:after="0" w:line="253" w:lineRule="auto"/>
        <w:tabs>
          <w:tab w:leader="none" w:pos="6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 56,466,013 Paired Interest for up to 56,466,013 shares of Class A Common Stock. Unless otherwise noted in the footnotes to the following table, and subject to applicable community property laws, the persons and entities named in the table have sole voting and investment power with respect to their beneficially owned Class A Common Stock.</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Information with respect to shares of Class A Common Stock and Private Placement Warrants owned beneficially after the offering assumes the sale of all of the shares of Class A Common Stock and Private Placement Warrants offered and no other purchases or sales of our Class A Common Stock or Private Placement Warrants. The Selling Securityholders may offer and sell some, all or none of their shares of Class A Common Stock or Private Placement Warrants, as applicable.</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determined beneficial ownership in accordance with the rules of the SEC. Except as indicated by the footnotes below, we believe, based on the information furnished to us, that the Selling Securityholders have sole voting and investment power with respect to all shares of Class A Common Stock and Warrants that they beneficially own, subject to applicable community property laws. Except as otherwise described below, based on the information provided to us by the Selling Securityholders, no Selling Securityholder is a broker-dealer or an affiliate of a broker-dealer.</w:t>
      </w:r>
    </w:p>
    <w:p>
      <w:pPr>
        <w:spacing w:after="0" w:line="79"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Up to 12,499,933 shares of Class A Common Stock issuable upon exercise of the Public Warrants are not included in the table below, unless specifically indicated in the footnotes therein.</w:t>
      </w:r>
    </w:p>
    <w:p>
      <w:pPr>
        <w:spacing w:after="0" w:line="11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3"/>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78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60" w:type="dxa"/>
            <w:vAlign w:val="bottom"/>
          </w:tcPr>
          <w:p>
            <w:pPr>
              <w:spacing w:after="0"/>
              <w:rPr>
                <w:sz w:val="12"/>
                <w:szCs w:val="12"/>
                <w:color w:val="auto"/>
              </w:rPr>
            </w:pPr>
          </w:p>
        </w:tc>
        <w:tc>
          <w:tcPr>
            <w:tcW w:w="15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0" w:type="dxa"/>
            <w:vAlign w:val="bottom"/>
            <w:gridSpan w:val="2"/>
            <w:vMerge w:val="continue"/>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60" w:type="dxa"/>
            <w:vAlign w:val="bottom"/>
          </w:tcPr>
          <w:p>
            <w:pPr>
              <w:spacing w:after="0"/>
              <w:rPr>
                <w:sz w:val="12"/>
                <w:szCs w:val="12"/>
                <w:color w:val="auto"/>
              </w:rPr>
            </w:pPr>
          </w:p>
        </w:tc>
        <w:tc>
          <w:tcPr>
            <w:tcW w:w="15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64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0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60" w:type="dxa"/>
            <w:vAlign w:val="bottom"/>
          </w:tcPr>
          <w:p>
            <w:pPr>
              <w:spacing w:after="0"/>
              <w:rPr>
                <w:sz w:val="12"/>
                <w:szCs w:val="12"/>
                <w:color w:val="auto"/>
              </w:rPr>
            </w:pPr>
          </w:p>
        </w:tc>
        <w:tc>
          <w:tcPr>
            <w:tcW w:w="158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202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78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40" w:type="dxa"/>
            <w:vAlign w:val="bottom"/>
            <w:gridSpan w:val="2"/>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80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780" w:type="dxa"/>
            <w:vAlign w:val="bottom"/>
            <w:gridSpan w:val="2"/>
            <w:vMerge w:val="continue"/>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8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60" w:type="dxa"/>
            <w:vAlign w:val="bottom"/>
          </w:tcPr>
          <w:p>
            <w:pPr>
              <w:spacing w:after="0"/>
              <w:rPr>
                <w:sz w:val="3"/>
                <w:szCs w:val="3"/>
                <w:color w:val="auto"/>
              </w:rPr>
            </w:pPr>
          </w:p>
        </w:tc>
        <w:tc>
          <w:tcPr>
            <w:tcW w:w="8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80" w:type="dxa"/>
            <w:vAlign w:val="bottom"/>
            <w:gridSpan w:val="2"/>
            <w:vMerge w:val="continue"/>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7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86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202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Christopher Beals</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6,166,819</w:t>
            </w:r>
          </w:p>
        </w:tc>
        <w:tc>
          <w:tcPr>
            <w:tcW w:w="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6,166,819</w:t>
            </w:r>
          </w:p>
        </w:tc>
        <w:tc>
          <w:tcPr>
            <w:tcW w:w="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Brian Camire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2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Justin Dean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619,772</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619,772</w:t>
            </w: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Juanjo Feijoo-Osorio</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681,749</w:t>
            </w:r>
          </w:p>
        </w:tc>
        <w:tc>
          <w:tcPr>
            <w:tcW w:w="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Arden Lee</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1,239,543</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1,239,543</w:t>
            </w:r>
          </w:p>
        </w:tc>
        <w:tc>
          <w:tcPr>
            <w:tcW w:w="4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Steven Jung</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4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1,314,411</w:t>
            </w:r>
          </w:p>
        </w:tc>
        <w:tc>
          <w:tcPr>
            <w:tcW w:w="40" w:type="dxa"/>
            <w:vAlign w:val="bottom"/>
          </w:tcPr>
          <w:p>
            <w:pPr>
              <w:spacing w:after="0"/>
              <w:rPr>
                <w:sz w:val="20"/>
                <w:szCs w:val="20"/>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0"/>
                <w:szCs w:val="20"/>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
        </w:trPr>
        <w:tc>
          <w:tcPr>
            <w:tcW w:w="202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60" w:type="dxa"/>
            <w:vAlign w:val="bottom"/>
          </w:tcPr>
          <w:p>
            <w:pPr>
              <w:spacing w:after="0"/>
              <w:rPr>
                <w:sz w:val="4"/>
                <w:szCs w:val="4"/>
                <w:color w:val="auto"/>
              </w:rPr>
            </w:pPr>
          </w:p>
        </w:tc>
        <w:tc>
          <w:tcPr>
            <w:tcW w:w="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80" w:type="dxa"/>
            <w:vAlign w:val="bottom"/>
            <w:gridSpan w:val="2"/>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Douglas Francis</w:t>
            </w:r>
            <w:r>
              <w:rPr>
                <w:rFonts w:ascii="Times New Roman" w:cs="Times New Roman" w:eastAsia="Times New Roman" w:hAnsi="Times New Roman"/>
                <w:sz w:val="26"/>
                <w:szCs w:val="26"/>
                <w:color w:val="auto"/>
                <w:vertAlign w:val="superscript"/>
              </w:rPr>
              <w:t>(1)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27,700,849</w:t>
            </w:r>
          </w:p>
        </w:tc>
        <w:tc>
          <w:tcPr>
            <w:tcW w:w="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27,700,849</w:t>
            </w:r>
          </w:p>
        </w:tc>
        <w:tc>
          <w:tcPr>
            <w:tcW w:w="4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4"/>
        </w:trPr>
        <w:tc>
          <w:tcPr>
            <w:tcW w:w="2080" w:type="dxa"/>
            <w:vAlign w:val="bottom"/>
            <w:gridSpan w:val="2"/>
          </w:tcPr>
          <w:p>
            <w:pPr>
              <w:spacing w:after="0" w:line="283" w:lineRule="exact"/>
              <w:rPr>
                <w:sz w:val="20"/>
                <w:szCs w:val="20"/>
                <w:color w:val="auto"/>
              </w:rPr>
            </w:pPr>
            <w:r>
              <w:rPr>
                <w:rFonts w:ascii="Times New Roman" w:cs="Times New Roman" w:eastAsia="Times New Roman" w:hAnsi="Times New Roman"/>
                <w:sz w:val="16"/>
                <w:szCs w:val="16"/>
                <w:color w:val="auto"/>
              </w:rPr>
              <w:t>Justin Hartfield</w:t>
            </w:r>
            <w:r>
              <w:rPr>
                <w:rFonts w:ascii="Times New Roman" w:cs="Times New Roman" w:eastAsia="Times New Roman" w:hAnsi="Times New Roman"/>
                <w:sz w:val="26"/>
                <w:szCs w:val="26"/>
                <w:color w:val="auto"/>
                <w:vertAlign w:val="superscript"/>
              </w:rPr>
              <w:t>(2)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29,328,310</w:t>
            </w:r>
          </w:p>
        </w:tc>
        <w:tc>
          <w:tcPr>
            <w:tcW w:w="40" w:type="dxa"/>
            <w:vAlign w:val="bottom"/>
          </w:tcPr>
          <w:p>
            <w:pPr>
              <w:spacing w:after="0"/>
              <w:rPr>
                <w:sz w:val="24"/>
                <w:szCs w:val="24"/>
                <w:color w:val="auto"/>
              </w:rPr>
            </w:pPr>
          </w:p>
        </w:tc>
        <w:tc>
          <w:tcPr>
            <w:tcW w:w="8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4"/>
              </w:rPr>
              <w:t>29,328,310</w:t>
            </w:r>
          </w:p>
        </w:tc>
        <w:tc>
          <w:tcPr>
            <w:tcW w:w="40" w:type="dxa"/>
            <w:vAlign w:val="bottom"/>
          </w:tcPr>
          <w:p>
            <w:pPr>
              <w:spacing w:after="0"/>
              <w:rPr>
                <w:sz w:val="24"/>
                <w:szCs w:val="24"/>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gridSpan w:val="2"/>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Silver</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2"/>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Spike Sponsor, LLC</w:t>
            </w:r>
            <w:r>
              <w:rPr>
                <w:rFonts w:ascii="Times New Roman" w:cs="Times New Roman" w:eastAsia="Times New Roman" w:hAnsi="Times New Roman"/>
                <w:sz w:val="26"/>
                <w:szCs w:val="26"/>
                <w:color w:val="auto"/>
                <w:vertAlign w:val="superscript"/>
              </w:rPr>
              <w:t>(3)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7,515,752</w:t>
            </w: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7,000,000</w:t>
            </w:r>
          </w:p>
        </w:tc>
        <w:tc>
          <w:tcPr>
            <w:tcW w:w="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7,515,752</w:t>
            </w:r>
          </w:p>
        </w:tc>
        <w:tc>
          <w:tcPr>
            <w:tcW w:w="4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7,000,000</w:t>
            </w:r>
          </w:p>
        </w:tc>
        <w:tc>
          <w:tcPr>
            <w:tcW w:w="40" w:type="dxa"/>
            <w:vAlign w:val="bottom"/>
            <w:shd w:val="clear" w:color="auto" w:fill="CCEEFF"/>
          </w:tcPr>
          <w:p>
            <w:pPr>
              <w:spacing w:after="0"/>
              <w:rPr>
                <w:sz w:val="21"/>
                <w:szCs w:val="21"/>
                <w:color w:val="auto"/>
              </w:rPr>
            </w:pPr>
          </w:p>
        </w:tc>
        <w:tc>
          <w:tcPr>
            <w:tcW w:w="8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-1748155</wp:posOffset>
            </wp:positionV>
            <wp:extent cx="342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-1748155</wp:posOffset>
            </wp:positionV>
            <wp:extent cx="342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-1748155</wp:posOffset>
            </wp:positionV>
            <wp:extent cx="3429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-1748155</wp:posOffset>
            </wp:positionV>
            <wp:extent cx="342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-1748155</wp:posOffset>
            </wp:positionV>
            <wp:extent cx="3429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-1748155</wp:posOffset>
            </wp:positionV>
            <wp:extent cx="342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-1748155</wp:posOffset>
            </wp:positionV>
            <wp:extent cx="342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-1748155</wp:posOffset>
            </wp:positionV>
            <wp:extent cx="342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1" w:name="page12"/>
    <w:bookmarkEnd w:id="11"/>
    <w:tbl>
      <w:tblPr>
        <w:tblLayout w:type="fixed"/>
        <w:tblInd w:w="300" w:type="dxa"/>
        <w:tblCellMar>
          <w:top w:w="0" w:type="dxa"/>
          <w:left w:w="0" w:type="dxa"/>
          <w:bottom w:w="0" w:type="dxa"/>
          <w:right w:w="0" w:type="dxa"/>
        </w:tblCellMar>
      </w:tblPr>
      <w:tr>
        <w:trPr>
          <w:trHeight w:val="161"/>
        </w:trPr>
        <w:tc>
          <w:tcPr>
            <w:tcW w:w="2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7"/>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7"/>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4"/>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40" w:type="dxa"/>
            <w:vAlign w:val="bottom"/>
            <w:gridSpan w:val="8"/>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 After</w:t>
            </w:r>
          </w:p>
        </w:tc>
        <w:tc>
          <w:tcPr>
            <w:tcW w:w="40" w:type="dxa"/>
            <w:vAlign w:val="bottom"/>
          </w:tcPr>
          <w:p>
            <w:pPr>
              <w:spacing w:after="0"/>
              <w:rPr>
                <w:sz w:val="12"/>
                <w:szCs w:val="12"/>
                <w:color w:val="auto"/>
              </w:rPr>
            </w:pPr>
          </w:p>
        </w:tc>
        <w:tc>
          <w:tcPr>
            <w:tcW w:w="1560" w:type="dxa"/>
            <w:vAlign w:val="bottom"/>
            <w:gridSpan w:val="5"/>
            <w:vMerge w:val="restart"/>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gridSpan w:val="4"/>
            <w:vMerge w:val="continue"/>
          </w:tcPr>
          <w:p>
            <w:pPr>
              <w:spacing w:after="0"/>
              <w:rPr>
                <w:sz w:val="12"/>
                <w:szCs w:val="12"/>
                <w:color w:val="auto"/>
              </w:rPr>
            </w:pPr>
          </w:p>
        </w:tc>
        <w:tc>
          <w:tcPr>
            <w:tcW w:w="76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4"/>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600" w:type="dxa"/>
            <w:vAlign w:val="bottom"/>
            <w:gridSpan w:val="7"/>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4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60" w:type="dxa"/>
            <w:vAlign w:val="bottom"/>
            <w:gridSpan w:val="4"/>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600" w:type="dxa"/>
            <w:vAlign w:val="bottom"/>
            <w:gridSpan w:val="6"/>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74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2"/>
                <w:szCs w:val="12"/>
                <w:color w:val="auto"/>
              </w:rPr>
            </w:pPr>
          </w:p>
        </w:tc>
        <w:tc>
          <w:tcPr>
            <w:tcW w:w="68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4"/>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40" w:type="dxa"/>
            <w:vAlign w:val="bottom"/>
          </w:tcPr>
          <w:p>
            <w:pPr>
              <w:spacing w:after="0"/>
              <w:rPr>
                <w:sz w:val="12"/>
                <w:szCs w:val="12"/>
                <w:color w:val="auto"/>
              </w:rPr>
            </w:pPr>
          </w:p>
        </w:tc>
        <w:tc>
          <w:tcPr>
            <w:tcW w:w="1600" w:type="dxa"/>
            <w:vAlign w:val="bottom"/>
            <w:gridSpan w:val="7"/>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40" w:type="dxa"/>
            <w:vAlign w:val="bottom"/>
          </w:tcPr>
          <w:p>
            <w:pPr>
              <w:spacing w:after="0"/>
              <w:rPr>
                <w:sz w:val="12"/>
                <w:szCs w:val="12"/>
                <w:color w:val="auto"/>
              </w:rPr>
            </w:pPr>
          </w:p>
        </w:tc>
        <w:tc>
          <w:tcPr>
            <w:tcW w:w="1560" w:type="dxa"/>
            <w:vAlign w:val="bottom"/>
            <w:gridSpan w:val="5"/>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vMerge w:val="restart"/>
          </w:tcPr>
          <w:p>
            <w:pPr>
              <w:spacing w:after="0"/>
              <w:rPr>
                <w:sz w:val="8"/>
                <w:szCs w:val="8"/>
                <w:color w:val="auto"/>
              </w:rPr>
            </w:pPr>
          </w:p>
        </w:tc>
        <w:tc>
          <w:tcPr>
            <w:tcW w:w="740" w:type="dxa"/>
            <w:vAlign w:val="bottom"/>
            <w:gridSpan w:val="3"/>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vMerge w:val="restart"/>
          </w:tcPr>
          <w:p>
            <w:pPr>
              <w:spacing w:after="0"/>
              <w:rPr>
                <w:sz w:val="8"/>
                <w:szCs w:val="8"/>
                <w:color w:val="auto"/>
              </w:rPr>
            </w:pPr>
          </w:p>
        </w:tc>
        <w:tc>
          <w:tcPr>
            <w:tcW w:w="680" w:type="dxa"/>
            <w:vAlign w:val="bottom"/>
            <w:gridSpan w:val="3"/>
            <w:vMerge w:val="restart"/>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40" w:type="dxa"/>
            <w:vAlign w:val="bottom"/>
            <w:vMerge w:val="restart"/>
          </w:tcPr>
          <w:p>
            <w:pPr>
              <w:spacing w:after="0"/>
              <w:rPr>
                <w:sz w:val="8"/>
                <w:szCs w:val="8"/>
                <w:color w:val="auto"/>
              </w:rPr>
            </w:pPr>
          </w:p>
        </w:tc>
        <w:tc>
          <w:tcPr>
            <w:tcW w:w="700" w:type="dxa"/>
            <w:vAlign w:val="bottom"/>
            <w:gridSpan w:val="3"/>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78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gridSpan w:val="3"/>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3"/>
                <w:szCs w:val="3"/>
                <w:color w:val="auto"/>
              </w:rPr>
            </w:pPr>
          </w:p>
        </w:tc>
        <w:tc>
          <w:tcPr>
            <w:tcW w:w="80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3"/>
                <w:szCs w:val="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80" w:type="dxa"/>
            <w:vAlign w:val="bottom"/>
            <w:gridSpan w:val="4"/>
            <w:vMerge w:val="continue"/>
          </w:tcPr>
          <w:p>
            <w:pPr>
              <w:spacing w:after="0"/>
              <w:rPr>
                <w:sz w:val="16"/>
                <w:szCs w:val="16"/>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6"/>
                <w:szCs w:val="16"/>
                <w:color w:val="auto"/>
              </w:rPr>
            </w:pPr>
          </w:p>
        </w:tc>
        <w:tc>
          <w:tcPr>
            <w:tcW w:w="7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6"/>
                <w:szCs w:val="16"/>
                <w:color w:val="auto"/>
              </w:rPr>
            </w:pPr>
          </w:p>
        </w:tc>
        <w:tc>
          <w:tcPr>
            <w:tcW w:w="6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40" w:type="dxa"/>
            <w:vAlign w:val="bottom"/>
          </w:tcPr>
          <w:p>
            <w:pPr>
              <w:spacing w:after="0"/>
              <w:rPr>
                <w:sz w:val="16"/>
                <w:szCs w:val="16"/>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40" w:type="dxa"/>
            <w:vAlign w:val="bottom"/>
          </w:tcPr>
          <w:p>
            <w:pPr>
              <w:spacing w:after="0"/>
              <w:rPr>
                <w:sz w:val="16"/>
                <w:szCs w:val="16"/>
                <w:color w:val="auto"/>
              </w:rPr>
            </w:pPr>
          </w:p>
        </w:tc>
        <w:tc>
          <w:tcPr>
            <w:tcW w:w="940" w:type="dxa"/>
            <w:vAlign w:val="bottom"/>
            <w:gridSpan w:val="4"/>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2012 Grassie Family Delaware</w:t>
            </w: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80" w:type="dxa"/>
            <w:vAlign w:val="bottom"/>
            <w:gridSpan w:val="4"/>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Dynasty Trust</w:t>
            </w:r>
            <w:r>
              <w:rPr>
                <w:rFonts w:ascii="Times New Roman" w:cs="Times New Roman" w:eastAsia="Times New Roman" w:hAnsi="Times New Roman"/>
                <w:sz w:val="26"/>
                <w:szCs w:val="26"/>
                <w:color w:val="auto"/>
                <w:vertAlign w:val="superscript"/>
              </w:rPr>
              <w:t>(4)</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52,500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52,500</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2019 Alternative Public</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tcPr>
          <w:p>
            <w:pPr>
              <w:ind w:left="140"/>
              <w:spacing w:after="0" w:line="252" w:lineRule="exact"/>
              <w:rPr>
                <w:sz w:val="20"/>
                <w:szCs w:val="20"/>
                <w:color w:val="auto"/>
              </w:rPr>
            </w:pPr>
            <w:r>
              <w:rPr>
                <w:rFonts w:ascii="Times New Roman" w:cs="Times New Roman" w:eastAsia="Times New Roman" w:hAnsi="Times New Roman"/>
                <w:sz w:val="16"/>
                <w:szCs w:val="16"/>
                <w:color w:val="auto"/>
              </w:rPr>
              <w:t>Investments, LLC</w:t>
            </w:r>
            <w:r>
              <w:rPr>
                <w:rFonts w:ascii="Times New Roman" w:cs="Times New Roman" w:eastAsia="Times New Roman" w:hAnsi="Times New Roman"/>
                <w:sz w:val="26"/>
                <w:szCs w:val="26"/>
                <w:color w:val="auto"/>
                <w:vertAlign w:val="superscript"/>
              </w:rPr>
              <w:t>(5)</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231,123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231,123</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1"/>
                <w:szCs w:val="21"/>
                <w:color w:val="auto"/>
              </w:rPr>
            </w:pPr>
          </w:p>
        </w:tc>
        <w:tc>
          <w:tcPr>
            <w:tcW w:w="940" w:type="dxa"/>
            <w:vAlign w:val="bottom"/>
            <w:gridSpan w:val="4"/>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1"/>
                <w:szCs w:val="21"/>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1"/>
                <w:szCs w:val="21"/>
                <w:color w:val="auto"/>
              </w:rPr>
            </w:pPr>
          </w:p>
        </w:tc>
        <w:tc>
          <w:tcPr>
            <w:tcW w:w="720" w:type="dxa"/>
            <w:vAlign w:val="bottom"/>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4"/>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8704856 Canada Inc.</w:t>
            </w:r>
            <w:r>
              <w:rPr>
                <w:rFonts w:ascii="Times New Roman" w:cs="Times New Roman" w:eastAsia="Times New Roman" w:hAnsi="Times New Roman"/>
                <w:sz w:val="26"/>
                <w:szCs w:val="26"/>
                <w:color w:val="auto"/>
                <w:vertAlign w:val="superscript"/>
              </w:rPr>
              <w:t>(6)</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85,000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85,000</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4"/>
                <w:szCs w:val="24"/>
                <w:color w:val="auto"/>
              </w:rPr>
            </w:pPr>
          </w:p>
        </w:tc>
        <w:tc>
          <w:tcPr>
            <w:tcW w:w="94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20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center"/>
              <w:ind w:right="2"/>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13"/>
        </w:trPr>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gridSpan w:val="7"/>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7"/>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7"/>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40" w:type="dxa"/>
            <w:vAlign w:val="bottom"/>
            <w:gridSpan w:val="4"/>
          </w:tcPr>
          <w:p>
            <w:pPr>
              <w:jc w:val="center"/>
              <w:ind w:left="524"/>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56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40" w:type="dxa"/>
            <w:vAlign w:val="bottom"/>
          </w:tcPr>
          <w:p>
            <w:pPr>
              <w:spacing w:after="0"/>
              <w:rPr>
                <w:sz w:val="12"/>
                <w:szCs w:val="12"/>
                <w:color w:val="auto"/>
              </w:rPr>
            </w:pPr>
          </w:p>
        </w:tc>
        <w:tc>
          <w:tcPr>
            <w:tcW w:w="7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40" w:type="dxa"/>
            <w:vAlign w:val="bottom"/>
          </w:tcPr>
          <w:p>
            <w:pPr>
              <w:spacing w:after="0"/>
              <w:rPr>
                <w:sz w:val="12"/>
                <w:szCs w:val="12"/>
                <w:color w:val="auto"/>
              </w:rPr>
            </w:pPr>
          </w:p>
        </w:tc>
        <w:tc>
          <w:tcPr>
            <w:tcW w:w="1600" w:type="dxa"/>
            <w:vAlign w:val="bottom"/>
            <w:gridSpan w:val="7"/>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40" w:type="dxa"/>
            <w:vAlign w:val="bottom"/>
          </w:tcPr>
          <w:p>
            <w:pPr>
              <w:spacing w:after="0"/>
              <w:rPr>
                <w:sz w:val="12"/>
                <w:szCs w:val="12"/>
                <w:color w:val="auto"/>
              </w:rPr>
            </w:pPr>
          </w:p>
        </w:tc>
        <w:tc>
          <w:tcPr>
            <w:tcW w:w="156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0" w:type="dxa"/>
            <w:vAlign w:val="bottom"/>
          </w:tcPr>
          <w:p>
            <w:pPr>
              <w:spacing w:after="0"/>
              <w:rPr>
                <w:sz w:val="12"/>
                <w:szCs w:val="12"/>
                <w:color w:val="auto"/>
              </w:rPr>
            </w:pPr>
          </w:p>
        </w:tc>
        <w:tc>
          <w:tcPr>
            <w:tcW w:w="7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2"/>
                <w:szCs w:val="12"/>
                <w:color w:val="auto"/>
              </w:rPr>
            </w:pPr>
          </w:p>
        </w:tc>
        <w:tc>
          <w:tcPr>
            <w:tcW w:w="68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4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600" w:type="dxa"/>
            <w:vAlign w:val="bottom"/>
            <w:gridSpan w:val="7"/>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40" w:type="dxa"/>
            <w:vAlign w:val="bottom"/>
          </w:tcPr>
          <w:p>
            <w:pPr>
              <w:spacing w:after="0"/>
              <w:rPr>
                <w:sz w:val="12"/>
                <w:szCs w:val="12"/>
                <w:color w:val="auto"/>
              </w:rPr>
            </w:pPr>
          </w:p>
        </w:tc>
        <w:tc>
          <w:tcPr>
            <w:tcW w:w="1560" w:type="dxa"/>
            <w:vAlign w:val="bottom"/>
            <w:gridSpan w:val="5"/>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2"/>
                <w:szCs w:val="12"/>
                <w:color w:val="auto"/>
              </w:rPr>
            </w:pPr>
          </w:p>
        </w:tc>
        <w:tc>
          <w:tcPr>
            <w:tcW w:w="68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0" w:type="dxa"/>
            <w:vAlign w:val="bottom"/>
          </w:tcPr>
          <w:p>
            <w:pPr>
              <w:spacing w:after="0"/>
              <w:rPr>
                <w:sz w:val="12"/>
                <w:szCs w:val="12"/>
                <w:color w:val="auto"/>
              </w:rPr>
            </w:pPr>
          </w:p>
        </w:tc>
        <w:tc>
          <w:tcPr>
            <w:tcW w:w="70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40" w:type="dxa"/>
            <w:vAlign w:val="bottom"/>
          </w:tcPr>
          <w:p>
            <w:pPr>
              <w:spacing w:after="0"/>
              <w:rPr>
                <w:sz w:val="12"/>
                <w:szCs w:val="12"/>
                <w:color w:val="auto"/>
              </w:rPr>
            </w:pPr>
          </w:p>
        </w:tc>
        <w:tc>
          <w:tcPr>
            <w:tcW w:w="1600" w:type="dxa"/>
            <w:vAlign w:val="bottom"/>
            <w:gridSpan w:val="7"/>
          </w:tcPr>
          <w:p>
            <w:pPr>
              <w:ind w:left="54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40" w:type="dxa"/>
            <w:vAlign w:val="bottom"/>
          </w:tcPr>
          <w:p>
            <w:pPr>
              <w:spacing w:after="0"/>
              <w:rPr>
                <w:sz w:val="12"/>
                <w:szCs w:val="12"/>
                <w:color w:val="auto"/>
              </w:rPr>
            </w:pPr>
          </w:p>
        </w:tc>
        <w:tc>
          <w:tcPr>
            <w:tcW w:w="1560" w:type="dxa"/>
            <w:vAlign w:val="bottom"/>
            <w:gridSpan w:val="5"/>
          </w:tcPr>
          <w:p>
            <w:pPr>
              <w:jc w:val="right"/>
              <w:ind w:right="142"/>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gridSpan w:val="2"/>
            <w:vMerge w:val="restart"/>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vMerge w:val="restart"/>
          </w:tcPr>
          <w:p>
            <w:pPr>
              <w:spacing w:after="0"/>
              <w:rPr>
                <w:sz w:val="8"/>
                <w:szCs w:val="8"/>
                <w:color w:val="auto"/>
              </w:rPr>
            </w:pPr>
          </w:p>
        </w:tc>
        <w:tc>
          <w:tcPr>
            <w:tcW w:w="740" w:type="dxa"/>
            <w:vAlign w:val="bottom"/>
            <w:gridSpan w:val="3"/>
            <w:vMerge w:val="restart"/>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vMerge w:val="restart"/>
          </w:tcPr>
          <w:p>
            <w:pPr>
              <w:spacing w:after="0"/>
              <w:rPr>
                <w:sz w:val="8"/>
                <w:szCs w:val="8"/>
                <w:color w:val="auto"/>
              </w:rPr>
            </w:pPr>
          </w:p>
        </w:tc>
        <w:tc>
          <w:tcPr>
            <w:tcW w:w="68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40" w:type="dxa"/>
            <w:vAlign w:val="bottom"/>
            <w:vMerge w:val="restart"/>
          </w:tcPr>
          <w:p>
            <w:pPr>
              <w:spacing w:after="0"/>
              <w:rPr>
                <w:sz w:val="8"/>
                <w:szCs w:val="8"/>
                <w:color w:val="auto"/>
              </w:rPr>
            </w:pPr>
          </w:p>
        </w:tc>
        <w:tc>
          <w:tcPr>
            <w:tcW w:w="700" w:type="dxa"/>
            <w:vAlign w:val="bottom"/>
            <w:gridSpan w:val="3"/>
            <w:vMerge w:val="restart"/>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4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780" w:type="dxa"/>
            <w:vAlign w:val="bottom"/>
            <w:gridSpan w:val="2"/>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680" w:type="dxa"/>
            <w:vAlign w:val="bottom"/>
            <w:gridSpan w:val="3"/>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700" w:type="dxa"/>
            <w:vAlign w:val="bottom"/>
            <w:gridSpan w:val="3"/>
            <w:vMerge w:val="continue"/>
          </w:tcPr>
          <w:p>
            <w:pPr>
              <w:spacing w:after="0"/>
              <w:rPr>
                <w:sz w:val="3"/>
                <w:szCs w:val="3"/>
                <w:color w:val="auto"/>
              </w:rPr>
            </w:pPr>
          </w:p>
        </w:tc>
        <w:tc>
          <w:tcPr>
            <w:tcW w:w="40" w:type="dxa"/>
            <w:vAlign w:val="bottom"/>
          </w:tcPr>
          <w:p>
            <w:pPr>
              <w:spacing w:after="0"/>
              <w:rPr>
                <w:sz w:val="3"/>
                <w:szCs w:val="3"/>
                <w:color w:val="auto"/>
              </w:rPr>
            </w:pPr>
          </w:p>
        </w:tc>
        <w:tc>
          <w:tcPr>
            <w:tcW w:w="94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6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40" w:type="dxa"/>
            <w:vAlign w:val="bottom"/>
          </w:tcPr>
          <w:p>
            <w:pPr>
              <w:spacing w:after="0"/>
              <w:rPr>
                <w:sz w:val="3"/>
                <w:szCs w:val="3"/>
                <w:color w:val="auto"/>
              </w:rPr>
            </w:pPr>
          </w:p>
        </w:tc>
        <w:tc>
          <w:tcPr>
            <w:tcW w:w="800" w:type="dxa"/>
            <w:vAlign w:val="bottom"/>
            <w:gridSpan w:val="3"/>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40" w:type="dxa"/>
            <w:vAlign w:val="bottom"/>
          </w:tcPr>
          <w:p>
            <w:pPr>
              <w:spacing w:after="0"/>
              <w:rPr>
                <w:sz w:val="3"/>
                <w:szCs w:val="3"/>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80" w:type="dxa"/>
            <w:vAlign w:val="bottom"/>
            <w:gridSpan w:val="4"/>
            <w:vMerge w:val="continue"/>
          </w:tcPr>
          <w:p>
            <w:pPr>
              <w:spacing w:after="0"/>
              <w:rPr>
                <w:sz w:val="16"/>
                <w:szCs w:val="16"/>
                <w:color w:val="auto"/>
              </w:rPr>
            </w:pPr>
          </w:p>
        </w:tc>
        <w:tc>
          <w:tcPr>
            <w:tcW w:w="78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6"/>
                <w:szCs w:val="16"/>
                <w:color w:val="auto"/>
              </w:rPr>
            </w:pPr>
          </w:p>
        </w:tc>
        <w:tc>
          <w:tcPr>
            <w:tcW w:w="7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6"/>
                <w:szCs w:val="16"/>
                <w:color w:val="auto"/>
              </w:rPr>
            </w:pPr>
          </w:p>
        </w:tc>
        <w:tc>
          <w:tcPr>
            <w:tcW w:w="6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40" w:type="dxa"/>
            <w:vAlign w:val="bottom"/>
          </w:tcPr>
          <w:p>
            <w:pPr>
              <w:spacing w:after="0"/>
              <w:rPr>
                <w:sz w:val="16"/>
                <w:szCs w:val="16"/>
                <w:color w:val="auto"/>
              </w:rPr>
            </w:pPr>
          </w:p>
        </w:tc>
        <w:tc>
          <w:tcPr>
            <w:tcW w:w="7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40" w:type="dxa"/>
            <w:vAlign w:val="bottom"/>
          </w:tcPr>
          <w:p>
            <w:pPr>
              <w:spacing w:after="0"/>
              <w:rPr>
                <w:sz w:val="16"/>
                <w:szCs w:val="16"/>
                <w:color w:val="auto"/>
              </w:rPr>
            </w:pPr>
          </w:p>
        </w:tc>
        <w:tc>
          <w:tcPr>
            <w:tcW w:w="940" w:type="dxa"/>
            <w:vAlign w:val="bottom"/>
            <w:gridSpan w:val="4"/>
            <w:vMerge w:val="continue"/>
          </w:tcPr>
          <w:p>
            <w:pPr>
              <w:spacing w:after="0"/>
              <w:rPr>
                <w:sz w:val="16"/>
                <w:szCs w:val="16"/>
                <w:color w:val="auto"/>
              </w:rPr>
            </w:pPr>
          </w:p>
        </w:tc>
        <w:tc>
          <w:tcPr>
            <w:tcW w:w="66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gridSpan w:val="3"/>
            <w:vMerge w:val="continue"/>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gridSpan w:val="2"/>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3"/>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gridSpan w:val="2"/>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2080" w:type="dxa"/>
            <w:vAlign w:val="bottom"/>
            <w:gridSpan w:val="4"/>
            <w:shd w:val="clear" w:color="auto" w:fill="CCEEFF"/>
          </w:tcPr>
          <w:p>
            <w:pPr>
              <w:spacing w:after="0" w:line="291" w:lineRule="exact"/>
              <w:rPr>
                <w:sz w:val="20"/>
                <w:szCs w:val="20"/>
                <w:color w:val="auto"/>
              </w:rPr>
            </w:pPr>
            <w:r>
              <w:rPr>
                <w:rFonts w:ascii="Times New Roman" w:cs="Times New Roman" w:eastAsia="Times New Roman" w:hAnsi="Times New Roman"/>
                <w:sz w:val="16"/>
                <w:szCs w:val="16"/>
                <w:color w:val="auto"/>
              </w:rPr>
              <w:t>Adam L. Reeder</w:t>
            </w:r>
            <w:r>
              <w:rPr>
                <w:rFonts w:ascii="Times New Roman" w:cs="Times New Roman" w:eastAsia="Times New Roman" w:hAnsi="Times New Roman"/>
                <w:sz w:val="26"/>
                <w:szCs w:val="26"/>
                <w:color w:val="auto"/>
                <w:vertAlign w:val="superscript"/>
              </w:rPr>
              <w:t>(7)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4"/>
                <w:szCs w:val="24"/>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4"/>
          </w:tcPr>
          <w:p>
            <w:pPr>
              <w:spacing w:after="0" w:line="283" w:lineRule="exact"/>
              <w:rPr>
                <w:sz w:val="20"/>
                <w:szCs w:val="20"/>
                <w:color w:val="auto"/>
              </w:rPr>
            </w:pPr>
            <w:r>
              <w:rPr>
                <w:rFonts w:ascii="Times New Roman" w:cs="Times New Roman" w:eastAsia="Times New Roman" w:hAnsi="Times New Roman"/>
                <w:sz w:val="16"/>
                <w:szCs w:val="16"/>
                <w:color w:val="auto"/>
              </w:rPr>
              <w:t>Aguila Ventures LLC</w:t>
            </w:r>
            <w:r>
              <w:rPr>
                <w:rFonts w:ascii="Times New Roman" w:cs="Times New Roman" w:eastAsia="Times New Roman" w:hAnsi="Times New Roman"/>
                <w:sz w:val="26"/>
                <w:szCs w:val="26"/>
                <w:color w:val="auto"/>
                <w:vertAlign w:val="superscript"/>
              </w:rPr>
              <w:t>(8)</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4"/>
                <w:szCs w:val="24"/>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4"/>
                <w:szCs w:val="24"/>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AHPPCB Legacy Trust dated</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February 1, 2014</w:t>
            </w:r>
            <w:r>
              <w:rPr>
                <w:rFonts w:ascii="Times New Roman" w:cs="Times New Roman" w:eastAsia="Times New Roman" w:hAnsi="Times New Roman"/>
                <w:sz w:val="26"/>
                <w:szCs w:val="26"/>
                <w:color w:val="auto"/>
                <w:vertAlign w:val="superscript"/>
              </w:rPr>
              <w:t>(9)</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Alasdair I.C. Grassie 2012</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tcPr>
          <w:p>
            <w:pPr>
              <w:ind w:left="140"/>
              <w:spacing w:after="0" w:line="252"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(10)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Amer Bisat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4"/>
          </w:tcPr>
          <w:p>
            <w:pPr>
              <w:spacing w:after="0" w:line="283" w:lineRule="exact"/>
              <w:rPr>
                <w:sz w:val="20"/>
                <w:szCs w:val="20"/>
                <w:color w:val="auto"/>
              </w:rPr>
            </w:pPr>
            <w:r>
              <w:rPr>
                <w:rFonts w:ascii="Times New Roman" w:cs="Times New Roman" w:eastAsia="Times New Roman" w:hAnsi="Times New Roman"/>
                <w:sz w:val="16"/>
                <w:szCs w:val="16"/>
                <w:color w:val="auto"/>
              </w:rPr>
              <w:t>Ansari 3 Twelve LLC II</w:t>
            </w:r>
            <w:r>
              <w:rPr>
                <w:rFonts w:ascii="Times New Roman" w:cs="Times New Roman" w:eastAsia="Times New Roman" w:hAnsi="Times New Roman"/>
                <w:sz w:val="26"/>
                <w:szCs w:val="26"/>
                <w:color w:val="auto"/>
                <w:vertAlign w:val="superscript"/>
              </w:rPr>
              <w:t>(11)</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180,000</w:t>
            </w:r>
          </w:p>
        </w:tc>
        <w:tc>
          <w:tcPr>
            <w:tcW w:w="40" w:type="dxa"/>
            <w:vAlign w:val="bottom"/>
          </w:tcPr>
          <w:p>
            <w:pPr>
              <w:spacing w:after="0"/>
              <w:rPr>
                <w:sz w:val="24"/>
                <w:szCs w:val="24"/>
                <w:color w:val="auto"/>
              </w:rPr>
            </w:pPr>
          </w:p>
        </w:tc>
        <w:tc>
          <w:tcPr>
            <w:tcW w:w="740" w:type="dxa"/>
            <w:vAlign w:val="bottom"/>
            <w:gridSpan w:val="2"/>
          </w:tcPr>
          <w:p>
            <w:pPr>
              <w:jc w:val="right"/>
              <w:ind w:right="3"/>
              <w:spacing w:after="0"/>
              <w:rPr>
                <w:sz w:val="20"/>
                <w:szCs w:val="20"/>
                <w:color w:val="auto"/>
              </w:rPr>
            </w:pPr>
            <w:r>
              <w:rPr>
                <w:rFonts w:ascii="Times New Roman" w:cs="Times New Roman" w:eastAsia="Times New Roman" w:hAnsi="Times New Roman"/>
                <w:sz w:val="16"/>
                <w:szCs w:val="16"/>
                <w:color w:val="auto"/>
              </w:rPr>
              <w:t>91,666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4"/>
                <w:szCs w:val="24"/>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780" w:type="dxa"/>
            <w:vAlign w:val="bottom"/>
            <w:gridSpan w:val="2"/>
          </w:tcPr>
          <w:p>
            <w:pPr>
              <w:jc w:val="right"/>
              <w:ind w:right="63"/>
              <w:spacing w:after="0"/>
              <w:rPr>
                <w:sz w:val="20"/>
                <w:szCs w:val="20"/>
                <w:color w:val="auto"/>
              </w:rPr>
            </w:pPr>
            <w:r>
              <w:rPr>
                <w:rFonts w:ascii="Times New Roman" w:cs="Times New Roman" w:eastAsia="Times New Roman" w:hAnsi="Times New Roman"/>
                <w:sz w:val="16"/>
                <w:szCs w:val="16"/>
                <w:color w:val="auto"/>
              </w:rPr>
              <w:t>91,666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Anthony</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Aquila</w:t>
            </w:r>
            <w:r>
              <w:rPr>
                <w:rFonts w:ascii="Times New Roman" w:cs="Times New Roman" w:eastAsia="Times New Roman" w:hAnsi="Times New Roman"/>
                <w:sz w:val="26"/>
                <w:szCs w:val="26"/>
                <w:color w:val="auto"/>
                <w:vertAlign w:val="superscript"/>
              </w:rPr>
              <w:t>(12)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5,000,000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Asia Pacific On-Line</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tcPr>
          <w:p>
            <w:pPr>
              <w:ind w:left="140"/>
              <w:spacing w:after="0" w:line="252" w:lineRule="exact"/>
              <w:rPr>
                <w:sz w:val="20"/>
                <w:szCs w:val="20"/>
                <w:color w:val="auto"/>
              </w:rPr>
            </w:pPr>
            <w:r>
              <w:rPr>
                <w:rFonts w:ascii="Times New Roman" w:cs="Times New Roman" w:eastAsia="Times New Roman" w:hAnsi="Times New Roman"/>
                <w:sz w:val="16"/>
                <w:szCs w:val="16"/>
                <w:color w:val="auto"/>
              </w:rPr>
              <w:t>Limited</w:t>
            </w:r>
            <w:r>
              <w:rPr>
                <w:rFonts w:ascii="Times New Roman" w:cs="Times New Roman" w:eastAsia="Times New Roman" w:hAnsi="Times New Roman"/>
                <w:sz w:val="26"/>
                <w:szCs w:val="26"/>
                <w:color w:val="auto"/>
                <w:vertAlign w:val="superscript"/>
              </w:rPr>
              <w:t>(13)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20,000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080" w:type="dxa"/>
            <w:vAlign w:val="bottom"/>
            <w:gridSpan w:val="4"/>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Monashee Investment</w:t>
            </w:r>
          </w:p>
        </w:tc>
        <w:tc>
          <w:tcPr>
            <w:tcW w:w="7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80" w:type="dxa"/>
            <w:vAlign w:val="bottom"/>
            <w:gridSpan w:val="4"/>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(14)</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350,000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350,000</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Bernardino Colonna</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3,000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Cavenham Private Equity and</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Directs</w:t>
            </w:r>
            <w:r>
              <w:rPr>
                <w:rFonts w:ascii="Times New Roman" w:cs="Times New Roman" w:eastAsia="Times New Roman" w:hAnsi="Times New Roman"/>
                <w:sz w:val="26"/>
                <w:szCs w:val="26"/>
                <w:color w:val="auto"/>
                <w:vertAlign w:val="superscript"/>
              </w:rPr>
              <w:t>(15)</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300,000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300,000</w:t>
            </w: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Citadel Multi-Strategy Equities</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tcPr>
          <w:p>
            <w:pPr>
              <w:ind w:left="140"/>
              <w:spacing w:after="0" w:line="252" w:lineRule="exact"/>
              <w:rPr>
                <w:sz w:val="20"/>
                <w:szCs w:val="20"/>
                <w:color w:val="auto"/>
              </w:rPr>
            </w:pPr>
            <w:r>
              <w:rPr>
                <w:rFonts w:ascii="Times New Roman" w:cs="Times New Roman" w:eastAsia="Times New Roman" w:hAnsi="Times New Roman"/>
                <w:sz w:val="16"/>
                <w:szCs w:val="16"/>
                <w:color w:val="auto"/>
              </w:rPr>
              <w:t>Master Fund Ltd.</w:t>
            </w:r>
            <w:r>
              <w:rPr>
                <w:rFonts w:ascii="Times New Roman" w:cs="Times New Roman" w:eastAsia="Times New Roman" w:hAnsi="Times New Roman"/>
                <w:sz w:val="26"/>
                <w:szCs w:val="26"/>
                <w:color w:val="auto"/>
                <w:vertAlign w:val="superscript"/>
              </w:rPr>
              <w:t>(16)</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750,000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750,000</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Behdad Eghbali</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1,225,000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1,225,000</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Jose E. Feliciano</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625,000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625,000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80" w:type="dxa"/>
            <w:vAlign w:val="bottom"/>
            <w:gridSpan w:val="4"/>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Chalten Investments Ltd</w:t>
            </w:r>
            <w:r>
              <w:rPr>
                <w:rFonts w:ascii="Times New Roman" w:cs="Times New Roman" w:eastAsia="Times New Roman" w:hAnsi="Times New Roman"/>
                <w:sz w:val="26"/>
                <w:szCs w:val="26"/>
                <w:color w:val="auto"/>
                <w:vertAlign w:val="superscript"/>
              </w:rPr>
              <w:t>(17)</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450,000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450,000</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4"/>
                <w:szCs w:val="24"/>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Craig Schlanger Trust UAD</w:t>
            </w: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40" w:type="dxa"/>
            <w:vAlign w:val="bottom"/>
          </w:tcPr>
          <w:p>
            <w:pPr>
              <w:ind w:left="140"/>
              <w:spacing w:after="0" w:line="252" w:lineRule="exact"/>
              <w:rPr>
                <w:sz w:val="20"/>
                <w:szCs w:val="20"/>
                <w:color w:val="auto"/>
              </w:rPr>
            </w:pPr>
            <w:r>
              <w:rPr>
                <w:rFonts w:ascii="Times New Roman" w:cs="Times New Roman" w:eastAsia="Times New Roman" w:hAnsi="Times New Roman"/>
                <w:sz w:val="16"/>
                <w:szCs w:val="16"/>
                <w:color w:val="auto"/>
              </w:rPr>
              <w:t>8/31/1979</w:t>
            </w:r>
            <w:r>
              <w:rPr>
                <w:rFonts w:ascii="Times New Roman" w:cs="Times New Roman" w:eastAsia="Times New Roman" w:hAnsi="Times New Roman"/>
                <w:sz w:val="26"/>
                <w:szCs w:val="26"/>
                <w:color w:val="auto"/>
                <w:vertAlign w:val="superscript"/>
              </w:rPr>
              <w:t>(18)</w:t>
            </w: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25,000</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1"/>
                <w:szCs w:val="21"/>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1"/>
                <w:szCs w:val="21"/>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3"/>
        </w:trPr>
        <w:tc>
          <w:tcPr>
            <w:tcW w:w="2080" w:type="dxa"/>
            <w:vAlign w:val="bottom"/>
            <w:gridSpan w:val="4"/>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CVI Investments, Inc.</w:t>
            </w:r>
            <w:r>
              <w:rPr>
                <w:rFonts w:ascii="Times New Roman" w:cs="Times New Roman" w:eastAsia="Times New Roman" w:hAnsi="Times New Roman"/>
                <w:sz w:val="26"/>
                <w:szCs w:val="26"/>
                <w:color w:val="auto"/>
                <w:vertAlign w:val="superscript"/>
              </w:rPr>
              <w:t>(19)</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600,000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600,000</w:t>
            </w:r>
          </w:p>
        </w:tc>
        <w:tc>
          <w:tcPr>
            <w:tcW w:w="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4"/>
                <w:szCs w:val="24"/>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Darren Lazarus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12,150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12,150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2080" w:type="dxa"/>
            <w:vAlign w:val="bottom"/>
            <w:gridSpan w:val="4"/>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David M. Baron</w:t>
            </w:r>
            <w:r>
              <w:rPr>
                <w:rFonts w:ascii="Times New Roman" w:cs="Times New Roman" w:eastAsia="Times New Roman" w:hAnsi="Times New Roman"/>
                <w:sz w:val="26"/>
                <w:szCs w:val="26"/>
                <w:color w:val="auto"/>
                <w:vertAlign w:val="superscript"/>
              </w:rPr>
              <w:t>(20)</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50,000</w:t>
            </w: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4"/>
                <w:szCs w:val="24"/>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4"/>
                <w:szCs w:val="24"/>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4"/>
                <w:szCs w:val="24"/>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David Mayer de Rothschild</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David Morrill</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David Todd Posen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7,000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Debra Shemesh-Joester</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2,500</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35"/>
        </w:trPr>
        <w:tc>
          <w:tcPr>
            <w:tcW w:w="20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Doug Kaplan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19,800</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0"/>
                <w:szCs w:val="20"/>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0"/>
                <w:szCs w:val="20"/>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3"/>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Eric Aroesty</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19,800</w:t>
            </w:r>
          </w:p>
        </w:tc>
        <w:tc>
          <w:tcPr>
            <w:tcW w:w="4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4"/>
        </w:trPr>
        <w:tc>
          <w:tcPr>
            <w:tcW w:w="2080" w:type="dxa"/>
            <w:vAlign w:val="bottom"/>
            <w:gridSpan w:val="4"/>
          </w:tcPr>
          <w:p>
            <w:pPr>
              <w:spacing w:after="0" w:line="283" w:lineRule="exact"/>
              <w:rPr>
                <w:sz w:val="20"/>
                <w:szCs w:val="20"/>
                <w:color w:val="auto"/>
              </w:rPr>
            </w:pPr>
            <w:r>
              <w:rPr>
                <w:rFonts w:ascii="Times New Roman" w:cs="Times New Roman" w:eastAsia="Times New Roman" w:hAnsi="Times New Roman"/>
                <w:sz w:val="16"/>
                <w:szCs w:val="16"/>
                <w:color w:val="auto"/>
              </w:rPr>
              <w:t>Eric Hirschfield</w:t>
            </w:r>
            <w:r>
              <w:rPr>
                <w:rFonts w:ascii="Times New Roman" w:cs="Times New Roman" w:eastAsia="Times New Roman" w:hAnsi="Times New Roman"/>
                <w:sz w:val="26"/>
                <w:szCs w:val="26"/>
                <w:color w:val="auto"/>
                <w:vertAlign w:val="superscript"/>
              </w:rPr>
              <w:t>(21)</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15,000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4"/>
                <w:szCs w:val="24"/>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4"/>
                <w:szCs w:val="24"/>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Euan C.A. Grassie 2012</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4"/>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(22)</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10,000</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21"/>
                <w:szCs w:val="21"/>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21"/>
                <w:szCs w:val="21"/>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4"/>
        </w:trPr>
        <w:tc>
          <w:tcPr>
            <w:tcW w:w="2080" w:type="dxa"/>
            <w:vAlign w:val="bottom"/>
            <w:gridSpan w:val="4"/>
          </w:tcPr>
          <w:p>
            <w:pPr>
              <w:spacing w:after="0" w:line="283" w:lineRule="exact"/>
              <w:rPr>
                <w:sz w:val="20"/>
                <w:szCs w:val="20"/>
                <w:color w:val="auto"/>
              </w:rPr>
            </w:pPr>
            <w:r>
              <w:rPr>
                <w:rFonts w:ascii="Times New Roman" w:cs="Times New Roman" w:eastAsia="Times New Roman" w:hAnsi="Times New Roman"/>
                <w:sz w:val="16"/>
                <w:szCs w:val="16"/>
                <w:color w:val="auto"/>
              </w:rPr>
              <w:t>Federated Funds</w:t>
            </w:r>
            <w:r>
              <w:rPr>
                <w:rFonts w:ascii="Times New Roman" w:cs="Times New Roman" w:eastAsia="Times New Roman" w:hAnsi="Times New Roman"/>
                <w:sz w:val="26"/>
                <w:szCs w:val="26"/>
                <w:color w:val="auto"/>
                <w:vertAlign w:val="superscript"/>
              </w:rPr>
              <w:t>(23)</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4,000,000</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4,000,000</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3"/>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tcPr>
          <w:p>
            <w:pPr>
              <w:spacing w:after="0"/>
              <w:rPr>
                <w:sz w:val="24"/>
                <w:szCs w:val="24"/>
                <w:color w:val="auto"/>
              </w:rPr>
            </w:pPr>
          </w:p>
        </w:tc>
        <w:tc>
          <w:tcPr>
            <w:tcW w:w="940" w:type="dxa"/>
            <w:vAlign w:val="bottom"/>
            <w:gridSpan w:val="4"/>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24"/>
                <w:szCs w:val="24"/>
                <w:color w:val="auto"/>
              </w:rPr>
            </w:pPr>
          </w:p>
        </w:tc>
        <w:tc>
          <w:tcPr>
            <w:tcW w:w="8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Final Word Investments</w:t>
            </w:r>
          </w:p>
        </w:tc>
        <w:tc>
          <w:tcPr>
            <w:tcW w:w="7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13"/>
                <w:szCs w:val="13"/>
                <w:color w:val="auto"/>
              </w:rPr>
              <w:t>(24)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40,000</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40,000</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center"/>
              <w:ind w:right="20"/>
              <w:spacing w:after="0"/>
              <w:rPr>
                <w:sz w:val="20"/>
                <w:szCs w:val="20"/>
                <w:color w:val="auto"/>
              </w:rPr>
            </w:pPr>
            <w:r>
              <w:rPr>
                <w:rFonts w:ascii="Times New Roman" w:cs="Times New Roman" w:eastAsia="Times New Roman" w:hAnsi="Times New Roman"/>
                <w:sz w:val="16"/>
                <w:szCs w:val="16"/>
                <w:color w:val="auto"/>
                <w:w w:val="99"/>
              </w:rPr>
              <w:t>—</w:t>
            </w:r>
          </w:p>
        </w:tc>
        <w:tc>
          <w:tcPr>
            <w:tcW w:w="40" w:type="dxa"/>
            <w:vAlign w:val="bottom"/>
            <w:shd w:val="clear" w:color="auto" w:fill="CCEEFF"/>
          </w:tcPr>
          <w:p>
            <w:pPr>
              <w:spacing w:after="0"/>
              <w:rPr>
                <w:sz w:val="17"/>
                <w:szCs w:val="17"/>
                <w:color w:val="auto"/>
              </w:rPr>
            </w:pPr>
          </w:p>
        </w:tc>
        <w:tc>
          <w:tcPr>
            <w:tcW w:w="94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7"/>
                <w:szCs w:val="17"/>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48"/>
        </w:trPr>
        <w:tc>
          <w:tcPr>
            <w:tcW w:w="15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-8254365</wp:posOffset>
            </wp:positionV>
            <wp:extent cx="342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4488815</wp:posOffset>
            </wp:positionH>
            <wp:positionV relativeFrom="paragraph">
              <wp:posOffset>-8254365</wp:posOffset>
            </wp:positionV>
            <wp:extent cx="342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-8254365</wp:posOffset>
            </wp:positionV>
            <wp:extent cx="342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-8254365</wp:posOffset>
            </wp:positionV>
            <wp:extent cx="342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-8254365</wp:posOffset>
            </wp:positionV>
            <wp:extent cx="342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2482850</wp:posOffset>
            </wp:positionH>
            <wp:positionV relativeFrom="paragraph">
              <wp:posOffset>-8254365</wp:posOffset>
            </wp:positionV>
            <wp:extent cx="342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-8254365</wp:posOffset>
            </wp:positionV>
            <wp:extent cx="342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1471295</wp:posOffset>
            </wp:positionH>
            <wp:positionV relativeFrom="paragraph">
              <wp:posOffset>-8254365</wp:posOffset>
            </wp:positionV>
            <wp:extent cx="3429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-6463030</wp:posOffset>
            </wp:positionV>
            <wp:extent cx="514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-6463030</wp:posOffset>
            </wp:positionV>
            <wp:extent cx="514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-6463030</wp:posOffset>
            </wp:positionV>
            <wp:extent cx="514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-6463030</wp:posOffset>
            </wp:positionV>
            <wp:extent cx="514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-6463030</wp:posOffset>
            </wp:positionV>
            <wp:extent cx="51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-6463030</wp:posOffset>
            </wp:positionV>
            <wp:extent cx="51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-6463030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-6463030</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933" w:gutter="0" w:footer="0" w:header="0"/>
        </w:sectPr>
      </w:pPr>
    </w:p>
    <w:bookmarkStart w:id="12" w:name="page13"/>
    <w:bookmarkEnd w:id="12"/>
    <w:tbl>
      <w:tblPr>
        <w:tblLayout w:type="fixed"/>
        <w:tblInd w:w="300" w:type="dxa"/>
        <w:tblCellMar>
          <w:top w:w="0" w:type="dxa"/>
          <w:left w:w="0" w:type="dxa"/>
          <w:bottom w:w="0" w:type="dxa"/>
          <w:right w:w="0" w:type="dxa"/>
        </w:tblCellMar>
      </w:tblPr>
      <w:tr>
        <w:trPr>
          <w:trHeight w:val="161"/>
        </w:trPr>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7"/>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7"/>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jc w:val="center"/>
              <w:ind w:left="504"/>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7"/>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4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7"/>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7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6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60" w:type="dxa"/>
            <w:vAlign w:val="bottom"/>
            <w:gridSpan w:val="5"/>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80" w:type="dxa"/>
            <w:vAlign w:val="bottom"/>
            <w:gridSpan w:val="3"/>
            <w:vMerge w:val="continue"/>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960" w:type="dxa"/>
            <w:vAlign w:val="bottom"/>
            <w:gridSpan w:val="5"/>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Granite Point Master Fund,</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20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LP</w:t>
            </w:r>
            <w:r>
              <w:rPr>
                <w:rFonts w:ascii="Times New Roman" w:cs="Times New Roman" w:eastAsia="Times New Roman" w:hAnsi="Times New Roman"/>
                <w:sz w:val="13"/>
                <w:szCs w:val="13"/>
                <w:color w:val="auto"/>
              </w:rPr>
              <w:t>(25)</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437,500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gridSpan w:val="3"/>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437,500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Gregor C.A. Grassie 2012</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(26)</w:t>
            </w: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GS+A Global Special</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Situations Fund</w:t>
            </w:r>
            <w:r>
              <w:rPr>
                <w:rFonts w:ascii="Times New Roman" w:cs="Times New Roman" w:eastAsia="Times New Roman" w:hAnsi="Times New Roman"/>
                <w:sz w:val="26"/>
                <w:szCs w:val="26"/>
                <w:color w:val="auto"/>
                <w:vertAlign w:val="superscript"/>
              </w:rPr>
              <w:t>(27)</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6"/>
              </w:rPr>
              <w:t>350,000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3"/>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96"/>
              </w:rPr>
              <w:t>350,000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Harbert Stoneview Master</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Fund, Ltd.</w:t>
            </w:r>
            <w:r>
              <w:rPr>
                <w:rFonts w:ascii="Times New Roman" w:cs="Times New Roman" w:eastAsia="Times New Roman" w:hAnsi="Times New Roman"/>
                <w:sz w:val="26"/>
                <w:szCs w:val="26"/>
                <w:color w:val="auto"/>
                <w:vertAlign w:val="superscript"/>
              </w:rPr>
              <w:t>(28)</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150,000</w:t>
            </w:r>
          </w:p>
        </w:tc>
        <w:tc>
          <w:tcPr>
            <w:tcW w:w="1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3"/>
          </w:tcPr>
          <w:p>
            <w:pPr>
              <w:jc w:val="center"/>
              <w:ind w:left="22"/>
              <w:spacing w:after="0"/>
              <w:rPr>
                <w:sz w:val="20"/>
                <w:szCs w:val="20"/>
                <w:color w:val="auto"/>
              </w:rPr>
            </w:pPr>
            <w:r>
              <w:rPr>
                <w:rFonts w:ascii="Times New Roman" w:cs="Times New Roman" w:eastAsia="Times New Roman" w:hAnsi="Times New Roman"/>
                <w:sz w:val="16"/>
                <w:szCs w:val="16"/>
                <w:color w:val="auto"/>
                <w:w w:val="96"/>
              </w:rPr>
              <w:t>150,000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4"/>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Homer Parkhill</w:t>
            </w:r>
            <w:r>
              <w:rPr>
                <w:rFonts w:ascii="Times New Roman" w:cs="Times New Roman" w:eastAsia="Times New Roman" w:hAnsi="Times New Roman"/>
                <w:sz w:val="26"/>
                <w:szCs w:val="26"/>
                <w:color w:val="auto"/>
                <w:vertAlign w:val="superscript"/>
              </w:rPr>
              <w:t>(29)</w:t>
            </w: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Hoplite Capital Series LLC –</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Kerdos</w:t>
            </w:r>
            <w:r>
              <w:rPr>
                <w:rFonts w:ascii="Times New Roman" w:cs="Times New Roman" w:eastAsia="Times New Roman" w:hAnsi="Times New Roman"/>
                <w:sz w:val="26"/>
                <w:szCs w:val="26"/>
                <w:color w:val="auto"/>
                <w:vertAlign w:val="superscript"/>
              </w:rPr>
              <w:t>(30)</w:t>
            </w: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275,000</w:t>
            </w:r>
          </w:p>
        </w:tc>
        <w:tc>
          <w:tcPr>
            <w:tcW w:w="120" w:type="dxa"/>
            <w:vAlign w:val="bottom"/>
          </w:tcPr>
          <w:p>
            <w:pPr>
              <w:spacing w:after="0"/>
              <w:rPr>
                <w:sz w:val="21"/>
                <w:szCs w:val="2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3"/>
          </w:tcPr>
          <w:p>
            <w:pPr>
              <w:jc w:val="center"/>
              <w:ind w:left="22"/>
              <w:spacing w:after="0"/>
              <w:rPr>
                <w:sz w:val="20"/>
                <w:szCs w:val="20"/>
                <w:color w:val="auto"/>
              </w:rPr>
            </w:pPr>
            <w:r>
              <w:rPr>
                <w:rFonts w:ascii="Times New Roman" w:cs="Times New Roman" w:eastAsia="Times New Roman" w:hAnsi="Times New Roman"/>
                <w:sz w:val="16"/>
                <w:szCs w:val="16"/>
                <w:color w:val="auto"/>
                <w:w w:val="96"/>
              </w:rPr>
              <w:t>275,000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84"/>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Interward Capital Corp</w:t>
            </w:r>
            <w:r>
              <w:rPr>
                <w:rFonts w:ascii="Times New Roman" w:cs="Times New Roman" w:eastAsia="Times New Roman" w:hAnsi="Times New Roman"/>
                <w:sz w:val="26"/>
                <w:szCs w:val="26"/>
                <w:color w:val="auto"/>
                <w:vertAlign w:val="superscript"/>
              </w:rPr>
              <w:t>(31)</w:t>
            </w: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374"/>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James Ben</w:t>
            </w:r>
            <w:r>
              <w:rPr>
                <w:rFonts w:ascii="Times New Roman" w:cs="Times New Roman" w:eastAsia="Times New Roman" w:hAnsi="Times New Roman"/>
                <w:sz w:val="26"/>
                <w:szCs w:val="26"/>
                <w:color w:val="auto"/>
                <w:vertAlign w:val="superscript"/>
              </w:rPr>
              <w:t>(32)</w:t>
            </w: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center"/>
              <w:ind w:right="160"/>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w w:val="87"/>
              </w:rPr>
              <w:t>—</w:t>
            </w: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0" w:type="dxa"/>
            <w:vAlign w:val="bottom"/>
          </w:tcPr>
          <w:p>
            <w:pPr>
              <w:spacing w:after="0"/>
              <w:rPr>
                <w:sz w:val="1"/>
                <w:szCs w:val="1"/>
                <w:color w:val="auto"/>
              </w:rPr>
            </w:pPr>
          </w:p>
        </w:tc>
      </w:tr>
      <w:tr>
        <w:trPr>
          <w:trHeight w:val="222"/>
        </w:trPr>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4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7"/>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7"/>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jc w:val="center"/>
              <w:ind w:left="504"/>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7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7"/>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40" w:type="dxa"/>
            <w:vAlign w:val="bottom"/>
            <w:gridSpan w:val="7"/>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7"/>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7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60" w:type="dxa"/>
            <w:vAlign w:val="bottom"/>
            <w:gridSpan w:val="2"/>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60" w:type="dxa"/>
            <w:vAlign w:val="bottom"/>
            <w:gridSpan w:val="5"/>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80" w:type="dxa"/>
            <w:vAlign w:val="bottom"/>
            <w:gridSpan w:val="3"/>
            <w:vMerge w:val="continue"/>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960" w:type="dxa"/>
            <w:vAlign w:val="bottom"/>
            <w:gridSpan w:val="5"/>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CCEEFF"/>
            </w:tcBorders>
            <w:gridSpan w:val="2"/>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2080" w:type="dxa"/>
            <w:vAlign w:val="bottom"/>
            <w:gridSpan w:val="3"/>
            <w:shd w:val="clear" w:color="auto" w:fill="CCEEFF"/>
          </w:tcPr>
          <w:p>
            <w:pPr>
              <w:spacing w:after="0" w:line="291" w:lineRule="exact"/>
              <w:rPr>
                <w:sz w:val="20"/>
                <w:szCs w:val="20"/>
                <w:color w:val="auto"/>
              </w:rPr>
            </w:pPr>
            <w:r>
              <w:rPr>
                <w:rFonts w:ascii="Times New Roman" w:cs="Times New Roman" w:eastAsia="Times New Roman" w:hAnsi="Times New Roman"/>
                <w:sz w:val="16"/>
                <w:szCs w:val="16"/>
                <w:color w:val="auto"/>
              </w:rPr>
              <w:t>James Neissa</w:t>
            </w:r>
            <w:r>
              <w:rPr>
                <w:rFonts w:ascii="Times New Roman" w:cs="Times New Roman" w:eastAsia="Times New Roman" w:hAnsi="Times New Roman"/>
                <w:sz w:val="26"/>
                <w:szCs w:val="26"/>
                <w:color w:val="auto"/>
                <w:vertAlign w:val="superscript"/>
              </w:rPr>
              <w:t>(33)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Jeffrey Jagid</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12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27,650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84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Jonathan Jagid</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Joshua Jagid</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12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19,800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gridSpan w:val="2"/>
          </w:tcPr>
          <w:p>
            <w:pPr>
              <w:spacing w:after="0"/>
              <w:rPr>
                <w:sz w:val="4"/>
                <w:szCs w:val="4"/>
                <w:color w:val="auto"/>
              </w:rPr>
            </w:pPr>
          </w:p>
        </w:tc>
        <w:tc>
          <w:tcPr>
            <w:tcW w:w="80" w:type="dxa"/>
            <w:vAlign w:val="bottom"/>
          </w:tcPr>
          <w:p>
            <w:pPr>
              <w:spacing w:after="0"/>
              <w:rPr>
                <w:sz w:val="4"/>
                <w:szCs w:val="4"/>
                <w:color w:val="auto"/>
              </w:rPr>
            </w:pPr>
          </w:p>
        </w:tc>
        <w:tc>
          <w:tcPr>
            <w:tcW w:w="740" w:type="dxa"/>
            <w:vAlign w:val="bottom"/>
            <w:gridSpan w:val="2"/>
          </w:tcPr>
          <w:p>
            <w:pPr>
              <w:spacing w:after="0"/>
              <w:rPr>
                <w:sz w:val="4"/>
                <w:szCs w:val="4"/>
                <w:color w:val="auto"/>
              </w:rPr>
            </w:pPr>
          </w:p>
        </w:tc>
        <w:tc>
          <w:tcPr>
            <w:tcW w:w="820" w:type="dxa"/>
            <w:vAlign w:val="bottom"/>
            <w:gridSpan w:val="2"/>
          </w:tcPr>
          <w:p>
            <w:pPr>
              <w:spacing w:after="0"/>
              <w:rPr>
                <w:sz w:val="4"/>
                <w:szCs w:val="4"/>
                <w:color w:val="auto"/>
              </w:rPr>
            </w:pPr>
          </w:p>
        </w:tc>
        <w:tc>
          <w:tcPr>
            <w:tcW w:w="80" w:type="dxa"/>
            <w:vAlign w:val="bottom"/>
            <w:gridSpan w:val="2"/>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gridSpan w:val="2"/>
          </w:tcPr>
          <w:p>
            <w:pPr>
              <w:spacing w:after="0"/>
              <w:rPr>
                <w:sz w:val="4"/>
                <w:szCs w:val="4"/>
                <w:color w:val="auto"/>
              </w:rPr>
            </w:pPr>
          </w:p>
        </w:tc>
        <w:tc>
          <w:tcPr>
            <w:tcW w:w="840" w:type="dxa"/>
            <w:vAlign w:val="bottom"/>
            <w:gridSpan w:val="2"/>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Joshua Samuelson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91,250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Kaitlin Carey</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12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Katz 2014 Limited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Partnership</w:t>
            </w:r>
            <w:r>
              <w:rPr>
                <w:rFonts w:ascii="Times New Roman" w:cs="Times New Roman" w:eastAsia="Times New Roman" w:hAnsi="Times New Roman"/>
                <w:sz w:val="26"/>
                <w:szCs w:val="26"/>
                <w:color w:val="auto"/>
                <w:vertAlign w:val="superscript"/>
              </w:rPr>
              <w:t>(34)</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Keith F. Overlander</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Lachlan S.H. Grassie 2012</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Delaware Trust</w:t>
            </w:r>
            <w:r>
              <w:rPr>
                <w:rFonts w:ascii="Times New Roman" w:cs="Times New Roman" w:eastAsia="Times New Roman" w:hAnsi="Times New Roman"/>
                <w:sz w:val="26"/>
                <w:szCs w:val="26"/>
                <w:color w:val="auto"/>
                <w:vertAlign w:val="superscript"/>
              </w:rPr>
              <w:t>(35)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Landis Capital LLC</w:t>
            </w:r>
            <w:r>
              <w:rPr>
                <w:rFonts w:ascii="Times New Roman" w:cs="Times New Roman" w:eastAsia="Times New Roman" w:hAnsi="Times New Roman"/>
                <w:sz w:val="26"/>
                <w:szCs w:val="26"/>
                <w:color w:val="auto"/>
                <w:vertAlign w:val="superscript"/>
              </w:rPr>
              <w:t>(36)</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4"/>
                <w:szCs w:val="24"/>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Laurence Russian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Laurence Schreiber</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Entities affiliated with Luxor</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Capital</w:t>
            </w:r>
            <w:r>
              <w:rPr>
                <w:rFonts w:ascii="Times New Roman" w:cs="Times New Roman" w:eastAsia="Times New Roman" w:hAnsi="Times New Roman"/>
                <w:sz w:val="26"/>
                <w:szCs w:val="26"/>
                <w:color w:val="auto"/>
                <w:vertAlign w:val="superscript"/>
              </w:rPr>
              <w:t>(37)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5,147,524</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369,756</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2,447,524</w:t>
            </w: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jc w:val="center"/>
              <w:ind w:left="2"/>
              <w:spacing w:after="0"/>
              <w:rPr>
                <w:sz w:val="20"/>
                <w:szCs w:val="20"/>
                <w:color w:val="auto"/>
              </w:rPr>
            </w:pPr>
            <w:r>
              <w:rPr>
                <w:rFonts w:ascii="Times New Roman" w:cs="Times New Roman" w:eastAsia="Times New Roman" w:hAnsi="Times New Roman"/>
                <w:sz w:val="16"/>
                <w:szCs w:val="16"/>
                <w:color w:val="auto"/>
                <w:w w:val="96"/>
              </w:rPr>
              <w:t>2.76%</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369,756</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center"/>
              <w:ind w:left="42"/>
              <w:spacing w:after="0"/>
              <w:rPr>
                <w:sz w:val="20"/>
                <w:szCs w:val="20"/>
                <w:color w:val="auto"/>
              </w:rPr>
            </w:pPr>
            <w:r>
              <w:rPr>
                <w:rFonts w:ascii="Times New Roman" w:cs="Times New Roman" w:eastAsia="Times New Roman" w:hAnsi="Times New Roman"/>
                <w:sz w:val="16"/>
                <w:szCs w:val="16"/>
                <w:color w:val="auto"/>
                <w:w w:val="96"/>
              </w:rPr>
              <w:t>1.90%</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Manatuck Hill</w:t>
            </w:r>
            <w:r>
              <w:rPr>
                <w:rFonts w:ascii="Times New Roman" w:cs="Times New Roman" w:eastAsia="Times New Roman" w:hAnsi="Times New Roman"/>
                <w:sz w:val="26"/>
                <w:szCs w:val="26"/>
                <w:color w:val="auto"/>
                <w:vertAlign w:val="superscript"/>
              </w:rPr>
              <w:t>(38)</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1"/>
                <w:szCs w:val="21"/>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Marc Sontrop</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Matthew Tomasino</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120" w:type="dxa"/>
            <w:vAlign w:val="bottom"/>
          </w:tcPr>
          <w:p>
            <w:pPr>
              <w:spacing w:after="0"/>
              <w:rPr>
                <w:sz w:val="20"/>
                <w:szCs w:val="20"/>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Measure 8 Full Spectrum,</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LP</w:t>
            </w:r>
            <w:r>
              <w:rPr>
                <w:rFonts w:ascii="Times New Roman" w:cs="Times New Roman" w:eastAsia="Times New Roman" w:hAnsi="Times New Roman"/>
                <w:sz w:val="13"/>
                <w:szCs w:val="13"/>
                <w:color w:val="auto"/>
              </w:rPr>
              <w:t>(39)</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Ninepoint Alternative Health</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Fund</w:t>
            </w:r>
            <w:r>
              <w:rPr>
                <w:rFonts w:ascii="Times New Roman" w:cs="Times New Roman" w:eastAsia="Times New Roman" w:hAnsi="Times New Roman"/>
                <w:sz w:val="13"/>
                <w:szCs w:val="13"/>
                <w:color w:val="auto"/>
              </w:rPr>
              <w:t>(40)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7"/>
                <w:szCs w:val="17"/>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17"/>
                <w:szCs w:val="17"/>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540" w:type="dxa"/>
            <w:vAlign w:val="bottom"/>
            <w:gridSpan w:val="2"/>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Paul A. Halpern Trust date July</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1540" w:type="dxa"/>
            <w:vAlign w:val="bottom"/>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24, 2000</w:t>
            </w:r>
            <w:r>
              <w:rPr>
                <w:rFonts w:ascii="Times New Roman" w:cs="Times New Roman" w:eastAsia="Times New Roman" w:hAnsi="Times New Roman"/>
                <w:sz w:val="26"/>
                <w:szCs w:val="26"/>
                <w:color w:val="auto"/>
                <w:vertAlign w:val="superscript"/>
              </w:rPr>
              <w:t>(41)</w:t>
            </w:r>
          </w:p>
        </w:tc>
        <w:tc>
          <w:tcPr>
            <w:tcW w:w="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84"/>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Perch Bay Group, LLC</w:t>
            </w:r>
            <w:r>
              <w:rPr>
                <w:rFonts w:ascii="Times New Roman" w:cs="Times New Roman" w:eastAsia="Times New Roman" w:hAnsi="Times New Roman"/>
                <w:sz w:val="26"/>
                <w:szCs w:val="26"/>
                <w:color w:val="auto"/>
                <w:vertAlign w:val="superscript"/>
              </w:rPr>
              <w:t>(42)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4"/>
                <w:szCs w:val="24"/>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Peter J. Moses</w:t>
            </w:r>
            <w:r>
              <w:rPr>
                <w:rFonts w:ascii="Times New Roman" w:cs="Times New Roman" w:eastAsia="Times New Roman" w:hAnsi="Times New Roman"/>
                <w:sz w:val="26"/>
                <w:szCs w:val="26"/>
                <w:color w:val="auto"/>
                <w:vertAlign w:val="superscript"/>
              </w:rPr>
              <w:t>(43)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the</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Polar Funds</w:t>
            </w:r>
            <w:r>
              <w:rPr>
                <w:rFonts w:ascii="Times New Roman" w:cs="Times New Roman" w:eastAsia="Times New Roman" w:hAnsi="Times New Roman"/>
                <w:sz w:val="26"/>
                <w:szCs w:val="26"/>
                <w:color w:val="auto"/>
                <w:vertAlign w:val="superscript"/>
              </w:rPr>
              <w:t>(44)</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120" w:type="dxa"/>
            <w:vAlign w:val="bottom"/>
          </w:tcPr>
          <w:p>
            <w:pPr>
              <w:spacing w:after="0"/>
              <w:rPr>
                <w:sz w:val="21"/>
                <w:szCs w:val="21"/>
                <w:color w:val="auto"/>
              </w:rPr>
            </w:pPr>
          </w:p>
        </w:tc>
        <w:tc>
          <w:tcPr>
            <w:tcW w:w="740" w:type="dxa"/>
            <w:vAlign w:val="bottom"/>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1,500,000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Ponya Asset Management</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8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13"/>
                <w:szCs w:val="13"/>
                <w:color w:val="auto"/>
              </w:rPr>
              <w:t>(45)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5"/>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center"/>
              <w:ind w:left="22"/>
              <w:spacing w:after="0"/>
              <w:rPr>
                <w:sz w:val="20"/>
                <w:szCs w:val="20"/>
                <w:color w:val="auto"/>
              </w:rPr>
            </w:pPr>
            <w:r>
              <w:rPr>
                <w:rFonts w:ascii="Times New Roman" w:cs="Times New Roman" w:eastAsia="Times New Roman" w:hAnsi="Times New Roman"/>
                <w:sz w:val="16"/>
                <w:szCs w:val="16"/>
                <w:color w:val="auto"/>
                <w:w w:val="87"/>
              </w:rPr>
              <w:t>—</w:t>
            </w:r>
          </w:p>
        </w:tc>
        <w:tc>
          <w:tcPr>
            <w:tcW w:w="0" w:type="dxa"/>
            <w:vAlign w:val="bottom"/>
          </w:tcPr>
          <w:p>
            <w:pPr>
              <w:spacing w:after="0"/>
              <w:rPr>
                <w:sz w:val="1"/>
                <w:szCs w:val="1"/>
                <w:color w:val="auto"/>
              </w:rPr>
            </w:pPr>
          </w:p>
        </w:tc>
      </w:tr>
      <w:tr>
        <w:trPr>
          <w:trHeight w:val="48"/>
        </w:trPr>
        <w:tc>
          <w:tcPr>
            <w:tcW w:w="15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-8185785</wp:posOffset>
            </wp:positionV>
            <wp:extent cx="514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-8185785</wp:posOffset>
            </wp:positionV>
            <wp:extent cx="514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3991610</wp:posOffset>
            </wp:positionH>
            <wp:positionV relativeFrom="paragraph">
              <wp:posOffset>-8185785</wp:posOffset>
            </wp:positionV>
            <wp:extent cx="5143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-8185785</wp:posOffset>
            </wp:positionV>
            <wp:extent cx="514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-8185785</wp:posOffset>
            </wp:positionV>
            <wp:extent cx="514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-8185785</wp:posOffset>
            </wp:positionV>
            <wp:extent cx="6032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-8185785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-8185785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-5160010</wp:posOffset>
            </wp:positionV>
            <wp:extent cx="5143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-5160010</wp:posOffset>
            </wp:positionV>
            <wp:extent cx="5143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-5160010</wp:posOffset>
            </wp:positionV>
            <wp:extent cx="5143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-5160010</wp:posOffset>
            </wp:positionV>
            <wp:extent cx="5143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-5160010</wp:posOffset>
            </wp:positionV>
            <wp:extent cx="5143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-5160010</wp:posOffset>
            </wp:positionV>
            <wp:extent cx="5143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-5160010</wp:posOffset>
            </wp:positionV>
            <wp:extent cx="685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-5160010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893" w:gutter="0" w:footer="0" w:header="0"/>
        </w:sectPr>
      </w:pPr>
    </w:p>
    <w:bookmarkStart w:id="13" w:name="page14"/>
    <w:bookmarkEnd w:id="13"/>
    <w:tbl>
      <w:tblPr>
        <w:tblLayout w:type="fixed"/>
        <w:tblInd w:w="300" w:type="dxa"/>
        <w:tblCellMar>
          <w:top w:w="0" w:type="dxa"/>
          <w:left w:w="0" w:type="dxa"/>
          <w:bottom w:w="0" w:type="dxa"/>
          <w:right w:w="0" w:type="dxa"/>
        </w:tblCellMar>
      </w:tblPr>
      <w:tr>
        <w:trPr>
          <w:trHeight w:val="161"/>
        </w:trPr>
        <w:tc>
          <w:tcPr>
            <w:tcW w:w="20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0"/>
        </w:trPr>
        <w:tc>
          <w:tcPr>
            <w:tcW w:w="154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 Class A</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of</w:t>
            </w: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gridSpan w:val="5"/>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 Owned</w:t>
            </w: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72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3"/>
          </w:tcPr>
          <w:p>
            <w:pPr>
              <w:jc w:val="center"/>
              <w:ind w:left="503"/>
              <w:spacing w:after="0" w:line="149" w:lineRule="exact"/>
              <w:rPr>
                <w:sz w:val="20"/>
                <w:szCs w:val="20"/>
                <w:color w:val="auto"/>
              </w:rPr>
            </w:pPr>
            <w:r>
              <w:rPr>
                <w:rFonts w:ascii="Times New Roman" w:cs="Times New Roman" w:eastAsia="Times New Roman" w:hAnsi="Times New Roman"/>
                <w:sz w:val="14"/>
                <w:szCs w:val="14"/>
                <w:b w:val="1"/>
                <w:bCs w:val="1"/>
                <w:color w:val="auto"/>
              </w:rPr>
              <w:t>After</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 Beneficially</w:t>
            </w: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820" w:type="dxa"/>
            <w:vAlign w:val="bottom"/>
            <w:gridSpan w:val="2"/>
            <w:vMerge w:val="continue"/>
          </w:tcPr>
          <w:p>
            <w:pPr>
              <w:spacing w:after="0"/>
              <w:rPr>
                <w:sz w:val="12"/>
                <w:szCs w:val="12"/>
                <w:color w:val="auto"/>
              </w:rPr>
            </w:pPr>
          </w:p>
        </w:tc>
        <w:tc>
          <w:tcPr>
            <w:tcW w:w="7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Class A of</w:t>
            </w:r>
          </w:p>
        </w:tc>
        <w:tc>
          <w:tcPr>
            <w:tcW w:w="7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40" w:type="dxa"/>
            <w:vAlign w:val="bottom"/>
            <w:gridSpan w:val="5"/>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the Offered Shares of</w:t>
            </w:r>
          </w:p>
        </w:tc>
        <w:tc>
          <w:tcPr>
            <w:tcW w:w="15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7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740" w:type="dxa"/>
            <w:vAlign w:val="bottom"/>
            <w:gridSpan w:val="2"/>
            <w:vMerge w:val="continue"/>
          </w:tcPr>
          <w:p>
            <w:pPr>
              <w:spacing w:after="0"/>
              <w:rPr>
                <w:sz w:val="12"/>
                <w:szCs w:val="12"/>
                <w:color w:val="auto"/>
              </w:rPr>
            </w:pPr>
          </w:p>
        </w:tc>
        <w:tc>
          <w:tcPr>
            <w:tcW w:w="1640" w:type="dxa"/>
            <w:vAlign w:val="bottom"/>
            <w:gridSpan w:val="5"/>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Class A Common Stock</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Owned After the Offered</w:t>
            </w: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Owned</w:t>
            </w:r>
          </w:p>
        </w:tc>
        <w:tc>
          <w:tcPr>
            <w:tcW w:w="7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7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Warrants</w:t>
            </w:r>
          </w:p>
        </w:tc>
        <w:tc>
          <w:tcPr>
            <w:tcW w:w="1640" w:type="dxa"/>
            <w:vAlign w:val="bottom"/>
            <w:gridSpan w:val="5"/>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are Sold</w:t>
            </w:r>
          </w:p>
        </w:tc>
        <w:tc>
          <w:tcPr>
            <w:tcW w:w="15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are Sold</w:t>
            </w:r>
          </w:p>
        </w:tc>
        <w:tc>
          <w:tcPr>
            <w:tcW w:w="0" w:type="dxa"/>
            <w:vAlign w:val="bottom"/>
          </w:tcPr>
          <w:p>
            <w:pPr>
              <w:spacing w:after="0"/>
              <w:rPr>
                <w:sz w:val="1"/>
                <w:szCs w:val="1"/>
                <w:color w:val="auto"/>
              </w:rPr>
            </w:pPr>
          </w:p>
        </w:tc>
      </w:tr>
      <w:tr>
        <w:trPr>
          <w:trHeight w:val="92"/>
        </w:trPr>
        <w:tc>
          <w:tcPr>
            <w:tcW w:w="15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gridSpan w:val="2"/>
            <w:vMerge w:val="restart"/>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820" w:type="dxa"/>
            <w:vAlign w:val="bottom"/>
            <w:gridSpan w:val="2"/>
            <w:vMerge w:val="restart"/>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Prior to</w:t>
            </w:r>
          </w:p>
        </w:tc>
        <w:tc>
          <w:tcPr>
            <w:tcW w:w="72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Being</w:t>
            </w:r>
          </w:p>
        </w:tc>
        <w:tc>
          <w:tcPr>
            <w:tcW w:w="740" w:type="dxa"/>
            <w:vAlign w:val="bottom"/>
            <w:gridSpan w:val="2"/>
            <w:vMerge w:val="restart"/>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Being</w:t>
            </w:r>
          </w:p>
        </w:tc>
        <w:tc>
          <w:tcPr>
            <w:tcW w:w="8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6"/>
        </w:trPr>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of Selling Securityholder</w:t>
            </w:r>
          </w:p>
        </w:tc>
        <w:tc>
          <w:tcPr>
            <w:tcW w:w="860" w:type="dxa"/>
            <w:vAlign w:val="bottom"/>
            <w:gridSpan w:val="2"/>
            <w:vMerge w:val="continue"/>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960" w:type="dxa"/>
            <w:vAlign w:val="bottom"/>
            <w:gridSpan w:val="3"/>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6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8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720" w:type="dxa"/>
            <w:vAlign w:val="bottom"/>
            <w:vMerge w:val="restart"/>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line="20" w:lineRule="exact"/>
              <w:rPr>
                <w:sz w:val="1"/>
                <w:szCs w:val="1"/>
                <w:color w:val="auto"/>
              </w:rPr>
            </w:pPr>
          </w:p>
        </w:tc>
      </w:tr>
      <w:tr>
        <w:trPr>
          <w:trHeight w:val="190"/>
        </w:trPr>
        <w:tc>
          <w:tcPr>
            <w:tcW w:w="2080" w:type="dxa"/>
            <w:vAlign w:val="bottom"/>
            <w:gridSpan w:val="3"/>
            <w:vMerge w:val="continue"/>
          </w:tcPr>
          <w:p>
            <w:pPr>
              <w:spacing w:after="0"/>
              <w:rPr>
                <w:sz w:val="16"/>
                <w:szCs w:val="16"/>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Owned</w:t>
            </w: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Offering</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Offered</w:t>
            </w:r>
          </w:p>
        </w:tc>
        <w:tc>
          <w:tcPr>
            <w:tcW w:w="7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Offered</w:t>
            </w:r>
          </w:p>
        </w:tc>
        <w:tc>
          <w:tcPr>
            <w:tcW w:w="960" w:type="dxa"/>
            <w:vAlign w:val="bottom"/>
            <w:gridSpan w:val="3"/>
            <w:vMerge w:val="continue"/>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15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Ray E. Newton III Revocable</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80" w:type="dxa"/>
            <w:vAlign w:val="bottom"/>
            <w:gridSpan w:val="3"/>
            <w:shd w:val="clear" w:color="auto" w:fill="CCEEFF"/>
          </w:tcPr>
          <w:p>
            <w:pPr>
              <w:ind w:left="140"/>
              <w:spacing w:after="0" w:line="175" w:lineRule="exact"/>
              <w:rPr>
                <w:sz w:val="20"/>
                <w:szCs w:val="20"/>
                <w:color w:val="auto"/>
              </w:rPr>
            </w:pPr>
            <w:r>
              <w:rPr>
                <w:rFonts w:ascii="Times New Roman" w:cs="Times New Roman" w:eastAsia="Times New Roman" w:hAnsi="Times New Roman"/>
                <w:sz w:val="16"/>
                <w:szCs w:val="16"/>
                <w:color w:val="auto"/>
              </w:rPr>
              <w:t>Trust UAD 10/11/12 as</w:t>
            </w: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amended 7/23/19</w:t>
            </w:r>
            <w:r>
              <w:rPr>
                <w:rFonts w:ascii="Times New Roman" w:cs="Times New Roman" w:eastAsia="Times New Roman" w:hAnsi="Times New Roman"/>
                <w:sz w:val="26"/>
                <w:szCs w:val="26"/>
                <w:color w:val="auto"/>
                <w:vertAlign w:val="superscript"/>
              </w:rPr>
              <w:t>(46)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7,550</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7,550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Richard Goldman</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Richard Prager</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Robinson Family Trust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15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2016</w:t>
            </w:r>
            <w:r>
              <w:rPr>
                <w:rFonts w:ascii="Times New Roman" w:cs="Times New Roman" w:eastAsia="Times New Roman" w:hAnsi="Times New Roman"/>
                <w:sz w:val="13"/>
                <w:szCs w:val="13"/>
                <w:color w:val="auto"/>
              </w:rPr>
              <w:t>(47)</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17"/>
                <w:szCs w:val="17"/>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8"/>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Rock J. Eiden &amp; Sandra K.</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080" w:type="dxa"/>
            <w:vAlign w:val="bottom"/>
            <w:tcBorders>
              <w:bottom w:val="single" w:sz="8" w:color="CCEEFF"/>
            </w:tcBorders>
            <w:gridSpan w:val="3"/>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Eiden</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Rothschild &amp; Co US Inc.</w:t>
            </w:r>
            <w:r>
              <w:rPr>
                <w:rFonts w:ascii="Times New Roman" w:cs="Times New Roman" w:eastAsia="Times New Roman" w:hAnsi="Times New Roman"/>
                <w:sz w:val="26"/>
                <w:szCs w:val="26"/>
                <w:color w:val="auto"/>
                <w:vertAlign w:val="superscript"/>
              </w:rPr>
              <w:t>(48)</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190,000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Roystone Capital Master Fund</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Ltd.</w:t>
            </w:r>
            <w:r>
              <w:rPr>
                <w:rFonts w:ascii="Times New Roman" w:cs="Times New Roman" w:eastAsia="Times New Roman" w:hAnsi="Times New Roman"/>
                <w:sz w:val="26"/>
                <w:szCs w:val="26"/>
                <w:color w:val="auto"/>
                <w:vertAlign w:val="superscript"/>
              </w:rPr>
              <w:t>(49)</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699,437</w:t>
            </w:r>
          </w:p>
        </w:tc>
        <w:tc>
          <w:tcPr>
            <w:tcW w:w="12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297,000</w:t>
            </w:r>
          </w:p>
        </w:tc>
        <w:tc>
          <w:tcPr>
            <w:tcW w:w="8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49,437</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1"/>
                <w:szCs w:val="21"/>
                <w:color w:val="auto"/>
              </w:rPr>
            </w:pPr>
          </w:p>
        </w:tc>
        <w:tc>
          <w:tcPr>
            <w:tcW w:w="7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297,000</w:t>
            </w:r>
          </w:p>
        </w:tc>
        <w:tc>
          <w:tcPr>
            <w:tcW w:w="8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Samantha Lewis</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Scott J. Taylor</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Pura</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Vida Investments, LLC</w:t>
            </w:r>
            <w:r>
              <w:rPr>
                <w:rFonts w:ascii="Times New Roman" w:cs="Times New Roman" w:eastAsia="Times New Roman" w:hAnsi="Times New Roman"/>
                <w:sz w:val="26"/>
                <w:szCs w:val="26"/>
                <w:color w:val="auto"/>
                <w:vertAlign w:val="superscript"/>
              </w:rPr>
              <w:t>(50)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3,200,000</w:t>
            </w:r>
          </w:p>
        </w:tc>
        <w:tc>
          <w:tcPr>
            <w:tcW w:w="12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3,200,000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80" w:type="dxa"/>
            <w:vAlign w:val="bottom"/>
          </w:tcPr>
          <w:p>
            <w:pPr>
              <w:spacing w:after="0"/>
              <w:rPr>
                <w:sz w:val="21"/>
                <w:szCs w:val="21"/>
                <w:color w:val="auto"/>
              </w:rPr>
            </w:pPr>
          </w:p>
        </w:tc>
        <w:tc>
          <w:tcPr>
            <w:tcW w:w="7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Seawolf Capital LLC</w:t>
            </w:r>
            <w:r>
              <w:rPr>
                <w:rFonts w:ascii="Times New Roman" w:cs="Times New Roman" w:eastAsia="Times New Roman" w:hAnsi="Times New Roman"/>
                <w:sz w:val="26"/>
                <w:szCs w:val="26"/>
                <w:color w:val="auto"/>
                <w:vertAlign w:val="superscript"/>
              </w:rPr>
              <w:t>(51)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43,750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Entities affiliated with Senvest</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tcPr>
          <w:p>
            <w:pPr>
              <w:ind w:left="140"/>
              <w:spacing w:after="0" w:line="252" w:lineRule="exact"/>
              <w:rPr>
                <w:sz w:val="20"/>
                <w:szCs w:val="20"/>
                <w:color w:val="auto"/>
              </w:rPr>
            </w:pPr>
            <w:r>
              <w:rPr>
                <w:rFonts w:ascii="Times New Roman" w:cs="Times New Roman" w:eastAsia="Times New Roman" w:hAnsi="Times New Roman"/>
                <w:sz w:val="16"/>
                <w:szCs w:val="16"/>
                <w:color w:val="auto"/>
              </w:rPr>
              <w:t>Management LLC</w:t>
            </w:r>
            <w:r>
              <w:rPr>
                <w:rFonts w:ascii="Times New Roman" w:cs="Times New Roman" w:eastAsia="Times New Roman" w:hAnsi="Times New Roman"/>
                <w:sz w:val="26"/>
                <w:szCs w:val="26"/>
                <w:color w:val="auto"/>
                <w:vertAlign w:val="superscript"/>
              </w:rPr>
              <w:t>(52)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5,584,975</w:t>
            </w:r>
          </w:p>
        </w:tc>
        <w:tc>
          <w:tcPr>
            <w:tcW w:w="120" w:type="dxa"/>
            <w:vAlign w:val="bottom"/>
          </w:tcPr>
          <w:p>
            <w:pPr>
              <w:spacing w:after="0"/>
              <w:rPr>
                <w:sz w:val="21"/>
                <w:szCs w:val="21"/>
                <w:color w:val="auto"/>
              </w:rPr>
            </w:pP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w w:val="99"/>
              </w:rPr>
              <w:t>3,468,682</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3"/>
              </w:rPr>
              <w:t>4,000,000</w:t>
            </w:r>
          </w:p>
        </w:tc>
        <w:tc>
          <w:tcPr>
            <w:tcW w:w="80" w:type="dxa"/>
            <w:vAlign w:val="bottom"/>
          </w:tcPr>
          <w:p>
            <w:pPr>
              <w:spacing w:after="0"/>
              <w:rPr>
                <w:sz w:val="21"/>
                <w:szCs w:val="21"/>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1,584,975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0" w:type="dxa"/>
            <w:vAlign w:val="bottom"/>
          </w:tcPr>
          <w:p>
            <w:pPr>
              <w:jc w:val="center"/>
              <w:ind w:left="2"/>
              <w:spacing w:after="0"/>
              <w:rPr>
                <w:sz w:val="20"/>
                <w:szCs w:val="20"/>
                <w:color w:val="auto"/>
              </w:rPr>
            </w:pPr>
            <w:r>
              <w:rPr>
                <w:rFonts w:ascii="Times New Roman" w:cs="Times New Roman" w:eastAsia="Times New Roman" w:hAnsi="Times New Roman"/>
                <w:sz w:val="16"/>
                <w:szCs w:val="16"/>
                <w:color w:val="auto"/>
                <w:w w:val="96"/>
              </w:rPr>
              <w:t>1.78%</w:t>
            </w: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3,468,682</w:t>
            </w: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w:t>
            </w:r>
          </w:p>
        </w:tc>
        <w:tc>
          <w:tcPr>
            <w:tcW w:w="0" w:type="dxa"/>
            <w:vAlign w:val="bottom"/>
          </w:tcPr>
          <w:p>
            <w:pPr>
              <w:spacing w:after="0"/>
              <w:rPr>
                <w:sz w:val="1"/>
                <w:szCs w:val="1"/>
                <w:color w:val="auto"/>
              </w:rPr>
            </w:pPr>
          </w:p>
        </w:tc>
      </w:tr>
      <w:tr>
        <w:trPr>
          <w:trHeight w:val="284"/>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SOJE Fund LP</w:t>
            </w:r>
            <w:r>
              <w:rPr>
                <w:rFonts w:ascii="Times New Roman" w:cs="Times New Roman" w:eastAsia="Times New Roman" w:hAnsi="Times New Roman"/>
                <w:sz w:val="26"/>
                <w:szCs w:val="26"/>
                <w:color w:val="auto"/>
                <w:vertAlign w:val="superscript"/>
              </w:rPr>
              <w:t>(53)</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65,625</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SRC WM LP</w:t>
            </w:r>
            <w:r>
              <w:rPr>
                <w:rFonts w:ascii="Times New Roman" w:cs="Times New Roman" w:eastAsia="Times New Roman" w:hAnsi="Times New Roman"/>
                <w:sz w:val="26"/>
                <w:szCs w:val="26"/>
                <w:color w:val="auto"/>
                <w:vertAlign w:val="superscript"/>
              </w:rPr>
              <w:t>(54)</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Stephen J. Antinelli</w:t>
            </w:r>
            <w:r>
              <w:rPr>
                <w:rFonts w:ascii="Times New Roman" w:cs="Times New Roman" w:eastAsia="Times New Roman" w:hAnsi="Times New Roman"/>
                <w:sz w:val="26"/>
                <w:szCs w:val="26"/>
                <w:color w:val="auto"/>
                <w:vertAlign w:val="superscript"/>
              </w:rPr>
              <w:t>(55)</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Stuart Spodek</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7"/>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Sunshine Charitable</w:t>
            </w: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2080" w:type="dxa"/>
            <w:vAlign w:val="bottom"/>
            <w:gridSpan w:val="3"/>
            <w:shd w:val="clear" w:color="auto" w:fill="CCEEFF"/>
          </w:tcPr>
          <w:p>
            <w:pPr>
              <w:ind w:left="140"/>
              <w:spacing w:after="0" w:line="252" w:lineRule="exact"/>
              <w:rPr>
                <w:sz w:val="20"/>
                <w:szCs w:val="20"/>
                <w:color w:val="auto"/>
              </w:rPr>
            </w:pPr>
            <w:r>
              <w:rPr>
                <w:rFonts w:ascii="Times New Roman" w:cs="Times New Roman" w:eastAsia="Times New Roman" w:hAnsi="Times New Roman"/>
                <w:sz w:val="16"/>
                <w:szCs w:val="16"/>
                <w:color w:val="auto"/>
              </w:rPr>
              <w:t>Foundation</w:t>
            </w:r>
            <w:r>
              <w:rPr>
                <w:rFonts w:ascii="Times New Roman" w:cs="Times New Roman" w:eastAsia="Times New Roman" w:hAnsi="Times New Roman"/>
                <w:sz w:val="26"/>
                <w:szCs w:val="26"/>
                <w:color w:val="auto"/>
                <w:vertAlign w:val="superscript"/>
              </w:rPr>
              <w:t>(56)</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2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Susan Nappan Cocke</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Tauro Investments, LLC</w:t>
            </w:r>
            <w:r>
              <w:rPr>
                <w:rFonts w:ascii="Times New Roman" w:cs="Times New Roman" w:eastAsia="Times New Roman" w:hAnsi="Times New Roman"/>
                <w:sz w:val="26"/>
                <w:szCs w:val="26"/>
                <w:color w:val="auto"/>
                <w:vertAlign w:val="superscript"/>
              </w:rPr>
              <w:t>(57)</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TCCS I, LP</w:t>
            </w:r>
            <w:r>
              <w:rPr>
                <w:rFonts w:ascii="Times New Roman" w:cs="Times New Roman" w:eastAsia="Times New Roman" w:hAnsi="Times New Roman"/>
                <w:sz w:val="26"/>
                <w:szCs w:val="26"/>
                <w:color w:val="auto"/>
                <w:vertAlign w:val="superscript"/>
              </w:rPr>
              <w:t>(58)</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4"/>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Teak Fund, LP</w:t>
            </w:r>
            <w:r>
              <w:rPr>
                <w:rFonts w:ascii="Times New Roman" w:cs="Times New Roman" w:eastAsia="Times New Roman" w:hAnsi="Times New Roman"/>
                <w:sz w:val="26"/>
                <w:szCs w:val="26"/>
                <w:color w:val="auto"/>
                <w:vertAlign w:val="superscript"/>
              </w:rPr>
              <w:t>(59)</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Teton Fund, LP</w:t>
            </w:r>
            <w:r>
              <w:rPr>
                <w:rFonts w:ascii="Times New Roman" w:cs="Times New Roman" w:eastAsia="Times New Roman" w:hAnsi="Times New Roman"/>
                <w:sz w:val="26"/>
                <w:szCs w:val="26"/>
                <w:color w:val="auto"/>
                <w:vertAlign w:val="superscript"/>
              </w:rPr>
              <w:t>(60)</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The Vorfeld Family Trust</w:t>
            </w:r>
            <w:r>
              <w:rPr>
                <w:rFonts w:ascii="Times New Roman" w:cs="Times New Roman" w:eastAsia="Times New Roman" w:hAnsi="Times New Roman"/>
                <w:sz w:val="26"/>
                <w:szCs w:val="26"/>
                <w:color w:val="auto"/>
                <w:vertAlign w:val="superscript"/>
              </w:rPr>
              <w:t>(61)</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Thomas Marino</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25,000</w:t>
            </w:r>
          </w:p>
        </w:tc>
        <w:tc>
          <w:tcPr>
            <w:tcW w:w="80" w:type="dxa"/>
            <w:vAlign w:val="bottom"/>
          </w:tcPr>
          <w:p>
            <w:pPr>
              <w:spacing w:after="0"/>
              <w:rPr>
                <w:sz w:val="20"/>
                <w:szCs w:val="20"/>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0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Troy Gregory</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81,000</w:t>
            </w:r>
          </w:p>
        </w:tc>
        <w:tc>
          <w:tcPr>
            <w:tcW w:w="8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Borders>
              <w:bottom w:val="single" w:sz="8" w:color="CCEEFF"/>
            </w:tcBorders>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20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TLP Investment Partners</w:t>
            </w: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2080" w:type="dxa"/>
            <w:vAlign w:val="bottom"/>
            <w:gridSpan w:val="3"/>
          </w:tcPr>
          <w:p>
            <w:pPr>
              <w:ind w:left="140"/>
              <w:spacing w:after="0"/>
              <w:rPr>
                <w:sz w:val="20"/>
                <w:szCs w:val="20"/>
                <w:color w:val="auto"/>
              </w:rPr>
            </w:pPr>
            <w:r>
              <w:rPr>
                <w:rFonts w:ascii="Times New Roman" w:cs="Times New Roman" w:eastAsia="Times New Roman" w:hAnsi="Times New Roman"/>
                <w:sz w:val="16"/>
                <w:szCs w:val="16"/>
                <w:color w:val="auto"/>
              </w:rPr>
              <w:t>LLC</w:t>
            </w:r>
            <w:r>
              <w:rPr>
                <w:rFonts w:ascii="Times New Roman" w:cs="Times New Roman" w:eastAsia="Times New Roman" w:hAnsi="Times New Roman"/>
                <w:sz w:val="13"/>
                <w:szCs w:val="13"/>
                <w:color w:val="auto"/>
              </w:rPr>
              <w:t>(62)</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1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60,000</w:t>
            </w:r>
          </w:p>
        </w:tc>
        <w:tc>
          <w:tcPr>
            <w:tcW w:w="80" w:type="dxa"/>
            <w:vAlign w:val="bottom"/>
          </w:tcPr>
          <w:p>
            <w:pPr>
              <w:spacing w:after="0"/>
              <w:rPr>
                <w:sz w:val="17"/>
                <w:szCs w:val="17"/>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9"/>
        </w:trPr>
        <w:tc>
          <w:tcPr>
            <w:tcW w:w="15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3"/>
        </w:trPr>
        <w:tc>
          <w:tcPr>
            <w:tcW w:w="2080" w:type="dxa"/>
            <w:vAlign w:val="bottom"/>
            <w:gridSpan w:val="3"/>
            <w:shd w:val="clear" w:color="auto" w:fill="CCEEFF"/>
          </w:tcPr>
          <w:p>
            <w:pPr>
              <w:spacing w:after="0" w:line="283" w:lineRule="exact"/>
              <w:rPr>
                <w:sz w:val="20"/>
                <w:szCs w:val="20"/>
                <w:color w:val="auto"/>
              </w:rPr>
            </w:pPr>
            <w:r>
              <w:rPr>
                <w:rFonts w:ascii="Times New Roman" w:cs="Times New Roman" w:eastAsia="Times New Roman" w:hAnsi="Times New Roman"/>
                <w:sz w:val="16"/>
                <w:szCs w:val="16"/>
                <w:color w:val="auto"/>
              </w:rPr>
              <w:t>TUP Investments, L.P.</w:t>
            </w:r>
            <w:r>
              <w:rPr>
                <w:rFonts w:ascii="Times New Roman" w:cs="Times New Roman" w:eastAsia="Times New Roman" w:hAnsi="Times New Roman"/>
                <w:sz w:val="26"/>
                <w:szCs w:val="26"/>
                <w:color w:val="auto"/>
                <w:vertAlign w:val="superscript"/>
              </w:rPr>
              <w:t>(63)</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800,000</w:t>
            </w: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c>
          <w:tcPr>
            <w:tcW w:w="80" w:type="dxa"/>
            <w:vAlign w:val="bottom"/>
            <w:shd w:val="clear" w:color="auto" w:fill="CCEEFF"/>
          </w:tcPr>
          <w:p>
            <w:pPr>
              <w:spacing w:after="0"/>
              <w:rPr>
                <w:sz w:val="24"/>
                <w:szCs w:val="24"/>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83"/>
        </w:trPr>
        <w:tc>
          <w:tcPr>
            <w:tcW w:w="2080" w:type="dxa"/>
            <w:vAlign w:val="bottom"/>
            <w:gridSpan w:val="3"/>
          </w:tcPr>
          <w:p>
            <w:pPr>
              <w:spacing w:after="0" w:line="283" w:lineRule="exact"/>
              <w:rPr>
                <w:sz w:val="20"/>
                <w:szCs w:val="20"/>
                <w:color w:val="auto"/>
              </w:rPr>
            </w:pPr>
            <w:r>
              <w:rPr>
                <w:rFonts w:ascii="Times New Roman" w:cs="Times New Roman" w:eastAsia="Times New Roman" w:hAnsi="Times New Roman"/>
                <w:sz w:val="16"/>
                <w:szCs w:val="16"/>
                <w:color w:val="auto"/>
              </w:rPr>
              <w:t>Vobren Limited</w:t>
            </w:r>
            <w:r>
              <w:rPr>
                <w:rFonts w:ascii="Times New Roman" w:cs="Times New Roman" w:eastAsia="Times New Roman" w:hAnsi="Times New Roman"/>
                <w:sz w:val="26"/>
                <w:szCs w:val="26"/>
                <w:color w:val="auto"/>
                <w:vertAlign w:val="superscript"/>
              </w:rPr>
              <w:t>(64)</w:t>
            </w:r>
          </w:p>
        </w:tc>
        <w:tc>
          <w:tcPr>
            <w:tcW w:w="74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100,000</w:t>
            </w:r>
          </w:p>
        </w:tc>
        <w:tc>
          <w:tcPr>
            <w:tcW w:w="120" w:type="dxa"/>
            <w:vAlign w:val="bottom"/>
          </w:tcPr>
          <w:p>
            <w:pPr>
              <w:spacing w:after="0"/>
              <w:rPr>
                <w:sz w:val="24"/>
                <w:szCs w:val="24"/>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0" w:type="dxa"/>
            <w:vAlign w:val="bottom"/>
          </w:tcPr>
          <w:p>
            <w:pPr>
              <w:spacing w:after="0"/>
              <w:rPr>
                <w:sz w:val="24"/>
                <w:szCs w:val="24"/>
                <w:color w:val="auto"/>
              </w:rPr>
            </w:pPr>
          </w:p>
        </w:tc>
        <w:tc>
          <w:tcPr>
            <w:tcW w:w="7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2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6"/>
                <w:szCs w:val="16"/>
                <w:color w:val="auto"/>
              </w:rPr>
              <w:t>William James Pade III</w:t>
            </w:r>
          </w:p>
        </w:tc>
        <w:tc>
          <w:tcPr>
            <w:tcW w:w="7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150,000</w:t>
            </w:r>
          </w:p>
        </w:tc>
        <w:tc>
          <w:tcPr>
            <w:tcW w:w="1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150,000</w:t>
            </w:r>
          </w:p>
        </w:tc>
        <w:tc>
          <w:tcPr>
            <w:tcW w:w="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ind w:right="10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8"/>
        </w:trPr>
        <w:tc>
          <w:tcPr>
            <w:tcW w:w="1540" w:type="dxa"/>
            <w:vAlign w:val="bottom"/>
            <w:shd w:val="clear" w:color="auto" w:fill="CCEEFF"/>
          </w:tcPr>
          <w:p>
            <w:pPr>
              <w:spacing w:after="0"/>
              <w:rPr>
                <w:sz w:val="4"/>
                <w:szCs w:val="4"/>
                <w:color w:val="auto"/>
              </w:rPr>
            </w:pPr>
          </w:p>
        </w:tc>
        <w:tc>
          <w:tcPr>
            <w:tcW w:w="4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7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4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82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60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72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-6240145</wp:posOffset>
            </wp:positionV>
            <wp:extent cx="514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-6240145</wp:posOffset>
            </wp:positionV>
            <wp:extent cx="514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-6240145</wp:posOffset>
            </wp:positionV>
            <wp:extent cx="5143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3460115</wp:posOffset>
            </wp:positionH>
            <wp:positionV relativeFrom="paragraph">
              <wp:posOffset>-6240145</wp:posOffset>
            </wp:positionV>
            <wp:extent cx="514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2980055</wp:posOffset>
            </wp:positionH>
            <wp:positionV relativeFrom="paragraph">
              <wp:posOffset>-6240145</wp:posOffset>
            </wp:positionV>
            <wp:extent cx="514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2525395</wp:posOffset>
            </wp:positionH>
            <wp:positionV relativeFrom="paragraph">
              <wp:posOffset>-6240145</wp:posOffset>
            </wp:positionV>
            <wp:extent cx="5143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1985645</wp:posOffset>
            </wp:positionH>
            <wp:positionV relativeFrom="paragraph">
              <wp:posOffset>-6240145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1445260</wp:posOffset>
            </wp:positionH>
            <wp:positionV relativeFrom="paragraph">
              <wp:posOffset>-6240145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jc w:val="both"/>
        <w:ind w:left="640" w:right="299" w:hanging="348"/>
        <w:spacing w:after="0" w:line="229" w:lineRule="auto"/>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17,162,485 shares of Class A Common Stock issuable upon exchange of Paired Interests held by Mr. Francis, 8,469,191 shares of Class A Common Stock issuable upon exchange of Paired Interests held by Ghost Media Group, LLC, 600,618 shares of Class A Common Stock issuable upon exchange of Paired Interests held by Genco Incentives, LLC and 1,468,555 shares of Class A Common Stock issuable upon exchange of Paired Interests held by WM Founders Legacy I, LLC. Ghost Media Group, LLC is controlled by Messrs. Francis and Hartfield and WM Founders Legacy I, LLC and Genco Incentives, LLC are controlled by Mr. Francis. Accordingly, Mr. Francis may be deemed to be a beneficial owner of the Registrable Securities held by Ghost Media Group, LLC, Genco Incentives, LLC and WM Founders Legacy I, LLC.</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19,288,160 shares of Class A Common Stock issuable upon exchange of Paired Interests held by Mr. Hartfield, 8,469,191 shares of Class A Common Stock issuable upon exchange of Paired Interests held by Ghost Media Group, LLC and 1,570,959 shares of Class A Common Stock issuable upon exchange of Paired Interests held by WM Founders Legacy II, LLC. Ghost Media Group, LLC is controlled by Messrs. Hartfield and Francis and WM Founders Legacy II, LLC is controlled by Mr. Hartfield. Accordingly, Mr. Hartfield may be deemed to be a beneficial owner of the Registrable Securities held by Ghost Media Group, LLC and WM Founders Legacy II, LLC.</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6,250,000 shares of Class A Common Stock held by Silver Spike Sponsor, LLC and 1,265,752 shares of Class A Common Stock held by Silver Spike Opportunities I, LLC (the “SPV”). Silver Spike Sponsor, LLC and Silver Spike Capital, LLC, the manager of the SPV, are both controlled by Silver Spike Holdings, LP. Accordingly, Silver Spike Holdings, LP may be deemed to be a beneficial owner of the Registrable Securities held by Silver Spike Sponsor, LLC and the Registrable Securities held by the SPV. Silver Spike Sponsor, LLC is controlled by Greg Gentile, Scott Gordon and William Healy. Accordingly, Mr. Gentile, Gordon and Healy may be deemed to be a beneficial</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2" w:right="1440" w:bottom="866"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41" w:lineRule="auto"/>
        <w:rPr>
          <w:sz w:val="20"/>
          <w:szCs w:val="20"/>
          <w:color w:val="auto"/>
        </w:rPr>
      </w:pPr>
      <w:r>
        <w:rPr>
          <w:rFonts w:ascii="Times New Roman" w:cs="Times New Roman" w:eastAsia="Times New Roman" w:hAnsi="Times New Roman"/>
          <w:sz w:val="14"/>
          <w:szCs w:val="14"/>
          <w:color w:val="auto"/>
        </w:rPr>
        <w:t>owner of the Registrable Securities held by Silver Spike Sponsor, LLC. Mr. Gordon served as a director of Silver Spike prior to the Closing of the Business Combination and currently serves as a director of the Company. SPV is controlled by Mr. Gentile. Accordingly, Mr. Gentile may be deemed to be a beneficial owner of the Registrable Securities held by the SPV.</w:t>
      </w:r>
    </w:p>
    <w:p>
      <w:pPr>
        <w:spacing w:after="0" w:line="15" w:lineRule="exact"/>
        <w:rPr>
          <w:sz w:val="20"/>
          <w:szCs w:val="20"/>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 Maglio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Josephson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Jaroslav Enrique Alonso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Sanjay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Mohsinuddin Ansari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1,250,000 shares of Class A Common Stock held by Mr. Aquila, 2,500,000 shares of Class A Common Stock held by AFV Partners SPV-5 (WM) LLC (“AFV 5”), 1,100,000 shares of Class A Common Stock held by AFV Partners SPV-6 (WM) LLC (“AFV 6”), 50,000 shares of Class A Common Stock held by Aquila 2007 Irrevocable Trust U/A FBO Cecily Aquila DTD 05/10/2007 (“Cecily Trust”), 50,000 shares of Class A Common Stock held by Aquila 2007 Irrevocable Trust U/A FBO Christopher Aquila DTD 05/10/2007 (“Christopher Trust”) and 50,000 shares of Class A Common Stock held by Aquila 2007 Irrevocable Trust U/A FBO Elliott Aquila DTD 05/10/2007 (“Elliott Trust”). Mr. Aquila is the Chairman and CEO of AFV Partners LLC, which exercises ultimate voting and investment power with respect to the Registrable Securities held by AFV 5 and AFV 6. Mr. Aquila is the trustee to Cecily Trust, Christopher Trust and Elliott Trust. As such, Mr. Aquila may be deemed to be a beneficial owner of the Registrable Securities held by AFV 5, AFV 6, Cecily Trust, Christopher Trust and Elliott Trust. The business address of the reporting person is 2126 Hamilton Road Suite 260, Argyle, TX 76226.</w:t>
      </w:r>
    </w:p>
    <w:p>
      <w:pPr>
        <w:spacing w:after="0" w:line="9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Kelly Yip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9"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112,740 shares of Class A Common Stock held by BEMAP Master Fund LTD, 13,547 shares of Class A Common Stock held by Bespoke Alpha MAC MIM LP, 91,492 shares of Class A Common Stock held by DS Liquid Div RVA MON LLC, 63,080 shares of Class A Common Stock held by Monashee Pure Alpha SPV I LP and 69,141 shares of Class A Common Stock held by Monashee Solitario Fund LP. Jeff Muller is the Chief Compliance Officer of Monashee Investment Management, LLC, which may be deemed to be the beneficial owner of the Registrable Securities held by BEMAP Master Fund LTD, Bespoke Alpha MAC MIM LP, DS Liquid Div RVA MON LLC, Monashee Pure Alpha SPV I LP and Monashee Solitario Fund LP. Mr. Muller, however, disclaims any beneficial ownership of the Registrable Securities held by Monashee Investment Management, LLC or its affiliated entities aforementioned.</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6"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Oriental Investments SA has voting and investment control of the Registrable Securities held by the Selling Securityholders. General Oriental Investments SA can be directed by certain of its representatives and must act by (i) Constantin Papadimitriou and David Cowling jointly or (ii) (A) one of Constantin Papadimitriou or David Cowling and (B) one of (1) Tom Lileng, (2) Jean-Baptiste Luccio, (3) Julien Brenier or (4) Rupert Martin.</w:t>
      </w:r>
    </w:p>
    <w:p>
      <w:pPr>
        <w:spacing w:after="0" w:line="14" w:lineRule="exact"/>
        <w:rPr>
          <w:rFonts w:ascii="Times New Roman" w:cs="Times New Roman" w:eastAsia="Times New Roman" w:hAnsi="Times New Roman"/>
          <w:sz w:val="14"/>
          <w:szCs w:val="14"/>
          <w:color w:val="auto"/>
        </w:rPr>
      </w:pPr>
    </w:p>
    <w:p>
      <w:pPr>
        <w:jc w:val="both"/>
        <w:ind w:left="640" w:right="299" w:hanging="348"/>
        <w:spacing w:after="0" w:line="227"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a portfolio management agreement, Citadel Advisors LLC, an investment advisor registered under the U.S. Investment Advisors Act of 1940 (“CAL”), holds the voting and dispositive power with respect to the Registrable Securities held by Citadel Multi-Strategy Equities Master Fund Ltd. Citadel Advisors Holdings LP (“CAH”) is the sole member of CAL. Citadel GP LLC is the general partner of CAH. Kenneth Griffin (“Griffin”) is the President and Chief Executive Officer of and sole member of Citadel GP LLC. Citadel GP LLC and Griffin may be deemed to be the beneficial owners of the Registrable Securities through their control of CAL and/or certain other affiliated entities.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20"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Amy Collins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Craig Schlanger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8"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Heights Capital Management, Inc., the authorized agent of CVI Investments, Inc. (“CVI”), has discretionary authority to vote and dispose of the Registrable Securities held by CVI and may be deemed to be the beneficial owner of such Registrable Securities. Martin Kobinger, in his capacity as Investment Manager of Heights Capital Management, Inc., may also be deemed to have investment discretion and voting power over the Registrable Securities held by CVI. Mr. Kobinger disclaims any such beneficial ownership of the Registrable Securities.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8"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consists of (i) 1,877,500 shares of Class A Common Stock held by Federated Hermes Kaufmann Fund, a portfolio 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60" w:right="299"/>
        <w:spacing w:after="0" w:line="227" w:lineRule="auto"/>
        <w:rPr>
          <w:sz w:val="20"/>
          <w:szCs w:val="20"/>
          <w:color w:val="auto"/>
        </w:rPr>
      </w:pPr>
      <w:r>
        <w:rPr>
          <w:rFonts w:ascii="Times New Roman" w:cs="Times New Roman" w:eastAsia="Times New Roman" w:hAnsi="Times New Roman"/>
          <w:sz w:val="14"/>
          <w:szCs w:val="14"/>
          <w:color w:val="auto"/>
        </w:rPr>
        <w:t>Federated Hermes Equity Funds, (ii) 2,070,000 shares of Class A Common Stock held by Federated Hermes Kaufmann Small Cap Fund, a portfolio of Federated Hermes Equity Funds and (iii) 52,500 shares of Class A Common Stock held by Federated Hermes Kaufmann Fund II, a Federated Hermes Insurance Series (collectively, the “Federated Funds”). The address of the Federated Funds is 4000 Ericsson Drive, Warrendale, Pennsylvania 15086-7561. The Federated Funds are managed by Federated Equity Management Company of Pennsylvania and subadvised by Federated Global Investment Management Corp., which are wholly owned subsidiaries of FII Holdings, Inc., which is a wholly owned subsidiary of Federated Hermes, Inc. (the “Federated Parent”). All of the Federated Parent’s outstanding voting stock is held in the Voting Shares Irrevocable Trust (the “Federated Trust”) for which Thomas R. Donahue, Rhodora J. Donahue and J. Christopher Donahue, who are collectively referred to as Federated Trustees, act as trustees. The Federated Parent’s subsidiaries have the power to direct the vote and disposition of the Registrable Securities held by the Federated Funds. Each of the Federated Parent, its subsidiaries, the Federated Trust, and each of the Federated Trustees expressly disclaim beneficial ownership of such Registrable Securities.</w:t>
      </w:r>
    </w:p>
    <w:p>
      <w:pPr>
        <w:spacing w:after="0" w:line="16" w:lineRule="exact"/>
        <w:rPr>
          <w:sz w:val="20"/>
          <w:szCs w:val="20"/>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Budd S. Goldman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 Scott Bushley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Robert Fournier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Curry Ford is the Senior Managing Director and Portfolio Manager of Harbert Stoneview Fund GP, LLC and may be deemed to be the beneficial owner of the Registrable Securities held by Harbert Stoneview Master Fund, Ltd. Mr. Ford, however, disclaims any beneficial ownership of the Registrable Securities held by Harbert Stoneview Master Fund, Ltd. Based on information provided to us by the Selling Securityholder, the Selling Securityholder may be deemed to be an affiliate of a broker-dealer. Based on such information, the Selling Securityholder acquired the Registrable Securities in the ordinary course of business, and at the time of the acquisition of the Registrable Securities, the Selling Securityholder did not have any agreements or understandings with any person to distribute such Registrable Securities.</w:t>
      </w:r>
    </w:p>
    <w:p>
      <w:pPr>
        <w:spacing w:after="0" w:line="127"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T. Lkyouretzos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 Sontrop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jc w:val="both"/>
        <w:ind w:left="640" w:right="299" w:hanging="348"/>
        <w:spacing w:after="0" w:line="23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James Neissa is an employee of Rothschild &amp; Co North America Inc., the parent company of Rothschild &amp; Co US Inc., which is a Selling Securityholder and a registered broker-dealer. The Selling Securityholder acquired the securities in his individual capacity. Based on information provided to us by the Selling Securityholder, the Selling Securityholder may be deemed to be an affiliate of Rothschild &amp; Co US Inc. Based on such information,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right="31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Raanan Katz is the Partner of Katz 2014 Limited Partnership and may be deemed to be the beneficial owner of the Registrable Securities held by Katz 2014 Limited Partnership.</w:t>
      </w: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Mower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Kenneth Landis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6"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5,066,885 shares of Class A Common Stock (2,655,632 of which are being registered by this prospectus) held by Lugard Road Capital Master Fund, LP (“Lugard”) beneficially owned by Luxor Capital Group, LP, the investment manager of Lugard, 26,823 shares of Class A Common Stock (14,890 of which are being registered by this prospectus) held by Luxor Capital Partners Offshore Master Fund, LP (“Luxor Offshore”) beneficially owned by Luxor Capital Group, LP, the investment manager of Luxor Offshore, 42,782 shares of Class A Common Stock (23,161 of which are being registered by this prospectus) held by Luxor Capital Partners, LP (“Luxor Capital”) beneficially owned by Luxor Capital Group, LP, the investment manager of Luxor Capital and 11,034 shares of Class A Common Stock (6,317 of which are being registered by this prospectus) held by Luxor Wavefront, LP (“Luxor Wavefront”) beneficially owned by Luxor Capital Group, LP, the investment manager of Luxor Wavefront. Christian Leone, in his position as Portfolio Manager at Luxor Capital Group, LP, may be deemed to have voting and investment power with respect to the securities owned by Luxor Offshore, Luxor Capital, and Luxor Wavefront. Jonathan Green, in his position as Portfolio Manager at Luxor Capital Group, LP, may be deemed to have voting and investment power with respect to the securities held by Lugard.</w:t>
      </w:r>
    </w:p>
    <w:p>
      <w:pPr>
        <w:spacing w:after="0" w:line="19" w:lineRule="exact"/>
        <w:rPr>
          <w:rFonts w:ascii="Times New Roman" w:cs="Times New Roman" w:eastAsia="Times New Roman" w:hAnsi="Times New Roman"/>
          <w:sz w:val="14"/>
          <w:szCs w:val="14"/>
          <w:color w:val="auto"/>
        </w:rPr>
      </w:pPr>
    </w:p>
    <w:p>
      <w:pPr>
        <w:jc w:val="both"/>
        <w:ind w:left="640" w:right="299" w:hanging="348"/>
        <w:spacing w:after="0" w:line="24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25,700 shares of Class A Common Stock held by Manatuck Hill Mariner Master Fund, LP, 12,800 shares of Class A Common Stock held by Manatuck Hill Navigator Master Fund, LP and 61,500 shares of Class A Common Stock held by Manatuck Hill Scout Fund, LP. Mark Broach is deemed to have power to vote or dispose of such Registrable Securities.</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Justin Ort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61"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Jayvee &amp; Co is the registered holder. The beneficial holder is Ninepoint Alternative Health Fund. Douglas Waterson has investment control through an investment advisory agreement.</w:t>
      </w: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Paul A. Halpern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Curtis F. Brockelman, Jr.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Polar Long/Short Master Fund and Polar Multi-Strategy Master Fund (“Polar Funds”) are under management by Polar Asset Management Partners Inc. (“PAMPI”). PAMPI serves as investment advisor of the Polar Funds and has control and discretion over the shares held by the Polar Funds. As such, PAMPI may be deemed the beneficial owner of the shares held by the Polar Funds. PAMPI disclaims any beneficial ownership of the reported shares other than to the extent of any pecuniary interest therein. The business address of the Polar Funds is c/o Polar Asset Management Partners Inc., 401 Bay Street, Suite 1900, Toronto, Ontario M5H 2Y4.</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Adair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Ray E. Newton III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Patrick Robinson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Rothschild &amp; Co US Inc. was the financial advisor to Ghost Management Group, LLC (d/b/a Weedmaps) with respect to the Business Combination and the PIPE subscription financing. Rothschild &amp; Co US Inc. is a registered broker-dealer. Based on information provided by the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Rich Barrera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25"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125,000 shares of Class A Common Stock held by Sea Hawk Multi-Strategy Master Fund Ltd, 375,000 shares of Class A Common Stock held by Walleye Manager Opportunities LLC and 500,000 shares of Class A Common Stock held by Walleye Opportunities Master Fund Ltd. (collectively, the “Managed Accounts”); 700,000 shares of Class A Common Stock and 50,000 shares of Public Warrants for Class A Common Stock held by Pura Vida Pro Special Opportunity Master Fund Ltd. (the “PVP Fund”); and 1,500,000 shares of Class A Common Stock held by Pura Vida Master Fund Ltd. (the “PV Fund”). Pura Vida Investments, LLC (“PVI”) serves as the sub-adviser to the Managed Accounts and the investment manager to the PV Fund. Pura Vida Pro, LLC (“PVP”) serves as the investment manager to the PVP Fund. PVP is a relying adviser of PVI. Efrem Kamen serves as the managing member of both PVI and PVP. By virtue of these relationships, PVI and Efrem Kamen may be deemed to have shared voting and dispositive power with respect to the Registrable Securities and Public Warrants held by the Managed Accounts, the PV Fund, and the PVP Fund. This report shall not be deemed an admission that PVI and/or Efrem Kamen are beneficial owners of the Registrable Securities for purposes of Section 13 of the Exchange Act, or for any other purpose. Each of PVI and Efrem Kamen disclaims beneficial ownership of the Registrable Securities reported herein except to the extent of each PVI’s and Efrem Kamen’s pecuniary interest therein. Based on information provided to us by the Selling Securityholders, each of the Managed Accounts may be deemed to be an affiliate of a broker-dealer. Based on such information, the Selling Securityholders acquired the Registrable Securities in the ordinary course of business, and at the time of the acquisition of the Registrable Securities, the Selling Securityholders did not have any agreements or understandings with any person to distribute such Registrable Securities.</w:t>
      </w:r>
    </w:p>
    <w:p>
      <w:pPr>
        <w:spacing w:after="0" w:line="17"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Vincent Daniel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300,000 shares of Class A Common Stock held by Senvest Global (KY), LP, 4,733,779 shares of Class A Common Stock (3,300,000 of which are being registered by this prospectus) held by Senvest Master Fund, LP and 551,196 shares of Class A Common Stock (400,000 of which are being registered by this prospectus) held by Senvest Technology Partners Master Fund, LP. Senvest Management has voting and investment control of the Registrable Securities held by such Selling Securityholder. Richard Mashaal may be deemed to be the beneficial owner of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John J. Pinto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Peter Lee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jc w:val="both"/>
        <w:ind w:left="640" w:right="299" w:hanging="348"/>
        <w:spacing w:after="0" w:line="233"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Adam L. Reeder, David M. Baron, Eric Hirschfield, Homer Parkhill, James Ben, Peter J. Moses and Stephen J. Antinelli is an employee of Rothschild &amp; Co US Inc., which is a Selling Securityholder and a registered broker-dealer. The Selling Securityholders acquired the securities in their respective, individual capacities. Based on information provided by each Selling Securityholder, the Selling Securityholder acquired the Registrable Securities for investment purposes, and at the time of the acquisition of the Registrable Securities, the Selling Securityholder did not have any agreements or understandings with any person to distribute such Registrable Securities.</w:t>
      </w:r>
    </w:p>
    <w:p>
      <w:pPr>
        <w:spacing w:after="0" w:line="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Scot Fischer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Glen Schneider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Rodney Hodges and Fabrice Dupont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David G. Bunning and Michael J. Bunning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Vikram Patel is deemed to have power to vote or dispose of the Registrable Securities.</w:t>
      </w:r>
    </w:p>
    <w:p>
      <w:pPr>
        <w:spacing w:after="0" w:line="41" w:lineRule="exact"/>
        <w:rPr>
          <w:rFonts w:ascii="Times New Roman" w:cs="Times New Roman" w:eastAsia="Times New Roman" w:hAnsi="Times New Roman"/>
          <w:sz w:val="14"/>
          <w:szCs w:val="14"/>
          <w:color w:val="auto"/>
        </w:rPr>
      </w:pPr>
    </w:p>
    <w:p>
      <w:pPr>
        <w:ind w:left="640" w:right="299" w:hanging="348"/>
        <w:spacing w:after="0" w:line="250" w:lineRule="auto"/>
        <w:tabs>
          <w:tab w:leader="none" w:pos="6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Pericles Spyrou, Sigthor Sigmarsson, Jan Rottiers and Melina Panagi are deemed to have power to vote or dispose of the Registrable Securities.</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following summary of the material terms of our securities is not intended to be a complete summary of the rights and preferences of such securities, and is qualified by reference to our Certificate of Incorporation, our Bylaws and the Warrant-related documents described herein, which are exhibits to the registration statement of which this prospectus is a part. We urge you to read each of our Certificate of Incorporation, our Bylaws and the Warrant-related documents described herein in their entirety for a complete description of the rights and preferences of our securities.</w:t>
      </w:r>
    </w:p>
    <w:p>
      <w:pPr>
        <w:spacing w:after="0" w:line="2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Authorized and Outstanding Stock</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Certificate of Incorporation authorizes the issuance of 2,075,000,000 shares of capital stock, consisting of</w:t>
      </w:r>
    </w:p>
    <w:p>
      <w:pPr>
        <w:spacing w:after="0" w:line="27" w:lineRule="exact"/>
        <w:rPr>
          <w:sz w:val="20"/>
          <w:szCs w:val="20"/>
          <w:color w:val="auto"/>
        </w:rPr>
      </w:pPr>
    </w:p>
    <w:p>
      <w:pPr>
        <w:jc w:val="both"/>
        <w:ind w:left="300" w:right="299" w:hanging="8"/>
        <w:spacing w:after="0" w:line="253" w:lineRule="auto"/>
        <w:tabs>
          <w:tab w:leader="none" w:pos="5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1,500,000,000 shares of Class A Common Stock, par value $0.0001 per share, (y) 500,000,000 shares of Class V Common Stock, par value $0.0001 per share and 75,000,000 shares of preferred stock, par value $0.0001 per share. All of our issued and outstanding shares of capital stock are duly authorized, validly issued, fully paid and non-assessable. As of June 30, 2022, there were (1) 88,836,328 shares of Class A Common Stock, (2) 56,466,013 shares of Class V Common Stock and no shares of preferred stock outstanding.</w:t>
      </w:r>
    </w:p>
    <w:p>
      <w:pPr>
        <w:spacing w:after="0" w:line="2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A Common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Each holder of the shares of Class A Common Stock is entitled to one vote for each share of Class A Common Stock held of record by such holder on all matters on which stockholders generally are entitled to vote. The holders of the shares of Class A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 Notwithstanding the foregoing, the holders of the outstanding shares of Class A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V Common Stock.</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Subject to preferences that may be applicable to any outstanding preferred stock, the holders of shares of Class A Common Stock are entitled to receive ratably such dividends, if any, as may be declared from time to time by our board of directors out of funds legally available therefor.</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the shares of Class A Common Stock are entitled to share ratably in all assets remaining after payment of our debts and other liabilities, subject to prior distribution rights of preferred stock or any class or series of stock having a preference over the shares of Class A Common Stock, then outstanding, if any.</w:t>
      </w:r>
    </w:p>
    <w:p>
      <w:pPr>
        <w:spacing w:after="0" w:line="21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The holders of shares of Class A Common Stock have no preemptive or conversion rights or other subscription rights. There are no redemption or sinking fund provisions applicable to the shares of Class A Common Stock. The rights, preferences and privileges of holders of shares of Class A Common Stock will be subject to those of the holders of any shares of the preferred stock that we may issue in the future.</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Class V Common Stock</w:t>
      </w:r>
    </w:p>
    <w:p>
      <w:pPr>
        <w:spacing w:after="0" w:line="25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holder of the shares of Class V Common Stock is entitled to one vote for each share of Class V Common Stock held of record by such holder on all matters on which stockholders generally are entitled to vote. The holders of shares of Class V Common Stock do not have cumulative voting rights in the election of directors. Generally, all matters to be voted on by stockholders must be approved by a majority (or, in the case of election of directors, by a plurality) of the votes entitled to be cast by all stockholders present in person or represented by proxy, voting together as a single class.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Notwithstanding the foregoing, the holders of the outstanding shares of Class V Common Stock are entitled to vote separately upon any amendment to our Certificate of Incorporation (including by merger, consolidation, reorganization or similar event) that would alter or change the powers, preferences or special rights of such class of common stock in a manner that is disproportionately adverse as compared to the Class A Common Stock.</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148"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holders of the Class V Common Stock will not participate in any dividends declared by our board of directors.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Rights upon Liquidation, Dissolution and Winding-Up</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the holders of Class V Common Stock are not entitled to receive any of our assets.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Preemptive or Other Rights</w:t>
      </w:r>
    </w:p>
    <w:p>
      <w:pPr>
        <w:spacing w:after="0" w:line="121" w:lineRule="exact"/>
        <w:rPr>
          <w:sz w:val="20"/>
          <w:szCs w:val="20"/>
          <w:color w:val="auto"/>
        </w:rPr>
      </w:pPr>
    </w:p>
    <w:p>
      <w:pPr>
        <w:jc w:val="both"/>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The holders of shares of Class V Common Stock do not have preemptive, subscription, redemption or conversion rights. There will be no redemption or sinking fund provisions applicable to the Class V Common Stock.</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Issuance and Retirement of Class V Common Stock</w:t>
      </w:r>
    </w:p>
    <w:p>
      <w:pPr>
        <w:spacing w:after="0" w:line="121"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the event that any outstanding share of Class V Common Stock ceases to be held directly or indirectly by a holder of Class A Units, such share will automatically be transferred to us for no consideration and thereupon will be retired. We will not issue additional shares of Class V Common Stock other than in connection with the valid issuance or transfer of Units in accordance with the governing documents of WMH LLC.</w:t>
      </w:r>
    </w:p>
    <w:p>
      <w:pPr>
        <w:spacing w:after="0" w:line="23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 xml:space="preserve">There are no shares of preferred stock outstanding. Our Certificate of Incorporation authorizes our board of directors to establish one or more series of preferred stock. Unless required by law or any stock exchange, the authorized shares of preferred stock will be available for issuance without further action by the holders of the common stock. Shares of preferred stock may be issued from time to time in one or more series of any number of shares,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number of shares issued and not retired of any and all such series shall not exceed the total number of shares of preferred stock authorized, and with such powers, including voting powers, if any, and the designations, preferences and relative, participating, optional or other special rights, if any, and any qualifications, limitations or restrictions thereof, all as shall be stated and expressed in the resolution or resolutions providing for the designation and issue of such shares of preferred stock from time to time adopted by our board of directors pursuant to authority so to do which is expressly vested in the board of directors. The powers, including voting powers, if any,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79"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issuance of preferred stock may have the effect of delaying, deferring or preventing a change in control of the Company without further action by our stockholders. Additionally, the issuance of preferred stock may adversely affect the holders of our common stock by restricting dividends on the shares of Class A Common Stock, diluting the voting power of the shares of Class A Common Stock and the shares of Class V Common Stock or subordinating the liquidation rights of the shares of Class A Common Stock. As a result of these or other factors, the issuance of preferred stock could have an adverse impact on the market price of the shares of Class A Common Stock. At present, we have no plans to issue any preferred stock.</w:t>
      </w:r>
    </w:p>
    <w:p>
      <w:pPr>
        <w:spacing w:after="0" w:line="2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Public Warrants</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registered holder to purchase one share of Class A Common Stock at a price of $11.50 per share, subject to adjustment as discussed below, at any time commencing 30 days after the Closing, provided that we have an effective registration statement under the Securities Act covering the issuance of the shares of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permits holders to exercise their Public Warrants on a cashless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basis under the circumstances specified in the Warrant Agreement). A holder of Public Warrants may exercise its Public Warrants only for a whole number of shares of Class A Common Stock. This means only a whole Public Warrant may be exercised at a given time by a holder of Public Warrants. The Public Warrants will expire five years after the Closing, at 5:00 p.m., New York City time, or earlier upon redemption or liquidation.</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will not be obligated to deliver any shares of Class A Common Stock pursuant to the exercise of a Public Warrant and will have no obligation to settle such Public Warrant exercise unless a registration statement under the Securities Act covering the issuance of the shares of Class A Common Stock issuable upon exercise is then effective and a prospectus relating thereto is current, subject to us satisfying our obligations described below with respect to registration. No Public Warrant will be exercisable for cash or on a cashless basis, and we will not be obligated to issue any shares of Class A Common Stock to holders of Public Warrants seeking to exercise their Public Warrants, unless the issuance of the shares of Class A Common Stock upon such exercise is registered or qualified under the securities laws of the state of the exercising holder, or an exemption is available.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the event that a registration statement is not effective for the exercised Public Warrants, the purchaser of a unit containing such Public Warrant will have paid the full purchase price for the unit solely for the shares of Class A Common Stock underlying such unit.</w:t>
      </w:r>
    </w:p>
    <w:p>
      <w:pPr>
        <w:spacing w:after="0" w:line="79"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We filed with the SEC and have an effective registration statement for covering the issuance, under the Securities Act, of the shares of Class A Common Stock issuable upon exercise of the Public Warrants, until the expiration of the Public Warrants in accordance with the provisions of the Warrant Agreement. Notwithstanding the above, if the shares of Class A Common Stock are, at the time of any exercise of a Public Warrant, not listed on a national securities exchange such that it satisfies the definition of a “covered security” under Section 18(b)(1) of the Securities Act, we may, at our option, require holders of Public Warrants who exercise their Public Warrants to do so on a “cashless basis” in accordance with Section 3(a)(9) of the Securities Act and, in the event we so elects, we will not be required to file or maintain in effect a registration statement, but will use our reasonable best efforts to qualify the shares under applicable blue sky laws to the extent an exemption is not available.</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redeem the Public Warrants for redemption:</w:t>
      </w:r>
    </w:p>
    <w:p>
      <w:pPr>
        <w:spacing w:after="0" w:line="117" w:lineRule="exact"/>
        <w:rPr>
          <w:sz w:val="20"/>
          <w:szCs w:val="20"/>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Public Warrant;</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holder of Public Warrants; and</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58"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sales price of the shares of Class A Common Stock equals or exceeds $18.00 per share (as adjusted for share splits, share dividends, rights issuances, subdivisions, reorganizations, recapitalizations and the like) for any 20 trading days within a 30-trading day period ending on the third trading day prior to the date we send the notice of redemption to the holders of Public Warrants.</w:t>
      </w:r>
    </w:p>
    <w:p>
      <w:pPr>
        <w:spacing w:after="0" w:line="75"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If and when the Public Warrants become redeemable by us, we may exercise our redemption right even if we are unable to register or qualify the underlying securities for sale under all applicable state securities laws.</w:t>
      </w:r>
    </w:p>
    <w:p>
      <w:pPr>
        <w:spacing w:after="0" w:line="54"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If the foregoing conditions are satisfied and we issue a notice of redemption of the Public Warrants, each holder of Public Warrants will be entitled to exercise his, her or its Public Warrant prior to the scheduled redemption date. However, the price of the shares of Class A Common Stock may fall below the $18.00 redemption trigger price as well as the $11.50 Public Warrant exercise price after the redemption notice is issued.</w:t>
      </w:r>
    </w:p>
    <w:p>
      <w:pPr>
        <w:spacing w:after="0" w:line="72"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If we call the Public Warrants for redemption as described above, our management will have the option to require any holder that wishes to exercise his, her or its Public Warrant to do so on a “cashless basis.” In determining whether to require any holders to exercise their Public Warrants on a “cashless basis,” our management will consider, among other factors, our cash position, the number of Public Warrants that are outstanding and the dilutive effect on our stockholders of issuing the maximum number of shares of Class A Common Stock issuable upon exercise of the Public Warrants. If our management takes advantage of this option, all holders of Public Warrants would pay the exercise price by surrendering their Public Warrants for that number of shares of Class A Common Stock equal to the quotient obtained by dividing (x) the product of the number of shares of Class A Common Stock underlying the Public Warrants, multiplied by the excess of the “fair market value” (defined below) over the exercise price of the</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Public Warrants by (y) the fair market value. The “fair market value” will mean the average last reported sale price of the shares of Class A Common Stock for the 10 trading days ending on the third trading day prior to the date on which the notice of redemption is sent to the holders of Public Warrant. If our management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Public Warrant redemption. If we calls the Public Warrants for redemption and our management does not take advantage of this option, Silver Spike Sponsor and its permitted transferees would still be entitled to exercise their Private Placement Warrants for cash or on a cashless basis using the same formula described above that other holders of Public Warrants would have been required to use had all warrant holders been required to exercise their warrants on a cashless basis, as described in more detail below.</w:t>
      </w:r>
    </w:p>
    <w:p>
      <w:pPr>
        <w:spacing w:after="0" w:line="84"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 holder of Public Warrants may notify us in writing in the event it elects to be subject to a requirement that such holder will not have the right to exercise such Public Warrant, to the extent that after giving effect to such exercise, such person (together with such person’s affiliates), to the Warrant Agent’s actual knowledge, would beneficially own in excess of 9.8% (or such other amount as a holder may specify) of Class A Common Stock issued and outstanding immediately after giving effect to such exercise.</w:t>
      </w:r>
    </w:p>
    <w:p>
      <w:pPr>
        <w:spacing w:after="0" w:line="75"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increased by a capitalization or share dividend payable in shares of Class A Common Stock, or by a split-up of shares of Class A Common Stock or other similar event, then, on the effective date of such share dividend, split-up or similar event, the number of shares of Class A Common Stock issuable on exercise of each Public Warrant will be increased in proportion to such increase in the issued and outstanding shares of Class A Common Stock. A rights offering to holders of shares of Class A Common Stock entitling holders to purchase shares of Class A Common Stock at a price less than the fair market value will be deemed a share dividend of a number of shares of Class A Common Stock equal to the product of (1) the number of shares of Class A Common Stock actually sold in such rights offering (or issuable under any other equity securities sold in such rights offering that are convertible into or exercisable for common stock) multiplied by (2) one minus the quotient of (x) the price per shares of Class A Common Stock paid in such rights offering divided by (y) the fair market value. For these purposes, (1) if the rights offering is for securities convertible into or exercisable for shares of Class A Common Stock, in determining the price payable for shares of Class A Common Stock, there will be taken into account any consideration received for such rights, as well as any additional amount payable upon exercise or conversion and (2) fair market value means the volume weighted average price of shares of Class A Common Stock as reported during the 10 trading day period ending on the trading day prior to the first date on which the shares of Class A Common Stock trade on the applicable exchange or in the applicable market, regular way, without the right to receive such rights.</w:t>
      </w:r>
    </w:p>
    <w:p>
      <w:pPr>
        <w:spacing w:after="0" w:line="8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securities into which the Public Warrants are convertible), other than (a) as described above or (b) certain ordinary cash dividends, then the Public Warrant exercise price will be decreased, effective immediately after the effective date of such event, by the amount of cash and/or the fair market value of any securities or other assets paid on each share of Class A Common Stock in respect of such event.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the number of issued and outstanding shares of Class A Common Stock is decreased by a consolidation, combination, reverse share split or reclassification of the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issued and outstanding shares of Class A Common Stock.</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Whenever the number of shares of Class A Common Stock purchasable upon exercise of the Public Warrants is adjusted, as described above, the Public Warrant exercise price will be adjusted by multiplying the Public Warrant exercise price immediately prior to such adjustment by a fraction (x) the numerator of which will be the number of shares of Class A Common Stock purchasable upon exercise of the Public Warrants immediately prior to such adjustment, and (y) the denominator of which will be the number of shares of Class A Common Stock so purchasable immediately thereafter.</w:t>
      </w:r>
    </w:p>
    <w:p>
      <w:pPr>
        <w:spacing w:after="0" w:line="79" w:lineRule="exact"/>
        <w:rPr>
          <w:sz w:val="20"/>
          <w:szCs w:val="20"/>
          <w:color w:val="auto"/>
        </w:rPr>
      </w:pPr>
    </w:p>
    <w:p>
      <w:pPr>
        <w:jc w:val="both"/>
        <w:ind w:left="300" w:right="299" w:firstLine="360"/>
        <w:spacing w:after="0" w:line="312" w:lineRule="auto"/>
        <w:rPr>
          <w:sz w:val="20"/>
          <w:szCs w:val="20"/>
          <w:color w:val="auto"/>
        </w:rPr>
      </w:pPr>
      <w:r>
        <w:rPr>
          <w:rFonts w:ascii="Times New Roman" w:cs="Times New Roman" w:eastAsia="Times New Roman" w:hAnsi="Times New Roman"/>
          <w:sz w:val="17"/>
          <w:szCs w:val="17"/>
          <w:color w:val="auto"/>
        </w:rPr>
        <w:t>In case of any reclassification or reorganization of the outstanding shares of Class A Common Stock (other than those described above or that solely affects the par value of such shares of Class A Common Stock), or in the case</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2" w:lineRule="auto"/>
        <w:rPr>
          <w:sz w:val="20"/>
          <w:szCs w:val="20"/>
          <w:color w:val="auto"/>
        </w:rPr>
      </w:pPr>
      <w:r>
        <w:rPr>
          <w:rFonts w:ascii="Times New Roman" w:cs="Times New Roman" w:eastAsia="Times New Roman" w:hAnsi="Times New Roman"/>
          <w:sz w:val="18"/>
          <w:szCs w:val="18"/>
          <w:color w:val="auto"/>
        </w:rPr>
        <w:t>of any merger or consolidation of us with or into another corporation (other than a consolidation or merger in which we are the continuing corporation and that does not result in any reclassification or reorganization of our issued and outstanding shares of Class A Common Stock), or in the case of any sale or conveyance to another corporation or entity of our assets or other property as an entirety or substantially as an entirety in connection with which we are dissolved, the holders of the Public Warrants will thereafter have the right to purchase and receive, upon the basis and upon the terms and conditions specified in the Public Warrants and in lieu of the shares of Class A Common Stock immediately theretofore purchasable and receivable upon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 If less than 70% of the consideration receivable by the holders of shares of Class A Common Stock in such a transaction is payable in the form of common stock in the successor entity that is listed for trading on a national securities exchange or is quoted in an established over-the-counter market, or is to be so listed for trading or quoted immediately following such event, and if the registered holder of the Public Warrant properly exercises the Public Warrant within 30 days following public disclosure of such transaction, the warrant exercise price will be reduced as specified in the Warrant Agreement based on the per share consideration minus Black-Scholes Warrant Value (as defined in the Warrant Agreement) of the Public Warrant.</w:t>
      </w:r>
    </w:p>
    <w:p>
      <w:pPr>
        <w:spacing w:after="0" w:line="85"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Public Warrants are issued in registered form under the Warrant Agreement. You should review a copy of the Warrant Agreement, which is filed as an exhibit to the registration statement of which this prospectus is a part, for a complete description of the terms and conditions applicable to the Public Warrants. The Warrant Agreement provides that the terms of the Public Warrants may be amended without the consent of any holder to cure any ambiguity or correct any defective provision, but requires the approval by the holders of at least 65% of then issued and outstanding Public Warrants to make any change that adversely affects the interests of the registered holders of Public Warrants.</w:t>
      </w:r>
    </w:p>
    <w:p>
      <w:pPr>
        <w:spacing w:after="0" w:line="81" w:lineRule="exact"/>
        <w:rPr>
          <w:sz w:val="20"/>
          <w:szCs w:val="20"/>
          <w:color w:val="auto"/>
        </w:rPr>
      </w:pPr>
    </w:p>
    <w:p>
      <w:pPr>
        <w:jc w:val="both"/>
        <w:ind w:left="300" w:right="299" w:firstLine="360"/>
        <w:spacing w:after="0" w:line="272" w:lineRule="auto"/>
        <w:rPr>
          <w:sz w:val="20"/>
          <w:szCs w:val="20"/>
          <w:color w:val="auto"/>
        </w:rPr>
      </w:pPr>
      <w:r>
        <w:rPr>
          <w:rFonts w:ascii="Times New Roman" w:cs="Times New Roman" w:eastAsia="Times New Roman" w:hAnsi="Times New Roman"/>
          <w:sz w:val="17"/>
          <w:szCs w:val="17"/>
          <w:color w:val="auto"/>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Public Warrants being exercised. The warrant holders do not have the rights or privileges of holders of shares of Class A Common Stock and any voting rights until they exercise their Public Warrants and receive shares of Class A Common Stock. After the issuance of the shares of Class A Common Stock upon exercise of the Public Warrants, each holder will be entitled to one vote for each share held of record on all matters to be voted on by holders of shares of Class A Common Stock.</w:t>
      </w:r>
    </w:p>
    <w:p>
      <w:pPr>
        <w:spacing w:after="0" w:line="16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 Warrants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Private Placement Warrants (including the shares of Class A Common Stock issuable upon exercise of the Private Placement Warrants) will not be transferable, assignable or salable until 30 days after the Closing, subject to certain exceptions and they will not be redeemable by Silver Spike so long as they are held by Silver Spike Sponsor or its permitted transferees. Silver Spike Sponsor, as well as its permitted transferees, has the option to exercise the Private Placement Warrants on a cashless basis and will have certain registration rights related to such Private Placement Warrants. Otherwise, the Private Placement Warrants have terms and provisions that are identical to those of the Public Warrants. If the Private Placement Warrants are held by holders other than Silver Spike Sponsor or its permitted transferees, the Private Placement Warrants will be redeemable by us and exercisable by the holders on the same basis as the Public Warrants.</w:t>
      </w:r>
    </w:p>
    <w:p>
      <w:pPr>
        <w:spacing w:after="0" w:line="80"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If holders of the Private Placement Warrants elect to exercise them on a cashless basis, they would pay the exercise price by surrendering his, her or its warrants for that number of Class A Common Stock equal to the quotient obtained by dividing (x) the product of the number of Class A Common Stock underlying the warrants, multiplied by the excess of the “fair market value” (defined below) over the exercise price of the warrants by (y) the fair market value. The “fair market value” will mean the average last reported sale price of the shares of Class A Common Stock for the 10 trading days ending on the third trading day prior to the date on which the notice of warrant exercise is sent to the Warrant Agent.</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21" w:lineRule="exact"/>
        <w:rPr>
          <w:sz w:val="20"/>
          <w:szCs w:val="20"/>
          <w:color w:val="auto"/>
        </w:rPr>
      </w:pPr>
    </w:p>
    <w:p>
      <w:pPr>
        <w:jc w:val="both"/>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We have not paid any cash dividends on the Class A Ordinary Shares, Class A Common Stock or Class V Common Stock to date. The payment of cash dividends in the future will be dependent upon our revenues and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8" w:lineRule="auto"/>
        <w:rPr>
          <w:sz w:val="20"/>
          <w:szCs w:val="20"/>
          <w:color w:val="auto"/>
        </w:rPr>
      </w:pPr>
      <w:r>
        <w:rPr>
          <w:rFonts w:ascii="Times New Roman" w:cs="Times New Roman" w:eastAsia="Times New Roman" w:hAnsi="Times New Roman"/>
          <w:sz w:val="18"/>
          <w:szCs w:val="18"/>
          <w:color w:val="auto"/>
        </w:rPr>
        <w:t>earnings, if any, capital requirements, general financial condition, contractual restrictions and other factors that our board of directors may deem relevant and will be within the discretion of our board of directors at such time. In addition, our ability to pay dividends may be limited by covenants of any existing and future outstanding indebtedness that we or our subsidiaries incur. We do not anticipate declaring any cash dividends to holders of Common Stock in the foreseeable future.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Certain Anti-Takeover Provisions of Delaware Law</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Special Meetings of Stockholders</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Our Certificate of Incorporation provides that special meetings of our stockholders may be called by such persons as provided in the Bylaws. The Bylaws provide that special meetings of our stockholders may be called only, for any purpose as is a proper matter for stockholder action under Delaware, by (i) our Chairperson of the Board of Directors, (ii) our Chief Executive Officer or the President if the Chairperson of the Board of Directors is unavailable, or (iii) the Board of Directors pursuant to a resolution adopted by a majority of the total number of authorized directors (whether or not there exist any vacancies in previously authorized directorships at the time any such resolution is presented to the Board of Directors for adoption).</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Advance Notice Requirements for Stockholder Proposals and Director Nominations</w:t>
      </w:r>
    </w:p>
    <w:p>
      <w:pPr>
        <w:spacing w:after="0" w:line="121" w:lineRule="exact"/>
        <w:rPr>
          <w:sz w:val="20"/>
          <w:szCs w:val="20"/>
          <w:color w:val="auto"/>
        </w:rPr>
      </w:pPr>
    </w:p>
    <w:p>
      <w:pPr>
        <w:jc w:val="both"/>
        <w:ind w:left="300" w:right="299" w:firstLine="360"/>
        <w:spacing w:after="0" w:line="222" w:lineRule="auto"/>
        <w:rPr>
          <w:sz w:val="20"/>
          <w:szCs w:val="20"/>
          <w:color w:val="auto"/>
        </w:rPr>
      </w:pPr>
      <w:r>
        <w:rPr>
          <w:rFonts w:ascii="Times New Roman" w:cs="Times New Roman" w:eastAsia="Times New Roman" w:hAnsi="Times New Roman"/>
          <w:sz w:val="17"/>
          <w:szCs w:val="17"/>
          <w:color w:val="auto"/>
        </w:rPr>
        <w:t>Our Bylaws provide that stockholders seeking to bring business before our annual meeting of stockholders, or to nominate candidates for election as directors at our annual meeting of stockholders, must provide timely notice of their intent in writing. To be timely under the Bylaws, a stockholder’s notice will need to be received by the company secretary at our principal executive offices not later than the close of business on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nor earlier than the open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of stockholders; provided, however, that in the event that no annual meeting was held in the previous year or the annual meeting is called for a date that is more than 30 days before or after the anniversary date of the previous year’s annual meeting, notice by the stockholder must be received by the secretary no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and no later than the close of business on the latter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such annual meeting 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meeting is first made. Our Certificate of Incorporation and the Bylaws specify certain requirements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2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Authorized but Unissued Shares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Our authorized but unissued Class A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Class A Common Stock and preferred stock could render more difficult or discourage an attempt to obtain control of us by means of a proxy contest, tender offer, merger or otherwise.</w:t>
      </w:r>
    </w:p>
    <w:p>
      <w:pPr>
        <w:spacing w:after="0" w:line="2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Exclusive Forum Selection</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Our Certificate of Incorporation requires, to the fullest extent permitted by law, that derivative actions brought in our name, actions against current or former directors, officers and employees for breach of fiduciary duty, other similar actions, any other action as to which the Delaware General Corporation Law (the “DGCL”) confers jurisdiction to the Court of Chancery of the State of Delaware and any action or proceeding concerning the validity of our Certificate of Incorporation or the Bylaws may be brought only in the Court of Chancery in the State of Delaware (or, if and only if the Court of Chancery of the State of Delaware does not have subject matter jurisdiction thereof, any state court located in the State of Delaware or, if and only if all such state courts lack subject matter jurisdiction, the federal district court for the District of Delaware). Although we believe this provision benefits us by providing increased consistency in the application of Delaware law in the types of lawsuits to which it applies, the provision may limit a stockholder’s ability to bring a claim in a judicial forum that it finds favorable for disputes with us and our directors, officers or other employees and may have the effect of discouraging lawsuits against our directors and officers. This provision would not apply to claims brought to enforce a duty or liability created by the Exchange Act or any other claim for which the federal courts have exclusive jurisdiction. To the extent that any such claims may be based upon federal law claims, Section 27 of the Exchange Act creates exclusive federal jurisdiction</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3" w:lineRule="auto"/>
        <w:rPr>
          <w:sz w:val="20"/>
          <w:szCs w:val="20"/>
          <w:color w:val="auto"/>
        </w:rPr>
      </w:pPr>
      <w:r>
        <w:rPr>
          <w:rFonts w:ascii="Times New Roman" w:cs="Times New Roman" w:eastAsia="Times New Roman" w:hAnsi="Times New Roman"/>
          <w:sz w:val="18"/>
          <w:szCs w:val="18"/>
          <w:color w:val="auto"/>
        </w:rPr>
        <w:t>over all suits brought to enforce any duty or liability created by the Exchange Act or the rules and regulations thereunder. Furthermore, Section 22 of the Securities Act creates concurrent jurisdiction for federal and state courts over all suits brought to enforce any duty or liability created by the Securities Act or the rules and regulations thereunder. However, our Certificate of Incorporation provides that the federal district courts of the United States shall be the exclusive forum for the resolution of any complaint asserting a cause of action arising under the Securities Act. Stockholders may be subject to increased costs to bring these claims, and the exclusive forum provision could have the effect of discouraging claims or limiting investors’ ability to bring claims in a judicial forum that they find favorable. In addition, the enforceability of similar exclusive forum provisions in other companies’ certificates of incorporation has been challenged in legal proceedings, and it is possible that, in connection with one or more actions or proceedings described above, a court could rule that this provision in our Certificate of Incorporation is inapplicable or unenforceable.</w:t>
      </w:r>
    </w:p>
    <w:p>
      <w:pPr>
        <w:spacing w:after="0" w:line="30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Section 203 of the Delaware General Corporation Law</w:t>
      </w:r>
    </w:p>
    <w:p>
      <w:pPr>
        <w:spacing w:after="0" w:line="13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do not opt out of Section 203 of the DGCL under our Certificate of Incorporation.</w:t>
      </w:r>
    </w:p>
    <w:p>
      <w:pPr>
        <w:spacing w:after="0" w:line="3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Limitation on Liability and Indemnification of Directors and Officers</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Our Certificate of Incorporation eliminates our directors’ liability to the fullest extent permitted under the DGCL. The DGCL provides that directors of a corporation will not be personally liable for monetary damages for breach of their fiduciary duties as directors, except for liability:</w:t>
      </w:r>
    </w:p>
    <w:p>
      <w:pPr>
        <w:spacing w:after="0" w:line="68" w:lineRule="exact"/>
        <w:rPr>
          <w:sz w:val="20"/>
          <w:szCs w:val="20"/>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 improper personal benefit;</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act or omission not in good faith or that involves intentional misconduct or a knowing violation of law;</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unlawful payment of dividends or redemption of shares;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a director’s duty of loyalty to the corporation or its stockholders.</w:t>
      </w:r>
    </w:p>
    <w:p>
      <w:pPr>
        <w:spacing w:after="0" w:line="117"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If the DGCL is amended to authorize corporate action further eliminating or limiting the personal liability of directors, then the liability of our directors will be eliminated or limited to the fullest extent permitted by the DGCL, as so amended.</w:t>
      </w:r>
    </w:p>
    <w:p>
      <w:pPr>
        <w:spacing w:after="0" w:line="68"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Delaware law and our Certificate of Incorporation and Bylaws provide that we will, in certain situations, indemnify our directors and officers and may indemnify other employees and other agents, to the fullest extent permitted by law. Any indemnified person is also entitled, subject to certain limitations, to advancement of reasonable expenses (including attorneys’ fees and disbursements) in advance of the final disposition of the proceeding.</w:t>
      </w:r>
    </w:p>
    <w:p>
      <w:pPr>
        <w:spacing w:after="0" w:line="75"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addition, we have entered into separate indemnification agreements with our directors and officers. These agreements, among other things, require us to indemnify our directors and officers for certain expenses, including attorneys’ fees, judgments, fines, and settlement amounts incurred by a director or officer in any action or proceeding arising out of their services as one of our directors or officers or any other company or enterprise to which the person provides services at our request.</w:t>
      </w:r>
    </w:p>
    <w:p>
      <w:pPr>
        <w:spacing w:after="0" w:line="75"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our Certificate of Incorporation and the Bylaws and these indemnification agreements are necessary to attract and retain qualified persons as directors and officers.</w:t>
      </w:r>
    </w:p>
    <w:p>
      <w:pPr>
        <w:spacing w:after="0" w:line="7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29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Rule 144</w:t>
      </w:r>
    </w:p>
    <w:p>
      <w:pPr>
        <w:spacing w:after="0" w:line="12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Rule 144 is not available for the resale of securities initially issued by shell companies (other than business combination related shell companies) or issuers that have been at any time previously a shell company, such as the Company. However, Rule 144 also includes an important exception to this prohibition if the following conditions are met: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that was formerly a shell company has ceased to be a shell company;</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is subject to the reporting requirements of Section 13 or 15(d) of the Exchange Act;</w:t>
      </w:r>
    </w:p>
    <w:p>
      <w:pPr>
        <w:spacing w:after="0" w:line="53"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of the securities has filed all Exchange Act reports and material required to be filed, as applicable, during the preceding 12 months (or such shorter period that the issuer was required to file such reports and materials), other than Form 8-K reports; and</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one year has elapsed from the time that the issuer filed current Form 10 type information with the SEC reflecting its status as an entity that is not a shell company.</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Upon the Closing, we ceased to be a shell company.</w:t>
      </w:r>
    </w:p>
    <w:p>
      <w:pPr>
        <w:spacing w:after="0" w:line="117"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When, and if, Rule 144 becomes available for the resale of our securities, a person who has beneficially owned restricted shares of our Class A Common Stock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w:t>
      </w:r>
    </w:p>
    <w:p>
      <w:pPr>
        <w:spacing w:after="0" w:line="81"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Persons who have beneficially owned restricted shares of our Class A Common Stock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72" w:lineRule="exact"/>
        <w:rPr>
          <w:sz w:val="20"/>
          <w:szCs w:val="20"/>
          <w:color w:val="auto"/>
        </w:rPr>
      </w:pPr>
    </w:p>
    <w:p>
      <w:pPr>
        <w:ind w:left="1000" w:hanging="348"/>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percent (1%) of the total number of shares of Class A Common Stock then outstanding; or</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weekly reported trading volume of the Class A Common Stock during the four calendar weeks preceding the filing of a notice on Form 144 with respect to the sale.</w:t>
      </w:r>
    </w:p>
    <w:p>
      <w:pPr>
        <w:spacing w:after="0" w:line="54"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Sales by our affiliates under Rule 144 will also be limited by manner of sale provisions and notice requirements and to the availability of current public information about us.</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transfer agent, warrant agent and registrar for our Class A Common Stock, Class V Common Stock and Warrants is Continental Stock Transfer &amp; Trust Company.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Listing of Securities</w:t>
      </w:r>
    </w:p>
    <w:p>
      <w:pPr>
        <w:spacing w:after="0" w:line="121"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Our Class A Common Stock and Public Warrants are listed on Nasdaq under the symbols “MAPS” and “MAPW,” respectively.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MATERIAL UNITED STATES FEDERAL INCOME TAX CONSEQUENCES</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following discussion is a summary of material U.S. federal income tax considerations generally applicable to the purchase, ownership and disposition of our Class A Common Stock and the purchase, exercise, disposition and lapse of our Warrants. The Class A Common Stock and the Warrants are collectively referred to herein as our securities. All prospective holders of our securities should consult their tax advisors with respect to the U.S. federal, state, local and non-U.S. tax consequences of the purchase, ownership and disposition of our securities.</w:t>
      </w:r>
    </w:p>
    <w:p>
      <w:pPr>
        <w:spacing w:after="0" w:line="75" w:lineRule="exact"/>
        <w:rPr>
          <w:sz w:val="20"/>
          <w:szCs w:val="20"/>
          <w:color w:val="auto"/>
        </w:rPr>
      </w:pPr>
    </w:p>
    <w:p>
      <w:pPr>
        <w:jc w:val="both"/>
        <w:ind w:left="300" w:right="299" w:firstLine="360"/>
        <w:spacing w:after="0" w:line="251" w:lineRule="auto"/>
        <w:rPr>
          <w:sz w:val="20"/>
          <w:szCs w:val="20"/>
          <w:color w:val="auto"/>
        </w:rPr>
      </w:pPr>
      <w:r>
        <w:rPr>
          <w:rFonts w:ascii="Times New Roman" w:cs="Times New Roman" w:eastAsia="Times New Roman" w:hAnsi="Times New Roman"/>
          <w:sz w:val="18"/>
          <w:szCs w:val="18"/>
          <w:color w:val="auto"/>
        </w:rPr>
        <w:t>This discussion is not a complete analysis of all potential U.S. federal income tax consequences relating to the purchase, ownership and disposition of our securities. This summary is based upon current provisions of the U.S. Internal Revenue Code of 1986, as amended, which we refer to as the Code, existing U.S. Treasury Regulations promulgated thereunder, published administrative pronouncements and rulings of the U.S. Internal Revenue Service, which we refer to as the IRS, and judicial decisions, all as in effect as of the date of this prospectus. These authorities are subject to change and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our securities. We assume in this discussion that a holder holds our securities as a “capital asset” within the meaning of Section 1221 of the Code (generally, property held for investment). This discussion does not address all aspects of U.S. federal income taxation that may be relevant to a particular holder in light of that holder’s individual circumstances, nor does it address the special tax accounting rules under Section 451(b) of the Code, any alternative minimum, Medicare contribution, estate or gift tax consequences, or any aspects of U.S. state, local or non-U.S. taxes or any other U.S. federal tax laws. This discussion also does not address consequences relevant to holders subject to special tax rules, such as holders that own, or are deemed to own, more than 5% of our capital stock (except to the extent specifically set forth below), corporations that accumulate earnings to avoid U.S. federal income tax, tax-exempt organizations, governmental organizations, banks, financial institutions, investment funds, insurance companies, brokers, dealers or traders in securities, commodities or currencies, regulated investment companies or real estate investment trusts, persons that have a “functional currency” other than the U.S. dollar, tax- qualified retirement plans, holders who hold or receive our securities pursuant to the exercise of employee stock options or otherwise as compensation, holders holding our securities as part of a hedge, straddle or other risk reduction strategy, conversion transaction or other integrated investment, holders deemed to sell our securities under the constructive sale provisions of the Code, passive foreign investment companies, controlled foreign corporations, and certain former U.S. citizens or long-term residents.</w:t>
      </w:r>
    </w:p>
    <w:p>
      <w:pPr>
        <w:spacing w:after="0" w:line="96"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entities or arrangements that are treated as partnerships for U.S. federal income tax purposes) or persons that hold our securities through such partnerships. If a partnership, including any entity or arrangement treated as a partnership for U.S. federal income tax purposes, holds our securities, the U.S. federal income tax treatment of a partner in such partnership will generally depend upon the status of the partner and the activities of the partnership. Such partners and partnerships should consult their tax advisors regarding the tax consequences of the purchase, ownership and disposition of our securities.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securities (other than a partnership or an entity or arrangement treated as a partnership for U.S. federal income tax purposes) that is, for U.S. federal income tax purposes:</w:t>
      </w:r>
    </w:p>
    <w:p>
      <w:pPr>
        <w:spacing w:after="0" w:line="68" w:lineRule="exact"/>
        <w:rPr>
          <w:sz w:val="20"/>
          <w:szCs w:val="20"/>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 entity treated as a corporation for U.S. federal income tax purposes, created or organized in the United States or under the laws of the United States or of any state thereof or the District of Columbia;</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6" w:lineRule="auto"/>
        <w:tabs>
          <w:tab w:leader="none" w:pos="10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(a) a U.S. court can exercise primary supervision over the trust’s administration and one or more U.S. persons have the authority to control all of the trust’s substantial decisions or (b) the trust has a valid election in effect under applicable U.S. Treasury Regulations to be treated as a U.S. person.</w:t>
      </w:r>
    </w:p>
    <w:p>
      <w:pPr>
        <w:spacing w:after="0" w:line="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this discussion, a “non-U.S. Holder” is a beneficial owner of our securities that is neither a U.S.</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Holder nor a partnership or an entity or arrangement treated as a partnership for U.S. federal income tax purposes.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If we pay distributions or make constructive distributions (other than certain distributions of our stock or rights to acquire our stock) to U.S. Holders of shares of our Class A Common Stock, such distributions generally will constitute dividends for U.S. federal income tax purposes to the extent paid from our current or accumulated earnings and profits, as determined under U.S. federal income tax principles. Distributions in excess of our current and accumulated earnings and profits will constitute a return of capital that will be applied against and reduce (but not below zero) the U.S. Holder’s adjusted tax basis in our Class A Common Stock. Any remaining excess will be treated as gain realized on the sale or other disposition of the Class A Common Stock and will be treated as described under “U.S. Holders—Gain or Loss on Sale, Taxable Exchange or Other Taxable Disposition of Class A Common Stock” below.</w:t>
      </w:r>
    </w:p>
    <w:p>
      <w:pPr>
        <w:spacing w:after="0" w:line="80"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U.S. Holder that is a taxable corporation will generally qualify for the dividends received deduction if the requisite holding period is satisfied. With certain exceptions (including dividends treated as investment income for purposes of investment interest deduction limitations), and provided certain holding period requirements are met, dividends we pay to a non-corporate U.S. Holder will generally constitute “qualified dividends” that will be subject to tax at the maximum tax rate accorded to long-term capital gains. If the holding period requirements are not satisfied, a corporation may not be able to qualify for the dividends received deduction and would have taxable income equal to the entire dividend amount, and non-corporate holders may be subject to tax on such dividend at ordinary income tax rates instead of the preferential rates that apply to qualified dividend income.</w:t>
      </w:r>
    </w:p>
    <w:p>
      <w:pPr>
        <w:spacing w:after="0" w:line="21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or Loss on Sale, Taxable Exchange or Other Taxable Disposition of Class A Common Stock</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A U.S. Holder generally will recognize gain or loss on the sale, taxable exchange or other taxable disposition of our Class A Common Stock. Any such gain or loss will be capital gain or loss, and will be long-term capital gain or loss if the U.S. Holder’s holding period for the Class A Common Stock so disposed of exceeds one year. The amount of gain or loss recognized will generally be equal to the difference between (1) the sum of the amount of cash and the fair market value of any property received in such disposition and (2) the U.S. Holder’s adjusted tax basis in its Class A Common Stock so disposed of. A U.S. Holder’s adjusted tax basis in its Class A Common Stock will generally equal the U.S. Holder’s acquisition cost for such Class A Common Stock (or, in the case of Class A Common Stock received upon exercise of a Warrant, the U.S. Holder’s initial basis for such Class A Common Stock, as discussed below), less any prior distributions treated as a return of capital. Long-term capital gains recognized by non-corporate U.S. Holders are generally eligible for reduced rates of tax. If the U.S. Holder’s holding period for the Class A Common Stock so disposed of is one year or less, any gain on a sale or other taxable disposition of the shares would be subject to short-term capital gain treatment and would be taxed at ordinary income tax rates. The deductibility of capital losses is subject to limitations.</w:t>
      </w: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Except as discussed below with respect to the cashless exercise of a Warrant, a U.S. Holder generally will not recognize taxable gain or loss upon exercise of a Warrant for cash. The U.S. Holder’s initial tax basis in the share of our Class A Common Stock received upon exercise of the Warrant will generally be an amount equal to the sum of the U.S. Holder’s acquisition cost of the Warrant and the exercise price of such Warrant. It is unclear whether a U.S. Holder’s holding period for the Class A Common Stock received upon exercise of the Warrant would commence on the date of exercise of the Warrant or the day following the date of exercise of the Warrant; however, in either case the holding period will not include the period during which the U.S. Holder held the Warrants.</w:t>
      </w:r>
    </w:p>
    <w:p>
      <w:pPr>
        <w:spacing w:after="0" w:line="8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In certain circumstances, the Warrants may be exercised on a cashless basis. The U.S. federal income tax treatment of an exercise of a warrant on a cashless basis is not clear, and could differ from the consequences described above. It is possible that a cashless exercise could be a taxable event. U.S. holders are urged to consult their tax advisors as to the consequences of an exercise of a Warrant on a cashless basis, including with respect to their holding period and tax basis in the Class A Common Stock received upon exercise of the Warrant.</w:t>
      </w:r>
    </w:p>
    <w:p>
      <w:pPr>
        <w:spacing w:after="0" w:line="2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Expiration of a Warrant</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Upon a sale, exchange (other than by exercise), redemption, or expiration of a Warrant, a U.S. Holder will recognize taxable gain or loss in an amount equal to the difference between (1) the amount realized upon such disposition or expiration and (2) the U.S. Holder’s adjusted tax basis in the Warrant. A U.S. Holder’s adjusted tax</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319"/>
        <w:spacing w:after="0" w:line="261" w:lineRule="auto"/>
        <w:rPr>
          <w:sz w:val="20"/>
          <w:szCs w:val="20"/>
          <w:color w:val="auto"/>
        </w:rPr>
      </w:pPr>
      <w:r>
        <w:rPr>
          <w:rFonts w:ascii="Times New Roman" w:cs="Times New Roman" w:eastAsia="Times New Roman" w:hAnsi="Times New Roman"/>
          <w:sz w:val="18"/>
          <w:szCs w:val="18"/>
          <w:color w:val="auto"/>
        </w:rPr>
        <w:t>basis in its Warrants will generally equal the U.S. Holder’s acquisition cost, increased by the amount of any constructive distributions included in income by such U.S. Holder (as described below under “U.S. Holders— Possible Constructive Distributions”). Such gain or loss generally will be treated as long-term capital gain or loss if the Warrant is held by the U.S. Holder for more than one year at the time of such disposition or expiration.</w:t>
      </w:r>
    </w:p>
    <w:p>
      <w:pPr>
        <w:spacing w:after="0" w:line="72"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If a Warrant is allowed to lapse unexercised, a U.S. Holder will generally recognize a capital loss equal to such holder’s adjusted tax basis in the Warrant. Any such loss generally will be a capital loss and will be long-term capital loss if the Warrant is held for more than one year. Because the term of the Warrants is more than one year, a U.S. Holder’s capital loss will be treated as a long-term capital loss. The deductibility of capital losses is subject to certain limitations.</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of this prospectus entitled “Description of our Securities—Warrants—Public Stockholders’ Warrants.” An adjustment which has the effect of preventing dilution generally should not be a taxable event. Nevertheless, a 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Such constructive distribution would be subject to tax as described above under “U.S. Holders—Taxation of Distributions” in the same manner as if such U.S. Holder received a cash distribution from us on Class A Common Stock equal to the fair market value of such increased interest.</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In general, information reporting requirements may apply to dividends paid to a U.S. Holder and to the proceeds of the sale or other disposition of our shares of Class A Common Stock and Warrants, unless the U.S. Holder is an exempt recipient. Backup withholding may apply to such payments if the U.S. Holder fails to provide a taxpayer identification number (or furnishes an incorrect taxpayer identification number) or a certification of exempt status, or has been notified by the IRS that it is subject to backup withholding (and such notification has not been withdrawn).</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will be allowed as a credit against a U.S. Holder’s U.S. federal income tax liability and may entitle such holder to a refund, provided the required information is timely furnished to the IRS. Taxpayers should consult their tax advisors regarding their qualification for an exemption from backup withholding and the procedures for obtaining such an exemption.</w:t>
      </w:r>
    </w:p>
    <w:p>
      <w:pPr>
        <w:spacing w:after="0" w:line="2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Taxation of Distributions</w:t>
      </w:r>
    </w:p>
    <w:p>
      <w:pPr>
        <w:spacing w:after="0" w:line="121" w:lineRule="exact"/>
        <w:rPr>
          <w:sz w:val="20"/>
          <w:szCs w:val="20"/>
          <w:color w:val="auto"/>
        </w:rPr>
      </w:pPr>
    </w:p>
    <w:p>
      <w:pPr>
        <w:jc w:val="both"/>
        <w:ind w:left="300" w:right="299" w:firstLine="360"/>
        <w:spacing w:after="0" w:line="252" w:lineRule="auto"/>
        <w:rPr>
          <w:sz w:val="20"/>
          <w:szCs w:val="20"/>
          <w:color w:val="auto"/>
        </w:rPr>
      </w:pPr>
      <w:r>
        <w:rPr>
          <w:rFonts w:ascii="Times New Roman" w:cs="Times New Roman" w:eastAsia="Times New Roman" w:hAnsi="Times New Roman"/>
          <w:sz w:val="18"/>
          <w:szCs w:val="18"/>
          <w:color w:val="auto"/>
        </w:rPr>
        <w:t>In general, any distributions (including constructive distributions) we make to a non-U.S. Holder of shares on our Class A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In the case of any constructive dividend (as described below under “Non-U.S. Holders— Possible Constructive Distributions”), it is possible that this tax would be withheld from any amount owed to a non-U.S. Holder by the applicable withholding agent, including cash distributions on other property or sale proceeds from Warrants or other property subsequently paid or credited to such holder. Any distribution not constituting a dividend will be treated first as reducing (but not below zero) the non-U.S. Holder’s adjusted tax basis in its shares of our Class A Common Stock and, to the extent such distribution exceeds the non-U.S. Holder’s adjusted tax basis, as gain realized from the sale or other disposition of the Class A Common Stock, which will be treated as described under “Non-U.S. Holders—Gain on Sale, Taxable Exchange or Other Taxable Disposition of Class A</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61" w:lineRule="auto"/>
        <w:rPr>
          <w:sz w:val="20"/>
          <w:szCs w:val="20"/>
          <w:color w:val="auto"/>
        </w:rPr>
      </w:pPr>
      <w:r>
        <w:rPr>
          <w:rFonts w:ascii="Times New Roman" w:cs="Times New Roman" w:eastAsia="Times New Roman" w:hAnsi="Times New Roman"/>
          <w:sz w:val="18"/>
          <w:szCs w:val="18"/>
          <w:color w:val="auto"/>
        </w:rPr>
        <w:t>Common Stock and Warrants” below. In addition, if we determine that we are likely to be classified as a “United States real property holding corporation” (see the section entitled “Non-U.S. Holders—Gain on Sale, Exchange or Other Taxable Disposition of Class A Common Stock and Warrants” below), we will withhold 15% of any distribution that exceeds our current and accumulated earnings and profits.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Dividends we pay to a non-U.S. Holder that are effectively connected with such non-U.S. Holder’s conduct of a trade or business within the United States (or if a tax treaty applies are attributable to a U.S. permanent establishment or fixed base maintained by the non-U.S. Holder) will generally not be subject to U.S. withholding tax, provided such non-U.S. Holder complies with certain certification and disclosure requirements (generally by providing an IRS Form W-8ECI). Instead, such dividends generally will be subject to U.S. federal income tax, net of certain deductions, at the same individual or corporate rates applicable to U.S. Holders. If the non-U.S. Holder is a corporation, dividends that are effectively connected income may also be subject to a “branch profits tax” at a rate of 30% (or such lower rate as may be specified by an applicable income tax treaty).</w:t>
      </w:r>
    </w:p>
    <w:p>
      <w:pPr>
        <w:spacing w:after="0" w:line="24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Exercise of a Warrant</w:t>
      </w:r>
    </w:p>
    <w:p>
      <w:pPr>
        <w:spacing w:after="0" w:line="121"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The U.S. federal income tax treatment of a non-U.S. Holder’s exercise of a Warrant will generally correspond to the U.S. federal income tax treatment of the exercise of a Warrant by a U.S. Holder, as described under “U.S. Holders—Exercise of a Warrant” above, although to the extent a cashless exercise results in a taxable exchange, the tax consequences to the non-U.S. Holder would be the same as those described below in “Non-U.S. Holders—Gain on Sale, Exchange or Other Taxable Disposition of Class A Common Stock and Warrants.”</w:t>
      </w:r>
    </w:p>
    <w:p>
      <w:pPr>
        <w:spacing w:after="0" w:line="2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Gain on Sale, Exchange or Other Taxable Disposition of Class A Common Stock and Warrants</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A non-U.S. Holder generally will not be subject to U.S. federal income or withholding tax in respect of gain recognized on a sale, taxable exchange or other taxable disposition of our Class A Common Stock or Warrants or an expiration or redemption of our Warrants, unless:</w:t>
      </w:r>
    </w:p>
    <w:p>
      <w:pPr>
        <w:spacing w:after="0" w:line="68" w:lineRule="exact"/>
        <w:rPr>
          <w:sz w:val="20"/>
          <w:szCs w:val="20"/>
          <w:color w:val="auto"/>
        </w:rPr>
      </w:pPr>
    </w:p>
    <w:p>
      <w:pPr>
        <w:jc w:val="both"/>
        <w:ind w:left="1000" w:right="319" w:hanging="348"/>
        <w:spacing w:after="0" w:line="266"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conduct of a trade or business by the non-U.S. Holder within the United States (and, if an applicable tax treaty so requires, is attributable to a U.S. permanent establishment or fixed base maintained by the non-U.S. Holder);</w:t>
      </w:r>
    </w:p>
    <w:p>
      <w:pPr>
        <w:spacing w:after="0" w:line="6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disposition and certain other conditions are met; or</w:t>
      </w:r>
    </w:p>
    <w:p>
      <w:pPr>
        <w:spacing w:after="0" w:line="53" w:lineRule="exact"/>
        <w:rPr>
          <w:rFonts w:ascii="Times New Roman" w:cs="Times New Roman" w:eastAsia="Times New Roman" w:hAnsi="Times New Roman"/>
          <w:sz w:val="18"/>
          <w:szCs w:val="18"/>
          <w:color w:val="auto"/>
        </w:rPr>
      </w:pPr>
    </w:p>
    <w:p>
      <w:pPr>
        <w:jc w:val="both"/>
        <w:ind w:left="1000" w:right="299" w:hanging="348"/>
        <w:spacing w:after="0" w:line="253" w:lineRule="auto"/>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Class A Common Stock or Warrants and, in the case where shares of our Class A Common Stock are regularly traded on an established securities market, (i) the non-U.S. Holder is disposing of our Class A Common Stock and has owned, directly or constructively, more than 5% of our Class A Common Stock at any time within the shorter of the five-year period preceding the disposition or such Non-U.S. Holder’s holding period for the shares of our Class A Common Stock or (ii), in the case where our Warrants are regularly traded on an established securities market, the non-U.S. Holder is disposing of our Warrants and has owned, directly or constructively, more than 5% of our Warrants at any time within the within the shorter of the five-year period preceding the disposition or such Non-U.S. Holder’s holding period for the shares of our Warrants. There can be no assurance that our Class A Common Stock will be treated as regularly traded or not regularly traded on an established securities market for this purpose.</w:t>
      </w:r>
    </w:p>
    <w:p>
      <w:pPr>
        <w:spacing w:after="0" w:line="79"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Gain described in the first bullet point above will be subject to tax at generally applicable U.S. federal income tax rates as if the non-U.S. Holder were a U.S. resident. Any gains described in the first bullet point above of a non-U.S. Holder that is a foreign corporation may also be subject to an additional “branch profits tax” at a 30% rate (or lower applicable treaty rate). Gain described in the second bullet point above will generally be subject to a flat 30% U.S. federal income tax. Non-U.S. Holders are urged to consult their tax advisors regarding possible eligibility for benefits under income tax treaties.</w:t>
      </w:r>
    </w:p>
    <w:p>
      <w:pPr>
        <w:spacing w:after="0" w:line="79" w:lineRule="exact"/>
        <w:rPr>
          <w:sz w:val="20"/>
          <w:szCs w:val="20"/>
          <w:color w:val="auto"/>
        </w:rPr>
      </w:pPr>
    </w:p>
    <w:p>
      <w:pPr>
        <w:jc w:val="both"/>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If the third bullet point above applies to a non-U.S. Holder and applicable exceptions are not available, gain recognized by such holder on the sale, exchange or other disposition of our Class A Common Stock or Warrants, as applicable, will be subject to tax at generally applicable U.S. federal income tax rates. In addition, a buyer of our Class A Common Stock or Warrants from such holder may be required to withhold U.S. income tax at a rate of 15%</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jc w:val="both"/>
        <w:ind w:left="300" w:right="299"/>
        <w:spacing w:after="0" w:line="256" w:lineRule="auto"/>
        <w:rPr>
          <w:sz w:val="20"/>
          <w:szCs w:val="20"/>
          <w:color w:val="auto"/>
        </w:rPr>
      </w:pPr>
      <w:r>
        <w:rPr>
          <w:rFonts w:ascii="Times New Roman" w:cs="Times New Roman" w:eastAsia="Times New Roman" w:hAnsi="Times New Roman"/>
          <w:sz w:val="18"/>
          <w:szCs w:val="18"/>
          <w:color w:val="auto"/>
        </w:rPr>
        <w:t>of the amount realized upon such disposition. We will be classified as a United States real property holding corporation if the fair market value of our “United States real property interests” equals or exceeds 50% of the sum of the fair market value of our worldwide real property interests plus our other assets used or held for use in a trade or business, as determined for U.S. federal income tax purposes. We do not believe we currently are or will become a United States real property holding corporation, however there can be no assurance in this regard. Non-U.S. Holders are urged to consult their tax advisors regarding the application of these rules.</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Possible Constructive Distributions</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shares of Class A Common Stock for which the Warrant may be exercised or to the exercise price of the Warrant in certain events, as discussed in the section entitled “Description of our Securities—Warrants—Public Stockholders’ Warrants.” An adjustment which has the effect of preventing dilution generally should not be a taxable event. Nevertheless, a non-U.S. Holder of Warrants would be treated as receiving a constructive distribution from us if, for example, the adjustment increases the holder’s proportionate interest in our assets or earnings and profits (e.g., through an increase in the number of shares of Class A Common Stock that would be obtained upon exercise or an adjustment to the exercise price of the Warrant) as a result of a distribution of cash to the holders of shares of our Class A Common Stock which is taxable to such holders as a distribution. A non-U.S. Holder would be subject to U.S. federal income tax withholding as described above under “Non-U.S. Holders—Taxation of Distributions” under that section in the same manner as if such non-U.S. Holder received a cash distribution from us on Class A Common Stock equal to the fair market value of such increased interest.</w:t>
      </w:r>
    </w:p>
    <w:p>
      <w:pPr>
        <w:spacing w:after="0" w:line="26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Foreign Account Tax Compliance Act</w:t>
      </w:r>
    </w:p>
    <w:p>
      <w:pPr>
        <w:spacing w:after="0" w:line="121" w:lineRule="exact"/>
        <w:rPr>
          <w:sz w:val="20"/>
          <w:szCs w:val="20"/>
          <w:color w:val="auto"/>
        </w:rPr>
      </w:pPr>
    </w:p>
    <w:p>
      <w:pPr>
        <w:jc w:val="both"/>
        <w:ind w:left="300" w:right="299" w:firstLine="360"/>
        <w:spacing w:after="0" w:line="268" w:lineRule="auto"/>
        <w:rPr>
          <w:sz w:val="20"/>
          <w:szCs w:val="20"/>
          <w:color w:val="auto"/>
        </w:rPr>
      </w:pPr>
      <w:r>
        <w:rPr>
          <w:rFonts w:ascii="Times New Roman" w:cs="Times New Roman" w:eastAsia="Times New Roman" w:hAnsi="Times New Roman"/>
          <w:sz w:val="17"/>
          <w:szCs w:val="17"/>
          <w:color w:val="auto"/>
        </w:rPr>
        <w:t>Provisions of the Code and Treasury Regulations and administrative guidance promulgated thereunder commonly referred as the “Foreign Account Tax Compliance Act” (“FATCA”) generally impose withholding at a rate of 30% in certain circumstances on dividends (including constructive dividends) in respect of our securities which are held by or through certain foreign financial institutions (including investment funds), unless any such institution (1) enters into, and complies with, an agreement with the IRS to report, on an annual basis, information with respect to interests in, and accounts maintained by, the institution that are owned by certain U.S. persons and by certain non-U.S. entities that are wholly or partially owned by U.S. persons and to withhold on certain payments, or</w:t>
      </w:r>
    </w:p>
    <w:p>
      <w:pPr>
        <w:spacing w:after="0" w:line="2" w:lineRule="exact"/>
        <w:rPr>
          <w:sz w:val="20"/>
          <w:szCs w:val="20"/>
          <w:color w:val="auto"/>
        </w:rPr>
      </w:pPr>
    </w:p>
    <w:p>
      <w:pPr>
        <w:jc w:val="both"/>
        <w:ind w:left="300" w:right="299" w:hanging="8"/>
        <w:spacing w:after="0" w:line="251" w:lineRule="auto"/>
        <w:tabs>
          <w:tab w:leader="none" w:pos="5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our securities are held will affect the determination of whether such withholding is required. Similarly, dividends in respect of our securities held by an investor that is a non-financial non-U.S. entity that does not qualify under certain exceptions will generally be subject to withholding at a rate of 30%, unless such entity either (1) certifies to us or the applicable withholding agent that such entity does not have any “substantial United States owners” or (2) provides certain information regarding the entity’s “substantial United States owners,” which will in turn be provided to the U.S. Department of Treasury. Withholding under FATCA was scheduled to apply to payments of gross proceeds from the sale or other disposition of property that produces U.S.-source interest or dividends, however, the IRS released proposed regulations that, if finalized in their proposed form, would eliminate the obligation to withhold on such gross proceeds. Although these proposed Treasury Regulations are not final, taxpayers generally may rely on them until final Treasury Regulations are issued. Prospective investors should consult their tax advisors regarding the possible implications of FATCA on their investment in our securities.</w:t>
      </w:r>
    </w:p>
    <w:p>
      <w:pPr>
        <w:spacing w:after="0" w:line="2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121"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Information returns will be filed with the IRS in connection with payments of dividends and the proceeds from a sale or other disposition of our Class A Common Stock and Warrants. A non-U.S. Holder may have to comply with certification procedures to establish that it is not a United States person in order to avoid information reporting and backup withholding requirements. The certification procedures required to claim a reduced rate of withholding under a treaty generally will satisfy the certification requirements necessary to avoid the backup withholding as well. Backup withholding is not an additional tax. The amount of any backup withholding from a payment to a non-U.S. Holder will be allowed as a credit against such holder’s U.S. federal income tax liability and may entitle such holder to a refund, provided that the required information is timely furnished to the IRS.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121"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We are registering the issuance by us of an aggregate of up to 110,898,382 shares of our Class A Common Stock consisting of (i) 7,000,000 shares of Class A Common Stock issuable upon exercise of the Private Placement Warrants by the holders thereof, (ii) 12,499,993 shares of Class A Common Stock issuable upon exercise of the Public Warrants by the holders thereof, (iii) 65,502,347 shares of Class A Common Stock issuable upon exchange of Paired Interests and (iv) 25,896,042 shares of Class A Common Stock issuable upon exchange of Class P Units. We are also registering the resale by the Selling Securityholders or their permitted transferees from time to time of up to</w:t>
      </w:r>
    </w:p>
    <w:p>
      <w:pPr>
        <w:spacing w:after="0" w:line="5" w:lineRule="exact"/>
        <w:rPr>
          <w:sz w:val="20"/>
          <w:szCs w:val="20"/>
          <w:color w:val="auto"/>
        </w:rPr>
      </w:pPr>
    </w:p>
    <w:p>
      <w:pPr>
        <w:jc w:val="both"/>
        <w:ind w:left="300" w:right="299" w:hanging="8"/>
        <w:spacing w:after="0" w:line="253"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112,014,011 shares of Class A Common Stock, consisting of (i) 38,750,000 issued and outstanding shares of Class A Common Stock, (ii) 59,264,011 shares of Class A Common Stock issuable upon exchange of such Selling Securityholder’s Paired Interests or Class P Units, (iii) 7,000,000 shares of Class A Common Stock issuable upon exercise of the Private Placement Warrants and (b) 7,000,000 Private Placement Warrants.</w:t>
      </w:r>
    </w:p>
    <w:p>
      <w:pPr>
        <w:spacing w:after="0" w:line="8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We are required to pay all fees and expenses incident to the registration of the securities to be offered and sold pursuant to this prospectus. The Selling Securityholders will bear all commissions and discounts, if any, attributable to their sale of securities.</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We will not receive any of the proceeds from the sale of the securities by the Selling Securityholders. We will receive proceeds from Warrants exercised in the event that such Warrants are exercised for cash. The aggregate proceeds to the Selling Securityholders will be the purchase price of the securities less any discounts and commissions borne by the Selling Securityholders.</w:t>
      </w:r>
    </w:p>
    <w:p>
      <w:pPr>
        <w:spacing w:after="0" w:line="72" w:lineRule="exact"/>
        <w:rPr>
          <w:sz w:val="20"/>
          <w:szCs w:val="20"/>
          <w:color w:val="auto"/>
        </w:rPr>
      </w:pPr>
    </w:p>
    <w:p>
      <w:pPr>
        <w:jc w:val="both"/>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shares of Class A Common Stock beneficially owned by the Selling Securityholders covered by this prospectus may be offered and sold from time to time by the Selling Securityholders. The term “Selling Securityholders” includes donees, pledgees, transferees or other successors in interest selling securities received after the date of this prospectus from a Selling Securityholder as a gift, pledge, partnership distribution or other transfer. The Selling Securityholders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The Selling Securityholders may sell their securities by one or more of, or a combination of, the following methods:</w:t>
      </w:r>
    </w:p>
    <w:p>
      <w:pPr>
        <w:spacing w:after="0" w:line="80" w:lineRule="exact"/>
        <w:rPr>
          <w:sz w:val="20"/>
          <w:szCs w:val="20"/>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such broker-dealer for its own account pursuant to this prospectus;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the broker solicits purchasers;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block trades in which the broker-dealer so engaged will attempt to sell the shares as agent but may position and resell a portion of the block as principal to facilitate the transaction;</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over-the-counter distribution in accordance with the rules of Nasdaq;</w:t>
      </w:r>
    </w:p>
    <w:p>
      <w:pPr>
        <w:spacing w:after="0" w:line="117" w:lineRule="exact"/>
        <w:rPr>
          <w:rFonts w:ascii="Times New Roman" w:cs="Times New Roman" w:eastAsia="Times New Roman" w:hAnsi="Times New Roman"/>
          <w:sz w:val="18"/>
          <w:szCs w:val="18"/>
          <w:color w:val="auto"/>
        </w:rPr>
      </w:pPr>
    </w:p>
    <w:p>
      <w:pPr>
        <w:jc w:val="both"/>
        <w:ind w:left="1000" w:right="31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trading plans entered into by a Selling Securityholder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71"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to employees, members, limited partners or stockholders of the Selling Securityholders;</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writing or settlement of options or other hedging transaction, whether through an options exchange or otherwise;</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pledge to secured debts and other obligations;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delayed delivery arrangements;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or through underwriters or broker-dealers;</w:t>
      </w:r>
    </w:p>
    <w:p>
      <w:pPr>
        <w:spacing w:after="0" w:line="117" w:lineRule="exact"/>
        <w:rPr>
          <w:rFonts w:ascii="Times New Roman" w:cs="Times New Roman" w:eastAsia="Times New Roman" w:hAnsi="Times New Roman"/>
          <w:sz w:val="18"/>
          <w:szCs w:val="18"/>
          <w:color w:val="auto"/>
        </w:rPr>
      </w:pPr>
    </w:p>
    <w:p>
      <w:pPr>
        <w:jc w:val="both"/>
        <w:ind w:left="1000" w:right="299" w:hanging="348"/>
        <w:spacing w:after="0" w:line="261" w:lineRule="auto"/>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9" w:lineRule="exact"/>
        <w:rPr>
          <w:sz w:val="20"/>
          <w:szCs w:val="20"/>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privately negotiated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options transactions;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 combination of any of the above methods of sale; or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pursuant to applicable law.</w:t>
      </w:r>
    </w:p>
    <w:p>
      <w:pPr>
        <w:spacing w:after="0" w:line="117"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In addition, any securities that qualify for sale pursuant to Rule 144 or another exemption from registration under the Securities Act or other such exemption may be sold under Rule 144 rather than pursuant to this prospectus.</w:t>
      </w:r>
    </w:p>
    <w:p>
      <w:pPr>
        <w:spacing w:after="0" w:line="68" w:lineRule="exact"/>
        <w:rPr>
          <w:sz w:val="20"/>
          <w:szCs w:val="20"/>
          <w:color w:val="auto"/>
        </w:rPr>
      </w:pPr>
    </w:p>
    <w:p>
      <w:pPr>
        <w:jc w:val="both"/>
        <w:ind w:left="300" w:right="299" w:firstLine="360"/>
        <w:spacing w:after="0" w:line="253" w:lineRule="auto"/>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 In connection with distributions of the securities or otherwise, the Selling Securityholders may enter into hedging transactions with broker-dealers or other financial institutions. In connection with such transactions, broker-dealers or other financial institutions may engage in short sales of the securities in the course of hedging the positions they assume with Selling Securityholders. The Selling Securityholders may also sell the securities short and redeliver the securities to close out such short positions. The Selling Securityholders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Securityholders may also pledge securities to a broker-dealer or other financial institution, and, upon a default, such broker-dealer or other financial institution, may effect sales of the pledged securities pursuant to this prospectus (as supplemented or amended to reflect such transaction).</w:t>
      </w:r>
    </w:p>
    <w:p>
      <w:pPr>
        <w:spacing w:after="0" w:line="82"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In effecting sales, broker-dealers or agents engaged by the Selling Securityholders may arrange for other broker-dealers to participate. Broker-dealers or agents may receive commissions, discounts or concessions from the Selling Securityholders in amounts to be negotiated immediately prior to the sale.</w:t>
      </w:r>
    </w:p>
    <w:p>
      <w:pPr>
        <w:spacing w:after="0" w:line="68"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offering the securities covered by this prospectus, the Selling Securityholders and any broker-dealers who execute sales for the Selling Securityholders may be deemed to be “underwriters” within the meaning of the Securities Act in connection with such sales. Any profits realized by the Selling Securityholders and the compensation of any broker-dealer may be deemed to be underwriting discounts and commissions.</w:t>
      </w:r>
    </w:p>
    <w:p>
      <w:pPr>
        <w:spacing w:after="0" w:line="72" w:lineRule="exact"/>
        <w:rPr>
          <w:sz w:val="20"/>
          <w:szCs w:val="20"/>
          <w:color w:val="auto"/>
        </w:rPr>
      </w:pPr>
    </w:p>
    <w:p>
      <w:pPr>
        <w:jc w:val="both"/>
        <w:ind w:left="300" w:right="299" w:firstLine="360"/>
        <w:spacing w:after="0" w:line="261" w:lineRule="auto"/>
        <w:rPr>
          <w:sz w:val="20"/>
          <w:szCs w:val="20"/>
          <w:color w:val="auto"/>
        </w:rPr>
      </w:pPr>
      <w:r>
        <w:rPr>
          <w:rFonts w:ascii="Times New Roman" w:cs="Times New Roman" w:eastAsia="Times New Roman" w:hAnsi="Times New Roman"/>
          <w:sz w:val="18"/>
          <w:szCs w:val="18"/>
          <w:color w:val="auto"/>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spacing w:after="0" w:line="72"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We have advised the Selling Securityholders that the anti-manipulation rules of Regulation M under the Exchange Act may apply to sales of securities in the market and to the activities of the Selling Securityholders and their affiliates. In addition, we will make copies of this prospectus available to the Selling Securityholders for the purpose of satisfying the prospectus delivery requirements of the Securities Act. The Selling Securityholders may indemnify any broker-dealer that participates in transactions involving the sale of the securities against certain liabilities, including liabilities arising under the Securities Act.</w:t>
      </w:r>
    </w:p>
    <w:p>
      <w:pPr>
        <w:spacing w:after="0" w:line="79" w:lineRule="exact"/>
        <w:rPr>
          <w:sz w:val="20"/>
          <w:szCs w:val="20"/>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At the time a particular offer of securities is made, if required, a prospectus supplement will be distributed that will set forth the number of securities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75"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A holder of Warrants may exercise its Warrants in accordance with the Warrant Agreement on or before the expiration date set forth therein by surrendering, at the office of the Warrant Agent, Continental Stock Transfer &amp; Trust Company, the certificate evidencing such Warrant, with the form of election to purchase set forth thereon, properly completed and duly executed, accompanied by full payment of the exercise price and any and all applicable taxes due in connection with the exercise of the Warrant, subject to any applicable provisions relating to cashless exercises in accordance with the Warrant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validity of any securities offered by this prospectus herein has been passed upon for us by Cooley LLP.</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21" w:lineRule="exact"/>
        <w:rPr>
          <w:sz w:val="20"/>
          <w:szCs w:val="20"/>
          <w:color w:val="auto"/>
        </w:rPr>
      </w:pPr>
    </w:p>
    <w:p>
      <w:pPr>
        <w:jc w:val="both"/>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the Company appearing in the Company’s Annual Report on Form 10-K for the year ended as of December 31, 2021 have been audited by Baker Tilly US, LLP (“Baker Tilly”), an independent registered public accounting firm, as stated in their report thereon, included therein, and incorporated herein by reference, which report expresses an unqualified opinion and includes an emphasis of matter paragraph relating to the industry in which WMTI operates. Such consolidated financial statements are incorporated by reference in reliance upon such reports and upon the authority of such firm as experts in accounting and auditing.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263"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21" w:lineRule="exact"/>
        <w:rPr>
          <w:sz w:val="20"/>
          <w:szCs w:val="20"/>
          <w:color w:val="auto"/>
        </w:rPr>
      </w:pPr>
    </w:p>
    <w:p>
      <w:pPr>
        <w:jc w:val="both"/>
        <w:ind w:left="300" w:right="299" w:firstLine="360"/>
        <w:spacing w:after="0" w:line="266" w:lineRule="auto"/>
        <w:rPr>
          <w:sz w:val="20"/>
          <w:szCs w:val="20"/>
          <w:color w:val="auto"/>
        </w:rPr>
      </w:pPr>
      <w:r>
        <w:rPr>
          <w:rFonts w:ascii="Times New Roman" w:cs="Times New Roman" w:eastAsia="Times New Roman" w:hAnsi="Times New Roman"/>
          <w:sz w:val="18"/>
          <w:szCs w:val="18"/>
          <w:color w:val="auto"/>
        </w:rPr>
        <w:t xml:space="preserve">We are required to file annual, quarterly and current reports, proxy statements and other information with the SEC as required by the Exchange Act. You can read our SEC filings, including this prospectus, over the Internet at the SEC’s website at </w:t>
      </w:r>
      <w:r>
        <w:rPr>
          <w:rFonts w:ascii="Times New Roman" w:cs="Times New Roman" w:eastAsia="Times New Roman" w:hAnsi="Times New Roman"/>
          <w:sz w:val="18"/>
          <w:szCs w:val="18"/>
          <w:i w:val="1"/>
          <w:iCs w:val="1"/>
          <w:color w:val="auto"/>
        </w:rPr>
        <w:t>http://www.sec.gov</w:t>
      </w:r>
      <w:r>
        <w:rPr>
          <w:rFonts w:ascii="Times New Roman" w:cs="Times New Roman" w:eastAsia="Times New Roman" w:hAnsi="Times New Roman"/>
          <w:sz w:val="18"/>
          <w:szCs w:val="18"/>
          <w:color w:val="auto"/>
        </w:rPr>
        <w:t>.</w:t>
      </w:r>
    </w:p>
    <w:p>
      <w:pPr>
        <w:spacing w:after="0" w:line="66" w:lineRule="exact"/>
        <w:rPr>
          <w:sz w:val="20"/>
          <w:szCs w:val="20"/>
          <w:color w:val="auto"/>
        </w:rPr>
      </w:pPr>
    </w:p>
    <w:p>
      <w:pPr>
        <w:jc w:val="both"/>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 xml:space="preserve">Our website address is </w:t>
      </w:r>
      <w:r>
        <w:rPr>
          <w:rFonts w:ascii="Times New Roman" w:cs="Times New Roman" w:eastAsia="Times New Roman" w:hAnsi="Times New Roman"/>
          <w:sz w:val="18"/>
          <w:szCs w:val="18"/>
          <w:i w:val="1"/>
          <w:iCs w:val="1"/>
          <w:color w:val="auto"/>
        </w:rPr>
        <w:t>www.weedmaps.com</w:t>
      </w:r>
      <w:r>
        <w:rPr>
          <w:rFonts w:ascii="Times New Roman" w:cs="Times New Roman" w:eastAsia="Times New Roman" w:hAnsi="Times New Roman"/>
          <w:sz w:val="18"/>
          <w:szCs w:val="18"/>
          <w:color w:val="auto"/>
        </w:rPr>
        <w:t>. Through our website, we make available, free of charge, the following documents as soon as reasonably practicable after they are electronically filed with, or furnished to, the SEC, including our Annual Reports on Form 10-K; our proxy statements for our annual and special stockholder meetings; our Quarterly Reports on Form 10-Q; our Current Reports on Form 8-K; Forms 3, 4, and 5 and Schedules 13D with respect to our securities filed on behalf of our directors and our executive officers; and amendments to those documents. The information contained on, or that may be accessed through, our website is not a part of, and is not incorporated into, this prospectus.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121" w:lineRule="exact"/>
        <w:rPr>
          <w:sz w:val="20"/>
          <w:szCs w:val="20"/>
          <w:color w:val="auto"/>
        </w:rPr>
      </w:pPr>
    </w:p>
    <w:p>
      <w:pPr>
        <w:jc w:val="both"/>
        <w:ind w:left="300" w:right="299" w:firstLine="360"/>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the information we file with it, which means that we can disclose important information to you by referring you to those documents. The information incorporated by reference is considered to be part of this prospectus and information we file later with the SEC will automatically update and supersede this information. Any statement contained in this prospectus or a previously filed document incorporated by reference will be deemed to be modified or superseded for purposes of this prospectus to the extent that a statement contained in this prospectus or a subsequently filed document incorporated by reference modifies or replaces that statement. The documents we are incorporating by reference as of their respective dates of filing are:</w:t>
      </w:r>
    </w:p>
    <w:p>
      <w:pPr>
        <w:spacing w:after="0" w:line="81" w:lineRule="exact"/>
        <w:rPr>
          <w:sz w:val="20"/>
          <w:szCs w:val="20"/>
          <w:color w:val="auto"/>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Annual Report on Form 10-K for the year ended December 31, 2021, filed with the SEC on </w:t>
      </w:r>
      <w:hyperlink r:id="rId94">
        <w:r>
          <w:rPr>
            <w:rFonts w:ascii="Times New Roman" w:cs="Times New Roman" w:eastAsia="Times New Roman" w:hAnsi="Times New Roman"/>
            <w:sz w:val="18"/>
            <w:szCs w:val="18"/>
            <w:u w:val="single" w:color="auto"/>
            <w:color w:val="0000EE"/>
          </w:rPr>
          <w:t>February 25, 2022</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Definitive Proxy Statement on Form DEF 14A for the year ended December 31, 2021, filed on </w:t>
      </w:r>
      <w:hyperlink r:id="rId95">
        <w:r>
          <w:rPr>
            <w:rFonts w:ascii="Times New Roman" w:cs="Times New Roman" w:eastAsia="Times New Roman" w:hAnsi="Times New Roman"/>
            <w:sz w:val="18"/>
            <w:szCs w:val="18"/>
            <w:u w:val="single" w:color="auto"/>
            <w:color w:val="0000EE"/>
          </w:rPr>
          <w:t>April 29, 2022</w:t>
        </w:r>
      </w:hyperlink>
      <w:r>
        <w:rPr>
          <w:rFonts w:ascii="Times New Roman" w:cs="Times New Roman" w:eastAsia="Times New Roman" w:hAnsi="Times New Roman"/>
          <w:sz w:val="18"/>
          <w:szCs w:val="18"/>
          <w:color w:val="000000"/>
        </w:rPr>
        <w:t>;</w:t>
      </w:r>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auto"/>
          </w:rPr>
          <w:t xml:space="preserve">our Quarterly Reports on Form 10-Q for the quarter ended March 31, 2022, filed with the SEC on </w:t>
        </w:r>
        <w:r>
          <w:rPr>
            <w:rFonts w:ascii="Times New Roman" w:cs="Times New Roman" w:eastAsia="Times New Roman" w:hAnsi="Times New Roman"/>
            <w:sz w:val="18"/>
            <w:szCs w:val="18"/>
            <w:u w:val="single" w:color="auto"/>
            <w:color w:val="0000EE"/>
          </w:rPr>
          <w:t>May 6,</w:t>
        </w:r>
      </w:hyperlink>
      <w:r>
        <w:rPr>
          <w:rFonts w:ascii="Times New Roman" w:cs="Times New Roman" w:eastAsia="Times New Roman" w:hAnsi="Times New Roman"/>
          <w:sz w:val="18"/>
          <w:szCs w:val="18"/>
          <w:color w:val="auto"/>
        </w:rPr>
        <w:t xml:space="preserve"> </w:t>
      </w:r>
      <w:hyperlink r:id="rId96">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00"/>
          </w:rPr>
          <w:t>, and for the quarter ended June 30, 2022, filed with the SEC on</w:t>
        </w:r>
        <w:r>
          <w:rPr>
            <w:rFonts w:ascii="Times New Roman" w:cs="Times New Roman" w:eastAsia="Times New Roman" w:hAnsi="Times New Roman"/>
            <w:sz w:val="18"/>
            <w:szCs w:val="18"/>
            <w:color w:val="0000EE"/>
          </w:rPr>
          <w:t xml:space="preserve"> </w:t>
        </w:r>
      </w:hyperlink>
      <w:hyperlink r:id="rId97">
        <w:r>
          <w:rPr>
            <w:rFonts w:ascii="Times New Roman" w:cs="Times New Roman" w:eastAsia="Times New Roman" w:hAnsi="Times New Roman"/>
            <w:sz w:val="18"/>
            <w:szCs w:val="18"/>
            <w:u w:val="single" w:color="auto"/>
            <w:color w:val="0000EE"/>
          </w:rPr>
          <w:t>August 9, 2022</w:t>
        </w:r>
      </w:hyperlink>
      <w:hyperlink r:id="rId96">
        <w:r>
          <w:rPr>
            <w:rFonts w:ascii="Times New Roman" w:cs="Times New Roman" w:eastAsia="Times New Roman" w:hAnsi="Times New Roman"/>
            <w:sz w:val="18"/>
            <w:szCs w:val="18"/>
            <w:color w:val="000000"/>
          </w:rPr>
          <w:t>;</w:t>
        </w:r>
      </w:hyperlink>
    </w:p>
    <w:p>
      <w:pPr>
        <w:spacing w:after="0" w:line="53" w:lineRule="exact"/>
        <w:rPr>
          <w:rFonts w:ascii="Times New Roman" w:cs="Times New Roman" w:eastAsia="Times New Roman" w:hAnsi="Times New Roman"/>
          <w:sz w:val="18"/>
          <w:szCs w:val="18"/>
          <w:color w:val="0000EE"/>
        </w:rPr>
      </w:pPr>
    </w:p>
    <w:p>
      <w:pPr>
        <w:ind w:left="1000" w:right="319" w:hanging="348"/>
        <w:spacing w:after="0" w:line="282" w:lineRule="auto"/>
        <w:tabs>
          <w:tab w:leader="none" w:pos="1000" w:val="left"/>
        </w:tabs>
        <w:numPr>
          <w:ilvl w:val="0"/>
          <w:numId w:val="19"/>
        </w:numPr>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auto"/>
          </w:rPr>
          <w:t xml:space="preserve">our Current Reports on Form 8-K filed with the SEC on </w:t>
        </w:r>
        <w:r>
          <w:rPr>
            <w:rFonts w:ascii="Times New Roman" w:cs="Times New Roman" w:eastAsia="Times New Roman" w:hAnsi="Times New Roman"/>
            <w:sz w:val="18"/>
            <w:szCs w:val="18"/>
            <w:u w:val="single" w:color="auto"/>
            <w:color w:val="0000EE"/>
          </w:rPr>
          <w:t>March 11, 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27, 2022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August 9,</w:t>
        </w:r>
      </w:hyperlink>
      <w:r>
        <w:rPr>
          <w:rFonts w:ascii="Times New Roman" w:cs="Times New Roman" w:eastAsia="Times New Roman" w:hAnsi="Times New Roman"/>
          <w:sz w:val="18"/>
          <w:szCs w:val="18"/>
          <w:color w:val="auto"/>
        </w:rPr>
        <w:t xml:space="preserve"> </w:t>
      </w:r>
      <w:hyperlink r:id="rId98">
        <w:r>
          <w:rPr>
            <w:rFonts w:ascii="Times New Roman" w:cs="Times New Roman" w:eastAsia="Times New Roman" w:hAnsi="Times New Roman"/>
            <w:sz w:val="18"/>
            <w:szCs w:val="18"/>
            <w:u w:val="single" w:color="auto"/>
            <w:color w:val="0000EE"/>
          </w:rPr>
          <w:t>2022</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to the extent for the information in such reports is filed and not furnished; and</w:t>
        </w:r>
      </w:hyperlink>
    </w:p>
    <w:p>
      <w:pPr>
        <w:spacing w:after="0" w:line="53" w:lineRule="exact"/>
        <w:rPr>
          <w:rFonts w:ascii="Times New Roman" w:cs="Times New Roman" w:eastAsia="Times New Roman" w:hAnsi="Times New Roman"/>
          <w:sz w:val="18"/>
          <w:szCs w:val="18"/>
          <w:color w:val="0000EE"/>
        </w:rPr>
      </w:pPr>
    </w:p>
    <w:p>
      <w:pPr>
        <w:jc w:val="both"/>
        <w:ind w:left="1000" w:right="319" w:hanging="348"/>
        <w:spacing w:after="0" w:line="266" w:lineRule="auto"/>
        <w:tabs>
          <w:tab w:leader="none" w:pos="10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securities contained in </w:t>
      </w:r>
      <w:hyperlink r:id="rId99">
        <w:r>
          <w:rPr>
            <w:rFonts w:ascii="Times New Roman" w:cs="Times New Roman" w:eastAsia="Times New Roman" w:hAnsi="Times New Roman"/>
            <w:sz w:val="18"/>
            <w:szCs w:val="18"/>
            <w:u w:val="single" w:color="auto"/>
            <w:color w:val="0000EE"/>
          </w:rPr>
          <w:t>Exhibit 4.5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our Annual Report on Form 10-K for the year ended December 31, 2021 filed with the SEC on February 25, 2022, and any amendment or report filed with the SEC for the purpose of updating such description.</w:t>
      </w:r>
    </w:p>
    <w:p>
      <w:pPr>
        <w:spacing w:after="0" w:line="68"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All documents we subsequently file pursuant to Section 13(a), 13(c), 14 or 15(d) of the Exchange Act, prior to the termination of this offering, including all such documents we may file after the date of the initial registration statement and prior to the effectiveness of the registration statement, but excluding any information furnished to, rather than filed with, the SEC, will also be incorporated by reference into this prospectus and deemed to be part of this prospectus from the date of the filing of such reports and documents.</w:t>
      </w:r>
    </w:p>
    <w:p>
      <w:pPr>
        <w:spacing w:after="0" w:line="75" w:lineRule="exact"/>
        <w:rPr>
          <w:rFonts w:ascii="Times New Roman" w:cs="Times New Roman" w:eastAsia="Times New Roman" w:hAnsi="Times New Roman"/>
          <w:sz w:val="18"/>
          <w:szCs w:val="18"/>
          <w:color w:val="auto"/>
        </w:rPr>
      </w:pPr>
    </w:p>
    <w:p>
      <w:pPr>
        <w:jc w:val="both"/>
        <w:ind w:left="300" w:right="299" w:firstLine="360"/>
        <w:spacing w:after="0" w:line="258" w:lineRule="auto"/>
        <w:rPr>
          <w:sz w:val="20"/>
          <w:szCs w:val="20"/>
          <w:color w:val="auto"/>
        </w:rPr>
      </w:pPr>
      <w:r>
        <w:rPr>
          <w:rFonts w:ascii="Times New Roman" w:cs="Times New Roman" w:eastAsia="Times New Roman" w:hAnsi="Times New Roman"/>
          <w:sz w:val="18"/>
          <w:szCs w:val="18"/>
          <w:color w:val="auto"/>
        </w:rPr>
        <w:t>You may obtain any of the documents incorporated by reference in this prospectus from the SEC through the SEC’s website at the address provided above. You also may request a copy of any document incorporated by reference in this prospectus (excluding any exhibits to those documents, unless the exhibit is specifically incorporated by reference in this document), at no cost, by writing or telephoning us at the following address and phone number:</w:t>
      </w:r>
    </w:p>
    <w:p>
      <w:pPr>
        <w:spacing w:after="0" w:line="116"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WM Technology, Inc.</w:t>
      </w:r>
    </w:p>
    <w:p>
      <w:pPr>
        <w:spacing w:after="0" w:line="27" w:lineRule="exact"/>
        <w:rPr>
          <w:rFonts w:ascii="Times New Roman" w:cs="Times New Roman" w:eastAsia="Times New Roman" w:hAnsi="Times New Roman"/>
          <w:sz w:val="18"/>
          <w:szCs w:val="18"/>
          <w:color w:val="auto"/>
        </w:rPr>
      </w:pPr>
    </w:p>
    <w:p>
      <w:pPr>
        <w:ind w:left="4240" w:hanging="218"/>
        <w:spacing w:after="0"/>
        <w:tabs>
          <w:tab w:leader="none" w:pos="42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Discovery</w:t>
      </w:r>
    </w:p>
    <w:p>
      <w:pPr>
        <w:spacing w:after="0" w:line="9" w:lineRule="exact"/>
        <w:rPr>
          <w:rFonts w:ascii="Times New Roman" w:cs="Times New Roman" w:eastAsia="Times New Roman" w:hAnsi="Times New Roman"/>
          <w:sz w:val="18"/>
          <w:szCs w:val="18"/>
          <w:color w:val="auto"/>
        </w:rPr>
      </w:pPr>
    </w:p>
    <w:p>
      <w:pPr>
        <w:ind w:left="3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Irvine, California 92618</w:t>
      </w:r>
    </w:p>
    <w:p>
      <w:pPr>
        <w:spacing w:after="0" w:line="9" w:lineRule="exact"/>
        <w:rPr>
          <w:rFonts w:ascii="Times New Roman" w:cs="Times New Roman" w:eastAsia="Times New Roman" w:hAnsi="Times New Roman"/>
          <w:sz w:val="18"/>
          <w:szCs w:val="18"/>
          <w:color w:val="auto"/>
        </w:rPr>
      </w:pPr>
    </w:p>
    <w:p>
      <w:pPr>
        <w:ind w:left="37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Tel: (844) 933-3627</w:t>
      </w:r>
    </w:p>
    <w:p>
      <w:pPr>
        <w:spacing w:after="0" w:line="20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sectPr>
      <w:pgSz w:w="11900" w:h="16838" w:orient="portrait"/>
      <w:cols w:equalWidth="0" w:num="1">
        <w:col w:w="9019"/>
      </w:cols>
      <w:pgMar w:left="1440" w:top="26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1)"/>
      <w:numFmt w:val="lowerRoman"/>
      <w:start w:val="2"/>
    </w:lvl>
  </w:abstractNum>
  <w:abstractNum w:abstractNumId="2">
    <w:nsid w:val="1190CDE7"/>
    <w:multiLevelType w:val="hybridMultilevel"/>
    <w:lvl w:ilvl="0">
      <w:lvlJc w:val="left"/>
      <w:lvlText w:val="(%1)"/>
      <w:numFmt w:val="lowerRoman"/>
      <w:start w:val="3"/>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4"/>
    </w:lvl>
  </w:abstractNum>
  <w:abstractNum w:abstractNumId="5">
    <w:nsid w:val="3352255A"/>
    <w:multiLevelType w:val="hybridMultilevel"/>
    <w:lvl w:ilvl="0">
      <w:lvlJc w:val="left"/>
      <w:lvlText w:val="(%1)"/>
      <w:numFmt w:val="decimal"/>
      <w:start w:val="24"/>
    </w:lvl>
  </w:abstractNum>
  <w:abstractNum w:abstractNumId="6">
    <w:nsid w:val="109CF92E"/>
    <w:multiLevelType w:val="hybridMultilevel"/>
    <w:lvl w:ilvl="0">
      <w:lvlJc w:val="left"/>
      <w:lvlText w:val="(%1)"/>
      <w:numFmt w:val="decimal"/>
      <w:start w:val="44"/>
    </w:lvl>
  </w:abstractNum>
  <w:abstractNum w:abstractNumId="7">
    <w:nsid w:val="DED7263"/>
    <w:multiLevelType w:val="hybridMultilevel"/>
    <w:lvl w:ilvl="0">
      <w:lvlJc w:val="left"/>
      <w:lvlText w:val="(%1)"/>
      <w:numFmt w:val="lowerRoman"/>
      <w:start w:val="10"/>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2"/>
    </w:lvl>
  </w:abstractNum>
  <w:abstractNum w:abstractNumId="15">
    <w:nsid w:val="431BD7B7"/>
    <w:multiLevelType w:val="hybridMultilevel"/>
    <w:lvl w:ilvl="0">
      <w:lvlJc w:val="left"/>
      <w:lvlText w:val="(%1)"/>
      <w:numFmt w:val="lowerRoman"/>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
      <w:numFmt w:val="bullet"/>
      <w:start w:val="1"/>
    </w:lvl>
  </w:abstractNum>
  <w:abstractNum w:abstractNumId="19">
    <w:nsid w:val="62BBD95A"/>
    <w:multiLevelType w:val="hybridMultilevel"/>
    <w:lvl w:ilvl="0">
      <w:lvlJc w:val="left"/>
      <w:lvlText w:val="%1"/>
      <w:numFmt w:val="decimal"/>
      <w:start w:val="4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hyperlink" Target="https://www.sec.gov/ix?doc=/Archives/edgar/data/1779474/000177947422000010/maps-20211231.htm" TargetMode="External"/><Relationship Id="rId95" Type="http://schemas.openxmlformats.org/officeDocument/2006/relationships/hyperlink" Target="https://www.sec.gov/Archives/edgar/data/1779474/000114036122016940/edge20003709x2_def14a.htm" TargetMode="External"/><Relationship Id="rId96" Type="http://schemas.openxmlformats.org/officeDocument/2006/relationships/hyperlink" Target="https://www.sec.gov/ix?doc=/Archives/edgar/data/1779474/000177947422000022/maps-20220331.htm" TargetMode="External"/><Relationship Id="rId97" Type="http://schemas.openxmlformats.org/officeDocument/2006/relationships/hyperlink" Target="https://www.sec.gov/ix?doc=/Archives/edgar/data/1779474/000177947422000058/maps-20220630.htm" TargetMode="External"/><Relationship Id="rId98" Type="http://schemas.openxmlformats.org/officeDocument/2006/relationships/hyperlink" Target="https://www.sec.gov/Archives/edgar/data/1779474/000177947422000056/wmtechnologyincformearning.htm" TargetMode="External"/><Relationship Id="rId99" Type="http://schemas.openxmlformats.org/officeDocument/2006/relationships/hyperlink" Target="https://www.sec.gov/Archives/edgar/data/1779474/000177947422000010/exhibit45descriptionofsec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2022-10-19T15:33:43Z</dcterms:created>
  <dcterms:modified xsi:type="dcterms:W3CDTF">2022-10-19T15:33:43Z</dcterms:modified>
</cp:coreProperties>
</file>