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SILVER SPIKE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Class A Ordinary Shares,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G8136L106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-106045</wp:posOffset>
            </wp:positionV>
            <wp:extent cx="278574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800" w:space="720"/>
            <w:col w:w="720" w:space="720"/>
            <w:col w:w="428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1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40" w:type="dxa"/>
            <w:vAlign w:val="bottom"/>
            <w:tcBorders>
              <w:top w:val="single" w:sz="8" w:color="auto"/>
            </w:tcBorders>
          </w:tcPr>
          <w:p>
            <w:pPr>
              <w:spacing w:after="0"/>
              <w:rPr>
                <w:sz w:val="21"/>
                <w:szCs w:val="21"/>
                <w:color w:val="auto"/>
              </w:rPr>
            </w:pPr>
          </w:p>
        </w:tc>
        <w:tc>
          <w:tcPr>
            <w:tcW w:w="1010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100" w:type="dxa"/>
            <w:vAlign w:val="bottom"/>
            <w:tcBorders>
              <w:bottom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Polar Asset Management Partners Inc.</w:t>
            </w: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399"/>
        </w:trPr>
        <w:tc>
          <w:tcPr>
            <w:tcW w:w="11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(b)</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1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Canada</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tcBorders>
              <w:right w:val="single" w:sz="8" w:color="auto"/>
            </w:tcBorders>
          </w:tcPr>
          <w:p>
            <w:pPr>
              <w:spacing w:after="0"/>
              <w:rPr>
                <w:sz w:val="19"/>
                <w:szCs w:val="19"/>
                <w:color w:val="auto"/>
              </w:rPr>
            </w:pPr>
          </w:p>
        </w:tc>
        <w:tc>
          <w:tcPr>
            <w:tcW w:w="896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14"/>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2,573,500</w:t>
            </w: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6</w:t>
            </w:r>
          </w:p>
        </w:tc>
        <w:tc>
          <w:tcPr>
            <w:tcW w:w="340" w:type="dxa"/>
            <w:vAlign w:val="bottom"/>
            <w:tcBorders>
              <w:right w:val="single" w:sz="8" w:color="auto"/>
            </w:tcBorders>
          </w:tcPr>
          <w:p>
            <w:pPr>
              <w:spacing w:after="0"/>
              <w:rPr>
                <w:sz w:val="16"/>
                <w:szCs w:val="16"/>
                <w:color w:val="auto"/>
              </w:rPr>
            </w:pPr>
          </w:p>
        </w:tc>
        <w:tc>
          <w:tcPr>
            <w:tcW w:w="8960" w:type="dxa"/>
            <w:vAlign w:val="bottom"/>
            <w:tcBorders>
              <w:right w:val="single" w:sz="8" w:color="auto"/>
            </w:tcBorders>
          </w:tcPr>
          <w:p>
            <w:pPr>
              <w:ind w:left="2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0" w:type="dxa"/>
            <w:vAlign w:val="bottom"/>
          </w:tcPr>
          <w:p>
            <w:pPr>
              <w:spacing w:after="0"/>
              <w:rPr>
                <w:sz w:val="15"/>
                <w:szCs w:val="15"/>
                <w:color w:val="auto"/>
              </w:rPr>
            </w:pPr>
          </w:p>
        </w:tc>
        <w:tc>
          <w:tcPr>
            <w:tcW w:w="1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7</w:t>
            </w:r>
          </w:p>
        </w:tc>
        <w:tc>
          <w:tcPr>
            <w:tcW w:w="340" w:type="dxa"/>
            <w:vAlign w:val="bottom"/>
            <w:tcBorders>
              <w:right w:val="single" w:sz="8" w:color="auto"/>
            </w:tcBorders>
          </w:tcPr>
          <w:p>
            <w:pPr>
              <w:spacing w:after="0"/>
              <w:rPr>
                <w:sz w:val="15"/>
                <w:szCs w:val="15"/>
                <w:color w:val="auto"/>
              </w:rPr>
            </w:pPr>
          </w:p>
        </w:tc>
        <w:tc>
          <w:tcPr>
            <w:tcW w:w="8960" w:type="dxa"/>
            <w:vAlign w:val="bottom"/>
            <w:tcBorders>
              <w:right w:val="single" w:sz="8" w:color="auto"/>
            </w:tcBorders>
          </w:tcPr>
          <w:p>
            <w:pPr>
              <w:ind w:left="2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Borders>
              <w:left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97"/>
              </w:rPr>
              <w:t>With:</w:t>
            </w:r>
          </w:p>
        </w:tc>
        <w:tc>
          <w:tcPr>
            <w:tcW w:w="580" w:type="dxa"/>
            <w:vAlign w:val="bottom"/>
            <w:tcBorders>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89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2,573,500</w:t>
            </w: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tcBorders>
              <w:right w:val="single" w:sz="8" w:color="auto"/>
            </w:tcBorders>
          </w:tcPr>
          <w:p>
            <w:pPr>
              <w:spacing w:after="0"/>
              <w:rPr>
                <w:sz w:val="19"/>
                <w:szCs w:val="19"/>
                <w:color w:val="auto"/>
              </w:rPr>
            </w:pPr>
          </w:p>
        </w:tc>
        <w:tc>
          <w:tcPr>
            <w:tcW w:w="896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gridSpan w:val="3"/>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2,573,500</w:t>
            </w: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10.29%</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9"/>
                <w:szCs w:val="19"/>
                <w:color w:val="auto"/>
              </w:rPr>
            </w:pPr>
          </w:p>
        </w:tc>
        <w:tc>
          <w:tcPr>
            <w:tcW w:w="101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IA</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-106045</wp:posOffset>
            </wp:positionV>
            <wp:extent cx="278574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574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800" w:space="720"/>
            <w:col w:w="720" w:space="720"/>
            <w:col w:w="4280"/>
          </w:cols>
          <w:pgMar w:left="320" w:top="121" w:right="3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Silver Spike Acquisition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Company's principal executive offices are located at 600 Madison Ave., 17</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Floor, New York, NY 10022.</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680" w:hanging="672"/>
        <w:spacing w:after="0"/>
        <w:tabs>
          <w:tab w:leader="none" w:pos="6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This statement is filed by Polar Asset Management Partners Inc., a company incorporated under the laws of Ontario, Canada, which serves as the investment advisor to Polar Multi-Strategy Master Fund, a Cayman Islands exempted company ("</w:t>
      </w:r>
      <w:r>
        <w:rPr>
          <w:rFonts w:ascii="Arial" w:cs="Arial" w:eastAsia="Arial" w:hAnsi="Arial"/>
          <w:sz w:val="22"/>
          <w:szCs w:val="22"/>
          <w:u w:val="single" w:color="auto"/>
          <w:color w:val="auto"/>
        </w:rPr>
        <w:t>PMSMF</w:t>
      </w:r>
      <w:r>
        <w:rPr>
          <w:rFonts w:ascii="Arial" w:cs="Arial" w:eastAsia="Arial" w:hAnsi="Arial"/>
          <w:sz w:val="22"/>
          <w:szCs w:val="22"/>
          <w:color w:val="auto"/>
        </w:rPr>
        <w:t>") and certain managed accounts (together with PMSMF, the "</w:t>
      </w:r>
      <w:r>
        <w:rPr>
          <w:rFonts w:ascii="Arial" w:cs="Arial" w:eastAsia="Arial" w:hAnsi="Arial"/>
          <w:sz w:val="22"/>
          <w:szCs w:val="22"/>
          <w:u w:val="single" w:color="auto"/>
          <w:color w:val="auto"/>
        </w:rPr>
        <w:t>Polar Vehicles</w:t>
      </w:r>
      <w:r>
        <w:rPr>
          <w:rFonts w:ascii="Arial" w:cs="Arial" w:eastAsia="Arial" w:hAnsi="Arial"/>
          <w:sz w:val="22"/>
          <w:szCs w:val="22"/>
          <w:color w:val="auto"/>
        </w:rPr>
        <w:t>"), with respect to the Shares (as defined below) directly held by the Polar Vehicles.</w:t>
      </w:r>
    </w:p>
    <w:p>
      <w:pPr>
        <w:spacing w:after="0" w:line="185"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The filing of this statement should not be construed as an admission that the Reporting Person is, for the purposes of Section 13 of the Act, the beneficial owner of the Shares reported herein.</w:t>
      </w:r>
    </w:p>
    <w:p>
      <w:pPr>
        <w:spacing w:after="0" w:line="169" w:lineRule="exact"/>
        <w:rPr>
          <w:sz w:val="20"/>
          <w:szCs w:val="20"/>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address of the business office of the Reporting Person is 401 Bay Street, Suite 1900, PO Box 19, Toronto, Ontario M5H 2Y4, Canada.</w:t>
      </w:r>
    </w:p>
    <w:p>
      <w:pPr>
        <w:spacing w:after="0" w:line="169" w:lineRule="exact"/>
        <w:rPr>
          <w:sz w:val="20"/>
          <w:szCs w:val="20"/>
          <w:color w:val="auto"/>
        </w:rPr>
      </w:pP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The citizenship of the Reporting Person is Canada.</w:t>
      </w:r>
    </w:p>
    <w:p>
      <w:pPr>
        <w:spacing w:after="0" w:line="200" w:lineRule="exact"/>
        <w:rPr>
          <w:rFonts w:ascii="Arial" w:cs="Arial" w:eastAsia="Arial" w:hAnsi="Arial"/>
          <w:sz w:val="22"/>
          <w:szCs w:val="22"/>
          <w:b w:val="1"/>
          <w:bCs w:val="1"/>
          <w:color w:val="auto"/>
        </w:rPr>
      </w:pP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Ordinary Shares, par value $0.0001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ind w:left="680" w:hanging="672"/>
        <w:spacing w:after="0"/>
        <w:tabs>
          <w:tab w:leader="none" w:pos="6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CUSIP No.: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G8136L106</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jc w:val="center"/>
        <w:ind w:left="2000" w:right="1520" w:hanging="1344"/>
        <w:spacing w:after="0" w:line="455" w:lineRule="auto"/>
        <w:tabs>
          <w:tab w:leader="none" w:pos="-1810" w:val="left"/>
        </w:tabs>
        <w:numPr>
          <w:ilvl w:val="0"/>
          <w:numId w:val="8"/>
        </w:numPr>
        <w:rPr>
          <w:rFonts w:ascii="Arial" w:cs="Arial" w:eastAsia="Arial" w:hAnsi="Arial"/>
          <w:sz w:val="22"/>
          <w:szCs w:val="22"/>
          <w:color w:val="auto"/>
        </w:rPr>
      </w:pPr>
      <w:r>
        <w:rPr>
          <w:rFonts w:ascii="Arial" w:cs="Arial" w:eastAsia="Arial" w:hAnsi="Arial"/>
          <w:sz w:val="22"/>
          <w:szCs w:val="22"/>
          <w:color w:val="auto"/>
        </w:rPr>
        <w:t>[_]Investment company registered under Section 8 of the Investment Company Act of 1940; 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-106045</wp:posOffset>
            </wp:positionV>
            <wp:extent cx="278574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574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800" w:space="720"/>
            <w:col w:w="720" w:space="720"/>
            <w:col w:w="4280"/>
          </w:cols>
          <w:pgMar w:left="320" w:top="121" w:right="339" w:bottom="1440" w:gutter="0" w:footer="0" w:header="0"/>
        </w:sectPr>
      </w:pPr>
    </w:p>
    <w:p>
      <w:pPr>
        <w:spacing w:after="0" w:line="58"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29" w:val="left"/>
        </w:tabs>
        <w:numPr>
          <w:ilvl w:val="0"/>
          <w:numId w:val="9"/>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[X]    A non-U.S. institution in accordance with Rule 240.13d-1(b)(1)(ii)(J);</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filing as a non-U.S. institution in accordance with Rule 240.13d-1(b)(1)(ii)(J), please specify the type of institution:</w:t>
      </w:r>
    </w:p>
    <w:p>
      <w:pPr>
        <w:spacing w:after="0" w:line="241"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The percentages used herein are calculated based upon 25,000,000 Shares outstanding as at March 24, 2020 as disclosed in the Company's Annual Report on Form 10-K for the fiscal year ended December 31, 2019, filed with the Securities and Exchange Commission on March 30, 2020.</w:t>
      </w:r>
    </w:p>
    <w:p>
      <w:pPr>
        <w:spacing w:after="0" w:line="186"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jc w:val="both"/>
        <w:ind w:left="980" w:right="20"/>
        <w:spacing w:after="0" w:line="250" w:lineRule="auto"/>
        <w:rPr>
          <w:sz w:val="20"/>
          <w:szCs w:val="20"/>
          <w:color w:val="auto"/>
        </w:rPr>
      </w:pPr>
      <w:r>
        <w:rPr>
          <w:rFonts w:ascii="Arial" w:cs="Arial" w:eastAsia="Arial" w:hAnsi="Arial"/>
          <w:sz w:val="22"/>
          <w:szCs w:val="22"/>
          <w:color w:val="auto"/>
        </w:rPr>
        <w:t>See Item 2. The Polar Vehicles have the right to receive or the power to direct the receipt of dividends from or the proceeds from the sale of more than 5% of the Shares.</w:t>
      </w:r>
    </w:p>
    <w:p>
      <w:pPr>
        <w:spacing w:after="0" w:line="169"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-106045</wp:posOffset>
            </wp:positionV>
            <wp:extent cx="278574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8574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800" w:space="720"/>
            <w:col w:w="720" w:space="720"/>
            <w:col w:w="4280"/>
          </w:cols>
          <w:pgMar w:left="320" w:top="121" w:right="339" w:bottom="1440" w:gutter="0" w:footer="0" w:header="0"/>
        </w:sectPr>
      </w:pPr>
    </w:p>
    <w:p>
      <w:pPr>
        <w:spacing w:after="0" w:line="58" w:lineRule="exact"/>
        <w:rPr>
          <w:sz w:val="20"/>
          <w:szCs w:val="20"/>
          <w:color w:val="auto"/>
        </w:rPr>
      </w:pPr>
    </w:p>
    <w:p>
      <w:pPr>
        <w:jc w:val="right"/>
        <w:ind w:right="8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jc w:val="right"/>
        <w:ind w:right="8880"/>
        <w:spacing w:after="0"/>
        <w:tabs>
          <w:tab w:leader="none" w:pos="101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14"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April 10,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Greg Lemaich</w:t>
      </w:r>
    </w:p>
    <w:p>
      <w:pPr>
        <w:spacing w:after="0" w:line="238" w:lineRule="auto"/>
        <w:rPr>
          <w:sz w:val="20"/>
          <w:szCs w:val="20"/>
          <w:color w:val="auto"/>
        </w:rPr>
      </w:pPr>
      <w:r>
        <w:rPr>
          <w:rFonts w:ascii="Arial" w:cs="Arial" w:eastAsia="Arial" w:hAnsi="Arial"/>
          <w:sz w:val="22"/>
          <w:szCs w:val="22"/>
          <w:color w:val="auto"/>
        </w:rPr>
        <w:t>Name: Greg Lemaich</w:t>
      </w:r>
    </w:p>
    <w:p>
      <w:pPr>
        <w:spacing w:after="0"/>
        <w:tabs>
          <w:tab w:leader="none" w:pos="680" w:val="left"/>
        </w:tabs>
        <w:rPr>
          <w:sz w:val="20"/>
          <w:szCs w:val="20"/>
          <w:color w:val="auto"/>
        </w:rPr>
      </w:pPr>
      <w:r>
        <w:rPr>
          <w:rFonts w:ascii="Arial" w:cs="Arial" w:eastAsia="Arial" w:hAnsi="Arial"/>
          <w:sz w:val="22"/>
          <w:szCs w:val="22"/>
          <w:color w:val="auto"/>
        </w:rPr>
        <w:t>Title:</w:t>
        <w:tab/>
        <w:t>General Counsel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2020-04-10T14:49:50Z</dcterms:created>
  <dcterms:modified xsi:type="dcterms:W3CDTF">2020-04-10T14:49:50Z</dcterms:modified>
</cp:coreProperties>
</file>