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(Mark One)</w:t>
      </w:r>
    </w:p>
    <w:p>
      <w:pPr>
        <w:spacing w:after="0" w:line="20" w:lineRule="exact"/>
        <w:rPr>
          <w:sz w:val="24"/>
          <w:szCs w:val="24"/>
          <w:color w:val="auto"/>
        </w:rPr>
      </w:pPr>
    </w:p>
    <w:p>
      <w:pPr>
        <w:jc w:val="center"/>
        <w:ind w:left="3440" w:hanging="3427"/>
        <w:spacing w:after="0" w:line="443" w:lineRule="auto"/>
        <w:tabs>
          <w:tab w:leader="none" w:pos="248"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 For the quarterly period ended March 31, 2020</w:t>
      </w:r>
    </w:p>
    <w:p>
      <w:pPr>
        <w:spacing w:after="0" w:line="32" w:lineRule="exact"/>
        <w:rPr>
          <w:sz w:val="24"/>
          <w:szCs w:val="24"/>
          <w:color w:val="auto"/>
        </w:rPr>
      </w:pPr>
    </w:p>
    <w:p>
      <w:pPr>
        <w:ind w:left="500" w:hanging="252"/>
        <w:spacing w:after="0"/>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w:t>
      </w:r>
    </w:p>
    <w:p>
      <w:pPr>
        <w:spacing w:after="0" w:line="18" w:lineRule="exact"/>
        <w:rPr>
          <w:rFonts w:ascii="MS PGothic" w:cs="MS PGothic" w:eastAsia="MS PGothic" w:hAnsi="MS PGothic"/>
          <w:sz w:val="22"/>
          <w:szCs w:val="22"/>
          <w:color w:val="auto"/>
        </w:rPr>
      </w:pPr>
    </w:p>
    <w:p>
      <w:pPr>
        <w:ind w:left="5400"/>
        <w:spacing w:after="0"/>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205" w:lineRule="exact"/>
        <w:rPr>
          <w:sz w:val="24"/>
          <w:szCs w:val="24"/>
          <w:color w:val="auto"/>
        </w:rPr>
      </w:pPr>
    </w:p>
    <w:p>
      <w:pPr>
        <w:ind w:left="3660"/>
        <w:spacing w:after="0"/>
        <w:tabs>
          <w:tab w:leader="none" w:pos="7400" w:val="left"/>
        </w:tabs>
        <w:rPr>
          <w:sz w:val="20"/>
          <w:szCs w:val="20"/>
          <w:color w:val="auto"/>
        </w:rPr>
      </w:pPr>
      <w:r>
        <w:rPr>
          <w:rFonts w:ascii="Times New Roman" w:cs="Times New Roman" w:eastAsia="Times New Roman" w:hAnsi="Times New Roman"/>
          <w:sz w:val="22"/>
          <w:szCs w:val="22"/>
          <w:b w:val="1"/>
          <w:bCs w:val="1"/>
          <w:color w:val="auto"/>
        </w:rPr>
        <w:t>For the transition period from</w:t>
      </w:r>
      <w:r>
        <w:rPr>
          <w:sz w:val="20"/>
          <w:szCs w:val="20"/>
          <w:color w:val="auto"/>
        </w:rPr>
        <w:tab/>
      </w:r>
      <w:r>
        <w:rPr>
          <w:rFonts w:ascii="Times New Roman" w:cs="Times New Roman" w:eastAsia="Times New Roman" w:hAnsi="Times New Roman"/>
          <w:sz w:val="21"/>
          <w:szCs w:val="21"/>
          <w:b w:val="1"/>
          <w:bCs w:val="1"/>
          <w:color w:val="auto"/>
        </w:rPr>
        <w:t>to</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No. 001-39021</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Silver Spike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234"/>
        </w:trPr>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60" w:type="dxa"/>
            <w:vAlign w:val="bottom"/>
          </w:tcPr>
          <w:p>
            <w:pPr>
              <w:spacing w:after="0"/>
              <w:rPr>
                <w:sz w:val="20"/>
                <w:szCs w:val="20"/>
                <w:color w:val="auto"/>
              </w:rPr>
            </w:pPr>
          </w:p>
        </w:tc>
        <w:tc>
          <w:tcPr>
            <w:tcW w:w="5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0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600 Madison Ave, 17</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ind w:left="4560"/>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905-4923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4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45"/>
        </w:trPr>
        <w:tc>
          <w:tcPr>
            <w:tcW w:w="4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8"/>
        </w:trPr>
        <w:tc>
          <w:tcPr>
            <w:tcW w:w="45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$0.0001 per share</w:t>
            </w:r>
          </w:p>
        </w:tc>
        <w:tc>
          <w:tcPr>
            <w:tcW w:w="280" w:type="dxa"/>
            <w:vAlign w:val="bottom"/>
          </w:tcPr>
          <w:p>
            <w:pPr>
              <w:spacing w:after="0"/>
              <w:rPr>
                <w:sz w:val="17"/>
                <w:szCs w:val="17"/>
                <w:color w:val="auto"/>
              </w:rPr>
            </w:pPr>
          </w:p>
        </w:tc>
        <w:tc>
          <w:tcPr>
            <w:tcW w:w="20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SSPK</w:t>
            </w:r>
          </w:p>
        </w:tc>
        <w:tc>
          <w:tcPr>
            <w:tcW w:w="260" w:type="dxa"/>
            <w:vAlign w:val="bottom"/>
          </w:tcPr>
          <w:p>
            <w:pPr>
              <w:spacing w:after="0"/>
              <w:rPr>
                <w:sz w:val="17"/>
                <w:szCs w:val="17"/>
                <w:color w:val="auto"/>
              </w:rPr>
            </w:pPr>
          </w:p>
        </w:tc>
        <w:tc>
          <w:tcPr>
            <w:tcW w:w="4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SSPKW</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Class A ordinary share at an exercise price of $11.50</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6"/>
        </w:trPr>
        <w:tc>
          <w:tcPr>
            <w:tcW w:w="4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Units, each consisting of one Class A ordinary share and one-</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SSPKU</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half of one redeemable warrant</w:t>
            </w: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tcPr>
          <w:p>
            <w:pPr>
              <w:spacing w:after="0"/>
              <w:rPr>
                <w:sz w:val="20"/>
                <w:szCs w:val="20"/>
                <w:color w:val="auto"/>
              </w:rPr>
            </w:pPr>
          </w:p>
        </w:tc>
      </w:tr>
    </w:tbl>
    <w:p>
      <w:pPr>
        <w:spacing w:after="0" w:line="216" w:lineRule="exact"/>
        <w:rPr>
          <w:sz w:val="24"/>
          <w:szCs w:val="24"/>
          <w:color w:val="auto"/>
        </w:rPr>
      </w:pPr>
    </w:p>
    <w:p>
      <w:pPr>
        <w:jc w:val="both"/>
        <w:ind w:firstLine="648"/>
        <w:spacing w:after="0" w:line="268"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 </w:t>
      </w:r>
      <w:r>
        <w:rPr>
          <w:rFonts w:ascii="MS PGothic" w:cs="MS PGothic" w:eastAsia="MS PGothic" w:hAnsi="MS PGothic"/>
          <w:sz w:val="22"/>
          <w:szCs w:val="22"/>
          <w:color w:val="auto"/>
        </w:rPr>
        <w:t>☐</w:t>
      </w:r>
    </w:p>
    <w:p>
      <w:pPr>
        <w:spacing w:after="0" w:line="182" w:lineRule="exact"/>
        <w:rPr>
          <w:sz w:val="24"/>
          <w:szCs w:val="24"/>
          <w:color w:val="auto"/>
        </w:rPr>
      </w:pPr>
    </w:p>
    <w:p>
      <w:pPr>
        <w:jc w:val="both"/>
        <w:ind w:firstLine="648"/>
        <w:spacing w:after="0" w:line="268"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 </w:t>
      </w:r>
      <w:r>
        <w:rPr>
          <w:rFonts w:ascii="MS PGothic" w:cs="MS PGothic" w:eastAsia="MS PGothic" w:hAnsi="MS PGothic"/>
          <w:sz w:val="22"/>
          <w:szCs w:val="22"/>
          <w:color w:val="auto"/>
        </w:rPr>
        <w:t>☐</w:t>
      </w:r>
    </w:p>
    <w:p>
      <w:pPr>
        <w:spacing w:after="0" w:line="182" w:lineRule="exact"/>
        <w:rPr>
          <w:sz w:val="24"/>
          <w:szCs w:val="24"/>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2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16"/>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20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Smaller reporting company</w:t>
            </w:r>
          </w:p>
        </w:tc>
      </w:tr>
      <w:tr>
        <w:trPr>
          <w:trHeight w:val="283"/>
        </w:trPr>
        <w:tc>
          <w:tcPr>
            <w:tcW w:w="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20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Emerging growth company</w:t>
            </w:r>
          </w:p>
        </w:tc>
      </w:tr>
    </w:tbl>
    <w:p>
      <w:pPr>
        <w:spacing w:after="0" w:line="196" w:lineRule="exact"/>
        <w:rPr>
          <w:sz w:val="24"/>
          <w:szCs w:val="24"/>
          <w:color w:val="auto"/>
        </w:rPr>
      </w:pPr>
    </w:p>
    <w:p>
      <w:pPr>
        <w:sectPr>
          <w:pgSz w:w="11900" w:h="16838" w:orient="portrait"/>
          <w:cols w:equalWidth="0" w:num="1">
            <w:col w:w="11240"/>
          </w:cols>
          <w:pgMar w:left="320" w:top="529" w:right="339" w:bottom="198" w:gutter="0" w:footer="0" w:header="0"/>
        </w:sectPr>
      </w:pPr>
    </w:p>
    <w:p>
      <w:pPr>
        <w:jc w:val="both"/>
        <w:ind w:firstLine="648"/>
        <w:spacing w:after="0" w:line="268" w:lineRule="exact"/>
        <w:rPr>
          <w:sz w:val="20"/>
          <w:szCs w:val="20"/>
          <w:color w:val="auto"/>
        </w:rPr>
      </w:pPr>
      <w:r>
        <w:rPr>
          <w:rFonts w:ascii="Times New Roman" w:cs="Times New Roman" w:eastAsia="Times New Roman" w:hAnsi="Times New Roman"/>
          <w:sz w:val="22"/>
          <w:szCs w:val="2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2"/>
          <w:szCs w:val="22"/>
          <w:color w:val="auto"/>
        </w:rPr>
        <w:t>☐</w:t>
      </w:r>
    </w:p>
    <w:p>
      <w:pPr>
        <w:sectPr>
          <w:pgSz w:w="11900" w:h="16838" w:orient="portrait"/>
          <w:cols w:equalWidth="0" w:num="1">
            <w:col w:w="11240"/>
          </w:cols>
          <w:pgMar w:left="320" w:top="529" w:right="339" w:bottom="198" w:gutter="0" w:footer="0" w:header="0"/>
          <w:type w:val="continuous"/>
        </w:sectPr>
      </w:pPr>
    </w:p>
    <w:bookmarkStart w:id="1" w:name="page2"/>
    <w:bookmarkEnd w:id="1"/>
    <w:p>
      <w:pPr>
        <w:ind w:left="660"/>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p>
    <w:p>
      <w:pPr>
        <w:spacing w:after="0" w:line="65"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No </w:t>
      </w:r>
      <w:r>
        <w:rPr>
          <w:rFonts w:ascii="MS PGothic" w:cs="MS PGothic" w:eastAsia="MS PGothic" w:hAnsi="MS PGothic"/>
          <w:sz w:val="22"/>
          <w:szCs w:val="22"/>
          <w:color w:val="auto"/>
        </w:rPr>
        <w:t>☐</w:t>
      </w:r>
    </w:p>
    <w:p>
      <w:pPr>
        <w:spacing w:after="0" w:line="21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As of May 12, 2020, there were 25,000,000 Class A ordinary shares, $0.0001 par value per share, and 6,250,000 Class B ordinary shares,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SILVER SPIKE ACQUISITION CORP.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on Form 10-Q</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0" w:type="dxa"/>
            <w:vAlign w:val="bottom"/>
          </w:tcPr>
          <w:p>
            <w:pPr>
              <w:spacing w:after="0"/>
              <w:rPr>
                <w:sz w:val="21"/>
                <w:szCs w:val="21"/>
                <w:color w:val="auto"/>
              </w:rPr>
            </w:pPr>
          </w:p>
        </w:tc>
        <w:tc>
          <w:tcPr>
            <w:tcW w:w="9560" w:type="dxa"/>
            <w:vAlign w:val="bottom"/>
          </w:tcPr>
          <w:p>
            <w:pPr>
              <w:spacing w:after="0"/>
              <w:rPr>
                <w:sz w:val="21"/>
                <w:szCs w:val="21"/>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tc>
        <w:tc>
          <w:tcPr>
            <w:tcW w:w="900" w:type="dxa"/>
            <w:vAlign w:val="bottom"/>
          </w:tcPr>
          <w:p>
            <w:pPr>
              <w:spacing w:after="0"/>
              <w:rPr>
                <w:sz w:val="24"/>
                <w:szCs w:val="24"/>
                <w:color w:val="auto"/>
              </w:rPr>
            </w:pP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c>
          <w:tcPr>
            <w:tcW w:w="90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9560" w:type="dxa"/>
            <w:vAlign w:val="bottom"/>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Balance Sheets as of March 31, 2020 (unaudited) and December 31, 2019</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9560" w:type="dxa"/>
            <w:vAlign w:val="bottom"/>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Statement of Operations for the Three Months Ended March 31, 2020 (unaudited)</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9560" w:type="dxa"/>
            <w:vAlign w:val="bottom"/>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Condensed Statement of Changes in Shareholders’ Equity for the Three Months Ended March 31, 2020 (unaudited)</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9560" w:type="dxa"/>
            <w:vAlign w:val="bottom"/>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Condensed Statement of Cash Flows for the Three Months Ended March 31, 2020 (unaudited)</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9560" w:type="dxa"/>
            <w:vAlign w:val="bottom"/>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Condensed Financial Statements (unaudited)</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560" w:type="dxa"/>
            <w:vAlign w:val="bottom"/>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7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9560" w:type="dxa"/>
            <w:vAlign w:val="bottom"/>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Quantitative and Qualitative Disclosures about Market Risk</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7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560" w:type="dxa"/>
            <w:vAlign w:val="bottom"/>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Control and Procedures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3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90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560" w:type="dxa"/>
            <w:vAlign w:val="bottom"/>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Legal Proceedings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7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1A.</w:t>
            </w:r>
          </w:p>
        </w:tc>
        <w:tc>
          <w:tcPr>
            <w:tcW w:w="9560" w:type="dxa"/>
            <w:vAlign w:val="bottom"/>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Risk Factors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7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560" w:type="dxa"/>
            <w:vAlign w:val="bottom"/>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Unregistered Sales of Equity Securities and Use of Proceeds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7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9560" w:type="dxa"/>
            <w:vAlign w:val="bottom"/>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Defaults Upon Senior Securities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7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560" w:type="dxa"/>
            <w:vAlign w:val="bottom"/>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Mine Safety Disclosures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7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5.</w:t>
            </w:r>
          </w:p>
        </w:tc>
        <w:tc>
          <w:tcPr>
            <w:tcW w:w="9560" w:type="dxa"/>
            <w:vAlign w:val="bottom"/>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Other Information</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7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560" w:type="dxa"/>
            <w:vAlign w:val="bottom"/>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Exhibits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03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gridSpan w:val="2"/>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24">
              <w:r>
                <w:rPr>
                  <w:rFonts w:ascii="Times New Roman" w:cs="Times New Roman" w:eastAsia="Times New Roman" w:hAnsi="Times New Roman"/>
                  <w:sz w:val="18"/>
                  <w:szCs w:val="18"/>
                  <w:b w:val="1"/>
                  <w:bCs w:val="1"/>
                  <w:u w:val="single" w:color="auto"/>
                  <w:color w:val="0000EE"/>
                </w:rPr>
                <w:t>SIGNATURES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425"/>
        </w:trPr>
        <w:tc>
          <w:tcPr>
            <w:tcW w:w="78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SILVER SPIKE ACQUISITION CORP.</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794,993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894,589</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215,915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257,110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1,010,908</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254,009,716</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251,924,993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255,020,624</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253,076,692</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 – 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413,720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96,895</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8,750,000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8,750,000</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9,163,720</w:t>
            </w:r>
          </w:p>
        </w:tc>
        <w:tc>
          <w:tcPr>
            <w:tcW w:w="20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8,846,895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 redemption, 23,705,481 and 23,740,181 shares at redemption value at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2020 and December 31, 2019, respectively</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240,856,900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239,229,796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Preference shares, $0.0001 par value; 1,000,000 shares authorized; none issued and outstanding</w:t>
            </w: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200,000,000 shares authorized; 1,294,519 and 1,259,819 shares issued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outstanding (excluding 23,705,481 and 23,740,181 shares subject to possible redemption) at March 31, 2020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December 31, 2019, respectively</w:t>
            </w: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20,000,000 shares authorized; 6,250,000 shares issued and outstanding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at March 31, 2020 and December 31, 2020</w:t>
            </w:r>
          </w:p>
        </w:tc>
        <w:tc>
          <w:tcPr>
            <w:tcW w:w="12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1,753,984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3,381,091</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3,245,266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1,618,159</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5,000,004</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255,020,624</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253,076,692</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accompanying notes are an integral part of the unaudited condensed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SILVER SPIKE ACQUISITION CORP.</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STATEMENT OF OPERATIONS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THREE MONTHS ENDED MARCH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(457,616)</w:t>
            </w:r>
          </w:p>
        </w:tc>
      </w:tr>
      <w:tr>
        <w:trPr>
          <w:trHeight w:val="216"/>
        </w:trPr>
        <w:tc>
          <w:tcPr>
            <w:tcW w:w="100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on marketable securities held in Trust Account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932,037</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marketable securities held in Trust Account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1,152,686</w:t>
            </w:r>
          </w:p>
        </w:tc>
        <w:tc>
          <w:tcPr>
            <w:tcW w:w="100" w:type="dxa"/>
            <w:vAlign w:val="bottom"/>
          </w:tcPr>
          <w:p>
            <w:pPr>
              <w:spacing w:after="0"/>
              <w:rPr>
                <w:sz w:val="19"/>
                <w:szCs w:val="19"/>
                <w:color w:val="auto"/>
              </w:rPr>
            </w:pPr>
          </w:p>
        </w:tc>
      </w:tr>
      <w:tr>
        <w:trPr>
          <w:trHeight w:val="223"/>
        </w:trPr>
        <w:tc>
          <w:tcPr>
            <w:tcW w:w="10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10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1,627,107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1002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Weighted average shares outstanding, basic and diluted </w:t>
            </w:r>
            <w:r>
              <w:rPr>
                <w:rFonts w:ascii="Times New Roman" w:cs="Times New Roman" w:eastAsia="Times New Roman" w:hAnsi="Times New Roman"/>
                <w:sz w:val="25"/>
                <w:szCs w:val="25"/>
                <w:color w:val="auto"/>
                <w:vertAlign w:val="superscript"/>
              </w:rPr>
              <w:t>(1)</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7,509,819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7"/>
        </w:trPr>
        <w:tc>
          <w:tcPr>
            <w:tcW w:w="100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Basic and diluted net loss per ordinary share </w:t>
            </w:r>
            <w:r>
              <w:rPr>
                <w:rFonts w:ascii="Times New Roman" w:cs="Times New Roman" w:eastAsia="Times New Roman" w:hAnsi="Times New Roman"/>
                <w:sz w:val="25"/>
                <w:szCs w:val="25"/>
                <w:b w:val="1"/>
                <w:bCs w:val="1"/>
                <w:color w:val="auto"/>
                <w:vertAlign w:val="superscript"/>
              </w:rPr>
              <w:t>(2)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(0.05)</w:t>
            </w:r>
          </w:p>
        </w:tc>
      </w:tr>
      <w:tr>
        <w:trPr>
          <w:trHeight w:val="20"/>
        </w:trPr>
        <w:tc>
          <w:tcPr>
            <w:tcW w:w="10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 aggregate of 23,705,481 shares subject to possible redemption.</w:t>
      </w:r>
    </w:p>
    <w:p>
      <w:pPr>
        <w:spacing w:after="0" w:line="25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per ordinary share – basic and diluted excludes income attributable to ordinary shares subject to possible redemption of $1,976,734 for the three months ended March 31, 2020 (see Note 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accompanying notes are an integral part of the unaudited condensed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ind w:left="340" w:right="1940"/>
        <w:spacing w:after="0" w:line="241" w:lineRule="auto"/>
        <w:rPr>
          <w:sz w:val="20"/>
          <w:szCs w:val="20"/>
          <w:color w:val="auto"/>
        </w:rPr>
      </w:pPr>
      <w:r>
        <w:rPr>
          <w:rFonts w:ascii="Times New Roman" w:cs="Times New Roman" w:eastAsia="Times New Roman" w:hAnsi="Times New Roman"/>
          <w:sz w:val="22"/>
          <w:szCs w:val="22"/>
          <w:b w:val="1"/>
          <w:bCs w:val="1"/>
          <w:color w:val="auto"/>
        </w:rPr>
        <w:t>SILVER SPIKE ACQUISITION CORP. CONDENSED STATEMENT OF CHANGES IN SHAREHOLDER’S EQUITY THREE MONTHS ENDED MARCH 31, 2020 (Unaudited)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2720" w:type="dxa"/>
            <w:vAlign w:val="bottom"/>
          </w:tcPr>
          <w:p>
            <w:pPr>
              <w:spacing w:after="0"/>
              <w:rPr>
                <w:sz w:val="21"/>
                <w:szCs w:val="21"/>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32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23"/>
        </w:trPr>
        <w:tc>
          <w:tcPr>
            <w:tcW w:w="2720" w:type="dxa"/>
            <w:vAlign w:val="bottom"/>
          </w:tcPr>
          <w:p>
            <w:pPr>
              <w:spacing w:after="0"/>
              <w:rPr>
                <w:sz w:val="19"/>
                <w:szCs w:val="19"/>
                <w:color w:val="auto"/>
              </w:rPr>
            </w:pPr>
          </w:p>
        </w:tc>
        <w:tc>
          <w:tcPr>
            <w:tcW w:w="10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1,259,819</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3,381,091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5,000,001</w:t>
            </w:r>
          </w:p>
        </w:tc>
        <w:tc>
          <w:tcPr>
            <w:tcW w:w="10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value of ordinary shares</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(1,627,107)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(1,627,104)</w:t>
            </w:r>
          </w:p>
        </w:tc>
      </w:tr>
      <w:tr>
        <w:trPr>
          <w:trHeight w:val="216"/>
        </w:trPr>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1,627,107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1,627,107</w:t>
            </w:r>
          </w:p>
        </w:tc>
      </w:tr>
      <w:tr>
        <w:trPr>
          <w:trHeight w:val="27"/>
        </w:trPr>
        <w:tc>
          <w:tcPr>
            <w:tcW w:w="27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March 31, 2020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1,294,519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6,250,000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1,753,984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3,245,266</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5,000,004</w:t>
            </w:r>
          </w:p>
        </w:tc>
      </w:tr>
      <w:tr>
        <w:trPr>
          <w:trHeight w:val="21"/>
        </w:trPr>
        <w:tc>
          <w:tcPr>
            <w:tcW w:w="2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The accompanying notes are an integral part of the unaudited condensed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SILVER SPIKE ACQUISITION CORP.</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STATEMENT OF CASH FLOWS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THREE MONTHS ENDED MARCH 31, 2020</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1,627,107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(932,037)</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marketable securities held in Trust Account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(1,152,686)</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41,195</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(99,596)</w:t>
            </w:r>
          </w:p>
        </w:tc>
      </w:tr>
      <w:tr>
        <w:trPr>
          <w:trHeight w:val="216"/>
        </w:trPr>
        <w:tc>
          <w:tcPr>
            <w:tcW w:w="100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(99,596</w:t>
            </w:r>
            <w:r>
              <w:rPr>
                <w:rFonts w:ascii="Times New Roman" w:cs="Times New Roman" w:eastAsia="Times New Roman" w:hAnsi="Times New Roman"/>
                <w:sz w:val="18"/>
                <w:szCs w:val="18"/>
                <w:color w:val="auto"/>
              </w:rPr>
              <w:t>)</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Ending</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794,993</w:t>
            </w:r>
          </w:p>
        </w:tc>
        <w:tc>
          <w:tcPr>
            <w:tcW w:w="10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value of ordinary shares subject to possible redemption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1,627,104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accompanying notes are an integral part of the unaudited condensed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SILVER SPIKE ACQUISITION CORP.</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FINANCIAL STATEMENTS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 DESCRIPTION OF ORGANIZATION AND BUSINESS OPERATIONS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Silver Spike Acquisition Corp. (the “Company”) is a blank check company incorporated as a Cayman Islands exempted company on June 7, 2019. The Company was formed for the purpose of effecting a merger, amalgamation, share exchange, asset acquisition, share purchase, reorganization or similar business combination with one or more businesses (“Business Combination”).</w:t>
      </w:r>
    </w:p>
    <w:p>
      <w:pPr>
        <w:spacing w:after="0" w:line="20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Although the Company is not limited to a particular industry or geographic region for purposes of consummating a Business Combination, the Company intends to focus on businesses in the cannabis industry that are compliant with all applicable laws and regulations within the jurisdictions in which they are located or operate and, in particular, the Company will not invest in, or consummate a Business Combination with, a target business that the Company determines has been operating, or whose business plan is to operate, in violation of U.S. federal laws, including the U.S. Controlled Substances Act. The Company is an early stage and emerging growth company and, as such, the Company is subject to all of the risks associated with early stage and emerging growth companies.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of March 31, 2020, the Company had not commenced any operations. All activity through March 31, 2020 relates to the Company’s formation, the initial public offering (“Initial Public Offering”), which is described below, and, after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registration statement for the Company’s Initial Public Offering was declared effective on August 7, 2019. On August 12, 2019, the Company consummated the Initial Public Offering of 25,000,000 units (the “Units” and, with respect to the Class A ordinary shares included in the Units sold, the “Public Shares”) at $10.00 per unit, generating gross proceeds of $250,000,000, which is described in Note 3.</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Simultaneously with the closing of the Initial Public Offering, the Company consummated the sale of 7,000,000 warrants (the “Private Placement Warrants”) at a price of $1.00 per Private Placement Warrant in a private placement to Silver Spike Sponsor, LLC (the “Sponsor”), generating gross proceeds of $7,000,000, which is described in Note 4.</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Transaction costs amounted to $14,413,362, consisting of $5,000,000 of underwriting fees, $8,750,000 of deferred underwriting fees and $663,362 of other offering costs. In addition, as of March 31, 2020, cash of $794,993 was held outside of the Trust and is available for working capital purposes.</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Following the closing of the Initial Public Offering on August 12, 2019, an amount of $250,000,000 ($10.00 per Unit) from the net proceeds of the sale of the Units in the Initial Public Offering and the sale of the Private Placement Warrants was placed in a trust account (the “Trust Account”) and invested in U.S. government securities, within the meaning set forth in Section 2(a)(16) of the Investment Company Act of 1940, as amended (the “Investment Company Act”), with a maturity of 180 days or less or in any open-ended investment company that holds itself out as a money market fund meeting the conditions of Rule 2a-7 of the Investment Company Act, as determined by the Company, until the earlier of: (i) the consummation of the Business Combination and (ii) the distribution of the funds in the Trust Account to the Company’s shareholders, as described below.</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Company’s management has broad discretion with respect to the specific application of the net proceeds of the Initial Public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an aggregate fair market value of at least 80% of the assets held in the Trust Account (excluding any deferred underwriting commissions and taxes payable on the income earned on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ectPr>
          <w:pgSz w:w="11900" w:h="16838" w:orient="portrait"/>
          <w:cols w:equalWidth="0" w:num="1">
            <w:col w:w="11240"/>
          </w:cols>
          <w:pgMar w:left="320" w:top="115" w:right="3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 w:name="page9"/>
    <w:bookmarkEnd w:id="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SILVER SPIKE ACQUISITION CORP.</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FINANCIAL STATEMENTS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shares for a pro rata portion of the amount held in the Trust Account (initially $10.00 per share) as of two business days prior to the completion of a Business Combination, including any pro rata interest earned on the funds held in the Trust Account and not previously released to the Company to pay its tax obligations. The per-share amount to be distributed to shareholders who redeem their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5) and any Public Shares purchased during or after the Initial Public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15% or more of the Public Shares without the Company’s prior written consent.</w:t>
      </w:r>
    </w:p>
    <w:p>
      <w:pPr>
        <w:spacing w:after="0" w:line="20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 (b) not to propose an amendment to the Amended and Restated Certificate of Incorporation (i) to modify the substance or timing of the Company’s obligation to redeem 100% of the Public Shares if the Company does not complete a Business Combination within 18 months from the closing of the Public Offering or (ii) with respect to any other provision relating to shareholders’ rights or pre-initial business combination activity, unless the Company provides the public stockholders with the opportunity to redeem their Public Shares in conjunction with any such amendment and (c) that the Founder Shares shall not participate in any liquidating distributions upon winding up if a Business Combination is not consummated. However, the Sponsor will be entitled to liquidating distributions from the Trust Account with respect to any Public Shares purchased during or after the Initial Public Offering if the Company fails to complete its Business Combination.</w:t>
      </w:r>
    </w:p>
    <w:p>
      <w:pPr>
        <w:spacing w:after="0" w:line="21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Company will have until February 12, 2021 (the “Combination Period”) to consummate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up to $100,000 of interest to pay dissolution expenses and which interest shall be net of taxes payable),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 The underwriters have agreed to waive their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ectPr>
          <w:pgSz w:w="11900" w:h="16838" w:orient="portrait"/>
          <w:cols w:equalWidth="0" w:num="1">
            <w:col w:w="11240"/>
          </w:cols>
          <w:pgMar w:left="320" w:top="115" w:right="339" w:bottom="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10" w:name="page11"/>
    <w:bookmarkEnd w:id="1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SILVER SPIKE ACQUISITION CORP.</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FINANCIAL STATEMENTS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 SUMMARY OF SIGNIFICANT ACCOUNTING POLICIES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Basis of presentation</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accompanying unaudited condensed financial statements should be read in conjunction with the Company’s Annual Report on Form 10-K for the year ended December 31, 2019 as filed with the SEC on March 30, 2020, which contains the audited financial statements and notes thereto. The financial information as of December 31, 2019 is derived from the audited financial statements presented in the Company’s Annual Report on Form 10-K for the year ended December 31, 2019. The interim results for the three months ended March 31, 2020 are not necessarily indicative of the results to be expected for the year ending December 31, 2020 or for any future interim periods.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Emerging growth company</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ectPr>
          <w:pgSz w:w="11900" w:h="16838" w:orient="portrait"/>
          <w:cols w:equalWidth="0" w:num="1">
            <w:col w:w="11240"/>
          </w:cols>
          <w:pgMar w:left="320" w:top="116" w:right="339" w:bottom="417"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417" w:gutter="0" w:footer="0" w:header="0"/>
          <w:type w:val="continuous"/>
        </w:sectPr>
      </w:pPr>
    </w:p>
    <w:bookmarkStart w:id="11" w:name="page12"/>
    <w:bookmarkEnd w:id="1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SILVER SPIKE ACQUISITION CORP.</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FINANCIAL STATEMENTS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estimates</w:t>
      </w:r>
    </w:p>
    <w:p>
      <w:pPr>
        <w:spacing w:after="0" w:line="23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The preparation of the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expenses during the reporting period.</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and cash equivalents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considers all short-term investments with an original maturity of three months or less when purchased to be cash equivalents. The Company did not have any cash equivalents as of March 31, 2020 and December 31, 2019.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Marketable securities held in Trust Account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March 31, 2020 and December 31, 2019, the assets held in the Trust Account were substantially held in U.S. Treasury Bills.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Class A ordinary shares subject to possible redemption</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condensed balance sheets.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Income taxes</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2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2020 and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is considered an exempted Cayman Islands Company and is presently not subject to income taxes or income tax filing requirements in the Cayman Islands or the United States. As such, the Company’s tax provision was zero for the periods presented.</w:t>
      </w:r>
    </w:p>
    <w:p>
      <w:pPr>
        <w:sectPr>
          <w:pgSz w:w="11900" w:h="16838" w:orient="portrait"/>
          <w:cols w:equalWidth="0" w:num="1">
            <w:col w:w="11240"/>
          </w:cols>
          <w:pgMar w:left="320" w:top="116" w:right="3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2" w:name="page13"/>
    <w:bookmarkEnd w:id="1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SILVER SPIKE ACQUISITION CORP.</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FINANCIAL STATEMENTS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loss per ordinary share</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Net loss per ordinary share is computed by dividing net loss by the weighted average number of ordinary shares outstanding for the period. The Company applies the two-class method in calculating earnings per share. Ordinary shares subject to possible redemption at March 31, 2020, which are not currently redeemable and are not redeemable at fair value, have been excluded from the calculation of basic net loss per ordinary share since such shares, if redeemed, only participate in their pro rata share of the Trust Account earnings. The Company has not considered the effect of warrants sold in the Initial Public Offering and the private placement to purchase 19,500,000 ordinary shares in the calculation of diluted loss per share, since the exercise of the warrants into ordinary shares is contingent upon the occurrence of future events. As a result, diluted net loss per ordinary share is the same as basic net loss per ordinary share for the periods presented.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Reconciliation of net loss per ordinary share</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Company’s net income is adjusted for the portion of income that is attributable to ordinary shares subject to possible redemption, as these shares only participate in the earnings of the Trust Account and not the income or losses of the Company. Accordingly, basic and diluted loss per ordinary share is calculated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100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1,627,107</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Income attributable to ordinary shares subject to possible redemption</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(1,976,734)</w:t>
            </w:r>
          </w:p>
        </w:tc>
      </w:tr>
      <w:tr>
        <w:trPr>
          <w:trHeight w:val="256"/>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(349,627)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56"/>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7,509,819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3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ordinary share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10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Concentration of credit risk</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Fair value of financial instruments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fair value of the Company’s assets and liabilities, which qualify as financial instruments under ASC Topic 820, “Fair Value Measurements and Disclosures,” approximates the carrying amounts represented in the accompanying condensed financial statements, primarily due to their short-term nature.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Recently issued accounting standards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Management does not believe that any recently issued, but not yet effective, accounting standards, if currently adopted, would have a material effect on the condensed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 INITIAL PUBLIC OFFERING</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Pursuant to the Initial Public Offering, the Company sold 25,000,000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7).</w:t>
      </w:r>
    </w:p>
    <w:p>
      <w:pPr>
        <w:sectPr>
          <w:pgSz w:w="11900" w:h="16838" w:orient="portrait"/>
          <w:cols w:equalWidth="0" w:num="1">
            <w:col w:w="11240"/>
          </w:cols>
          <w:pgMar w:left="320" w:top="116" w:right="3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3" w:name="page14"/>
    <w:bookmarkEnd w:id="1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SILVER SPIKE ACQUISITION CORP.</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FINANCIAL STATEMENTS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4. PRIVATE PLACEMENT</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Simultaneously with the closing of the Initial Public Offering, the Sponsor purchased an aggregate of 7,000,000 Private Placement Warrants at a purchase price of $1.00 per Private Placement Warrant, for an aggregate purchase price of $7,000,000. The proceeds from the sale of the Private Placement Warrants were added to the net proceeds from the Initial Public Offering held in the Trust Account. Each Private Placement Warrant is exercisable for one Class A Share at a price of $11.50 per share, subject to adjustment (see Note 7).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5. RELATED PARTY TRANSACTIONS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Founder Shares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June 2019, the Company issued an aggregate of 7,187,500 Class B ordinary shares (the “Founder Shares”) to the Sponsor for an aggregate purchase price of $25,000. The Founder Shares will automatically convert into Class A ordinary shares on the first business day following the completion of a Business Combination on a one-for-one basis, subject to certain adjustments, as described in Note 7.</w:t>
      </w:r>
    </w:p>
    <w:p>
      <w:pPr>
        <w:spacing w:after="0" w:line="2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Founder Shares included an aggregate of up to 937,500 shares subject to forfeiture by the Sponsor to the extent that the underwriters’ over-allotment was not exercised in full or in part, so that the number of Founder Shares would collectively represent 20% of the Company’s issued and outstanding shares upon the completion of the Initial Public Offering. The underwriters’ over-allotment option expired unexercised on September 26, 2019 and, as a result, 937,500 Founder Shares were forfeited, resulting in the Sponsor holding an aggregate of 6,250,000 Founder Shares.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Sponsor has agreed, subject to limited exceptions, not to transfer, assign or sell any of its Founder Shares until the earlier of:</w:t>
      </w:r>
    </w:p>
    <w:p>
      <w:pPr>
        <w:spacing w:after="0" w:line="26" w:lineRule="exact"/>
        <w:rPr>
          <w:sz w:val="20"/>
          <w:szCs w:val="20"/>
          <w:color w:val="auto"/>
        </w:rPr>
      </w:pPr>
    </w:p>
    <w:p>
      <w:pPr>
        <w:jc w:val="both"/>
        <w:ind w:firstLine="8"/>
        <w:spacing w:after="0" w:line="232" w:lineRule="auto"/>
        <w:tabs>
          <w:tab w:leader="none" w:pos="38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Promissory Note – Related Party</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 June 10, 2019, the Company issued an unsecured promissory note to the Sponsor, pursuant to which the Company borrowed an aggregate principal amount of $237,470. The note was non-interest bearing and payable on the earlier of (i) January 31, 2020 and (ii) the completion of the Initial Public Offering. The note was repaid in full upon the consummation of the Initial Public Offering on August 12, 2019.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Administrative Services Agreement</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entered into an agreement whereby, commencing on August 7, 2019, the Company will pay the Sponsor up to $20,000 per month for office space, administrative and support services. Upon completion of a Business Combination or its liquidation, the Company will cease paying these monthly fees. For the three months ended March 31, 2020, the Company incurred $60,000 in fees for these services. At March 31, 2020 and December 31, 2019, $110,554 and $82,228 of such fees are included in accrued expenses in the accompanying condensed balance sheets.</w:t>
      </w:r>
    </w:p>
    <w:p>
      <w:pPr>
        <w:sectPr>
          <w:pgSz w:w="11900" w:h="16838" w:orient="portrait"/>
          <w:cols w:equalWidth="0" w:num="1">
            <w:col w:w="11240"/>
          </w:cols>
          <w:pgMar w:left="320" w:top="116"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4" w:name="page15"/>
    <w:bookmarkEnd w:id="1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SILVER SPIKE ACQUISITION CORP.</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FINANCIAL STATEMENTS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Related Party Loans</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 COMMITMENTS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Registration Rights</w:t>
      </w:r>
    </w:p>
    <w:p>
      <w:pPr>
        <w:spacing w:after="0" w:line="23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Pursuant to a registration rights agreement entered into on August 7, 2019, the holders of the Founder Shares, Private Placement Warrants and any warrants that may be issued on conversion of the Working Capital Loans (and any Class A ordinary shares issuable upon the exercise of the Private Placement Warrants or warrants that may be issued upon conversion of Working Capital Loans and upon conversion of the Founder Shares) are entitled to registration rights requiring the Company to register such securities for resale.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Underwriting Agreement</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underwriters were paid a cash underwriting discount of $0.20 per Unit, or $5,000,000 in the aggregate. In addition, the underwriters are entitled to a deferred fee of $0.35 per Unit, or $8,750,000 in the aggregate, which will become payable to the underwriters from the amounts held in the Trust Account solely in the event that the Company completes a Business Combination, subject to the terms of the underwriting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 SHAREHOLDERS’ EQUITY</w:t>
      </w:r>
    </w:p>
    <w:p>
      <w:pPr>
        <w:spacing w:after="0" w:line="2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Preferred Shares </w:t>
      </w:r>
      <w:r>
        <w:rPr>
          <w:rFonts w:ascii="Times New Roman" w:cs="Times New Roman" w:eastAsia="Times New Roman" w:hAnsi="Times New Roman"/>
          <w:sz w:val="22"/>
          <w:szCs w:val="22"/>
          <w:color w:val="auto"/>
        </w:rPr>
        <w:t>— The Company is authorized to issue 1,000,000 preference shares with a par value of $0.0001.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Company’s board of directors 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March 31, 2020 and December 31, 2019, there were no preference shares issued or outstanding.</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Class A Ordinary Shares </w:t>
      </w:r>
      <w:r>
        <w:rPr>
          <w:rFonts w:ascii="Times New Roman" w:cs="Times New Roman" w:eastAsia="Times New Roman" w:hAnsi="Times New Roman"/>
          <w:sz w:val="22"/>
          <w:szCs w:val="22"/>
          <w:color w:val="auto"/>
        </w:rPr>
        <w:t>— The Company is authorized to issue 200,000,000 Class A ordinary shares, with a par value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$0.0001 per share. Holders of Class A ordinary shares are entitled to one vote for each share. At March 31, 2020 and December 31, 2019, there were 1,294,519 and 1,259,819 shares of Class A ordinary shares issued or outstanding, excluding 23,705,481 and 23,740,181 Class A ordinary shares subject to possible redemption, respectively.</w:t>
      </w:r>
    </w:p>
    <w:p>
      <w:pPr>
        <w:sectPr>
          <w:pgSz w:w="11900" w:h="16838" w:orient="portrait"/>
          <w:cols w:equalWidth="0" w:num="1">
            <w:col w:w="11240"/>
          </w:cols>
          <w:pgMar w:left="320" w:top="116"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5" w:name="page16"/>
    <w:bookmarkEnd w:id="1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SILVER SPIKE ACQUISITION CORP.</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FINANCIAL STATEMENTS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Class B Ordinary Shares </w:t>
      </w:r>
      <w:r>
        <w:rPr>
          <w:rFonts w:ascii="Times New Roman" w:cs="Times New Roman" w:eastAsia="Times New Roman" w:hAnsi="Times New Roman"/>
          <w:sz w:val="22"/>
          <w:szCs w:val="22"/>
          <w:color w:val="auto"/>
        </w:rPr>
        <w:t>— The Company is authorized to issue 20,000,000 Class B ordinary shares, with a par value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$0.0001 per share. Holders of the Class B ordinary shares are entitled to one vote for each share. At March 31, 2020 and December 31, 2019, there were 6,250,000 Class B ordinary shares issued and outstanding.</w:t>
      </w:r>
    </w:p>
    <w:p>
      <w:pPr>
        <w:spacing w:after="0" w:line="19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20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Class B Shares will automatically convert into Class A ordinary shares on the first business day following the completion of the Business Combination, on a one-for-one basis, subject to adjustment. In the case that additional Class A ordinary shares, or equity-linked securities, are issued or deemed issued in excess of the amounts issued in the Initial Public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Initial Public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spacing w:after="0" w:line="20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Warrants </w:t>
      </w:r>
      <w:r>
        <w:rPr>
          <w:rFonts w:ascii="Times New Roman" w:cs="Times New Roman" w:eastAsia="Times New Roman" w:hAnsi="Times New Roman"/>
          <w:sz w:val="22"/>
          <w:szCs w:val="22"/>
          <w:color w:val="auto"/>
        </w:rPr>
        <w:t>— Public Warrants may only be exercised for a whole number of shares. No fractional shares will be issued upon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exercise of the Public Warrants. The Public Warrants will become exercisable on the later of (a) 30 days after the completion of a Business Combination and (b) 12 months from the closing of the Initial Public Offering. The Public Warrants will expire five years from the completion of a Business Combination or earlier upon redemption or liquidation.</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Company has agreed that as soon as practicable, but in no event later than 15 business days, after the closing of a Business Combination, it will use its reasonable best efforts to file with the SEC a registration statement registering the issuance, under the Securities Act, of the Class A ordinary shares issuable upon exercise of the Public Warrants. The Company will use it’s reasonable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it satisfies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Once the Public Warrants become exercisable, the Company may redeem the Public Warrants for redemption:</w:t>
      </w:r>
    </w:p>
    <w:p>
      <w:pPr>
        <w:spacing w:after="0" w:line="242" w:lineRule="exact"/>
        <w:rPr>
          <w:sz w:val="20"/>
          <w:szCs w:val="20"/>
          <w:color w:val="auto"/>
        </w:rPr>
      </w:pPr>
    </w:p>
    <w:p>
      <w:pPr>
        <w:ind w:left="680" w:hanging="348"/>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9"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9" w:lineRule="exact"/>
        <w:rPr>
          <w:rFonts w:ascii="Times New Roman" w:cs="Times New Roman" w:eastAsia="Times New Roman" w:hAnsi="Times New Roman"/>
          <w:sz w:val="18"/>
          <w:szCs w:val="18"/>
          <w:color w:val="auto"/>
        </w:rPr>
      </w:pPr>
    </w:p>
    <w:p>
      <w:pPr>
        <w:ind w:left="680" w:right="280" w:hanging="348"/>
        <w:spacing w:after="0" w:line="255"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notice of redemption to the warrant holders.</w:t>
      </w:r>
    </w:p>
    <w:p>
      <w:pPr>
        <w:spacing w:after="0" w:line="2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If and when the Public Warrants become redeemable by the Company, the Company may exercise its redemption right even if it is unable to register or qualify the underlying securities for sale under all applicable state securities laws.</w:t>
      </w:r>
    </w:p>
    <w:p>
      <w:pPr>
        <w:sectPr>
          <w:pgSz w:w="11900" w:h="16838" w:orient="portrait"/>
          <w:cols w:equalWidth="0" w:num="1">
            <w:col w:w="11240"/>
          </w:cols>
          <w:pgMar w:left="320" w:top="116" w:right="339" w:bottom="579"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579" w:gutter="0" w:footer="0" w:header="0"/>
          <w:type w:val="continuous"/>
        </w:sectPr>
      </w:pPr>
    </w:p>
    <w:bookmarkStart w:id="16" w:name="page17"/>
    <w:bookmarkEnd w:id="1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SILVER SPIKE ACQUISITION CORP.</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FINANCIAL STATEMENTS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2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Public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8. FAIR VALUE MEASUREMENTS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19" w:lineRule="exact"/>
        <w:rPr>
          <w:sz w:val="20"/>
          <w:szCs w:val="20"/>
          <w:color w:val="auto"/>
        </w:rPr>
      </w:pPr>
    </w:p>
    <w:p>
      <w:pPr>
        <w:ind w:left="680" w:right="840" w:hanging="348"/>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88" w:lineRule="exact"/>
        <w:rPr>
          <w:rFonts w:ascii="Times New Roman" w:cs="Times New Roman" w:eastAsia="Times New Roman" w:hAnsi="Times New Roman"/>
          <w:sz w:val="18"/>
          <w:szCs w:val="18"/>
          <w:color w:val="auto"/>
        </w:rPr>
      </w:pPr>
    </w:p>
    <w:p>
      <w:pPr>
        <w:ind w:left="680" w:right="380" w:hanging="348"/>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88"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our assessment of the assumptions that market participants would use in pricing the asset or liability.</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7" w:name="page18"/>
    <w:bookmarkEnd w:id="1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SILVER SPIKE ACQUISITION CORP.</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FINANCIAL STATEMENTS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following table presents information about the Company’s assets that are measured at fair value on a recurring basis at March 31, 2020 and December 31, 2019, and indicates the fair value hierarchy of the valuation inputs the Company utilized to determine such fair value: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1"/>
                <w:szCs w:val="21"/>
                <w:color w:val="auto"/>
              </w:rPr>
            </w:pP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1"/>
                <w:szCs w:val="21"/>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r>
      <w:tr>
        <w:trPr>
          <w:trHeight w:val="216"/>
        </w:trPr>
        <w:tc>
          <w:tcPr>
            <w:tcW w:w="7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$ 254,009,716</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$ 251,924,993</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9. SUBSEQUENT EVENTS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evaluated subsequent events and transactions that occurred after the balance sheet date up to the date that the condensed financial statements were issued. Based upon this review, the Company did not identify any subsequent events that would have required adjustment or disclosure in the condensed financial statements.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4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References in this report (the “Quarterly Report”) to “we,” “us” or the “Company” refer to Silver Spike Acquisition Corp. References to our “management” or our “management team” refer to our officers and directors, and references to the “Sponsor” refer to Silver Spike Sponsor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2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Quarterly Report includes “forward-looking statements” within the meaning of Section 27A of the Securities Act of 1933, as amended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for the year ended December 31, 2019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are a blank check company incorporated in the Cayman Islands on June 7, 2019 formed for the purpose of effecting a merger, amalgamation, share exchange, asset acquisition, share purchase, reorganization or similar Business Combination with one or more businesses. We intend to effectuate our Business Combination using cash derived from the proceeds of the Initial Public Offering, our shares, debt or a combination of cash, shares and debt.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issuance of additional ordinary shares in a Business Combination:</w:t>
      </w:r>
    </w:p>
    <w:p>
      <w:pPr>
        <w:spacing w:after="0" w:line="242" w:lineRule="exact"/>
        <w:rPr>
          <w:sz w:val="20"/>
          <w:szCs w:val="20"/>
          <w:color w:val="auto"/>
        </w:rPr>
      </w:pPr>
    </w:p>
    <w:p>
      <w:pPr>
        <w:ind w:left="680" w:hanging="348"/>
        <w:spacing w:after="0" w:line="261"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 of investors, which dilution would increase if the anti-dilution provisions of the Class B ordinary shares resulted in the issuance of Class A ordinary shares on a greater than one-to-one basis upon conversion of the Class B ordinary shares;</w:t>
      </w:r>
    </w:p>
    <w:p>
      <w:pPr>
        <w:ind w:left="680" w:right="340" w:hanging="348"/>
        <w:spacing w:after="0" w:line="250"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ordinary shares if preferred shares are issued with rights senior to those afforded our Class A ordinary shares;</w:t>
      </w:r>
    </w:p>
    <w:p>
      <w:pPr>
        <w:ind w:left="680" w:right="80" w:hanging="348"/>
        <w:spacing w:after="0" w:line="250"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of control if a substantial number of our ordinary shares are issued, which may affect, among other things, our ability to use our net operating loss carry forwards, if any, and could result in the resignation or removal of our present officers and directors;</w:t>
      </w:r>
    </w:p>
    <w:p>
      <w:pPr>
        <w:ind w:left="680" w:right="360" w:hanging="348"/>
        <w:spacing w:after="0" w:line="250"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the effect of delaying or preventing a change of control of us by diluting the share ownership or voting rights of a person seeking to obtain control of us; and</w:t>
      </w:r>
    </w:p>
    <w:p>
      <w:pPr>
        <w:ind w:left="680" w:hanging="348"/>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Class A ordinary shares and/or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Similarly, if we issue debt securities, it could result in:</w:t>
      </w:r>
    </w:p>
    <w:p>
      <w:pPr>
        <w:spacing w:after="0" w:line="242" w:lineRule="exact"/>
        <w:rPr>
          <w:sz w:val="20"/>
          <w:szCs w:val="20"/>
          <w:color w:val="auto"/>
        </w:rPr>
      </w:pPr>
    </w:p>
    <w:p>
      <w:pPr>
        <w:ind w:left="680" w:hanging="348"/>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an initial Business Combination are insufficient to repay our debt obligations;</w:t>
      </w:r>
    </w:p>
    <w:p>
      <w:pPr>
        <w:spacing w:after="0" w:line="27" w:lineRule="exact"/>
        <w:rPr>
          <w:rFonts w:ascii="Times New Roman" w:cs="Times New Roman" w:eastAsia="Times New Roman" w:hAnsi="Times New Roman"/>
          <w:sz w:val="18"/>
          <w:szCs w:val="18"/>
          <w:color w:val="auto"/>
        </w:rPr>
      </w:pPr>
    </w:p>
    <w:p>
      <w:pPr>
        <w:ind w:left="680" w:right="540" w:hanging="348"/>
        <w:spacing w:after="0" w:line="250"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ind w:left="680" w:hanging="348"/>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is payable on demand;</w:t>
      </w:r>
    </w:p>
    <w:p>
      <w:pPr>
        <w:spacing w:after="0" w:line="9" w:lineRule="exact"/>
        <w:rPr>
          <w:rFonts w:ascii="Times New Roman" w:cs="Times New Roman" w:eastAsia="Times New Roman" w:hAnsi="Times New Roman"/>
          <w:sz w:val="18"/>
          <w:szCs w:val="18"/>
          <w:color w:val="auto"/>
        </w:rPr>
      </w:pPr>
    </w:p>
    <w:p>
      <w:pPr>
        <w:ind w:left="680" w:hanging="348"/>
        <w:spacing w:after="0" w:line="250"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contains covenants restricting our ability to obtain such financing while the debt is outstanding;</w:t>
      </w:r>
    </w:p>
    <w:p>
      <w:pPr>
        <w:ind w:left="680" w:hanging="348"/>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Class A ordinary shares;</w:t>
      </w:r>
    </w:p>
    <w:p>
      <w:pPr>
        <w:spacing w:after="0" w:line="9" w:lineRule="exact"/>
        <w:rPr>
          <w:rFonts w:ascii="Times New Roman" w:cs="Times New Roman" w:eastAsia="Times New Roman" w:hAnsi="Times New Roman"/>
          <w:sz w:val="18"/>
          <w:szCs w:val="18"/>
          <w:color w:val="auto"/>
        </w:rPr>
      </w:pPr>
    </w:p>
    <w:p>
      <w:pPr>
        <w:ind w:left="680" w:right="240" w:hanging="348"/>
        <w:spacing w:after="0" w:line="250"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ind w:left="680" w:hanging="348"/>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9" w:name="page20"/>
    <w:bookmarkEnd w:id="1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680" w:right="720" w:hanging="348"/>
        <w:spacing w:after="0" w:line="26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and</w:t>
      </w:r>
    </w:p>
    <w:p>
      <w:pPr>
        <w:ind w:left="680" w:right="240" w:hanging="348"/>
        <w:spacing w:after="0" w:line="260"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9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We expect to continue to incur significant costs in the pursuit of our acquisition plans. We cannot assure you that our plans to complete a Business Combination will be successful.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have neither engaged in any operations nor generated any revenues to date. Our only activities from inception through March 31, 2020 were organizational activities, those necessary to prepare for the Initial Public Offering, described below, and, after the Initial Public Offering, identifying a target company for a Business Combination. We do not expect to generate any operating revenues until after the completion of our initial Business Combination. We generate non-operating income in the form of interest income on marketable securities. We are incurring expenses as a result of being a public company (for legal, financial reporting, accounting and auditing compliance), as well as for due diligence expenses in connection with completing a Business Combination.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March 31, 2020, we had net income of $1,627,107, which consists of interest income on marketable securities held in the Trust Account of $932,037 and an unrealized gain on marketable securities held in the Trust Account of $1,152,686, offset by operating and formation costs of $457,616.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August 12, 2019, we consummated the Initial Public Offering of 25,000,000 Units, at a price of $10.00 per Unit, generating gross proceeds of $250,000,000. Simultaneously with the closing of the Initial Public Offering, we consummated the sale of 7,000,000 Private Placement Warrants to our Sponsor at a price of $1.00 per warrant, generating gross proceeds of $7,000,000.</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Following the Initial Public Offering and the sale of the Private Placement Warrants, a total of $250,000,000 was placed in the Trust Account. We incurred $14,413,362 in transaction costs, including $5,000,000 of underwriting fees, $8,750,000 of deferred underwriting fees and $663,362 of other offering costs.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For the three months ended March 31, 2020, cash used in operating activities was $99,596. Net income of $1,627,107 was offset by interest earned on marketable securities held in the Trust Account of $932,037, an unrealized gain on marketable securities of $1,152,686 and changes in operating assets and liabilities, which provided of $358,020 of cash from operating activities.</w:t>
      </w:r>
    </w:p>
    <w:p>
      <w:pPr>
        <w:spacing w:after="0" w:line="18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As of March 31, 2020, we had marketable securities held in the Trust Account of $254,009,716. We intend to use substantially all of the funds held in the Trust Account, including any amounts representing interest earned on the Trust Account (which interest shall be net of taxes payable and excluding deferred underwriting commissions) to complete our Business Combination. To the extent that our share capital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of March 31, 2020, we had cash of $794,993 held outside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2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unit at the option of the lender. The warrants would be identical to the Private Placement Warrants.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initial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w:t>
      </w:r>
    </w:p>
    <w:p>
      <w:pPr>
        <w:sectPr>
          <w:pgSz w:w="11900" w:h="16838" w:orient="portrait"/>
          <w:cols w:equalWidth="0" w:num="1">
            <w:col w:w="11240"/>
          </w:cols>
          <w:pgMar w:left="320" w:top="115" w:right="339"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0" w:gutter="0" w:footer="0" w:header="0"/>
          <w:type w:val="continuous"/>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Off-balance sheet financing arrangements</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have no obligations, assets or liabilities, which would be considered off-balance sheet arrangements as of March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Contractual obligations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do not have any long-term debt, capital lease obligations, operating lease obligations or long-term liabilities, other than an agreement to pay our Sponsor a monthly fee of $20,000 for office space, and administrative and support services, provided to the Company. We began incurring these fees on August 7, 2019 and will continue to incur these fees monthly until the earlier of the completion of a Business Combination and the Company’s liquidation.</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underwriters are entitled to a deferred fee of $0.35 per Unit, or $8,750,000 in the aggregate, which will become payable to the underwriters from the amounts held in the Trust Account solely in the event that we complete a Business Combination, subject to the terms of the underwriting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Ordinary shares subject to redemption</w:t>
      </w:r>
    </w:p>
    <w:p>
      <w:pPr>
        <w:spacing w:after="0" w:line="2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We account for our ordinary shares subject to possible conversion in accordance with the guidance in Accounting Standards Codification (“ASC”) Topic 480 “Distinguishing Liabilities from Equity.”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ordinary shares feature certain redemption rights that are considered to be outside of our control and subject to occurrence of uncertain future events. Accordingly, ordinary shares subject to possible redemption are presented at redemption value as temporary equity, outside of the shareholders’ equity section of our condensed balance sheets.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Net loss per ordinary share</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apply the two-class method in calculating earnings per share. Ordinary shares subject to possible redemption which are not currently redeemable and are not redeemable at fair value, have been excluded from the calculation of basic net loss per ordinary share since such shares, if redeemed, only participate in their pro rata share of the Trust Account earnings. Our net income is adjusted for the portion of income that is attributable to ordinary shares subject to redemption, as these shares only participate in the earnings of the Trust Account and not our income or losses.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Management does not believe that any recently issued, but not yet effective, accounting standards, if currently adopted, would have a material effect on our condensed financial statements.</w:t>
      </w:r>
    </w:p>
    <w:p>
      <w:pPr>
        <w:spacing w:after="0" w:line="19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Following the consummation of our Initial Public Offering, the net proceeds of our Initial Public Offering, including amounts in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4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Evaluation of Disclosure Controls and Procedures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required by Rules 13a-15 and 15d-15 under the Exchange Act, our Chief Executive Officer and Chief Financial Officer carried out an evaluation of the effectiveness of the design and operation of our disclosure controls and procedures as of March 31, 2020. Based upon their evaluation, our Chief Executive Officer and Chief Financial Officer concluded that our disclosure controls and procedures (as defined in Rules 13a-15 (e) and 15d-15 (e) under the Exchange Act)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Changes in Internal Control Over Financial Reporting</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2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Factors that could cause our actual results to differ materially from those in this report include the risk factors described in our Annual Report on Form 10-K for the year ended December 31, 2019 filed with the SEC on March 30, 2020. As of the date of this Report, there have been no material changes to the risk factors disclosed in our Annual Report filed with the SEC.</w:t>
      </w:r>
    </w:p>
    <w:p>
      <w:pPr>
        <w:spacing w:after="0" w:line="2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On August 12, 2019, we consummated our Initial Public Offering of 25,000,000 Units, at a price of $10.00 per Unit, generating total gross proceeds of $250,000,000. Credit Suisse acted as the sole book-running manager and I-Bankers Securities, Inc as the Co-Manager. The securities sold in the offering were registered under the Securities Act on registration statements on Form S-1 (No. </w:t>
      </w:r>
      <w:r>
        <w:rPr>
          <w:rFonts w:ascii="Times New Roman" w:cs="Times New Roman" w:eastAsia="Times New Roman" w:hAnsi="Times New Roman"/>
          <w:sz w:val="22"/>
          <w:szCs w:val="22"/>
          <w:u w:val="single" w:color="auto"/>
          <w:color w:val="auto"/>
        </w:rPr>
        <w:t>333-232734)</w:t>
      </w:r>
      <w:r>
        <w:rPr>
          <w:rFonts w:ascii="Times New Roman" w:cs="Times New Roman" w:eastAsia="Times New Roman" w:hAnsi="Times New Roman"/>
          <w:sz w:val="22"/>
          <w:szCs w:val="22"/>
          <w:color w:val="auto"/>
        </w:rPr>
        <w:t>. The SEC declared the registration statements effective on August 7, 2019.</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Simultaneously with the consummation of the Initial Public Offering, we consummated a private placement of 7,000,000 Private Placement Warrants to our Sponsor at a price of $1.00 per Private Placement Warrant, generating total proceeds of $7,000,000. Such securities were issued pursuant to the exemption from registration contained in Section 4(a)(2) of the Securities Act.</w:t>
      </w:r>
    </w:p>
    <w:p>
      <w:pPr>
        <w:spacing w:after="0" w:line="18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Private Placement Warrants are identical to the warrants underlying the Units sold in the Initial Public Offering except that the Private Placement Warrants are not transferable, assignable or salable until 30 days after the completion of a Business Combination, subject to certain limited exceptions. Additionally, the Private Placement Warrants are exercisable on a cashless basis and are non-redeemable so long as they are held by the initial purchasers or their permitted transferees.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gross proceeds received from the Initial Public Offering, $250,000,000 was placed in the Trust Account.</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paid a total of $ 5,000,000 in underwriting discounts and commissions and $663,362 for other offering costs and expenses related to the Initial Public Offering. In addition, the underwriters agreed to defer $8,750,000 in underwriting discounts and commissions.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 description of the use of the proceeds generated in our Initial Public Offering, see Part I, Item 2 of this Form 10-Q.</w:t>
      </w:r>
    </w:p>
    <w:p>
      <w:pPr>
        <w:spacing w:after="0" w:line="23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ectPr>
          <w:pgSz w:w="11900" w:h="16838" w:orient="portrait"/>
          <w:cols w:equalWidth="0" w:num="1">
            <w:col w:w="11240"/>
          </w:cols>
          <w:pgMar w:left="320" w:top="115" w:right="339" w:bottom="795"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795" w:gutter="0" w:footer="0" w:header="0"/>
          <w:type w:val="continuous"/>
        </w:sectPr>
      </w:pPr>
    </w:p>
    <w:bookmarkStart w:id="22" w:name="page23"/>
    <w:bookmarkEnd w:id="2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3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exhibits are filed as part of, or incorporated by reference into, this Quarterly Report on Form 10-Q.</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8"/>
        </w:trPr>
        <w:tc>
          <w:tcPr>
            <w:tcW w:w="1040" w:type="dxa"/>
            <w:vAlign w:val="bottom"/>
            <w:tcBorders>
              <w:top w:val="single" w:sz="8" w:color="auto"/>
            </w:tcBorders>
            <w:shd w:val="clear" w:color="auto" w:fill="CCEEFF"/>
          </w:tcPr>
          <w:p>
            <w:pPr>
              <w:spacing w:after="0" w:line="198" w:lineRule="exact"/>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31.1*</w:t>
              </w:r>
            </w:hyperlink>
          </w:p>
        </w:tc>
        <w:tc>
          <w:tcPr>
            <w:tcW w:w="160" w:type="dxa"/>
            <w:vAlign w:val="bottom"/>
            <w:tcBorders>
              <w:top w:val="single" w:sz="8" w:color="CCEEFF"/>
            </w:tcBorders>
            <w:shd w:val="clear" w:color="auto" w:fill="CCEEFF"/>
          </w:tcPr>
          <w:p>
            <w:pPr>
              <w:spacing w:after="0"/>
              <w:rPr>
                <w:sz w:val="17"/>
                <w:szCs w:val="17"/>
                <w:color w:val="auto"/>
              </w:rPr>
            </w:pPr>
          </w:p>
        </w:tc>
        <w:tc>
          <w:tcPr>
            <w:tcW w:w="100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Certification of Principal Executive Officer Pursuant to Securities Exchange Act Rules 13a-14(a) and 15(d)-14(a), as adopted Pursuant to</w:t>
            </w:r>
          </w:p>
        </w:tc>
      </w:tr>
      <w:tr>
        <w:trPr>
          <w:trHeight w:val="234"/>
        </w:trPr>
        <w:tc>
          <w:tcPr>
            <w:tcW w:w="1040" w:type="dxa"/>
            <w:vAlign w:val="bottom"/>
            <w:shd w:val="clear" w:color="auto" w:fill="CCEEFF"/>
          </w:tcPr>
          <w:p>
            <w:pPr>
              <w:spacing w:after="0"/>
              <w:rPr>
                <w:sz w:val="20"/>
                <w:szCs w:val="20"/>
                <w:color w:val="auto"/>
              </w:rPr>
            </w:pPr>
          </w:p>
        </w:tc>
        <w:tc>
          <w:tcPr>
            <w:tcW w:w="10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198"/>
        </w:trPr>
        <w:tc>
          <w:tcPr>
            <w:tcW w:w="1040" w:type="dxa"/>
            <w:vAlign w:val="bottom"/>
          </w:tcPr>
          <w:p>
            <w:pPr>
              <w:spacing w:after="0" w:line="198" w:lineRule="exact"/>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31.2*</w:t>
              </w:r>
            </w:hyperlink>
          </w:p>
        </w:tc>
        <w:tc>
          <w:tcPr>
            <w:tcW w:w="1020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Certification of Principal Financial Officer Pursuant to Securities Exchange Act Rules 13a-14(a) and 15(d)-14(a), as adopted Pursuant to</w:t>
            </w:r>
          </w:p>
        </w:tc>
      </w:tr>
      <w:tr>
        <w:trPr>
          <w:trHeight w:val="234"/>
        </w:trPr>
        <w:tc>
          <w:tcPr>
            <w:tcW w:w="1040" w:type="dxa"/>
            <w:vAlign w:val="bottom"/>
          </w:tcPr>
          <w:p>
            <w:pPr>
              <w:spacing w:after="0"/>
              <w:rPr>
                <w:sz w:val="20"/>
                <w:szCs w:val="20"/>
                <w:color w:val="auto"/>
              </w:rPr>
            </w:pPr>
          </w:p>
        </w:tc>
        <w:tc>
          <w:tcPr>
            <w:tcW w:w="10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198"/>
        </w:trPr>
        <w:tc>
          <w:tcPr>
            <w:tcW w:w="1040" w:type="dxa"/>
            <w:vAlign w:val="bottom"/>
            <w:shd w:val="clear" w:color="auto" w:fill="CCEEFF"/>
          </w:tcPr>
          <w:p>
            <w:pPr>
              <w:spacing w:after="0" w:line="198" w:lineRule="exact"/>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32.1**</w:t>
              </w:r>
            </w:hyperlink>
          </w:p>
        </w:tc>
        <w:tc>
          <w:tcPr>
            <w:tcW w:w="1020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Sarbanes-Oxley</w:t>
            </w:r>
          </w:p>
        </w:tc>
      </w:tr>
      <w:tr>
        <w:trPr>
          <w:trHeight w:val="234"/>
        </w:trPr>
        <w:tc>
          <w:tcPr>
            <w:tcW w:w="1040" w:type="dxa"/>
            <w:vAlign w:val="bottom"/>
            <w:shd w:val="clear" w:color="auto" w:fill="CCEEFF"/>
          </w:tcPr>
          <w:p>
            <w:pPr>
              <w:spacing w:after="0"/>
              <w:rPr>
                <w:sz w:val="20"/>
                <w:szCs w:val="20"/>
                <w:color w:val="auto"/>
              </w:rPr>
            </w:pPr>
          </w:p>
        </w:tc>
        <w:tc>
          <w:tcPr>
            <w:tcW w:w="10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 of 2002</w:t>
            </w:r>
          </w:p>
        </w:tc>
      </w:tr>
      <w:tr>
        <w:trPr>
          <w:trHeight w:val="198"/>
        </w:trPr>
        <w:tc>
          <w:tcPr>
            <w:tcW w:w="1040" w:type="dxa"/>
            <w:vAlign w:val="bottom"/>
          </w:tcPr>
          <w:p>
            <w:pPr>
              <w:spacing w:after="0" w:line="198" w:lineRule="exact"/>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32.2**</w:t>
              </w:r>
            </w:hyperlink>
          </w:p>
        </w:tc>
        <w:tc>
          <w:tcPr>
            <w:tcW w:w="1020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Sarbanes-Oxley</w:t>
            </w:r>
          </w:p>
        </w:tc>
      </w:tr>
      <w:tr>
        <w:trPr>
          <w:trHeight w:val="234"/>
        </w:trPr>
        <w:tc>
          <w:tcPr>
            <w:tcW w:w="1040" w:type="dxa"/>
            <w:vAlign w:val="bottom"/>
          </w:tcPr>
          <w:p>
            <w:pPr>
              <w:spacing w:after="0"/>
              <w:rPr>
                <w:sz w:val="20"/>
                <w:szCs w:val="20"/>
                <w:color w:val="auto"/>
              </w:rPr>
            </w:pPr>
          </w:p>
        </w:tc>
        <w:tc>
          <w:tcPr>
            <w:tcW w:w="10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Act of 2002</w:t>
            </w: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6"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Securities Exchange Act of 1934, the registrant has duly caused this report to be signed on its behalf by the undersigned, thereunto duly authorized.</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12, 2020</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SILVER SPIKE ACQUISITION CORP.</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17145</wp:posOffset>
            </wp:positionV>
            <wp:extent cx="25114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Scott Gordon</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 Gregory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17145</wp:posOffset>
            </wp:positionV>
            <wp:extent cx="25114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Gregory Gentile</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jc w:val="right"/>
        <w:ind w:right="8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ectPr>
          <w:pgSz w:w="11900" w:h="16838" w:orient="portrait"/>
          <w:cols w:equalWidth="0" w:num="2">
            <w:col w:w="6020" w:space="720"/>
            <w:col w:w="4500"/>
          </w:cols>
          <w:pgMar w:left="320" w:top="115" w:right="339" w:bottom="1440" w:gutter="0" w:footer="0" w:header="0"/>
          <w:type w:val="continuous"/>
        </w:sect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4" w:name="page25"/>
    <w:bookmarkEnd w:id="24"/>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Scott Gordon, certify that:</w:t>
      </w:r>
    </w:p>
    <w:p>
      <w:pPr>
        <w:spacing w:after="0" w:line="242" w:lineRule="exact"/>
        <w:rPr>
          <w:sz w:val="20"/>
          <w:szCs w:val="20"/>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Silver Spike Acquisition Corp.;</w:t>
      </w:r>
    </w:p>
    <w:p>
      <w:pPr>
        <w:spacing w:after="0" w:line="252" w:lineRule="exact"/>
        <w:rPr>
          <w:rFonts w:ascii="Times New Roman" w:cs="Times New Roman" w:eastAsia="Times New Roman" w:hAnsi="Times New Roman"/>
          <w:sz w:val="18"/>
          <w:szCs w:val="18"/>
          <w:color w:val="auto"/>
        </w:rPr>
      </w:pPr>
    </w:p>
    <w:p>
      <w:pPr>
        <w:ind w:left="820" w:right="20" w:hanging="488"/>
        <w:spacing w:after="0" w:line="266"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820" w:right="180" w:hanging="488"/>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820" w:right="140" w:hanging="488"/>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ind w:left="1160" w:right="40" w:hanging="342"/>
        <w:spacing w:after="0" w:line="266" w:lineRule="auto"/>
        <w:tabs>
          <w:tab w:leader="none" w:pos="11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160" w:hanging="342"/>
        <w:spacing w:after="0"/>
        <w:tabs>
          <w:tab w:leader="none" w:pos="11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52" w:lineRule="exact"/>
        <w:rPr>
          <w:rFonts w:ascii="Times New Roman" w:cs="Times New Roman" w:eastAsia="Times New Roman" w:hAnsi="Times New Roman"/>
          <w:sz w:val="18"/>
          <w:szCs w:val="18"/>
          <w:color w:val="auto"/>
        </w:rPr>
      </w:pPr>
    </w:p>
    <w:p>
      <w:pPr>
        <w:jc w:val="both"/>
        <w:ind w:left="1160" w:right="340" w:hanging="342"/>
        <w:spacing w:after="0" w:line="282" w:lineRule="auto"/>
        <w:tabs>
          <w:tab w:leader="none" w:pos="11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160" w:right="40" w:hanging="342"/>
        <w:spacing w:after="0" w:line="266" w:lineRule="auto"/>
        <w:tabs>
          <w:tab w:leader="none" w:pos="11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820" w:right="100" w:hanging="488"/>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1160" w:right="580" w:hanging="342"/>
        <w:spacing w:after="0" w:line="282"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60" w:right="280" w:hanging="342"/>
        <w:spacing w:after="0" w:line="282"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700" w:val="left"/>
        </w:tabs>
        <w:rPr>
          <w:sz w:val="20"/>
          <w:szCs w:val="20"/>
          <w:color w:val="auto"/>
        </w:rPr>
      </w:pPr>
      <w:r>
        <w:rPr>
          <w:rFonts w:ascii="Times New Roman" w:cs="Times New Roman" w:eastAsia="Times New Roman" w:hAnsi="Times New Roman"/>
          <w:sz w:val="18"/>
          <w:szCs w:val="18"/>
          <w:color w:val="auto"/>
        </w:rPr>
        <w:t>Date: May 12, 2020</w:t>
      </w:r>
      <w:r>
        <w:rPr>
          <w:sz w:val="20"/>
          <w:szCs w:val="20"/>
          <w:color w:val="auto"/>
        </w:rPr>
        <w:tab/>
      </w:r>
      <w:r>
        <w:rPr>
          <w:rFonts w:ascii="Times New Roman" w:cs="Times New Roman" w:eastAsia="Times New Roman" w:hAnsi="Times New Roman"/>
          <w:sz w:val="18"/>
          <w:szCs w:val="18"/>
          <w:color w:val="auto"/>
        </w:rPr>
        <w:t>By: /s/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Scott Gordon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Gregory Gentile, certify that:</w:t>
      </w:r>
    </w:p>
    <w:p>
      <w:pPr>
        <w:spacing w:after="0" w:line="242" w:lineRule="exact"/>
        <w:rPr>
          <w:sz w:val="20"/>
          <w:szCs w:val="20"/>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Silver Spike Acquisition Corp.;</w:t>
      </w:r>
    </w:p>
    <w:p>
      <w:pPr>
        <w:spacing w:after="0" w:line="252" w:lineRule="exact"/>
        <w:rPr>
          <w:rFonts w:ascii="Times New Roman" w:cs="Times New Roman" w:eastAsia="Times New Roman" w:hAnsi="Times New Roman"/>
          <w:sz w:val="18"/>
          <w:szCs w:val="18"/>
          <w:color w:val="auto"/>
        </w:rPr>
      </w:pPr>
    </w:p>
    <w:p>
      <w:pPr>
        <w:ind w:left="820" w:right="20" w:hanging="488"/>
        <w:spacing w:after="0" w:line="266"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820" w:right="180" w:hanging="488"/>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820" w:right="140" w:hanging="488"/>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ind w:left="1160" w:right="40" w:hanging="342"/>
        <w:spacing w:after="0" w:line="266" w:lineRule="auto"/>
        <w:tabs>
          <w:tab w:leader="none" w:pos="1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160" w:hanging="342"/>
        <w:spacing w:after="0"/>
        <w:tabs>
          <w:tab w:leader="none" w:pos="1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52" w:lineRule="exact"/>
        <w:rPr>
          <w:rFonts w:ascii="Times New Roman" w:cs="Times New Roman" w:eastAsia="Times New Roman" w:hAnsi="Times New Roman"/>
          <w:sz w:val="18"/>
          <w:szCs w:val="18"/>
          <w:color w:val="auto"/>
        </w:rPr>
      </w:pPr>
    </w:p>
    <w:p>
      <w:pPr>
        <w:jc w:val="both"/>
        <w:ind w:left="1160" w:right="340" w:hanging="342"/>
        <w:spacing w:after="0" w:line="282" w:lineRule="auto"/>
        <w:tabs>
          <w:tab w:leader="none" w:pos="1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160" w:right="40" w:hanging="342"/>
        <w:spacing w:after="0" w:line="266" w:lineRule="auto"/>
        <w:tabs>
          <w:tab w:leader="none" w:pos="1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820" w:right="100" w:hanging="488"/>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1160" w:right="580" w:hanging="342"/>
        <w:spacing w:after="0" w:line="282" w:lineRule="auto"/>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60" w:right="280" w:hanging="342"/>
        <w:spacing w:after="0" w:line="282" w:lineRule="auto"/>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700" w:val="left"/>
        </w:tabs>
        <w:rPr>
          <w:sz w:val="20"/>
          <w:szCs w:val="20"/>
          <w:color w:val="auto"/>
        </w:rPr>
      </w:pPr>
      <w:r>
        <w:rPr>
          <w:rFonts w:ascii="Times New Roman" w:cs="Times New Roman" w:eastAsia="Times New Roman" w:hAnsi="Times New Roman"/>
          <w:sz w:val="18"/>
          <w:szCs w:val="18"/>
          <w:color w:val="auto"/>
        </w:rPr>
        <w:t>Date: May 12, 2020</w:t>
      </w:r>
      <w:r>
        <w:rPr>
          <w:sz w:val="20"/>
          <w:szCs w:val="20"/>
          <w:color w:val="auto"/>
        </w:rPr>
        <w:tab/>
      </w:r>
      <w:r>
        <w:rPr>
          <w:rFonts w:ascii="Times New Roman" w:cs="Times New Roman" w:eastAsia="Times New Roman" w:hAnsi="Times New Roman"/>
          <w:sz w:val="18"/>
          <w:szCs w:val="18"/>
          <w:color w:val="auto"/>
        </w:rPr>
        <w:t>By: /s/ Gregory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Gregory Gentile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AS ADDED BY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Silver Spike Acquisition Corp. (the “Company”) on Form 10-Q for the quarterly period ended March 31, 2020, as filed with the Securities and Exchange Commission (the “Report”), I, Scott Gordon, Chief Executive Officer of the Company, certify, pursuant to 18 U.S.C. §1350, as added by §906 of the Sarbanes-Oxley Act of 2002, that:</w:t>
      </w:r>
    </w:p>
    <w:p>
      <w:pPr>
        <w:spacing w:after="0" w:line="216" w:lineRule="exact"/>
        <w:rPr>
          <w:sz w:val="20"/>
          <w:szCs w:val="20"/>
          <w:color w:val="auto"/>
        </w:rPr>
      </w:pPr>
    </w:p>
    <w:p>
      <w:pPr>
        <w:ind w:left="840" w:hanging="346"/>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840" w:right="660" w:hanging="346"/>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89" w:lineRule="exact"/>
        <w:rPr>
          <w:sz w:val="20"/>
          <w:szCs w:val="20"/>
          <w:color w:val="auto"/>
        </w:rPr>
      </w:pPr>
    </w:p>
    <w:p>
      <w:pPr>
        <w:spacing w:after="0"/>
        <w:tabs>
          <w:tab w:leader="none" w:pos="6700" w:val="left"/>
        </w:tabs>
        <w:rPr>
          <w:sz w:val="20"/>
          <w:szCs w:val="20"/>
          <w:color w:val="auto"/>
        </w:rPr>
      </w:pPr>
      <w:r>
        <w:rPr>
          <w:rFonts w:ascii="Times New Roman" w:cs="Times New Roman" w:eastAsia="Times New Roman" w:hAnsi="Times New Roman"/>
          <w:sz w:val="18"/>
          <w:szCs w:val="18"/>
          <w:color w:val="auto"/>
        </w:rPr>
        <w:t>Date: May 12, 2020</w:t>
      </w:r>
      <w:r>
        <w:rPr>
          <w:sz w:val="20"/>
          <w:szCs w:val="20"/>
          <w:color w:val="auto"/>
        </w:rPr>
        <w:tab/>
      </w:r>
      <w:r>
        <w:rPr>
          <w:rFonts w:ascii="Times New Roman" w:cs="Times New Roman" w:eastAsia="Times New Roman" w:hAnsi="Times New Roman"/>
          <w:sz w:val="18"/>
          <w:szCs w:val="18"/>
          <w:color w:val="auto"/>
        </w:rPr>
        <w:t>By: /s/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Scott Gordon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AS ADDED BY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Silver Spike Acquisition Corp. (the “Company”) on Form 10-Q for the quarterly period ended March 31, 2020, as filed with the Securities and Exchange Commission (the “Report”), I, Gregory Gentile, Chief Financial Officer of the Company, certify, pursuant to 18 U.S.C. §1350, as added by §906 of the Sarbanes-Oxley Act of 2002, that:</w:t>
      </w:r>
    </w:p>
    <w:p>
      <w:pPr>
        <w:spacing w:after="0" w:line="216" w:lineRule="exact"/>
        <w:rPr>
          <w:sz w:val="20"/>
          <w:szCs w:val="20"/>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820" w:right="680" w:hanging="488"/>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89" w:lineRule="exact"/>
        <w:rPr>
          <w:sz w:val="20"/>
          <w:szCs w:val="20"/>
          <w:color w:val="auto"/>
        </w:rPr>
      </w:pPr>
    </w:p>
    <w:p>
      <w:pPr>
        <w:spacing w:after="0"/>
        <w:tabs>
          <w:tab w:leader="none" w:pos="6700" w:val="left"/>
        </w:tabs>
        <w:rPr>
          <w:sz w:val="20"/>
          <w:szCs w:val="20"/>
          <w:color w:val="auto"/>
        </w:rPr>
      </w:pPr>
      <w:r>
        <w:rPr>
          <w:rFonts w:ascii="Times New Roman" w:cs="Times New Roman" w:eastAsia="Times New Roman" w:hAnsi="Times New Roman"/>
          <w:sz w:val="18"/>
          <w:szCs w:val="18"/>
          <w:color w:val="auto"/>
        </w:rPr>
        <w:t>Date: May 12, 2020</w:t>
      </w:r>
      <w:r>
        <w:rPr>
          <w:sz w:val="20"/>
          <w:szCs w:val="20"/>
          <w:color w:val="auto"/>
        </w:rPr>
        <w:tab/>
      </w:r>
      <w:r>
        <w:rPr>
          <w:rFonts w:ascii="Times New Roman" w:cs="Times New Roman" w:eastAsia="Times New Roman" w:hAnsi="Times New Roman"/>
          <w:sz w:val="18"/>
          <w:szCs w:val="18"/>
          <w:color w:val="auto"/>
        </w:rPr>
        <w:t>By: /s/ Gregory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Gregory Gentile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upperLetter"/>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lvl w:ilvl="1">
      <w:lvlJc w:val="left"/>
      <w:lvlText w:val="%2)"/>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2020-05-12T15:11:09Z</dcterms:created>
  <dcterms:modified xsi:type="dcterms:W3CDTF">2020-05-12T15:11:09Z</dcterms:modified>
</cp:coreProperties>
</file>