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160655</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340"/>
        <w:spacing w:after="0"/>
        <w:rPr>
          <w:sz w:val="20"/>
          <w:szCs w:val="20"/>
          <w:color w:val="auto"/>
        </w:rPr>
      </w:pPr>
      <w:r>
        <w:rPr>
          <w:rFonts w:ascii="Arial" w:cs="Arial" w:eastAsia="Arial" w:hAnsi="Arial"/>
          <w:sz w:val="29"/>
          <w:szCs w:val="29"/>
          <w:b w:val="1"/>
          <w:bCs w:val="1"/>
          <w:color w:val="auto"/>
        </w:rPr>
        <w:t>SCHEDULE 14A</w:t>
      </w:r>
    </w:p>
    <w:p>
      <w:pPr>
        <w:spacing w:after="0" w:line="33"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68" w:lineRule="exact"/>
        <w:rPr>
          <w:sz w:val="24"/>
          <w:szCs w:val="24"/>
          <w:color w:val="auto"/>
        </w:rPr>
      </w:pPr>
    </w:p>
    <w:p>
      <w:pPr>
        <w:ind w:left="2740"/>
        <w:spacing w:after="0"/>
        <w:rPr>
          <w:sz w:val="20"/>
          <w:szCs w:val="20"/>
          <w:color w:val="auto"/>
        </w:rPr>
      </w:pPr>
      <w:r>
        <w:rPr>
          <w:rFonts w:ascii="Arial" w:cs="Arial" w:eastAsia="Arial" w:hAnsi="Arial"/>
          <w:sz w:val="43"/>
          <w:szCs w:val="43"/>
          <w:b w:val="1"/>
          <w:bCs w:val="1"/>
          <w:color w:val="auto"/>
        </w:rPr>
        <w:t>WM Technology, Inc.</w:t>
      </w:r>
    </w:p>
    <w:p>
      <w:pPr>
        <w:spacing w:after="0" w:line="43"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Registrant as Specified In Its Charter)</w:t>
      </w: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 </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 </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230505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290830</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419100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WM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139"/>
        <w:spacing w:after="0" w:line="273" w:lineRule="auto"/>
        <w:rPr>
          <w:sz w:val="20"/>
          <w:szCs w:val="20"/>
          <w:color w:val="auto"/>
        </w:rPr>
      </w:pPr>
      <w:r>
        <w:rPr>
          <w:rFonts w:ascii="Arial" w:cs="Arial" w:eastAsia="Arial" w:hAnsi="Arial"/>
          <w:sz w:val="58"/>
          <w:szCs w:val="58"/>
          <w:color w:val="auto"/>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To be Held on Wednesday, July 24,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 10:00 a.m. Pacific Time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WM 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41 Discovery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267970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102870</wp:posOffset>
            </wp:positionV>
            <wp:extent cx="70294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40C0C0"/>
        </w:rPr>
        <w:t> </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b w:val="1"/>
          <w:bCs w:val="1"/>
          <w:color w:val="auto"/>
        </w:rPr>
        <w:t>Notice of Annual Meeting of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Wednesday, July 24, 2024</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 10:00 a.m. Pacific Time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virtualshareholdermeeting.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21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com/MAPS2024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25717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YOUR VOTE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IS IMPORTANT</w:t>
      </w:r>
    </w:p>
    <w:p>
      <w:pPr>
        <w:spacing w:after="0" w:line="9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b w:val="1"/>
          <w:bCs w:val="1"/>
          <w:color w:val="auto"/>
        </w:rPr>
        <w:t>Important Notice Regarding the Availability of Proxy Materials for the Stockholders’ Meeting to Be Held on Wednesday, July 24, 2024 at</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color w:val="auto"/>
        </w:rPr>
        <w:t>10:00 a.m. Pacific Time online at www. virtualshareholdermeeting. com/MAPS2024.</w:t>
      </w:r>
    </w:p>
    <w:p>
      <w:pPr>
        <w:spacing w:after="0" w:line="10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color w:val="auto"/>
        </w:rPr>
        <w:t>The proxy statement and annual report to stockholders</w:t>
      </w:r>
    </w:p>
    <w:p>
      <w:pPr>
        <w:spacing w:after="0" w:line="2"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b w:val="1"/>
          <w:bCs w:val="1"/>
          <w:color w:val="auto"/>
        </w:rPr>
        <w:t xml:space="preserve">are available at </w:t>
      </w:r>
      <w:r>
        <w:rPr>
          <w:rFonts w:ascii="Arial" w:cs="Arial" w:eastAsia="Arial" w:hAnsi="Arial"/>
          <w:sz w:val="17"/>
          <w:szCs w:val="17"/>
          <w:b w:val="1"/>
          <w:bCs w:val="1"/>
          <w:u w:val="single" w:color="auto"/>
          <w:color w:val="auto"/>
        </w:rPr>
        <w:t>www.proxyvote.com</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jc w:val="both"/>
        <w:ind w:right="1580"/>
        <w:spacing w:after="0" w:line="282" w:lineRule="auto"/>
        <w:rPr>
          <w:sz w:val="20"/>
          <w:szCs w:val="20"/>
          <w:color w:val="auto"/>
        </w:rPr>
      </w:pPr>
      <w:r>
        <w:rPr>
          <w:rFonts w:ascii="Arial" w:cs="Arial" w:eastAsia="Arial" w:hAnsi="Arial"/>
          <w:sz w:val="57"/>
          <w:szCs w:val="57"/>
          <w:color w:val="auto"/>
        </w:rPr>
        <w:t>Dear Stockholders of WM Technology, Inc.</w:t>
      </w:r>
    </w:p>
    <w:p>
      <w:pPr>
        <w:spacing w:after="0" w:line="5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of WM Technology, Inc., a Delaware corporation (the “Company”). The meeting will be held on Wednesday, July 24, 2024 at 10:00 a.m. Pacific Time. The Annual Meeting will be a virtual meeting of stockholders, which will be conducted only via a live audio webcast. You will be able to attend the Annual Meeting, submit your questions and vote online during the meeting by visiting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We believe a virtual meeting provides expanded access, improves communication, enables increased stockholder attendance and participation, allows our stockholders, including our international employees, around the world to attend the Annual Meeting, and provides cost savings for our stockholders and the Company.</w:t>
      </w:r>
    </w:p>
    <w:p>
      <w:pPr>
        <w:spacing w:after="0" w:line="3"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A complete list of record stockholders will be available for examination by any stockholder for any purpose germane to the Annual Meeting beginning ten days prior to the Annual Meeting at our corporate headquarters during regular business hours.</w:t>
      </w:r>
    </w:p>
    <w:p>
      <w:pPr>
        <w:spacing w:after="0" w:line="103"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4423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6" w:lineRule="exact"/>
        <w:rPr>
          <w:sz w:val="20"/>
          <w:szCs w:val="20"/>
          <w:color w:val="auto"/>
        </w:rPr>
      </w:pPr>
    </w:p>
    <w:p>
      <w:pPr>
        <w:ind w:left="580" w:right="380"/>
        <w:spacing w:after="0" w:line="300" w:lineRule="auto"/>
        <w:rPr>
          <w:sz w:val="20"/>
          <w:szCs w:val="20"/>
          <w:color w:val="auto"/>
        </w:rPr>
      </w:pPr>
      <w:r>
        <w:rPr>
          <w:rFonts w:ascii="Arial" w:cs="Arial" w:eastAsia="Arial" w:hAnsi="Arial"/>
          <w:sz w:val="16"/>
          <w:szCs w:val="16"/>
          <w:color w:val="auto"/>
        </w:rPr>
        <w:t>To elect the two nominees for Class III directors named in the accompanying Proxy Statement, each to serve until the 2027 annual meeting of stockholders or until their successors are duly elected and qualified or until such director’s earlier death, disqualification,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44234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23410" cy="889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-411480</wp:posOffset>
            </wp:positionV>
            <wp:extent cx="23177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775" cy="214630"/>
                    </a:xfrm>
                    <a:prstGeom prst="rect">
                      <a:avLst/>
                    </a:prstGeom>
                    <a:noFill/>
                  </pic:spPr>
                </pic:pic>
              </a:graphicData>
            </a:graphic>
          </wp:anchor>
        </w:drawing>
      </w:r>
    </w:p>
    <w:p>
      <w:pPr>
        <w:spacing w:after="0" w:line="181" w:lineRule="exact"/>
        <w:rPr>
          <w:sz w:val="20"/>
          <w:szCs w:val="20"/>
          <w:color w:val="auto"/>
        </w:rPr>
      </w:pPr>
    </w:p>
    <w:p>
      <w:pPr>
        <w:ind w:left="580"/>
        <w:spacing w:after="0" w:line="256" w:lineRule="auto"/>
        <w:rPr>
          <w:sz w:val="20"/>
          <w:szCs w:val="20"/>
          <w:color w:val="auto"/>
        </w:rPr>
      </w:pPr>
      <w:r>
        <w:rPr>
          <w:rFonts w:ascii="Arial" w:cs="Arial" w:eastAsia="Arial" w:hAnsi="Arial"/>
          <w:sz w:val="16"/>
          <w:szCs w:val="16"/>
          <w:color w:val="auto"/>
        </w:rPr>
        <w:t>To approve, on a non-binding advisory basis, the compensation as disclosed in the Proxy Statement of our principal executive officer and our two most highly compensated executive officers (other than our principal executive officer) who were serving as our executive officers at the end of the last completed fiscal year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44234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-424815</wp:posOffset>
            </wp:positionV>
            <wp:extent cx="23177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775" cy="214630"/>
                    </a:xfrm>
                    <a:prstGeom prst="rect">
                      <a:avLst/>
                    </a:prstGeom>
                    <a:noFill/>
                  </pic:spPr>
                </pic:pic>
              </a:graphicData>
            </a:graphic>
          </wp:anchor>
        </w:drawing>
      </w:r>
    </w:p>
    <w:p>
      <w:pPr>
        <w:spacing w:after="0" w:line="200" w:lineRule="exact"/>
        <w:rPr>
          <w:sz w:val="20"/>
          <w:szCs w:val="20"/>
          <w:color w:val="auto"/>
        </w:rPr>
      </w:pPr>
    </w:p>
    <w:p>
      <w:pPr>
        <w:ind w:left="580" w:right="340"/>
        <w:spacing w:after="0" w:line="266" w:lineRule="auto"/>
        <w:rPr>
          <w:sz w:val="20"/>
          <w:szCs w:val="20"/>
          <w:color w:val="auto"/>
        </w:rPr>
      </w:pPr>
      <w:r>
        <w:rPr>
          <w:rFonts w:ascii="Arial" w:cs="Arial" w:eastAsia="Arial" w:hAnsi="Arial"/>
          <w:sz w:val="16"/>
          <w:szCs w:val="16"/>
          <w:color w:val="auto"/>
        </w:rPr>
        <w:t>To ratify the selection by the audit committee of the Board of Directors of Moss Adams LLP as our independent registered public accounting firm for the year ending December 31, 2024;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4423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-310515</wp:posOffset>
            </wp:positionV>
            <wp:extent cx="23177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775" cy="21463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143510</wp:posOffset>
            </wp:positionV>
            <wp:extent cx="231775"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775" cy="214630"/>
                    </a:xfrm>
                    <a:prstGeom prst="rect">
                      <a:avLst/>
                    </a:prstGeom>
                    <a:noFill/>
                  </pic:spPr>
                </pic:pic>
              </a:graphicData>
            </a:graphic>
          </wp:anchor>
        </w:drawing>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conduct any other business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4423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377"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 xml:space="preserve">These items of business are more fully described in the Proxy Statement accompanying this Notice of Annual Meeting of Stockholders. The record date for the Annual Meeting is Tuesday, May 28, 2024. Only stockholders of record at the close of business on that date may vote at the meeting or any adjournment or postponement thereof. A complete list of the stockholders entitled to vote at the Annual Meeting will be made available to stockholders during the meeting at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-1544955</wp:posOffset>
            </wp:positionH>
            <wp:positionV relativeFrom="paragraph">
              <wp:posOffset>118745</wp:posOffset>
            </wp:positionV>
            <wp:extent cx="5966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-2059305</wp:posOffset>
            </wp:positionH>
            <wp:positionV relativeFrom="paragraph">
              <wp:posOffset>247015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2320" w:space="120"/>
            <w:col w:w="6960"/>
          </w:cols>
          <w:pgMar w:left="1240" w:top="114" w:right="1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spacing w:after="0"/>
        <w:tabs>
          <w:tab w:leader="none" w:pos="242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By Order of the Board of Directors,</w:t>
      </w:r>
    </w:p>
    <w:p>
      <w:pPr>
        <w:spacing w:after="0" w:line="22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 Brian Camire</w:t>
      </w:r>
    </w:p>
    <w:p>
      <w:pPr>
        <w:spacing w:after="0" w:line="21"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Brian Camire</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General Counsel and Secretary</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Irvine, California</w:t>
      </w:r>
    </w:p>
    <w:p>
      <w:pPr>
        <w:spacing w:after="0" w:line="5"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June 10, 2024</w:t>
      </w:r>
    </w:p>
    <w:p>
      <w:pPr>
        <w:spacing w:after="0" w:line="165" w:lineRule="exact"/>
        <w:rPr>
          <w:sz w:val="20"/>
          <w:szCs w:val="20"/>
          <w:color w:val="auto"/>
        </w:rPr>
      </w:pPr>
    </w:p>
    <w:p>
      <w:pPr>
        <w:ind w:left="2440"/>
        <w:spacing w:after="0" w:line="301" w:lineRule="auto"/>
        <w:rPr>
          <w:sz w:val="20"/>
          <w:szCs w:val="20"/>
          <w:color w:val="auto"/>
        </w:rPr>
      </w:pPr>
      <w:r>
        <w:rPr>
          <w:rFonts w:ascii="Arial" w:cs="Arial" w:eastAsia="Arial" w:hAnsi="Arial"/>
          <w:sz w:val="16"/>
          <w:szCs w:val="16"/>
          <w:b w:val="1"/>
          <w:bCs w:val="1"/>
          <w:color w:val="auto"/>
        </w:rPr>
        <w:t>You are cordially invited to attend the Annual Meeting, which will be held virtually via a live audio webcast. Whether or not you expect to attend the Annual Meeting, please vote your shares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vote online if you attend the Annual Meeting. Please note, however, that if your shares are held of record by a broker, bank or other nominee and you wish to vote at the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5966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wp:posOffset>
            </wp:positionH>
            <wp:positionV relativeFrom="paragraph">
              <wp:posOffset>233045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 w:name="page5"/>
    <w:bookmarkEnd w:id="4"/>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171450</wp:posOffset>
            </wp:positionV>
            <wp:extent cx="702945" cy="38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3860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40"/>
        <w:spacing w:after="0"/>
        <w:rPr>
          <w:sz w:val="20"/>
          <w:szCs w:val="20"/>
          <w:color w:val="auto"/>
        </w:rPr>
      </w:pPr>
      <w:r>
        <w:rPr>
          <w:rFonts w:ascii="Arial" w:cs="Arial" w:eastAsia="Arial" w:hAnsi="Arial"/>
          <w:sz w:val="58"/>
          <w:szCs w:val="58"/>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gridSpan w:val="5"/>
          </w:tcPr>
          <w:p>
            <w:pPr>
              <w:spacing w:after="0"/>
              <w:rPr>
                <w:sz w:val="20"/>
                <w:szCs w:val="20"/>
                <w:color w:val="auto"/>
              </w:rPr>
            </w:pPr>
            <w:r>
              <w:rPr>
                <w:rFonts w:ascii="Arial" w:cs="Arial" w:eastAsia="Arial" w:hAnsi="Arial"/>
                <w:sz w:val="14"/>
                <w:szCs w:val="14"/>
                <w:b w:val="1"/>
                <w:bCs w:val="1"/>
                <w:color w:val="auto"/>
                <w:w w:val="95"/>
              </w:rPr>
              <w:t>Page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8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980" w:type="dxa"/>
            <w:vAlign w:val="bottom"/>
            <w:gridSpan w:val="27"/>
          </w:tcPr>
          <w:p>
            <w:pPr>
              <w:spacing w:after="0"/>
              <w:rPr>
                <w:sz w:val="20"/>
                <w:szCs w:val="20"/>
                <w:color w:val="auto"/>
              </w:rPr>
            </w:pPr>
            <w:r>
              <w:rPr>
                <w:rFonts w:ascii="Arial" w:cs="Arial" w:eastAsia="Arial" w:hAnsi="Arial"/>
                <w:sz w:val="16"/>
                <w:szCs w:val="16"/>
                <w:b w:val="1"/>
                <w:bCs w:val="1"/>
                <w:color w:val="0000EE"/>
              </w:rPr>
              <w:t>Questions and Answers About These Proxy Materials and Voting</w:t>
            </w:r>
          </w:p>
        </w:tc>
        <w:tc>
          <w:tcPr>
            <w:tcW w:w="1640" w:type="dxa"/>
            <w:vAlign w:val="bottom"/>
            <w:gridSpan w:val="6"/>
          </w:tcPr>
          <w:p>
            <w:pPr>
              <w:spacing w:after="0"/>
              <w:rPr>
                <w:sz w:val="21"/>
                <w:szCs w:val="21"/>
                <w:color w:val="auto"/>
              </w:rPr>
            </w:pPr>
          </w:p>
        </w:tc>
        <w:tc>
          <w:tcPr>
            <w:tcW w:w="260" w:type="dxa"/>
            <w:vAlign w:val="bottom"/>
            <w:gridSpan w:val="4"/>
          </w:tcPr>
          <w:p>
            <w:pPr>
              <w:jc w:val="right"/>
              <w:spacing w:after="0"/>
              <w:rPr>
                <w:sz w:val="20"/>
                <w:szCs w:val="20"/>
                <w:color w:val="auto"/>
              </w:rPr>
            </w:pPr>
            <w:r>
              <w:rPr>
                <w:rFonts w:ascii="Arial" w:cs="Arial" w:eastAsia="Arial" w:hAnsi="Arial"/>
                <w:sz w:val="16"/>
                <w:szCs w:val="16"/>
                <w:b w:val="1"/>
                <w:bCs w:val="1"/>
                <w:color w:val="0000EE"/>
              </w:rPr>
              <w:t>2</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6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b w:val="1"/>
                <w:bCs w:val="1"/>
                <w:color w:val="0000EE"/>
              </w:rPr>
              <w:t>Proposal No. 1 Election of Directors</w:t>
            </w:r>
          </w:p>
        </w:tc>
        <w:tc>
          <w:tcPr>
            <w:tcW w:w="2220" w:type="dxa"/>
            <w:vAlign w:val="bottom"/>
            <w:gridSpan w:val="12"/>
          </w:tcPr>
          <w:p>
            <w:pPr>
              <w:spacing w:after="0"/>
              <w:rPr>
                <w:sz w:val="24"/>
                <w:szCs w:val="24"/>
                <w:color w:val="auto"/>
              </w:rPr>
            </w:pPr>
          </w:p>
        </w:tc>
        <w:tc>
          <w:tcPr>
            <w:tcW w:w="1640" w:type="dxa"/>
            <w:vAlign w:val="bottom"/>
            <w:gridSpan w:val="6"/>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w w:val="89"/>
              </w:rPr>
              <w:t>10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Information Regarding the Board of Directors and Corporate Governance</w:t>
            </w:r>
          </w:p>
        </w:tc>
        <w:tc>
          <w:tcPr>
            <w:tcW w:w="260" w:type="dxa"/>
            <w:vAlign w:val="bottom"/>
            <w:gridSpan w:val="4"/>
          </w:tcPr>
          <w:p>
            <w:pPr>
              <w:jc w:val="right"/>
              <w:spacing w:after="0"/>
              <w:rPr>
                <w:sz w:val="20"/>
                <w:szCs w:val="20"/>
                <w:color w:val="auto"/>
              </w:rPr>
            </w:pPr>
            <w:r>
              <w:rPr>
                <w:rFonts w:ascii="Arial" w:cs="Arial" w:eastAsia="Arial" w:hAnsi="Arial"/>
                <w:sz w:val="16"/>
                <w:szCs w:val="16"/>
                <w:b w:val="1"/>
                <w:bCs w:val="1"/>
                <w:color w:val="0000EE"/>
              </w:rPr>
              <w:t>14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380" w:type="dxa"/>
            <w:vAlign w:val="bottom"/>
            <w:tcBorders>
              <w:top w:val="single" w:sz="8" w:color="0000EE"/>
            </w:tcBorders>
            <w:gridSpan w:val="31"/>
          </w:tcPr>
          <w:p>
            <w:pPr>
              <w:spacing w:after="0"/>
              <w:rPr>
                <w:sz w:val="20"/>
                <w:szCs w:val="20"/>
                <w:color w:val="auto"/>
              </w:rPr>
            </w:pPr>
            <w:r>
              <w:rPr>
                <w:rFonts w:ascii="Arial" w:cs="Arial" w:eastAsia="Arial" w:hAnsi="Arial"/>
                <w:sz w:val="16"/>
                <w:szCs w:val="16"/>
                <w:color w:val="0000EE"/>
              </w:rPr>
              <w:t>Director Independence</w:t>
            </w:r>
          </w:p>
        </w:tc>
        <w:tc>
          <w:tcPr>
            <w:tcW w:w="100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Board Leadership Structure</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14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Role of the Board in Risk Oversight</w:t>
            </w:r>
          </w:p>
        </w:tc>
        <w:tc>
          <w:tcPr>
            <w:tcW w:w="3840" w:type="dxa"/>
            <w:vAlign w:val="bottom"/>
            <w:gridSpan w:val="17"/>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Meetings of the Board of Directors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15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Information Regarding Committees of the Board of Directors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16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tcBorders>
              <w:top w:val="single" w:sz="8" w:color="0000EE"/>
            </w:tcBorders>
            <w:gridSpan w:val="25"/>
          </w:tcPr>
          <w:p>
            <w:pPr>
              <w:spacing w:after="0"/>
              <w:rPr>
                <w:sz w:val="20"/>
                <w:szCs w:val="20"/>
                <w:color w:val="auto"/>
              </w:rPr>
            </w:pPr>
            <w:r>
              <w:rPr>
                <w:rFonts w:ascii="Arial" w:cs="Arial" w:eastAsia="Arial" w:hAnsi="Arial"/>
                <w:sz w:val="16"/>
                <w:szCs w:val="16"/>
                <w:color w:val="0000EE"/>
              </w:rPr>
              <w:t>Audit Committee</w:t>
            </w:r>
          </w:p>
        </w:tc>
        <w:tc>
          <w:tcPr>
            <w:tcW w:w="2060" w:type="dxa"/>
            <w:vAlign w:val="bottom"/>
            <w:gridSpan w:val="7"/>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17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top w:val="single" w:sz="8" w:color="0000EE"/>
            </w:tcBorders>
            <w:gridSpan w:val="21"/>
          </w:tcPr>
          <w:p>
            <w:pPr>
              <w:spacing w:after="0"/>
              <w:rPr>
                <w:sz w:val="20"/>
                <w:szCs w:val="20"/>
                <w:color w:val="auto"/>
              </w:rPr>
            </w:pPr>
            <w:r>
              <w:rPr>
                <w:rFonts w:ascii="Arial" w:cs="Arial" w:eastAsia="Arial" w:hAnsi="Arial"/>
                <w:sz w:val="16"/>
                <w:szCs w:val="16"/>
                <w:color w:val="0000EE"/>
              </w:rPr>
              <w:t>Compensation Committee</w:t>
            </w:r>
          </w:p>
        </w:tc>
        <w:tc>
          <w:tcPr>
            <w:tcW w:w="2400" w:type="dxa"/>
            <w:vAlign w:val="bottom"/>
            <w:gridSpan w:val="11"/>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Compensation Committee Processes and Procedures</w:t>
            </w:r>
          </w:p>
        </w:tc>
        <w:tc>
          <w:tcPr>
            <w:tcW w:w="2500" w:type="dxa"/>
            <w:vAlign w:val="bottom"/>
            <w:gridSpan w:val="12"/>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18</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Nominating and Corporate Governance Committee</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19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9"/>
              </w:rPr>
              <w:t>Technology Committee</w:t>
            </w:r>
          </w:p>
        </w:tc>
        <w:tc>
          <w:tcPr>
            <w:tcW w:w="2000" w:type="dxa"/>
            <w:vAlign w:val="bottom"/>
            <w:tcBorders>
              <w:top w:val="single" w:sz="8" w:color="0000EE"/>
            </w:tcBorders>
            <w:gridSpan w:val="14"/>
          </w:tcPr>
          <w:p>
            <w:pPr>
              <w:spacing w:after="0"/>
              <w:rPr>
                <w:sz w:val="24"/>
                <w:szCs w:val="24"/>
                <w:color w:val="auto"/>
              </w:rPr>
            </w:pPr>
          </w:p>
        </w:tc>
        <w:tc>
          <w:tcPr>
            <w:tcW w:w="2720" w:type="dxa"/>
            <w:vAlign w:val="bottom"/>
            <w:gridSpan w:val="13"/>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20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Stockholder Communications with the Board of Directors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20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Borders>
              <w:top w:val="single" w:sz="8" w:color="0000EE"/>
            </w:tcBorders>
            <w:gridSpan w:val="23"/>
          </w:tcPr>
          <w:p>
            <w:pPr>
              <w:spacing w:after="0"/>
              <w:rPr>
                <w:sz w:val="20"/>
                <w:szCs w:val="20"/>
                <w:color w:val="auto"/>
              </w:rPr>
            </w:pPr>
            <w:r>
              <w:rPr>
                <w:rFonts w:ascii="Arial" w:cs="Arial" w:eastAsia="Arial" w:hAnsi="Arial"/>
                <w:sz w:val="16"/>
                <w:szCs w:val="16"/>
                <w:color w:val="0000EE"/>
              </w:rPr>
              <w:t>Code of Conduct</w:t>
            </w:r>
          </w:p>
        </w:tc>
        <w:tc>
          <w:tcPr>
            <w:tcW w:w="2320" w:type="dxa"/>
            <w:vAlign w:val="bottom"/>
            <w:gridSpan w:val="9"/>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20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Corporate Governance Guidelines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20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6"/>
                <w:szCs w:val="16"/>
                <w:color w:val="0000EE"/>
              </w:rPr>
              <w:t>Hedging and Pledging Policy</w:t>
            </w:r>
          </w:p>
        </w:tc>
        <w:tc>
          <w:tcPr>
            <w:tcW w:w="380" w:type="dxa"/>
            <w:vAlign w:val="bottom"/>
            <w:tcBorders>
              <w:top w:val="single" w:sz="8" w:color="0000EE"/>
            </w:tcBorders>
            <w:gridSpan w:val="3"/>
          </w:tcPr>
          <w:p>
            <w:pPr>
              <w:spacing w:after="0"/>
              <w:rPr>
                <w:sz w:val="24"/>
                <w:szCs w:val="24"/>
                <w:color w:val="auto"/>
              </w:rPr>
            </w:pPr>
          </w:p>
        </w:tc>
        <w:tc>
          <w:tcPr>
            <w:tcW w:w="3920" w:type="dxa"/>
            <w:vAlign w:val="bottom"/>
            <w:gridSpan w:val="19"/>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21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b w:val="1"/>
                <w:bCs w:val="1"/>
                <w:color w:val="0000EE"/>
              </w:rPr>
              <w:t>Proposal No. 2: Advisory Vote, on a Non-Binding Basis, to Approve the</w:t>
            </w:r>
          </w:p>
        </w:tc>
        <w:tc>
          <w:tcPr>
            <w:tcW w:w="1160" w:type="dxa"/>
            <w:vAlign w:val="bottom"/>
            <w:gridSpan w:val="3"/>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EE"/>
                <w:w w:val="89"/>
              </w:rPr>
              <w:t>22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580" w:type="dxa"/>
            <w:vAlign w:val="bottom"/>
            <w:tcBorders>
              <w:bottom w:val="single" w:sz="8" w:color="0000EE"/>
            </w:tcBorders>
            <w:gridSpan w:val="31"/>
          </w:tcPr>
          <w:p>
            <w:pPr>
              <w:spacing w:after="0" w:line="169" w:lineRule="exact"/>
              <w:rPr>
                <w:sz w:val="20"/>
                <w:szCs w:val="20"/>
                <w:color w:val="auto"/>
              </w:rPr>
            </w:pPr>
            <w:r>
              <w:rPr>
                <w:rFonts w:ascii="Arial" w:cs="Arial" w:eastAsia="Arial" w:hAnsi="Arial"/>
                <w:sz w:val="16"/>
                <w:szCs w:val="16"/>
                <w:b w:val="1"/>
                <w:bCs w:val="1"/>
                <w:color w:val="0000EE"/>
              </w:rPr>
              <w:t>Compensation of Our Named Executive Officers for the Year Ended 2023</w:t>
            </w:r>
          </w:p>
        </w:tc>
        <w:tc>
          <w:tcPr>
            <w:tcW w:w="1040" w:type="dxa"/>
            <w:vAlign w:val="bottom"/>
            <w:gridSpan w:val="2"/>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180" w:type="dxa"/>
            <w:vAlign w:val="bottom"/>
            <w:tcBorders>
              <w:bottom w:val="single" w:sz="8" w:color="0000EE"/>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Proposal No. 3 Ratification of Selection of Independent Registered</w:t>
            </w:r>
          </w:p>
        </w:tc>
        <w:tc>
          <w:tcPr>
            <w:tcW w:w="26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0000EE"/>
              </w:rPr>
              <w:t>23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10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b w:val="1"/>
                <w:bCs w:val="1"/>
                <w:color w:val="0000EE"/>
              </w:rPr>
              <w:t>Public Accounting Firm</w:t>
            </w:r>
          </w:p>
        </w:tc>
        <w:tc>
          <w:tcPr>
            <w:tcW w:w="40" w:type="dxa"/>
            <w:vAlign w:val="bottom"/>
          </w:tcPr>
          <w:p>
            <w:pPr>
              <w:spacing w:after="0"/>
              <w:rPr>
                <w:sz w:val="14"/>
                <w:szCs w:val="14"/>
                <w:color w:val="auto"/>
              </w:rPr>
            </w:pPr>
          </w:p>
        </w:tc>
        <w:tc>
          <w:tcPr>
            <w:tcW w:w="1480" w:type="dxa"/>
            <w:vAlign w:val="bottom"/>
            <w:gridSpan w:val="4"/>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Principal Accountant Fees and Services</w:t>
            </w:r>
          </w:p>
        </w:tc>
        <w:tc>
          <w:tcPr>
            <w:tcW w:w="3500" w:type="dxa"/>
            <w:vAlign w:val="bottom"/>
            <w:gridSpan w:val="15"/>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24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Pre-Approval Policies and Procedures</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24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Executive Officers</w:t>
            </w:r>
          </w:p>
        </w:tc>
        <w:tc>
          <w:tcPr>
            <w:tcW w:w="260" w:type="dxa"/>
            <w:vAlign w:val="bottom"/>
            <w:gridSpan w:val="4"/>
          </w:tcPr>
          <w:p>
            <w:pPr>
              <w:jc w:val="right"/>
              <w:spacing w:after="0"/>
              <w:rPr>
                <w:sz w:val="20"/>
                <w:szCs w:val="20"/>
                <w:color w:val="auto"/>
              </w:rPr>
            </w:pPr>
            <w:r>
              <w:rPr>
                <w:rFonts w:ascii="Arial" w:cs="Arial" w:eastAsia="Arial" w:hAnsi="Arial"/>
                <w:sz w:val="16"/>
                <w:szCs w:val="16"/>
                <w:b w:val="1"/>
                <w:bCs w:val="1"/>
                <w:color w:val="0000EE"/>
              </w:rPr>
              <w:t>25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14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1480" w:type="dxa"/>
            <w:vAlign w:val="bottom"/>
            <w:gridSpan w:val="4"/>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w w:val="89"/>
              </w:rPr>
              <w:t>26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rPr>
              <w:t>Executive Compensation</w:t>
            </w:r>
          </w:p>
        </w:tc>
        <w:tc>
          <w:tcPr>
            <w:tcW w:w="4680" w:type="dxa"/>
            <w:vAlign w:val="bottom"/>
            <w:gridSpan w:val="25"/>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w w:val="89"/>
              </w:rPr>
              <w:t>30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Summary Compensation Table</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39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80" w:type="dxa"/>
            <w:vAlign w:val="bottom"/>
            <w:gridSpan w:val="32"/>
          </w:tcPr>
          <w:p>
            <w:pPr>
              <w:spacing w:after="0"/>
              <w:rPr>
                <w:sz w:val="20"/>
                <w:szCs w:val="20"/>
                <w:color w:val="auto"/>
              </w:rPr>
            </w:pPr>
            <w:r>
              <w:rPr>
                <w:rFonts w:ascii="Arial" w:cs="Arial" w:eastAsia="Arial" w:hAnsi="Arial"/>
                <w:sz w:val="16"/>
                <w:szCs w:val="16"/>
                <w:color w:val="0000EE"/>
              </w:rPr>
              <w:t>Outstanding Equity Awards at Fiscal Year-End</w:t>
            </w:r>
          </w:p>
        </w:tc>
        <w:tc>
          <w:tcPr>
            <w:tcW w:w="260" w:type="dxa"/>
            <w:vAlign w:val="bottom"/>
            <w:gridSpan w:val="4"/>
          </w:tcPr>
          <w:p>
            <w:pPr>
              <w:jc w:val="right"/>
              <w:spacing w:after="0"/>
              <w:rPr>
                <w:sz w:val="20"/>
                <w:szCs w:val="20"/>
                <w:color w:val="auto"/>
              </w:rPr>
            </w:pPr>
            <w:r>
              <w:rPr>
                <w:rFonts w:ascii="Arial" w:cs="Arial" w:eastAsia="Arial" w:hAnsi="Arial"/>
                <w:sz w:val="16"/>
                <w:szCs w:val="16"/>
                <w:color w:val="0000EE"/>
              </w:rPr>
              <w:t>40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Potential Payments Upon Termination or Change in Control</w:t>
            </w:r>
          </w:p>
        </w:tc>
        <w:tc>
          <w:tcPr>
            <w:tcW w:w="2120" w:type="dxa"/>
            <w:vAlign w:val="bottom"/>
            <w:gridSpan w:val="8"/>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41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Director Compensation</w:t>
            </w:r>
          </w:p>
        </w:tc>
        <w:tc>
          <w:tcPr>
            <w:tcW w:w="4700" w:type="dxa"/>
            <w:vAlign w:val="bottom"/>
            <w:gridSpan w:val="26"/>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color w:val="0000EE"/>
                <w:w w:val="89"/>
              </w:rPr>
              <w:t>42</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b w:val="1"/>
                <w:bCs w:val="1"/>
                <w:color w:val="0000EE"/>
                <w:w w:val="99"/>
              </w:rPr>
              <w:t>Pay Versus Performance</w:t>
            </w:r>
          </w:p>
        </w:tc>
        <w:tc>
          <w:tcPr>
            <w:tcW w:w="4720" w:type="dxa"/>
            <w:vAlign w:val="bottom"/>
            <w:gridSpan w:val="27"/>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w w:val="89"/>
              </w:rPr>
              <w:t>46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Certain Relationships and Related Person Transactions</w:t>
            </w:r>
          </w:p>
        </w:tc>
        <w:tc>
          <w:tcPr>
            <w:tcW w:w="26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50</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6"/>
                <w:szCs w:val="16"/>
                <w:b w:val="1"/>
                <w:bCs w:val="1"/>
                <w:color w:val="0000EE"/>
              </w:rPr>
              <w:t>Householding of Proxy Materials</w:t>
            </w:r>
          </w:p>
        </w:tc>
        <w:tc>
          <w:tcPr>
            <w:tcW w:w="1740" w:type="dxa"/>
            <w:vAlign w:val="bottom"/>
            <w:tcBorders>
              <w:top w:val="single" w:sz="8" w:color="0000EE"/>
            </w:tcBorders>
            <w:gridSpan w:val="10"/>
          </w:tcPr>
          <w:p>
            <w:pPr>
              <w:spacing w:after="0"/>
              <w:rPr>
                <w:sz w:val="24"/>
                <w:szCs w:val="24"/>
                <w:color w:val="auto"/>
              </w:rPr>
            </w:pPr>
          </w:p>
        </w:tc>
        <w:tc>
          <w:tcPr>
            <w:tcW w:w="2360" w:type="dxa"/>
            <w:vAlign w:val="bottom"/>
            <w:gridSpan w:val="10"/>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6"/>
                <w:szCs w:val="16"/>
                <w:b w:val="1"/>
                <w:bCs w:val="1"/>
                <w:color w:val="0000EE"/>
                <w:w w:val="89"/>
              </w:rPr>
              <w:t>56</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Other Matters</w:t>
            </w:r>
          </w:p>
        </w:tc>
        <w:tc>
          <w:tcPr>
            <w:tcW w:w="260" w:type="dxa"/>
            <w:vAlign w:val="bottom"/>
            <w:gridSpan w:val="4"/>
          </w:tcPr>
          <w:p>
            <w:pPr>
              <w:jc w:val="right"/>
              <w:spacing w:after="0"/>
              <w:rPr>
                <w:sz w:val="20"/>
                <w:szCs w:val="20"/>
                <w:color w:val="auto"/>
              </w:rPr>
            </w:pPr>
            <w:r>
              <w:rPr>
                <w:rFonts w:ascii="Arial" w:cs="Arial" w:eastAsia="Arial" w:hAnsi="Arial"/>
                <w:sz w:val="16"/>
                <w:szCs w:val="16"/>
                <w:b w:val="1"/>
                <w:bCs w:val="1"/>
                <w:color w:val="0000EE"/>
              </w:rPr>
              <w:t>57</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580" w:type="dxa"/>
            <w:vAlign w:val="bottom"/>
            <w:gridSpan w:val="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33"/>
          </w:tcPr>
          <w:p>
            <w:pPr>
              <w:spacing w:after="0"/>
              <w:rPr>
                <w:sz w:val="20"/>
                <w:szCs w:val="20"/>
                <w:color w:val="auto"/>
              </w:rPr>
            </w:pPr>
            <w:r>
              <w:rPr>
                <w:rFonts w:ascii="Arial" w:cs="Arial" w:eastAsia="Arial" w:hAnsi="Arial"/>
                <w:sz w:val="16"/>
                <w:szCs w:val="16"/>
                <w:b w:val="1"/>
                <w:bCs w:val="1"/>
                <w:color w:val="0000EE"/>
              </w:rPr>
              <w:t>Appendix A—Supplemental Information About Financial Measures</w:t>
            </w:r>
          </w:p>
        </w:tc>
        <w:tc>
          <w:tcPr>
            <w:tcW w:w="340" w:type="dxa"/>
            <w:vAlign w:val="bottom"/>
            <w:gridSpan w:val="5"/>
          </w:tcPr>
          <w:p>
            <w:pPr>
              <w:ind w:left="20"/>
              <w:spacing w:after="0"/>
              <w:rPr>
                <w:sz w:val="20"/>
                <w:szCs w:val="20"/>
                <w:color w:val="auto"/>
              </w:rPr>
            </w:pPr>
            <w:r>
              <w:rPr>
                <w:rFonts w:ascii="Arial" w:cs="Arial" w:eastAsia="Arial" w:hAnsi="Arial"/>
                <w:sz w:val="16"/>
                <w:szCs w:val="16"/>
                <w:b w:val="1"/>
                <w:bCs w:val="1"/>
                <w:color w:val="0000EE"/>
              </w:rPr>
              <w:t>A-1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0" w:type="dxa"/>
            <w:vAlign w:val="bottom"/>
          </w:tcPr>
          <w:p>
            <w:pPr>
              <w:spacing w:after="0"/>
              <w:rPr>
                <w:sz w:val="24"/>
                <w:szCs w:val="24"/>
                <w:color w:val="auto"/>
              </w:rPr>
            </w:pPr>
          </w:p>
        </w:tc>
        <w:tc>
          <w:tcPr>
            <w:tcW w:w="2440" w:type="dxa"/>
            <w:vAlign w:val="bottom"/>
            <w:tcBorders>
              <w:bottom w:val="single" w:sz="8" w:color="40C0C0"/>
            </w:tcBorders>
          </w:tcPr>
          <w:p>
            <w:pPr>
              <w:spacing w:after="0"/>
              <w:rPr>
                <w:sz w:val="24"/>
                <w:szCs w:val="24"/>
                <w:color w:val="auto"/>
              </w:rPr>
            </w:pPr>
          </w:p>
        </w:tc>
        <w:tc>
          <w:tcPr>
            <w:tcW w:w="240" w:type="dxa"/>
            <w:vAlign w:val="bottom"/>
            <w:tcBorders>
              <w:top w:val="single" w:sz="8" w:color="0000EE"/>
              <w:bottom w:val="single" w:sz="8" w:color="40C0C0"/>
            </w:tcBorders>
          </w:tcPr>
          <w:p>
            <w:pPr>
              <w:spacing w:after="0"/>
              <w:rPr>
                <w:sz w:val="24"/>
                <w:szCs w:val="24"/>
                <w:color w:val="auto"/>
              </w:rPr>
            </w:pPr>
          </w:p>
        </w:tc>
        <w:tc>
          <w:tcPr>
            <w:tcW w:w="800" w:type="dxa"/>
            <w:vAlign w:val="bottom"/>
            <w:tcBorders>
              <w:top w:val="single" w:sz="8" w:color="0000EE"/>
              <w:bottom w:val="single" w:sz="8" w:color="40C0C0"/>
            </w:tcBorders>
          </w:tcPr>
          <w:p>
            <w:pPr>
              <w:spacing w:after="0"/>
              <w:rPr>
                <w:sz w:val="24"/>
                <w:szCs w:val="24"/>
                <w:color w:val="auto"/>
              </w:rPr>
            </w:pPr>
          </w:p>
        </w:tc>
        <w:tc>
          <w:tcPr>
            <w:tcW w:w="360" w:type="dxa"/>
            <w:vAlign w:val="bottom"/>
            <w:tcBorders>
              <w:top w:val="single" w:sz="8" w:color="0000EE"/>
              <w:bottom w:val="single" w:sz="8" w:color="40C0C0"/>
            </w:tcBorders>
          </w:tcPr>
          <w:p>
            <w:pPr>
              <w:spacing w:after="0"/>
              <w:rPr>
                <w:sz w:val="24"/>
                <w:szCs w:val="24"/>
                <w:color w:val="auto"/>
              </w:rPr>
            </w:pPr>
          </w:p>
        </w:tc>
        <w:tc>
          <w:tcPr>
            <w:tcW w:w="400" w:type="dxa"/>
            <w:vAlign w:val="bottom"/>
            <w:tcBorders>
              <w:top w:val="single" w:sz="8" w:color="0000EE"/>
              <w:bottom w:val="single" w:sz="8" w:color="40C0C0"/>
            </w:tcBorders>
          </w:tcPr>
          <w:p>
            <w:pPr>
              <w:spacing w:after="0"/>
              <w:rPr>
                <w:sz w:val="24"/>
                <w:szCs w:val="24"/>
                <w:color w:val="auto"/>
              </w:rPr>
            </w:pPr>
          </w:p>
        </w:tc>
        <w:tc>
          <w:tcPr>
            <w:tcW w:w="80" w:type="dxa"/>
            <w:vAlign w:val="bottom"/>
            <w:tcBorders>
              <w:top w:val="single" w:sz="8" w:color="0000EE"/>
              <w:bottom w:val="single" w:sz="8" w:color="40C0C0"/>
            </w:tcBorders>
          </w:tcPr>
          <w:p>
            <w:pPr>
              <w:spacing w:after="0"/>
              <w:rPr>
                <w:sz w:val="24"/>
                <w:szCs w:val="24"/>
                <w:color w:val="auto"/>
              </w:rPr>
            </w:pPr>
          </w:p>
        </w:tc>
        <w:tc>
          <w:tcPr>
            <w:tcW w:w="20" w:type="dxa"/>
            <w:vAlign w:val="bottom"/>
            <w:tcBorders>
              <w:top w:val="single" w:sz="8" w:color="0000EE"/>
              <w:bottom w:val="single" w:sz="8" w:color="40C0C0"/>
            </w:tcBorders>
          </w:tcPr>
          <w:p>
            <w:pPr>
              <w:spacing w:after="0"/>
              <w:rPr>
                <w:sz w:val="24"/>
                <w:szCs w:val="24"/>
                <w:color w:val="auto"/>
              </w:rPr>
            </w:pPr>
          </w:p>
        </w:tc>
        <w:tc>
          <w:tcPr>
            <w:tcW w:w="20" w:type="dxa"/>
            <w:vAlign w:val="bottom"/>
            <w:tcBorders>
              <w:top w:val="single" w:sz="8" w:color="0000EE"/>
              <w:bottom w:val="single" w:sz="8" w:color="40C0C0"/>
            </w:tcBorders>
          </w:tcPr>
          <w:p>
            <w:pPr>
              <w:spacing w:after="0"/>
              <w:rPr>
                <w:sz w:val="24"/>
                <w:szCs w:val="24"/>
                <w:color w:val="auto"/>
              </w:rPr>
            </w:pPr>
          </w:p>
        </w:tc>
        <w:tc>
          <w:tcPr>
            <w:tcW w:w="20" w:type="dxa"/>
            <w:vAlign w:val="bottom"/>
            <w:tcBorders>
              <w:top w:val="single" w:sz="8" w:color="0000EE"/>
              <w:bottom w:val="single" w:sz="8" w:color="40C0C0"/>
            </w:tcBorders>
          </w:tcPr>
          <w:p>
            <w:pPr>
              <w:spacing w:after="0"/>
              <w:rPr>
                <w:sz w:val="24"/>
                <w:szCs w:val="24"/>
                <w:color w:val="auto"/>
              </w:rPr>
            </w:pPr>
          </w:p>
        </w:tc>
        <w:tc>
          <w:tcPr>
            <w:tcW w:w="180" w:type="dxa"/>
            <w:vAlign w:val="bottom"/>
            <w:tcBorders>
              <w:top w:val="single" w:sz="8" w:color="0000EE"/>
              <w:bottom w:val="single" w:sz="8" w:color="40C0C0"/>
            </w:tcBorders>
          </w:tcPr>
          <w:p>
            <w:pPr>
              <w:spacing w:after="0"/>
              <w:rPr>
                <w:sz w:val="24"/>
                <w:szCs w:val="24"/>
                <w:color w:val="auto"/>
              </w:rPr>
            </w:pPr>
          </w:p>
        </w:tc>
        <w:tc>
          <w:tcPr>
            <w:tcW w:w="100" w:type="dxa"/>
            <w:vAlign w:val="bottom"/>
            <w:tcBorders>
              <w:top w:val="single" w:sz="8" w:color="0000EE"/>
              <w:bottom w:val="single" w:sz="8" w:color="40C0C0"/>
            </w:tcBorders>
          </w:tcPr>
          <w:p>
            <w:pPr>
              <w:spacing w:after="0"/>
              <w:rPr>
                <w:sz w:val="24"/>
                <w:szCs w:val="24"/>
                <w:color w:val="auto"/>
              </w:rPr>
            </w:pPr>
          </w:p>
        </w:tc>
        <w:tc>
          <w:tcPr>
            <w:tcW w:w="100" w:type="dxa"/>
            <w:vAlign w:val="bottom"/>
            <w:tcBorders>
              <w:top w:val="single" w:sz="8" w:color="0000EE"/>
              <w:bottom w:val="single" w:sz="8" w:color="40C0C0"/>
            </w:tcBorders>
          </w:tcPr>
          <w:p>
            <w:pPr>
              <w:spacing w:after="0"/>
              <w:rPr>
                <w:sz w:val="24"/>
                <w:szCs w:val="24"/>
                <w:color w:val="auto"/>
              </w:rPr>
            </w:pPr>
          </w:p>
        </w:tc>
        <w:tc>
          <w:tcPr>
            <w:tcW w:w="140" w:type="dxa"/>
            <w:vAlign w:val="bottom"/>
            <w:tcBorders>
              <w:top w:val="single" w:sz="8" w:color="0000EE"/>
              <w:bottom w:val="single" w:sz="8" w:color="40C0C0"/>
            </w:tcBorders>
          </w:tcPr>
          <w:p>
            <w:pPr>
              <w:spacing w:after="0"/>
              <w:rPr>
                <w:sz w:val="24"/>
                <w:szCs w:val="24"/>
                <w:color w:val="auto"/>
              </w:rPr>
            </w:pPr>
          </w:p>
        </w:tc>
        <w:tc>
          <w:tcPr>
            <w:tcW w:w="60" w:type="dxa"/>
            <w:vAlign w:val="bottom"/>
            <w:tcBorders>
              <w:top w:val="single" w:sz="8" w:color="0000EE"/>
              <w:bottom w:val="single" w:sz="8" w:color="40C0C0"/>
            </w:tcBorders>
          </w:tcPr>
          <w:p>
            <w:pPr>
              <w:spacing w:after="0"/>
              <w:rPr>
                <w:sz w:val="24"/>
                <w:szCs w:val="24"/>
                <w:color w:val="auto"/>
              </w:rPr>
            </w:pPr>
          </w:p>
        </w:tc>
        <w:tc>
          <w:tcPr>
            <w:tcW w:w="180" w:type="dxa"/>
            <w:vAlign w:val="bottom"/>
            <w:tcBorders>
              <w:top w:val="single" w:sz="8" w:color="0000EE"/>
              <w:bottom w:val="single" w:sz="8" w:color="40C0C0"/>
            </w:tcBorders>
          </w:tcPr>
          <w:p>
            <w:pPr>
              <w:spacing w:after="0"/>
              <w:rPr>
                <w:sz w:val="24"/>
                <w:szCs w:val="24"/>
                <w:color w:val="auto"/>
              </w:rPr>
            </w:pPr>
          </w:p>
        </w:tc>
        <w:tc>
          <w:tcPr>
            <w:tcW w:w="60" w:type="dxa"/>
            <w:vAlign w:val="bottom"/>
            <w:tcBorders>
              <w:top w:val="single" w:sz="8" w:color="0000EE"/>
              <w:bottom w:val="single" w:sz="8" w:color="40C0C0"/>
            </w:tcBorders>
          </w:tcPr>
          <w:p>
            <w:pPr>
              <w:spacing w:after="0"/>
              <w:rPr>
                <w:sz w:val="24"/>
                <w:szCs w:val="24"/>
                <w:color w:val="auto"/>
              </w:rPr>
            </w:pPr>
          </w:p>
        </w:tc>
        <w:tc>
          <w:tcPr>
            <w:tcW w:w="20" w:type="dxa"/>
            <w:vAlign w:val="bottom"/>
            <w:tcBorders>
              <w:top w:val="single" w:sz="8" w:color="0000EE"/>
              <w:bottom w:val="single" w:sz="8" w:color="40C0C0"/>
            </w:tcBorders>
          </w:tcPr>
          <w:p>
            <w:pPr>
              <w:spacing w:after="0"/>
              <w:rPr>
                <w:sz w:val="24"/>
                <w:szCs w:val="24"/>
                <w:color w:val="auto"/>
              </w:rPr>
            </w:pPr>
          </w:p>
        </w:tc>
        <w:tc>
          <w:tcPr>
            <w:tcW w:w="200" w:type="dxa"/>
            <w:vAlign w:val="bottom"/>
            <w:tcBorders>
              <w:top w:val="single" w:sz="8" w:color="0000EE"/>
              <w:bottom w:val="single" w:sz="8" w:color="40C0C0"/>
            </w:tcBorders>
          </w:tcPr>
          <w:p>
            <w:pPr>
              <w:spacing w:after="0"/>
              <w:rPr>
                <w:sz w:val="24"/>
                <w:szCs w:val="24"/>
                <w:color w:val="auto"/>
              </w:rPr>
            </w:pPr>
          </w:p>
        </w:tc>
        <w:tc>
          <w:tcPr>
            <w:tcW w:w="140" w:type="dxa"/>
            <w:vAlign w:val="bottom"/>
            <w:tcBorders>
              <w:top w:val="single" w:sz="8" w:color="0000EE"/>
              <w:bottom w:val="single" w:sz="8" w:color="40C0C0"/>
            </w:tcBorders>
          </w:tcPr>
          <w:p>
            <w:pPr>
              <w:spacing w:after="0"/>
              <w:rPr>
                <w:sz w:val="24"/>
                <w:szCs w:val="24"/>
                <w:color w:val="auto"/>
              </w:rPr>
            </w:pPr>
          </w:p>
        </w:tc>
        <w:tc>
          <w:tcPr>
            <w:tcW w:w="440" w:type="dxa"/>
            <w:vAlign w:val="bottom"/>
            <w:tcBorders>
              <w:top w:val="single" w:sz="8" w:color="0000EE"/>
              <w:bottom w:val="single" w:sz="8" w:color="40C0C0"/>
            </w:tcBorders>
          </w:tcPr>
          <w:p>
            <w:pPr>
              <w:spacing w:after="0"/>
              <w:rPr>
                <w:sz w:val="24"/>
                <w:szCs w:val="24"/>
                <w:color w:val="auto"/>
              </w:rPr>
            </w:pPr>
          </w:p>
        </w:tc>
        <w:tc>
          <w:tcPr>
            <w:tcW w:w="340" w:type="dxa"/>
            <w:vAlign w:val="bottom"/>
            <w:tcBorders>
              <w:top w:val="single" w:sz="8" w:color="0000EE"/>
              <w:bottom w:val="single" w:sz="8" w:color="40C0C0"/>
            </w:tcBorders>
          </w:tcPr>
          <w:p>
            <w:pPr>
              <w:spacing w:after="0"/>
              <w:rPr>
                <w:sz w:val="24"/>
                <w:szCs w:val="24"/>
                <w:color w:val="auto"/>
              </w:rPr>
            </w:pPr>
          </w:p>
        </w:tc>
        <w:tc>
          <w:tcPr>
            <w:tcW w:w="220" w:type="dxa"/>
            <w:vAlign w:val="bottom"/>
            <w:tcBorders>
              <w:top w:val="single" w:sz="8" w:color="0000EE"/>
              <w:bottom w:val="single" w:sz="8" w:color="40C0C0"/>
            </w:tcBorders>
          </w:tcPr>
          <w:p>
            <w:pPr>
              <w:spacing w:after="0"/>
              <w:rPr>
                <w:sz w:val="24"/>
                <w:szCs w:val="24"/>
                <w:color w:val="auto"/>
              </w:rPr>
            </w:pPr>
          </w:p>
        </w:tc>
        <w:tc>
          <w:tcPr>
            <w:tcW w:w="100" w:type="dxa"/>
            <w:vAlign w:val="bottom"/>
            <w:tcBorders>
              <w:top w:val="single" w:sz="8" w:color="0000EE"/>
              <w:bottom w:val="single" w:sz="8" w:color="40C0C0"/>
            </w:tcBorders>
          </w:tcPr>
          <w:p>
            <w:pPr>
              <w:spacing w:after="0"/>
              <w:rPr>
                <w:sz w:val="24"/>
                <w:szCs w:val="24"/>
                <w:color w:val="auto"/>
              </w:rPr>
            </w:pPr>
          </w:p>
        </w:tc>
        <w:tc>
          <w:tcPr>
            <w:tcW w:w="40" w:type="dxa"/>
            <w:vAlign w:val="bottom"/>
            <w:tcBorders>
              <w:top w:val="single" w:sz="8" w:color="0000EE"/>
              <w:bottom w:val="single" w:sz="8" w:color="40C0C0"/>
            </w:tcBorders>
          </w:tcPr>
          <w:p>
            <w:pPr>
              <w:spacing w:after="0"/>
              <w:rPr>
                <w:sz w:val="24"/>
                <w:szCs w:val="24"/>
                <w:color w:val="auto"/>
              </w:rPr>
            </w:pPr>
          </w:p>
        </w:tc>
        <w:tc>
          <w:tcPr>
            <w:tcW w:w="40" w:type="dxa"/>
            <w:vAlign w:val="bottom"/>
            <w:tcBorders>
              <w:top w:val="single" w:sz="8" w:color="0000EE"/>
              <w:bottom w:val="single" w:sz="8" w:color="40C0C0"/>
            </w:tcBorders>
          </w:tcPr>
          <w:p>
            <w:pPr>
              <w:spacing w:after="0"/>
              <w:rPr>
                <w:sz w:val="24"/>
                <w:szCs w:val="24"/>
                <w:color w:val="auto"/>
              </w:rPr>
            </w:pPr>
          </w:p>
        </w:tc>
        <w:tc>
          <w:tcPr>
            <w:tcW w:w="200" w:type="dxa"/>
            <w:vAlign w:val="bottom"/>
            <w:tcBorders>
              <w:top w:val="single" w:sz="8" w:color="0000EE"/>
              <w:bottom w:val="single" w:sz="8" w:color="40C0C0"/>
            </w:tcBorders>
          </w:tcPr>
          <w:p>
            <w:pPr>
              <w:spacing w:after="0"/>
              <w:rPr>
                <w:sz w:val="24"/>
                <w:szCs w:val="24"/>
                <w:color w:val="auto"/>
              </w:rPr>
            </w:pPr>
          </w:p>
        </w:tc>
        <w:tc>
          <w:tcPr>
            <w:tcW w:w="60" w:type="dxa"/>
            <w:vAlign w:val="bottom"/>
            <w:tcBorders>
              <w:top w:val="single" w:sz="8" w:color="0000EE"/>
              <w:bottom w:val="single" w:sz="8" w:color="40C0C0"/>
            </w:tcBorders>
          </w:tcPr>
          <w:p>
            <w:pPr>
              <w:spacing w:after="0"/>
              <w:rPr>
                <w:sz w:val="24"/>
                <w:szCs w:val="24"/>
                <w:color w:val="auto"/>
              </w:rPr>
            </w:pPr>
          </w:p>
        </w:tc>
        <w:tc>
          <w:tcPr>
            <w:tcW w:w="420" w:type="dxa"/>
            <w:vAlign w:val="bottom"/>
            <w:tcBorders>
              <w:top w:val="single" w:sz="8" w:color="0000EE"/>
              <w:bottom w:val="single" w:sz="8" w:color="40C0C0"/>
            </w:tcBorders>
          </w:tcPr>
          <w:p>
            <w:pPr>
              <w:spacing w:after="0"/>
              <w:rPr>
                <w:sz w:val="24"/>
                <w:szCs w:val="24"/>
                <w:color w:val="auto"/>
              </w:rPr>
            </w:pPr>
          </w:p>
        </w:tc>
        <w:tc>
          <w:tcPr>
            <w:tcW w:w="120" w:type="dxa"/>
            <w:vAlign w:val="bottom"/>
            <w:tcBorders>
              <w:top w:val="single" w:sz="8" w:color="0000EE"/>
              <w:bottom w:val="single" w:sz="8" w:color="40C0C0"/>
            </w:tcBorders>
          </w:tcPr>
          <w:p>
            <w:pPr>
              <w:spacing w:after="0"/>
              <w:rPr>
                <w:sz w:val="24"/>
                <w:szCs w:val="24"/>
                <w:color w:val="auto"/>
              </w:rPr>
            </w:pPr>
          </w:p>
        </w:tc>
        <w:tc>
          <w:tcPr>
            <w:tcW w:w="40" w:type="dxa"/>
            <w:vAlign w:val="bottom"/>
            <w:tcBorders>
              <w:bottom w:val="single" w:sz="8" w:color="40C0C0"/>
            </w:tcBorders>
          </w:tcPr>
          <w:p>
            <w:pPr>
              <w:spacing w:after="0"/>
              <w:rPr>
                <w:sz w:val="24"/>
                <w:szCs w:val="24"/>
                <w:color w:val="auto"/>
              </w:rPr>
            </w:pPr>
          </w:p>
        </w:tc>
        <w:tc>
          <w:tcPr>
            <w:tcW w:w="320" w:type="dxa"/>
            <w:vAlign w:val="bottom"/>
            <w:tcBorders>
              <w:bottom w:val="single" w:sz="8" w:color="40C0C0"/>
            </w:tcBorders>
          </w:tcPr>
          <w:p>
            <w:pPr>
              <w:spacing w:after="0"/>
              <w:rPr>
                <w:sz w:val="24"/>
                <w:szCs w:val="24"/>
                <w:color w:val="auto"/>
              </w:rPr>
            </w:pPr>
          </w:p>
        </w:tc>
        <w:tc>
          <w:tcPr>
            <w:tcW w:w="120" w:type="dxa"/>
            <w:vAlign w:val="bottom"/>
            <w:tcBorders>
              <w:bottom w:val="single" w:sz="8" w:color="40C0C0"/>
            </w:tcBorders>
          </w:tcPr>
          <w:p>
            <w:pPr>
              <w:spacing w:after="0"/>
              <w:rPr>
                <w:sz w:val="24"/>
                <w:szCs w:val="24"/>
                <w:color w:val="auto"/>
              </w:rPr>
            </w:pPr>
          </w:p>
        </w:tc>
        <w:tc>
          <w:tcPr>
            <w:tcW w:w="40" w:type="dxa"/>
            <w:vAlign w:val="bottom"/>
            <w:tcBorders>
              <w:bottom w:val="single" w:sz="8" w:color="40C0C0"/>
            </w:tcBorders>
          </w:tcPr>
          <w:p>
            <w:pPr>
              <w:spacing w:after="0"/>
              <w:rPr>
                <w:sz w:val="24"/>
                <w:szCs w:val="24"/>
                <w:color w:val="auto"/>
              </w:rPr>
            </w:pPr>
          </w:p>
        </w:tc>
        <w:tc>
          <w:tcPr>
            <w:tcW w:w="1000" w:type="dxa"/>
            <w:vAlign w:val="bottom"/>
            <w:tcBorders>
              <w:bottom w:val="single" w:sz="8" w:color="40C0C0"/>
            </w:tcBorders>
          </w:tcPr>
          <w:p>
            <w:pPr>
              <w:spacing w:after="0"/>
              <w:rPr>
                <w:sz w:val="24"/>
                <w:szCs w:val="24"/>
                <w:color w:val="auto"/>
              </w:rPr>
            </w:pPr>
          </w:p>
        </w:tc>
        <w:tc>
          <w:tcPr>
            <w:tcW w:w="20" w:type="dxa"/>
            <w:vAlign w:val="bottom"/>
            <w:tcBorders>
              <w:bottom w:val="single" w:sz="8" w:color="40C0C0"/>
            </w:tcBorders>
          </w:tcPr>
          <w:p>
            <w:pPr>
              <w:spacing w:after="0"/>
              <w:rPr>
                <w:sz w:val="24"/>
                <w:szCs w:val="24"/>
                <w:color w:val="auto"/>
              </w:rPr>
            </w:pPr>
          </w:p>
        </w:tc>
        <w:tc>
          <w:tcPr>
            <w:tcW w:w="60" w:type="dxa"/>
            <w:vAlign w:val="bottom"/>
            <w:tcBorders>
              <w:top w:val="single" w:sz="8" w:color="0000EE"/>
              <w:bottom w:val="single" w:sz="8" w:color="40C0C0"/>
            </w:tcBorders>
          </w:tcPr>
          <w:p>
            <w:pPr>
              <w:spacing w:after="0"/>
              <w:rPr>
                <w:sz w:val="24"/>
                <w:szCs w:val="24"/>
                <w:color w:val="auto"/>
              </w:rPr>
            </w:pPr>
          </w:p>
        </w:tc>
        <w:tc>
          <w:tcPr>
            <w:tcW w:w="100" w:type="dxa"/>
            <w:vAlign w:val="bottom"/>
            <w:tcBorders>
              <w:top w:val="single" w:sz="8" w:color="0000EE"/>
              <w:bottom w:val="single" w:sz="8" w:color="40C0C0"/>
            </w:tcBorders>
          </w:tcPr>
          <w:p>
            <w:pPr>
              <w:spacing w:after="0"/>
              <w:rPr>
                <w:sz w:val="24"/>
                <w:szCs w:val="24"/>
                <w:color w:val="auto"/>
              </w:rPr>
            </w:pPr>
          </w:p>
        </w:tc>
        <w:tc>
          <w:tcPr>
            <w:tcW w:w="80" w:type="dxa"/>
            <w:vAlign w:val="bottom"/>
            <w:tcBorders>
              <w:top w:val="single" w:sz="8" w:color="0000EE"/>
              <w:bottom w:val="single" w:sz="8" w:color="40C0C0"/>
            </w:tcBorders>
          </w:tcPr>
          <w:p>
            <w:pPr>
              <w:spacing w:after="0"/>
              <w:rPr>
                <w:sz w:val="24"/>
                <w:szCs w:val="24"/>
                <w:color w:val="auto"/>
              </w:rPr>
            </w:pPr>
          </w:p>
        </w:tc>
        <w:tc>
          <w:tcPr>
            <w:tcW w:w="80" w:type="dxa"/>
            <w:vAlign w:val="bottom"/>
            <w:tcBorders>
              <w:bottom w:val="single" w:sz="8" w:color="40C0C0"/>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7" w:lineRule="exact"/>
        <w:rPr>
          <w:sz w:val="20"/>
          <w:szCs w:val="20"/>
          <w:color w:val="auto"/>
        </w:rPr>
      </w:pPr>
    </w:p>
    <w:p>
      <w:pPr>
        <w:ind w:left="2400"/>
        <w:spacing w:after="0"/>
        <w:rPr>
          <w:sz w:val="20"/>
          <w:szCs w:val="20"/>
          <w:color w:val="auto"/>
        </w:rPr>
      </w:pPr>
      <w:r>
        <w:rPr>
          <w:rFonts w:ascii="Arial" w:cs="Arial" w:eastAsia="Arial" w:hAnsi="Arial"/>
          <w:sz w:val="56"/>
          <w:szCs w:val="56"/>
          <w:color w:val="auto"/>
        </w:rPr>
        <w:t>WM Technology, Inc.</w:t>
      </w:r>
    </w:p>
    <w:p>
      <w:pPr>
        <w:spacing w:after="0" w:line="76" w:lineRule="exact"/>
        <w:rPr>
          <w:sz w:val="20"/>
          <w:szCs w:val="20"/>
          <w:color w:val="auto"/>
        </w:rPr>
      </w:pPr>
    </w:p>
    <w:p>
      <w:pPr>
        <w:ind w:left="2400"/>
        <w:spacing w:after="0"/>
        <w:rPr>
          <w:sz w:val="20"/>
          <w:szCs w:val="20"/>
          <w:color w:val="auto"/>
        </w:rPr>
      </w:pPr>
      <w:r>
        <w:rPr>
          <w:rFonts w:ascii="Arial" w:cs="Arial" w:eastAsia="Arial" w:hAnsi="Arial"/>
          <w:sz w:val="58"/>
          <w:szCs w:val="58"/>
          <w:color w:val="auto"/>
        </w:rPr>
        <w:t>Proxy Statement</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line="237" w:lineRule="auto"/>
        <w:rPr>
          <w:sz w:val="20"/>
          <w:szCs w:val="20"/>
          <w:color w:val="auto"/>
        </w:rPr>
      </w:pPr>
      <w:r>
        <w:rPr>
          <w:rFonts w:ascii="Arial" w:cs="Arial" w:eastAsia="Arial" w:hAnsi="Arial"/>
          <w:sz w:val="22"/>
          <w:szCs w:val="22"/>
          <w:b w:val="1"/>
          <w:bCs w:val="1"/>
          <w:color w:val="auto"/>
        </w:rPr>
        <w:t>For the 2024 Annual Meeting of Stockholders to be Held at 10:00 a.m. Pacific Time on Wednesday, July 24,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We have sent you these proxy materials because the Board of Directors of WM Technology, Inc. (the “Board”) is soliciting your proxy to vote at the 2024 Annual Meeting of Stockholders (the “Annual Meeting”), including at any adjournments or postponements thereof, to be held via a live audio webcast on Wednesday, July 24, 2024 at 10:00 a.m. Pacific Time. The Annual Meeting can be accessed by visiting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xml:space="preserve"> where you will be able to listen to the meeting live, submit questions and vote online.</w:t>
      </w:r>
    </w:p>
    <w:p>
      <w:pPr>
        <w:spacing w:after="0" w:line="1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You are invited to attend the Annual Meeting to vote on the proposals described in this proxy statement (the “Proxy Statement”). However, you do not need to attend the Annual Meeting to vote your shares. Instead, you may simply follow the instructions below to submit your proxy. The proxy materials, including this Proxy Statement and our 2023 Annual Report, are being distributed and made available on or about Monday, June 10, 2024. As used in this Proxy Statement, references to “we,” “us,” “our,” “WM Technology” and the “Company” refer to WM Technology, Inc. and its subsidiaries.</w:t>
      </w:r>
    </w:p>
    <w:p>
      <w:pPr>
        <w:spacing w:after="0" w:line="11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Information contained on, or that can be accessed through, our website is not incorporated by reference into this Proxy Statement and references to our website address in this Proxy Statement are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186055</wp:posOffset>
            </wp:positionV>
            <wp:extent cx="5966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00"/>
            <w:col w:w="7000"/>
          </w:cols>
          <w:pgMar w:left="1240" w:top="114" w:right="1259" w:bottom="1440" w:gutter="0" w:footer="0" w:header="0"/>
          <w:type w:val="continuous"/>
        </w:sectPr>
      </w:pPr>
    </w:p>
    <w:p>
      <w:pPr>
        <w:spacing w:after="0" w:line="359"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7" w:lineRule="exact"/>
        <w:rPr>
          <w:sz w:val="20"/>
          <w:szCs w:val="20"/>
          <w:color w:val="auto"/>
        </w:rPr>
      </w:pPr>
    </w:p>
    <w:p>
      <w:pPr>
        <w:ind w:left="2400" w:right="900"/>
        <w:spacing w:after="0" w:line="262" w:lineRule="auto"/>
        <w:rPr>
          <w:sz w:val="20"/>
          <w:szCs w:val="20"/>
          <w:color w:val="auto"/>
        </w:rPr>
      </w:pPr>
      <w:r>
        <w:rPr>
          <w:rFonts w:ascii="Arial" w:cs="Arial" w:eastAsia="Arial" w:hAnsi="Arial"/>
          <w:sz w:val="57"/>
          <w:szCs w:val="57"/>
          <w:color w:val="auto"/>
        </w:rPr>
        <w:t>Questions and Answers About These Proxy Materials and Voting</w:t>
      </w:r>
    </w:p>
    <w:p>
      <w:pPr>
        <w:sectPr>
          <w:pgSz w:w="11900" w:h="16838" w:orient="portrait"/>
          <w:cols w:equalWidth="0" w:num="1">
            <w:col w:w="9380"/>
          </w:cols>
          <w:pgMar w:left="1240" w:top="114" w:right="127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line="241" w:lineRule="auto"/>
        <w:rPr>
          <w:sz w:val="20"/>
          <w:szCs w:val="20"/>
          <w:color w:val="auto"/>
        </w:rPr>
      </w:pPr>
      <w:r>
        <w:rPr>
          <w:rFonts w:ascii="Arial" w:cs="Arial" w:eastAsia="Arial" w:hAnsi="Arial"/>
          <w:sz w:val="22"/>
          <w:szCs w:val="22"/>
          <w:b w:val="1"/>
          <w:bCs w:val="1"/>
          <w:color w:val="auto"/>
        </w:rPr>
        <w:t>Why did I receive a notice regarding the availability of proxy materials on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spacing w:after="0" w:line="269" w:lineRule="auto"/>
        <w:rPr>
          <w:sz w:val="20"/>
          <w:szCs w:val="20"/>
          <w:color w:val="auto"/>
        </w:rPr>
      </w:pPr>
      <w:r>
        <w:rPr>
          <w:rFonts w:ascii="Arial" w:cs="Arial" w:eastAsia="Arial" w:hAnsi="Arial"/>
          <w:sz w:val="21"/>
          <w:szCs w:val="21"/>
          <w:b w:val="1"/>
          <w:bCs w:val="1"/>
          <w:color w:val="auto"/>
        </w:rPr>
        <w:t>Will I receive any other proxy materials by mail?</w:t>
      </w:r>
    </w:p>
    <w:p>
      <w:pPr>
        <w:spacing w:after="0" w:line="200" w:lineRule="exact"/>
        <w:rPr>
          <w:sz w:val="20"/>
          <w:szCs w:val="20"/>
          <w:color w:val="auto"/>
        </w:rPr>
      </w:pPr>
    </w:p>
    <w:p>
      <w:pPr>
        <w:spacing w:after="0" w:line="257" w:lineRule="exact"/>
        <w:rPr>
          <w:sz w:val="20"/>
          <w:szCs w:val="20"/>
          <w:color w:val="auto"/>
        </w:rPr>
      </w:pPr>
    </w:p>
    <w:p>
      <w:pPr>
        <w:ind w:right="80"/>
        <w:spacing w:after="0" w:line="297" w:lineRule="auto"/>
        <w:rPr>
          <w:sz w:val="20"/>
          <w:szCs w:val="20"/>
          <w:color w:val="auto"/>
        </w:rPr>
      </w:pPr>
      <w:r>
        <w:rPr>
          <w:rFonts w:ascii="Arial" w:cs="Arial" w:eastAsia="Arial" w:hAnsi="Arial"/>
          <w:sz w:val="21"/>
          <w:szCs w:val="21"/>
          <w:b w:val="1"/>
          <w:bCs w:val="1"/>
          <w:color w:val="auto"/>
        </w:rPr>
        <w:t>How do I attend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provided some of our stockholders, including stockholders who have previously requested to receive paper copies of the proxy materials,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p>
    <w:p>
      <w:pPr>
        <w:spacing w:after="0" w:line="13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intend to mail the Notice on or about Monday, June 10, 2024 to all stockholders of record entitled to vote at the annual meeting.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We may send you a proxy card, along with a second Notice, on or after Thursday, June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The Annual Meeting will be held through a live audio webcast at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xml:space="preserve"> . You are entitled to attend the Annual Meeting if you were a stockholder of record as of the close of business on Tuesday, May 28, 2024. If you attend the Annual Meeting online, you will be able to vote and submit questions at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xml:space="preserve">. To be admitted to the Annual Meeting, you will need to visit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xml:space="preserve"> and enter the 16-digit Control Number found next to the label “Control Number” on your Notice, proxy card or in the email sending you the Proxy Statement. If you are a beneficial owner, you should contact the bank, broker or other institution where you hold your account well in advance of the meeting if you have questions about obtaining your Control Number.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Whether or not you participate in the Annual Meeting, it is important that you vote your shares.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encourage you to access the Annual Meeting prior to the designated start time. Online check-in will begin at 9:45 a.m. Pacific Time, and you should allow reasonable time for the check-in procedures. Participation in the Annual Meeting is limited due to the capacity of the host platform and access to the meeting will be accepted on a first come, first served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198755</wp:posOffset>
            </wp:positionV>
            <wp:extent cx="5966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20"/>
            <w:col w:w="6980"/>
          </w:cols>
          <w:pgMar w:left="1240" w:top="114" w:right="1279" w:bottom="1440" w:gutter="0" w:footer="0" w:header="0"/>
          <w:type w:val="continuous"/>
        </w:sectPr>
      </w:pPr>
    </w:p>
    <w:p>
      <w:pPr>
        <w:spacing w:after="0" w:line="379"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What if I cannot find my Control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b w:val="1"/>
          <w:bCs w:val="1"/>
          <w:color w:val="auto"/>
        </w:rPr>
        <w:t>Where can I get technical assistance?</w:t>
      </w:r>
    </w:p>
    <w:p>
      <w:pPr>
        <w:spacing w:after="0" w:line="200" w:lineRule="exact"/>
        <w:rPr>
          <w:sz w:val="20"/>
          <w:szCs w:val="20"/>
          <w:color w:val="auto"/>
        </w:rPr>
      </w:pPr>
    </w:p>
    <w:p>
      <w:pPr>
        <w:spacing w:after="0" w:line="275" w:lineRule="exact"/>
        <w:rPr>
          <w:sz w:val="20"/>
          <w:szCs w:val="20"/>
          <w:color w:val="auto"/>
        </w:rPr>
      </w:pPr>
    </w:p>
    <w:p>
      <w:pPr>
        <w:spacing w:after="0" w:line="241" w:lineRule="auto"/>
        <w:rPr>
          <w:sz w:val="20"/>
          <w:szCs w:val="20"/>
          <w:color w:val="auto"/>
        </w:rPr>
      </w:pPr>
      <w:r>
        <w:rPr>
          <w:rFonts w:ascii="Arial" w:cs="Arial" w:eastAsia="Arial" w:hAnsi="Arial"/>
          <w:sz w:val="22"/>
          <w:szCs w:val="22"/>
          <w:b w:val="1"/>
          <w:bCs w:val="1"/>
          <w:color w:val="auto"/>
        </w:rPr>
        <w:t>For the Annual Meeting, how do I ask questions of management and the Board?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Please note that if you do not have your Control Number and you are a registered stockholder, you will still be able to login as a guest. To view the meeting webcast visit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xml:space="preserve"> and register as a guest. However, if you login as a guest, you will not be able to vote your shares or ask questions during the meeting.</w:t>
      </w:r>
    </w:p>
    <w:p>
      <w:pPr>
        <w:spacing w:after="0" w:line="137"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00" w:lineRule="exact"/>
        <w:rPr>
          <w:sz w:val="20"/>
          <w:szCs w:val="20"/>
          <w:color w:val="auto"/>
        </w:rPr>
      </w:pPr>
    </w:p>
    <w:p>
      <w:pPr>
        <w:spacing w:after="0" w:line="295"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If you encounter any difficulties accessing the Annual Meeting during the check-in or meeting time, please call the technical support number that will be posted on the Annual Meeting log-in page.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We plan to have a Q&amp;A session at the Annual Meeting. Questions may be submitted prior to the Annual Meeting through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During the live Q&amp;A session of the Annual Meeting, we may answer questions as they come in to the extent relevant to the business of the Annual Meeting and as time permits. Questions that are not relevant to the proposals to be voted on at the Annual Meeting will not be responded to.</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We plan to address stockholder Q&amp;A at the Annual Meeting and will include as many stockholder questions as the allotted time permits. Stockholders may submit questions relevant to the business of the Annual Meeting in advance of the Annual Meeting. If you are a stockholder, you may submit a question in advance of the Annual Meeting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after logging in with your Control Number. Questions may be submitted prior to the Annual Meeting through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160" w:space="240"/>
            <w:col w:w="6960"/>
          </w:cols>
          <w:pgMar w:left="1240" w:top="114" w:right="1299" w:bottom="1440" w:gutter="0" w:footer="0" w:header="0"/>
        </w:sectPr>
      </w:pPr>
    </w:p>
    <w:p>
      <w:pPr>
        <w:spacing w:after="0" w:line="291"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b w:val="1"/>
          <w:bCs w:val="1"/>
          <w:color w:val="auto"/>
        </w:rPr>
        <w:t>If I miss the annual meeting, will there be a copy posted online?</w:t>
      </w:r>
    </w:p>
    <w:p>
      <w:pPr>
        <w:spacing w:after="0" w:line="200" w:lineRule="exact"/>
        <w:rPr>
          <w:sz w:val="20"/>
          <w:szCs w:val="20"/>
          <w:color w:val="auto"/>
        </w:rPr>
      </w:pPr>
    </w:p>
    <w:p>
      <w:pPr>
        <w:spacing w:after="0" w:line="266"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Who can vote at the Annual Meeting?</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2440"/>
        <w:spacing w:after="0" w:line="286" w:lineRule="auto"/>
        <w:rPr>
          <w:sz w:val="20"/>
          <w:szCs w:val="20"/>
          <w:color w:val="auto"/>
        </w:rPr>
      </w:pPr>
      <w:r>
        <w:rPr>
          <w:rFonts w:ascii="Arial" w:cs="Arial" w:eastAsia="Arial" w:hAnsi="Arial"/>
          <w:sz w:val="16"/>
          <w:szCs w:val="16"/>
          <w:color w:val="auto"/>
        </w:rPr>
        <w:t xml:space="preserve">Yes, a replay of the annual meeting webcast will be available at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Only stockholders of record at the close of business on Tuesday, May 28, 2024 will be entitled to vote at the Annual Meeting. On this record date, there were 95,051,735 shares of Class A Common Stock of the Company (the “Class A Common Stock”) and 55,486,361 shares of Class V Common Stock (the “Class V Common Stock”, and together with the Class A Common Stock, the “Common Stock”) outstanding and entitled to vote.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If on Tuesday, May 28, 2024, your shares were registered directly in your name with the Company’s transfer agent, Continental Stock Transfer &amp; Trust Company, then you are a stockholder of record. If you are a stockholder of record, you may vote your shares at the Annual Meeting by following the instructions provided on the Notice to log in to </w:t>
      </w:r>
      <w:r>
        <w:rPr>
          <w:rFonts w:ascii="Arial" w:cs="Arial" w:eastAsia="Arial" w:hAnsi="Arial"/>
          <w:sz w:val="16"/>
          <w:szCs w:val="16"/>
          <w:u w:val="single" w:color="auto"/>
          <w:color w:val="auto"/>
        </w:rPr>
        <w:t>www.proxyvote.com</w:t>
      </w:r>
      <w:r>
        <w:rPr>
          <w:rFonts w:ascii="Arial" w:cs="Arial" w:eastAsia="Arial" w:hAnsi="Arial"/>
          <w:sz w:val="16"/>
          <w:szCs w:val="16"/>
          <w:color w:val="auto"/>
        </w:rPr>
        <w:t>. You will be asked to provide the Control Number from your Notice. Whether or not you plan to attend the Annual Meeting, we urge you to vote by proxy to ensure your vote is counted. You may still attend and vote at the Annual Meeting even if you have already voted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201295</wp:posOffset>
            </wp:positionV>
            <wp:extent cx="596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360"/>
            <w:col w:w="6960"/>
          </w:cols>
          <w:pgMar w:left="1240" w:top="114" w:right="1299" w:bottom="1440" w:gutter="0" w:footer="0" w:header="0"/>
          <w:type w:val="continuous"/>
        </w:sectPr>
      </w:pPr>
    </w:p>
    <w:p>
      <w:pPr>
        <w:spacing w:after="0" w:line="382"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b w:val="1"/>
          <w:bCs w:val="1"/>
          <w:color w:val="auto"/>
        </w:rPr>
        <w:t>What matters am I voting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44" w:lineRule="auto"/>
        <w:rPr>
          <w:sz w:val="20"/>
          <w:szCs w:val="20"/>
          <w:color w:val="auto"/>
        </w:rPr>
      </w:pPr>
      <w:r>
        <w:rPr>
          <w:rFonts w:ascii="Arial" w:cs="Arial" w:eastAsia="Arial" w:hAnsi="Arial"/>
          <w:sz w:val="22"/>
          <w:szCs w:val="22"/>
          <w:b w:val="1"/>
          <w:bCs w:val="1"/>
          <w:color w:val="auto"/>
        </w:rPr>
        <w:t>What if another matter is properly brought before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179"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auto"/>
        </w:rPr>
        <w:t>If on Tuesday, May 28, 2024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There are three matters scheduled for a vote:</w:t>
      </w:r>
    </w:p>
    <w:p>
      <w:pPr>
        <w:spacing w:after="0" w:line="181" w:lineRule="exact"/>
        <w:rPr>
          <w:sz w:val="20"/>
          <w:szCs w:val="20"/>
          <w:color w:val="auto"/>
        </w:rPr>
      </w:pPr>
    </w:p>
    <w:p>
      <w:pPr>
        <w:ind w:left="505" w:right="20" w:hanging="505"/>
        <w:spacing w:after="0" w:line="259" w:lineRule="auto"/>
        <w:tabs>
          <w:tab w:leader="none" w:pos="86" w:val="left"/>
        </w:tabs>
        <w:numPr>
          <w:ilvl w:val="0"/>
          <w:numId w:val="3"/>
        </w:numPr>
        <w:rPr>
          <w:rFonts w:ascii="Arial" w:cs="Arial" w:eastAsia="Arial" w:hAnsi="Arial"/>
          <w:sz w:val="16"/>
          <w:szCs w:val="16"/>
          <w:color w:val="auto"/>
        </w:rPr>
      </w:pPr>
      <w:r>
        <w:rPr>
          <w:rFonts w:ascii="Arial" w:cs="Arial" w:eastAsia="Arial" w:hAnsi="Arial"/>
          <w:sz w:val="16"/>
          <w:szCs w:val="16"/>
          <w:color w:val="auto"/>
        </w:rPr>
        <w:t>    •     To elect the two nominees for Class III directors named in the accompanying Proxy Statement, each to serve until the 2027 annual meeting of stockholders or until their successors are duly elected and qualified or until the director’s earlier death, resignation or removal (“Proposal 1”);</w:t>
      </w:r>
    </w:p>
    <w:p>
      <w:pPr>
        <w:spacing w:after="0" w:line="29" w:lineRule="exact"/>
        <w:rPr>
          <w:rFonts w:ascii="Arial" w:cs="Arial" w:eastAsia="Arial" w:hAnsi="Arial"/>
          <w:sz w:val="16"/>
          <w:szCs w:val="16"/>
          <w:color w:val="auto"/>
        </w:rPr>
      </w:pPr>
    </w:p>
    <w:p>
      <w:pPr>
        <w:ind w:left="505" w:right="80" w:hanging="505"/>
        <w:spacing w:after="0" w:line="259" w:lineRule="auto"/>
        <w:tabs>
          <w:tab w:leader="none" w:pos="86" w:val="left"/>
        </w:tabs>
        <w:numPr>
          <w:ilvl w:val="0"/>
          <w:numId w:val="3"/>
        </w:numPr>
        <w:rPr>
          <w:rFonts w:ascii="Arial" w:cs="Arial" w:eastAsia="Arial" w:hAnsi="Arial"/>
          <w:sz w:val="16"/>
          <w:szCs w:val="16"/>
          <w:color w:val="auto"/>
        </w:rPr>
      </w:pPr>
      <w:r>
        <w:rPr>
          <w:rFonts w:ascii="Arial" w:cs="Arial" w:eastAsia="Arial" w:hAnsi="Arial"/>
          <w:sz w:val="16"/>
          <w:szCs w:val="16"/>
          <w:color w:val="auto"/>
        </w:rPr>
        <w:t>    •     To approve, on a non-binding advisory basis, the compensation of our principal executive officer and our two most highly compensated executive officers (other than our principal executive officer) who were serving as our executive officers at the end of the year ending December 31, 2023 (the “Named Executive Officers”) (“Proposal 2”); and</w:t>
      </w:r>
    </w:p>
    <w:p>
      <w:pPr>
        <w:spacing w:after="0" w:line="42" w:lineRule="exact"/>
        <w:rPr>
          <w:rFonts w:ascii="Arial" w:cs="Arial" w:eastAsia="Arial" w:hAnsi="Arial"/>
          <w:sz w:val="16"/>
          <w:szCs w:val="16"/>
          <w:color w:val="auto"/>
        </w:rPr>
      </w:pPr>
    </w:p>
    <w:p>
      <w:pPr>
        <w:ind w:left="505" w:right="40" w:hanging="505"/>
        <w:spacing w:after="0" w:line="266" w:lineRule="auto"/>
        <w:tabs>
          <w:tab w:leader="none" w:pos="86" w:val="left"/>
        </w:tabs>
        <w:numPr>
          <w:ilvl w:val="0"/>
          <w:numId w:val="3"/>
        </w:numPr>
        <w:rPr>
          <w:rFonts w:ascii="Arial" w:cs="Arial" w:eastAsia="Arial" w:hAnsi="Arial"/>
          <w:sz w:val="16"/>
          <w:szCs w:val="16"/>
          <w:color w:val="auto"/>
        </w:rPr>
      </w:pPr>
      <w:r>
        <w:rPr>
          <w:rFonts w:ascii="Arial" w:cs="Arial" w:eastAsia="Arial" w:hAnsi="Arial"/>
          <w:sz w:val="16"/>
          <w:szCs w:val="16"/>
          <w:color w:val="auto"/>
        </w:rPr>
        <w:t>    •     To ratify the selection by the audit committee of the Board (the “Audit Committee”) of Moss Adams LLP (“Moss Adams”) as our independent registered public accounting firm for the year ending December 31, 2024 (“Proposal 3”).</w:t>
      </w:r>
    </w:p>
    <w:p>
      <w:pPr>
        <w:spacing w:after="0" w:line="200" w:lineRule="exact"/>
        <w:rPr>
          <w:sz w:val="20"/>
          <w:szCs w:val="20"/>
          <w:color w:val="auto"/>
        </w:rPr>
      </w:pPr>
    </w:p>
    <w:p>
      <w:pPr>
        <w:spacing w:after="0" w:line="295" w:lineRule="exact"/>
        <w:rPr>
          <w:sz w:val="20"/>
          <w:szCs w:val="20"/>
          <w:color w:val="auto"/>
        </w:rPr>
      </w:pPr>
    </w:p>
    <w:p>
      <w:pPr>
        <w:ind w:left="5" w:right="100"/>
        <w:spacing w:after="0" w:line="266" w:lineRule="auto"/>
        <w:rPr>
          <w:sz w:val="20"/>
          <w:szCs w:val="20"/>
          <w:color w:val="auto"/>
        </w:rPr>
      </w:pPr>
      <w:r>
        <w:rPr>
          <w:rFonts w:ascii="Arial" w:cs="Arial" w:eastAsia="Arial" w:hAnsi="Arial"/>
          <w:sz w:val="16"/>
          <w:szCs w:val="16"/>
          <w:color w:val="auto"/>
        </w:rPr>
        <w:t>The Board does not know of any other matters to be brought before the Annual Meeting. If any other matters are properly brought before the meeting, it is the intention of the persons named in the accompanying proxy to vote on those matters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443230</wp:posOffset>
            </wp:positionV>
            <wp:extent cx="5966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1920" w:space="475"/>
            <w:col w:w="7005"/>
          </w:cols>
          <w:pgMar w:left="1240" w:top="114" w:right="1259" w:bottom="1440" w:gutter="0" w:footer="0" w:header="0"/>
        </w:sectPr>
      </w:pPr>
    </w:p>
    <w:p>
      <w:pPr>
        <w:spacing w:after="0" w:line="361"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do I vote?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5"/>
        <w:spacing w:after="0"/>
        <w:rPr>
          <w:sz w:val="20"/>
          <w:szCs w:val="20"/>
          <w:color w:val="auto"/>
        </w:rPr>
      </w:pPr>
      <w:r>
        <w:rPr>
          <w:rFonts w:ascii="Arial" w:cs="Arial" w:eastAsia="Arial" w:hAnsi="Arial"/>
          <w:sz w:val="16"/>
          <w:szCs w:val="16"/>
          <w:color w:val="auto"/>
        </w:rPr>
        <w:t>You may either vote “For” all the nominees to the Board or you may “Withhold” your vote for any</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6"/>
          <w:szCs w:val="16"/>
          <w:color w:val="auto"/>
        </w:rPr>
        <w:t>nominee you specify. For each of the other matters to be voted on, you may vote “For” or</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“Against” or abstain from voting.</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procedures for voting are fairly simple:</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Stockholder of Record: Shares Registered in Your Name</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right="120"/>
        <w:spacing w:after="0" w:line="256" w:lineRule="auto"/>
        <w:rPr>
          <w:sz w:val="20"/>
          <w:szCs w:val="20"/>
          <w:color w:val="auto"/>
        </w:rPr>
      </w:pPr>
      <w:r>
        <w:rPr>
          <w:rFonts w:ascii="Arial" w:cs="Arial" w:eastAsia="Arial" w:hAnsi="Arial"/>
          <w:sz w:val="16"/>
          <w:szCs w:val="16"/>
          <w:color w:val="auto"/>
        </w:rPr>
        <w:t>If you are a stockholder of record on Tuesday, May 28, 2024, you may vote online at the Annual Meeting, vote by proxy over the telephone, vote by proxy through the Internet or vote by proxy using a proxy card that you may request or that we may elect to deliver at a later time:</w:t>
      </w:r>
    </w:p>
    <w:p>
      <w:pPr>
        <w:spacing w:after="0" w:line="138" w:lineRule="exact"/>
        <w:rPr>
          <w:sz w:val="20"/>
          <w:szCs w:val="20"/>
          <w:color w:val="auto"/>
        </w:rPr>
      </w:pPr>
    </w:p>
    <w:p>
      <w:pPr>
        <w:ind w:left="505" w:right="260" w:hanging="505"/>
        <w:spacing w:after="0" w:line="259" w:lineRule="auto"/>
        <w:tabs>
          <w:tab w:leader="none" w:pos="8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    •     To vote online during the Annual Meeting, if you are a stockholder of record as of the record date, follow the instructions at </w:t>
      </w:r>
      <w:r>
        <w:rPr>
          <w:rFonts w:ascii="Arial" w:cs="Arial" w:eastAsia="Arial" w:hAnsi="Arial"/>
          <w:sz w:val="16"/>
          <w:szCs w:val="16"/>
          <w:u w:val="single" w:color="auto"/>
          <w:color w:val="auto"/>
        </w:rPr>
        <w:t>www.virtualshareholdermeeting.com/MAPS2024</w:t>
      </w:r>
      <w:r>
        <w:rPr>
          <w:rFonts w:ascii="Arial" w:cs="Arial" w:eastAsia="Arial" w:hAnsi="Arial"/>
          <w:sz w:val="16"/>
          <w:szCs w:val="16"/>
          <w:color w:val="auto"/>
        </w:rPr>
        <w:t>. You will need to enter the 16-digit Control Number found on your Notice of Internet Availability, or notice you receive or in the email sending you the Proxy Statement.</w:t>
      </w:r>
    </w:p>
    <w:p>
      <w:pPr>
        <w:spacing w:after="0" w:line="29" w:lineRule="exact"/>
        <w:rPr>
          <w:rFonts w:ascii="Arial" w:cs="Arial" w:eastAsia="Arial" w:hAnsi="Arial"/>
          <w:sz w:val="16"/>
          <w:szCs w:val="16"/>
          <w:color w:val="auto"/>
        </w:rPr>
      </w:pPr>
    </w:p>
    <w:p>
      <w:pPr>
        <w:ind w:left="505" w:right="180" w:hanging="505"/>
        <w:spacing w:after="0" w:line="266" w:lineRule="auto"/>
        <w:tabs>
          <w:tab w:leader="none" w:pos="8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    •     To vote prior to the Annual Meeting (until 11:59 p.m. Eastern Time on Tuesday, July 23, 2024), you may vote via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by telephone; or by completing and returning their proxy card or voting instruction form,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229235</wp:posOffset>
            </wp:positionV>
            <wp:extent cx="2482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285" cy="17145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229235</wp:posOffset>
            </wp:positionV>
            <wp:extent cx="163195"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248920"/>
                    </a:xfrm>
                    <a:prstGeom prst="rect">
                      <a:avLst/>
                    </a:prstGeom>
                    <a:noFill/>
                  </pic:spPr>
                </pic:pic>
              </a:graphicData>
            </a:graphic>
          </wp:anchor>
        </w:drawing>
        <w:drawing>
          <wp:anchor simplePos="0" relativeHeight="251657728" behindDoc="1" locked="0" layoutInCell="0" allowOverlap="1">
            <wp:simplePos x="0" y="0"/>
            <wp:positionH relativeFrom="column">
              <wp:posOffset>3120390</wp:posOffset>
            </wp:positionH>
            <wp:positionV relativeFrom="paragraph">
              <wp:posOffset>229235</wp:posOffset>
            </wp:positionV>
            <wp:extent cx="214630"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630" cy="2317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75" w:space="720"/>
            <w:col w:w="6965"/>
          </w:cols>
          <w:pgMar w:left="124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auto"/>
        </w:rPr>
        <w:t>By Mail</w:t>
      </w:r>
    </w:p>
    <w:p>
      <w:pPr>
        <w:spacing w:after="0" w:line="27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To vote using the proxy card</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that may have been</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delivered to you, simply</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complete, sign and date the</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proxy card and return it</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promptly in the envelope</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provided. If you return your</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signed proxy card to us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before the Annual Meeting,</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we will vote your shares as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you direct.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Telephone</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vote over the telephone, dial toll-free 1-800-690-6903 using a touch-tone phone and follow the recorded instructions. You will be asked to provide the Control Number from the Notice. Your vote must be received by 11:59 p.m. Eastern Time on Tuesday, July 23, 2024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Internet</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To vote through the internet, go to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follow the instructions to submit your vote on an electronic proxy card. You will be asked to provide the company number and Control Number from your Notice. Your vote must be received by 11:59 p.m. Eastern Time on Tuesday, July 23, 2024 to be counted.</w:t>
      </w:r>
    </w:p>
    <w:p>
      <w:pPr>
        <w:spacing w:after="0" w:line="200" w:lineRule="exact"/>
        <w:rPr>
          <w:sz w:val="20"/>
          <w:szCs w:val="20"/>
          <w:color w:val="auto"/>
        </w:rPr>
      </w:pPr>
    </w:p>
    <w:p>
      <w:pPr>
        <w:sectPr>
          <w:pgSz w:w="11900" w:h="16838" w:orient="portrait"/>
          <w:cols w:equalWidth="0" w:num="3">
            <w:col w:w="4440" w:space="420"/>
            <w:col w:w="2060" w:space="380"/>
            <w:col w:w="2060"/>
          </w:cols>
          <w:pgMar w:left="1240" w:top="114" w:right="1299" w:bottom="1440" w:gutter="0" w:footer="0" w:header="0"/>
          <w:type w:val="continuous"/>
        </w:sectPr>
      </w:pPr>
    </w:p>
    <w:p>
      <w:pPr>
        <w:spacing w:after="0" w:line="229" w:lineRule="exact"/>
        <w:rPr>
          <w:sz w:val="20"/>
          <w:szCs w:val="20"/>
          <w:color w:val="auto"/>
        </w:rPr>
      </w:pPr>
    </w:p>
    <w:p>
      <w:pPr>
        <w:ind w:left="2400"/>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192" w:lineRule="exact"/>
        <w:rPr>
          <w:sz w:val="20"/>
          <w:szCs w:val="20"/>
          <w:color w:val="auto"/>
        </w:rPr>
      </w:pPr>
    </w:p>
    <w:p>
      <w:pPr>
        <w:ind w:left="2400"/>
        <w:spacing w:after="0" w:line="250"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containing voting instructions from that organization rather than from the Company. You must follow the voting instructions provided by your broker, bank or other nominee in order to direct your broker, bank or other nominee on how to vote your shares. Beneficial owners of shares held in street name should generally be able to vote by returning a voting instruction form, or by telephone or on the Internet. However, the availability of telephone and Internet voting will depend on the voting process of your broker, bank or other nominee. As discussed above, if you are a beneficial owner of shares held in street name, you may not vote your shares live at the Annual Meeting unless you obtain a legal proxy from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5966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ind w:left="2400" w:right="60"/>
        <w:spacing w:after="0" w:line="259" w:lineRule="auto"/>
        <w:rPr>
          <w:sz w:val="20"/>
          <w:szCs w:val="20"/>
          <w:color w:val="auto"/>
        </w:rPr>
      </w:pPr>
      <w:r>
        <w:rPr>
          <w:rFonts w:ascii="Arial" w:cs="Arial" w:eastAsia="Arial" w:hAnsi="Arial"/>
          <w:sz w:val="16"/>
          <w:szCs w:val="16"/>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b w:val="1"/>
          <w:bCs w:val="1"/>
          <w:color w:val="auto"/>
        </w:rPr>
        <w:t>How many votes do I have?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22"/>
          <w:szCs w:val="22"/>
          <w:b w:val="1"/>
          <w:bCs w:val="1"/>
          <w:color w:val="auto"/>
        </w:rPr>
        <w:t>If I am a stockholder of record and I do not vote, or if I return a proxy card or otherwise vote without giving specific voting instructions, what happens?</w:t>
      </w:r>
    </w:p>
    <w:p>
      <w:pPr>
        <w:spacing w:after="0" w:line="200" w:lineRule="exact"/>
        <w:rPr>
          <w:sz w:val="20"/>
          <w:szCs w:val="20"/>
          <w:color w:val="auto"/>
        </w:rPr>
      </w:pPr>
    </w:p>
    <w:p>
      <w:pPr>
        <w:spacing w:after="0" w:line="288"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b w:val="1"/>
          <w:bCs w:val="1"/>
          <w:color w:val="auto"/>
        </w:rPr>
        <w:t>If I am a beneficial owner of shares held in street name and</w:t>
      </w:r>
    </w:p>
    <w:p>
      <w:pPr>
        <w:spacing w:after="0" w:line="2" w:lineRule="exact"/>
        <w:rPr>
          <w:sz w:val="20"/>
          <w:szCs w:val="20"/>
          <w:color w:val="auto"/>
        </w:rPr>
      </w:pPr>
    </w:p>
    <w:p>
      <w:pPr>
        <w:jc w:val="both"/>
        <w:ind w:right="160"/>
        <w:spacing w:after="0" w:line="252" w:lineRule="auto"/>
        <w:rPr>
          <w:sz w:val="20"/>
          <w:szCs w:val="20"/>
          <w:color w:val="auto"/>
        </w:rPr>
      </w:pPr>
      <w:r>
        <w:rPr>
          <w:rFonts w:ascii="Arial" w:cs="Arial" w:eastAsia="Arial" w:hAnsi="Arial"/>
          <w:sz w:val="21"/>
          <w:szCs w:val="21"/>
          <w:b w:val="1"/>
          <w:bCs w:val="1"/>
          <w:color w:val="auto"/>
        </w:rPr>
        <w:t>I do not provide my broker or bank with voting instructions, what happens?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On each matter to be voted upon, you have one vote for each share of Class A Common Stock and each share of Class V Common Stock you own as of Tuesday, May 28, 2024. Holders of Class A Common Stock and Class V Common Stock will vote together as one class on all proposals.</w:t>
      </w:r>
    </w:p>
    <w:p>
      <w:pPr>
        <w:spacing w:after="0" w:line="200" w:lineRule="exact"/>
        <w:rPr>
          <w:sz w:val="20"/>
          <w:szCs w:val="20"/>
          <w:color w:val="auto"/>
        </w:rPr>
      </w:pPr>
    </w:p>
    <w:p>
      <w:pPr>
        <w:spacing w:after="0" w:line="30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If you are a stockholder of record and do not vote by completing your proxy card, by telephone, through the internet or online at the Annual Meeting, your shares will not be voted.</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all three nominees for director, “For” the advisory approval of executive compensation and “For” the ratification of the selection by the Audit Committee of Moss Adams LLP as our independent registered public accounting firm for the year ending December 31, 2024. If any other matter is properly presented at the meeting, your proxyholder (one of the individuals named on your proxy card) will vote your shares using his or her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 broker, bank or other agent may still be able to vote your shares in its discretion. In this regard, brokers, banks and other securities intermediaries may use their discretion to vote your “uninstructed” shares with respect to matters considered to be “routine”, but not with respect to “non-routine” matters. In this regard, Proposals 1 and 2 are considered to be “non-routine” meaning that your broker may not vote your shares on those proposals in the absence of your voting instructions. However, Proposal 3 is considered to be a “routine” matters meaning that if you do not return voting instructions to your broker by its deadline, your shares may be voted by your broker in its discretion on Proposal 3.</w:t>
      </w:r>
    </w:p>
    <w:p>
      <w:pPr>
        <w:spacing w:after="0" w:line="14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i w:val="1"/>
          <w:iCs w:val="1"/>
          <w:color w:val="auto"/>
        </w:rPr>
        <w:t xml:space="preserve">If you a beneficial owner of shares held in street name, in order to ensure your shares are voted in the way you would prefer, you </w:t>
      </w:r>
      <w:r>
        <w:rPr>
          <w:rFonts w:ascii="Arial" w:cs="Arial" w:eastAsia="Arial" w:hAnsi="Arial"/>
          <w:sz w:val="16"/>
          <w:szCs w:val="16"/>
          <w:b w:val="1"/>
          <w:bCs w:val="1"/>
          <w:i w:val="1"/>
          <w:iCs w:val="1"/>
          <w:u w:val="single" w:color="auto"/>
          <w:color w:val="auto"/>
        </w:rPr>
        <w:t>must</w:t>
      </w:r>
      <w:r>
        <w:rPr>
          <w:rFonts w:ascii="Arial" w:cs="Arial" w:eastAsia="Arial" w:hAnsi="Arial"/>
          <w:sz w:val="16"/>
          <w:szCs w:val="16"/>
          <w:b w:val="1"/>
          <w:bCs w:val="1"/>
          <w:i w:val="1"/>
          <w:iCs w:val="1"/>
          <w:color w:val="auto"/>
        </w:rPr>
        <w:t xml:space="preserve"> provide voting instructions to your broker, bank or other agent by the deadline provided in the materials you receive from your broker, bank or other agent.</w:t>
      </w:r>
    </w:p>
    <w:p>
      <w:pPr>
        <w:spacing w:after="0" w:line="200" w:lineRule="exact"/>
        <w:rPr>
          <w:sz w:val="20"/>
          <w:szCs w:val="20"/>
          <w:color w:val="auto"/>
        </w:rPr>
      </w:pPr>
    </w:p>
    <w:p>
      <w:pPr>
        <w:sectPr>
          <w:pgSz w:w="11900" w:h="16838" w:orient="portrait"/>
          <w:cols w:equalWidth="0" w:num="2">
            <w:col w:w="2180" w:space="220"/>
            <w:col w:w="7000"/>
          </w:cols>
          <w:pgMar w:left="1240" w:top="114" w:right="1259" w:bottom="1440" w:gutter="0" w:footer="0" w:header="0"/>
          <w:type w:val="continuous"/>
        </w:sectPr>
      </w:pPr>
    </w:p>
    <w:p>
      <w:pPr>
        <w:spacing w:after="0" w:line="276" w:lineRule="exact"/>
        <w:rPr>
          <w:sz w:val="20"/>
          <w:szCs w:val="20"/>
          <w:color w:val="auto"/>
        </w:rPr>
      </w:pPr>
    </w:p>
    <w:p>
      <w:pPr>
        <w:spacing w:after="0" w:line="297" w:lineRule="auto"/>
        <w:rPr>
          <w:sz w:val="20"/>
          <w:szCs w:val="20"/>
          <w:color w:val="auto"/>
        </w:rPr>
      </w:pPr>
      <w:r>
        <w:rPr>
          <w:rFonts w:ascii="Arial" w:cs="Arial" w:eastAsia="Arial" w:hAnsi="Arial"/>
          <w:sz w:val="21"/>
          <w:szCs w:val="21"/>
          <w:b w:val="1"/>
          <w:bCs w:val="1"/>
          <w:color w:val="auto"/>
        </w:rPr>
        <w:t>What are “broker non-votes”?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 “broker non-vote” occurs when your broker submits a proxy for the meeting with respect to “routine” matters but does not vote on “non-routine” matters because you did not provide voting instructions on these matters. These un-voted shares with respect to the “non-routine” matters are counted as “broker non-votes.” Proposals 1 and 2 are considered to be “non-routine”, and are proposals for which brokers do not have discretionary voting authority. We therefore expect broker non-votes to exist in connection with those proposals. Proposal 3 is a “routine” matter and therefore broker non-votes are not expected to exist in connection with this proposal.</w:t>
      </w:r>
    </w:p>
    <w:p>
      <w:pPr>
        <w:spacing w:after="0" w:line="14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183515</wp:posOffset>
            </wp:positionV>
            <wp:extent cx="59664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640"/>
            <w:col w:w="7000"/>
          </w:cols>
          <w:pgMar w:left="1240" w:top="114" w:right="1259" w:bottom="1440" w:gutter="0" w:footer="0" w:header="0"/>
          <w:type w:val="continuous"/>
        </w:sectPr>
      </w:pPr>
    </w:p>
    <w:p>
      <w:pPr>
        <w:spacing w:after="0" w:line="354"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b w:val="1"/>
          <w:bCs w:val="1"/>
          <w:color w:val="auto"/>
        </w:rPr>
        <w:t>Who is paying for this proxy solicitation?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b w:val="1"/>
          <w:bCs w:val="1"/>
          <w:color w:val="auto"/>
        </w:rPr>
        <w:t>What does it mean if I receive more than one Notice?</w:t>
      </w:r>
    </w:p>
    <w:p>
      <w:pPr>
        <w:spacing w:after="0" w:line="200" w:lineRule="exact"/>
        <w:rPr>
          <w:sz w:val="20"/>
          <w:szCs w:val="20"/>
          <w:color w:val="auto"/>
        </w:rPr>
      </w:pPr>
    </w:p>
    <w:p>
      <w:pPr>
        <w:spacing w:after="0" w:line="275"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Can I change my vote after submitting my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60"/>
        <w:spacing w:after="0" w:line="297" w:lineRule="auto"/>
        <w:rPr>
          <w:sz w:val="20"/>
          <w:szCs w:val="20"/>
          <w:color w:val="auto"/>
        </w:rPr>
      </w:pPr>
      <w:r>
        <w:rPr>
          <w:rFonts w:ascii="Arial" w:cs="Arial" w:eastAsia="Arial" w:hAnsi="Arial"/>
          <w:sz w:val="21"/>
          <w:szCs w:val="21"/>
          <w:b w:val="1"/>
          <w:bCs w:val="1"/>
          <w:color w:val="auto"/>
        </w:rPr>
        <w:t>How are votes counted?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5" w:right="60"/>
        <w:spacing w:after="0" w:line="256"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00" w:lineRule="exact"/>
        <w:rPr>
          <w:sz w:val="20"/>
          <w:szCs w:val="20"/>
          <w:color w:val="auto"/>
        </w:rPr>
      </w:pPr>
    </w:p>
    <w:p>
      <w:pPr>
        <w:spacing w:after="0" w:line="304" w:lineRule="exact"/>
        <w:rPr>
          <w:sz w:val="20"/>
          <w:szCs w:val="20"/>
          <w:color w:val="auto"/>
        </w:rPr>
      </w:pPr>
    </w:p>
    <w:p>
      <w:pPr>
        <w:ind w:left="5" w:right="60"/>
        <w:spacing w:after="0" w:line="266"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the Notices to ensure that all of your shares are voted.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 w:right="2900"/>
        <w:spacing w:after="0" w:line="255"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 </w:t>
      </w:r>
    </w:p>
    <w:p>
      <w:pPr>
        <w:spacing w:after="0" w:line="1" w:lineRule="exact"/>
        <w:rPr>
          <w:sz w:val="20"/>
          <w:szCs w:val="20"/>
          <w:color w:val="auto"/>
        </w:rPr>
      </w:pPr>
    </w:p>
    <w:p>
      <w:pPr>
        <w:ind w:left="5" w:right="280"/>
        <w:spacing w:after="0" w:line="265" w:lineRule="auto"/>
        <w:rPr>
          <w:sz w:val="20"/>
          <w:szCs w:val="20"/>
          <w:color w:val="auto"/>
        </w:rPr>
      </w:pPr>
      <w:r>
        <w:rPr>
          <w:rFonts w:ascii="Arial" w:cs="Arial" w:eastAsia="Arial" w:hAnsi="Arial"/>
          <w:sz w:val="16"/>
          <w:szCs w:val="16"/>
          <w:color w:val="auto"/>
        </w:rPr>
        <w:t>Yes. You can revoke your proxy at any time before the final vote at the meeting. If you are the record holder of your shares, you may revoke your proxy in any one of the following ways:</w:t>
      </w:r>
    </w:p>
    <w:p>
      <w:pPr>
        <w:spacing w:after="0" w:line="131" w:lineRule="exact"/>
        <w:rPr>
          <w:sz w:val="20"/>
          <w:szCs w:val="20"/>
          <w:color w:val="auto"/>
        </w:rPr>
      </w:pPr>
    </w:p>
    <w:p>
      <w:pPr>
        <w:ind w:left="85" w:hanging="85"/>
        <w:spacing w:after="0"/>
        <w:tabs>
          <w:tab w:leader="none" w:pos="85" w:val="left"/>
        </w:tabs>
        <w:numPr>
          <w:ilvl w:val="0"/>
          <w:numId w:val="5"/>
        </w:numPr>
        <w:rPr>
          <w:rFonts w:ascii="Arial" w:cs="Arial" w:eastAsia="Arial" w:hAnsi="Arial"/>
          <w:sz w:val="16"/>
          <w:szCs w:val="16"/>
          <w:color w:val="auto"/>
        </w:rPr>
      </w:pPr>
      <w:r>
        <w:rPr>
          <w:rFonts w:ascii="Arial" w:cs="Arial" w:eastAsia="Arial" w:hAnsi="Arial"/>
          <w:sz w:val="16"/>
          <w:szCs w:val="16"/>
          <w:color w:val="auto"/>
        </w:rPr>
        <w:t>    •     You may submit another properly completed proxy card with a later date.</w:t>
      </w:r>
    </w:p>
    <w:p>
      <w:pPr>
        <w:spacing w:after="0" w:line="72" w:lineRule="exact"/>
        <w:rPr>
          <w:rFonts w:ascii="Arial" w:cs="Arial" w:eastAsia="Arial" w:hAnsi="Arial"/>
          <w:sz w:val="16"/>
          <w:szCs w:val="16"/>
          <w:color w:val="auto"/>
        </w:rPr>
      </w:pPr>
    </w:p>
    <w:p>
      <w:pPr>
        <w:ind w:left="85" w:hanging="85"/>
        <w:spacing w:after="0"/>
        <w:tabs>
          <w:tab w:leader="none" w:pos="85" w:val="left"/>
        </w:tabs>
        <w:numPr>
          <w:ilvl w:val="0"/>
          <w:numId w:val="5"/>
        </w:numPr>
        <w:rPr>
          <w:rFonts w:ascii="Arial" w:cs="Arial" w:eastAsia="Arial" w:hAnsi="Arial"/>
          <w:sz w:val="16"/>
          <w:szCs w:val="16"/>
          <w:color w:val="auto"/>
        </w:rPr>
      </w:pPr>
      <w:r>
        <w:rPr>
          <w:rFonts w:ascii="Arial" w:cs="Arial" w:eastAsia="Arial" w:hAnsi="Arial"/>
          <w:sz w:val="16"/>
          <w:szCs w:val="16"/>
          <w:color w:val="auto"/>
        </w:rPr>
        <w:t>    •     You may grant a subsequent proxy by telephone or through the internet.</w:t>
      </w:r>
    </w:p>
    <w:p>
      <w:pPr>
        <w:spacing w:after="0" w:line="86" w:lineRule="exact"/>
        <w:rPr>
          <w:rFonts w:ascii="Arial" w:cs="Arial" w:eastAsia="Arial" w:hAnsi="Arial"/>
          <w:sz w:val="16"/>
          <w:szCs w:val="16"/>
          <w:color w:val="auto"/>
        </w:rPr>
      </w:pPr>
    </w:p>
    <w:p>
      <w:pPr>
        <w:ind w:left="505" w:right="80" w:hanging="505"/>
        <w:spacing w:after="0" w:line="259" w:lineRule="auto"/>
        <w:tabs>
          <w:tab w:leader="none" w:pos="86" w:val="left"/>
        </w:tabs>
        <w:numPr>
          <w:ilvl w:val="0"/>
          <w:numId w:val="5"/>
        </w:numPr>
        <w:rPr>
          <w:rFonts w:ascii="Arial" w:cs="Arial" w:eastAsia="Arial" w:hAnsi="Arial"/>
          <w:sz w:val="16"/>
          <w:szCs w:val="16"/>
          <w:color w:val="auto"/>
        </w:rPr>
      </w:pPr>
      <w:r>
        <w:rPr>
          <w:rFonts w:ascii="Arial" w:cs="Arial" w:eastAsia="Arial" w:hAnsi="Arial"/>
          <w:sz w:val="16"/>
          <w:szCs w:val="16"/>
          <w:color w:val="auto"/>
        </w:rPr>
        <w:t>    •     You may send a timely written notice that you are revoking your proxy to WM Technology, Inc., Attn: Corporate Secretary at 41 Discovery, Irvine, California 92618. Such notice will be considered timely if it is received at the indicated address by the close of business on the business day one week preceding the date of the Annual Meeting.</w:t>
      </w:r>
    </w:p>
    <w:p>
      <w:pPr>
        <w:spacing w:after="0" w:line="29" w:lineRule="exact"/>
        <w:rPr>
          <w:rFonts w:ascii="Arial" w:cs="Arial" w:eastAsia="Arial" w:hAnsi="Arial"/>
          <w:sz w:val="16"/>
          <w:szCs w:val="16"/>
          <w:color w:val="auto"/>
        </w:rPr>
      </w:pPr>
    </w:p>
    <w:p>
      <w:pPr>
        <w:ind w:left="505" w:hanging="505"/>
        <w:spacing w:after="0" w:line="256" w:lineRule="auto"/>
        <w:tabs>
          <w:tab w:leader="none" w:pos="86" w:val="left"/>
        </w:tabs>
        <w:numPr>
          <w:ilvl w:val="0"/>
          <w:numId w:val="5"/>
        </w:numPr>
        <w:rPr>
          <w:rFonts w:ascii="Arial" w:cs="Arial" w:eastAsia="Arial" w:hAnsi="Arial"/>
          <w:sz w:val="16"/>
          <w:szCs w:val="16"/>
          <w:color w:val="auto"/>
        </w:rPr>
      </w:pPr>
      <w:r>
        <w:rPr>
          <w:rFonts w:ascii="Arial" w:cs="Arial" w:eastAsia="Arial" w:hAnsi="Arial"/>
          <w:sz w:val="16"/>
          <w:szCs w:val="16"/>
          <w:color w:val="auto"/>
        </w:rPr>
        <w:t>    •     You may attend the Annual Meeting and vote online. Simply attending the meeting will not, by itself, revoke your proxy.</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Your most current proxy card or telephone or internet proxy is the one that is counted.</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Beneficial Owner: Shares Registered in the Name of Broker or Bank</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left="5" w:right="160"/>
        <w:spacing w:after="0" w:line="265" w:lineRule="auto"/>
        <w:rPr>
          <w:sz w:val="20"/>
          <w:szCs w:val="20"/>
          <w:color w:val="auto"/>
        </w:rPr>
      </w:pPr>
      <w:r>
        <w:rPr>
          <w:rFonts w:ascii="Arial" w:cs="Arial" w:eastAsia="Arial" w:hAnsi="Arial"/>
          <w:sz w:val="16"/>
          <w:szCs w:val="16"/>
          <w:color w:val="auto"/>
        </w:rPr>
        <w:t>If your shares are held by your broker, bank as a nominee or other agent, you should follow the instructions provided by your broker, bank or other agent.</w:t>
      </w:r>
    </w:p>
    <w:p>
      <w:pPr>
        <w:spacing w:after="0" w:line="200" w:lineRule="exact"/>
        <w:rPr>
          <w:sz w:val="20"/>
          <w:szCs w:val="20"/>
          <w:color w:val="auto"/>
        </w:rPr>
      </w:pPr>
    </w:p>
    <w:p>
      <w:pPr>
        <w:spacing w:after="0" w:line="296" w:lineRule="exact"/>
        <w:rPr>
          <w:sz w:val="20"/>
          <w:szCs w:val="20"/>
          <w:color w:val="auto"/>
        </w:rPr>
      </w:pPr>
    </w:p>
    <w:p>
      <w:pPr>
        <w:ind w:left="5" w:right="20"/>
        <w:spacing w:after="0" w:line="251"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for the proposal to elect directors, votes “For,” “Withhold” and broker non-votes; and, with respect to the other proposals, votes “For” and “Against,” abstentions and, if applicable, broker non-votes. Abstentions will be counted towards the vote total for each of Proposals 2 and 3, and will have the same effect as “Against” votes. Broker non-votes on Proposal 1 and 2 will have no effect and will not be counted towards the vote total for any of those proposals. Proposal 3 is considered a “routine” matter, accordingly, if you hold your shares in street name and do not provide voting instructions to your broker, bank, or other agent that holds your shares, your broker, bank, or other agent has discretionary authority to vote your shares on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194945</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255"/>
            <w:col w:w="6965"/>
          </w:cols>
          <w:pgMar w:left="1240" w:top="114" w:right="1299" w:bottom="1440" w:gutter="0" w:footer="0" w:header="0"/>
        </w:sectPr>
      </w:pPr>
    </w:p>
    <w:p>
      <w:pPr>
        <w:spacing w:after="0" w:line="373"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7</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line="269" w:lineRule="auto"/>
        <w:rPr>
          <w:sz w:val="20"/>
          <w:szCs w:val="20"/>
          <w:color w:val="auto"/>
        </w:rPr>
      </w:pPr>
      <w:r>
        <w:rPr>
          <w:rFonts w:ascii="Arial" w:cs="Arial" w:eastAsia="Arial" w:hAnsi="Arial"/>
          <w:sz w:val="21"/>
          <w:szCs w:val="21"/>
          <w:b w:val="1"/>
          <w:bCs w:val="1"/>
          <w:color w:val="auto"/>
        </w:rPr>
        <w:t>How many votes are needed to approve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97" w:lineRule="auto"/>
        <w:rPr>
          <w:sz w:val="20"/>
          <w:szCs w:val="20"/>
          <w:color w:val="auto"/>
        </w:rPr>
      </w:pPr>
      <w:r>
        <w:rPr>
          <w:rFonts w:ascii="Arial" w:cs="Arial" w:eastAsia="Arial" w:hAnsi="Arial"/>
          <w:sz w:val="21"/>
          <w:szCs w:val="21"/>
          <w:b w:val="1"/>
          <w:bCs w:val="1"/>
          <w:color w:val="auto"/>
        </w:rPr>
        <w:t>What is the quorum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b w:val="1"/>
          <w:bCs w:val="1"/>
          <w:color w:val="auto"/>
        </w:rPr>
        <w:t>How can I find out the results of the voting at the annual meeting?</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Proposal 1: For the election of directors, the two Class III nominees receiving the most “For” votes will be elected. Only votes “For” will affect the outcome. “Withhold” votes and broker non-votes will have no effect on this proposal.</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Proposal 2: The advisory vote, on a non-binding basis, on the compensation of our Named Executive Officers for the year ended 2023 will be considered to be approved if it receives “For” votes from the holders of a majority in voting power of shares of Common Stock present by remote communication at the meeting or represented by proxy and entitled to vote on the matter. If you “Abstain” from voting, it will have the same effect as an “Against” vote. Broker non-votes will have no effect on this proposal.</w:t>
      </w:r>
    </w:p>
    <w:p>
      <w:pPr>
        <w:spacing w:after="0" w:line="14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Proposal 3: To ratify the selection of Moss Adams LLP as our independent registered public accounting firm for the year ending December 31, 2024, the proposal must receive “For” votes from the holders of a majority in voting power of the shares of Common Stock present by remote communication at the meeting or represented by proxy and entitled to vote on the matter. If you “Abstain” from voting, it will have the same effect as an “Against” vote. 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00" w:lineRule="exact"/>
        <w:rPr>
          <w:sz w:val="20"/>
          <w:szCs w:val="20"/>
          <w:color w:val="auto"/>
        </w:rPr>
      </w:pPr>
    </w:p>
    <w:p>
      <w:pPr>
        <w:spacing w:after="0" w:line="320"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 majority in voting power of the shares of Common Stock entitled to vote are present by remote communication at the Annual Meeting or represented by proxy. On the record date, there were 150,538,096 shares of Common Stock outstanding and entitled to vote.</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b w:val="1"/>
          <w:bCs w:val="1"/>
          <w:color w:val="auto"/>
        </w:rPr>
        <w:t>Thus, the holders of 75,269,049 shares of Common Stock must be present by remote communication at the meeting or represented by proxy at the Annual Meeting to have a quorum</w:t>
      </w:r>
      <w:r>
        <w:rPr>
          <w:rFonts w:ascii="Arial" w:cs="Arial" w:eastAsia="Arial" w:hAnsi="Arial"/>
          <w:sz w:val="16"/>
          <w:szCs w:val="16"/>
          <w:color w:val="auto"/>
        </w:rPr>
        <w:t>. Broker non-votes and abstentions are counted for purposes of determining whether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is present.</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Abstentions and broker non-votes will be counted towards the quorum requirement. If there is no quorum, the holders of a majority in voting power of the shares of Common Stock present by remote communication at the meeting or represented by proxy may adjourn the meeting to another date.</w:t>
      </w:r>
    </w:p>
    <w:p>
      <w:pPr>
        <w:spacing w:after="0" w:line="200" w:lineRule="exact"/>
        <w:rPr>
          <w:sz w:val="20"/>
          <w:szCs w:val="20"/>
          <w:color w:val="auto"/>
        </w:rPr>
      </w:pPr>
    </w:p>
    <w:p>
      <w:pPr>
        <w:spacing w:after="0" w:line="30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193040</wp:posOffset>
            </wp:positionV>
            <wp:extent cx="596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00"/>
            <w:col w:w="7000"/>
          </w:cols>
          <w:pgMar w:left="1240" w:top="114" w:right="1259" w:bottom="1440" w:gutter="0" w:footer="0" w:header="0"/>
        </w:sectPr>
      </w:pPr>
    </w:p>
    <w:p>
      <w:pPr>
        <w:spacing w:after="0" w:line="369"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8</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When are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w:t>
      </w:r>
    </w:p>
    <w:p>
      <w:pPr>
        <w:spacing w:after="0" w:line="230" w:lineRule="auto"/>
        <w:rPr>
          <w:sz w:val="20"/>
          <w:szCs w:val="20"/>
          <w:color w:val="auto"/>
        </w:rPr>
      </w:pPr>
      <w:r>
        <w:rPr>
          <w:rFonts w:ascii="Arial" w:cs="Arial" w:eastAsia="Arial" w:hAnsi="Arial"/>
          <w:sz w:val="22"/>
          <w:szCs w:val="22"/>
          <w:b w:val="1"/>
          <w:bCs w:val="1"/>
          <w:color w:val="auto"/>
        </w:rPr>
        <w:t>proposals 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nominations</w:t>
      </w:r>
    </w:p>
    <w:p>
      <w:pPr>
        <w:spacing w:after="0" w:line="231" w:lineRule="auto"/>
        <w:rPr>
          <w:sz w:val="20"/>
          <w:szCs w:val="20"/>
          <w:color w:val="auto"/>
        </w:rPr>
      </w:pPr>
      <w:r>
        <w:rPr>
          <w:rFonts w:ascii="Arial" w:cs="Arial" w:eastAsia="Arial" w:hAnsi="Arial"/>
          <w:sz w:val="22"/>
          <w:szCs w:val="22"/>
          <w:b w:val="1"/>
          <w:bCs w:val="1"/>
          <w:color w:val="auto"/>
        </w:rPr>
        <w:t>due for next year’s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meeting?</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Monday, February 10, 2025, to WM Technology, Inc., Attn: Corporate Secretary,</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41 Discovery, Irvine, California 92618. If you wish to submit a proposal (including a director nomination) at the meeting that is not to be included in next year’s proxy materials, you must do so by submitting your proposal in writing which must be received by the Corporate Secretary not earlier than the close of business on the 120th day and not later than the close of business on the 90th day prior to the anniversary of the preceding year’s annual meeting of stockholders. Therefore, we must receive notice of such a proposal or nomination for the 2025 Annual Meeting no earlier than the close of business on Monday, February 10, 2025 and no later than the close of business on Wednesday, March 12, 2025. The notice must contain the information required by the Amended and Restated Bylaws of the Company (the “Bylaws”). In the event that the date of the 2025 Annual Meeting is not within 30 days before or delayed by more than 60 days from the first anniversary of the preceding year’s annual meeting of stockholders, or no annual meeting was held during the preceding year, then the Corporate Secretary must receive such written notice not earlier than the close of business on the 120th day prior to the 2025 Annual Meeting and not later than the close of business on the later of the 90th day prior to 2025 Annual Meeting or the closing of business on the tenth day following the day on which public announcement of the date of such meeting is first made. In addition, stockholders who intend to solicit proxies in support of director nominees other than WM Technology, Inc.’s nominees must also comply with the additional requirements of Rule 14a-19(b) promulgated under the Securities Exchange Act of 1934, as amended (the “Exchange Act”), no later than Friday, April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200025</wp:posOffset>
            </wp:positionV>
            <wp:extent cx="5966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240"/>
            <w:col w:w="7000"/>
          </w:cols>
          <w:pgMar w:left="1240" w:top="114" w:right="1259" w:bottom="1440" w:gutter="0" w:footer="0" w:header="0"/>
        </w:sectPr>
      </w:pPr>
    </w:p>
    <w:p>
      <w:pPr>
        <w:spacing w:after="0" w:line="381" w:lineRule="exact"/>
        <w:rPr>
          <w:sz w:val="20"/>
          <w:szCs w:val="20"/>
          <w:color w:val="auto"/>
        </w:rPr>
      </w:pPr>
    </w:p>
    <w:p>
      <w:pPr>
        <w:ind w:left="3080"/>
        <w:spacing w:after="0"/>
        <w:tabs>
          <w:tab w:leader="none" w:pos="466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9</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4240"/>
        <w:spacing w:after="0" w:line="282" w:lineRule="auto"/>
        <w:rPr>
          <w:sz w:val="20"/>
          <w:szCs w:val="20"/>
          <w:color w:val="auto"/>
        </w:rPr>
      </w:pPr>
      <w:r>
        <w:rPr>
          <w:rFonts w:ascii="Arial" w:cs="Arial" w:eastAsia="Arial" w:hAnsi="Arial"/>
          <w:sz w:val="57"/>
          <w:szCs w:val="57"/>
          <w:color w:val="auto"/>
        </w:rPr>
        <w:t>Proposal No. 1 Election of Directors</w:t>
      </w:r>
    </w:p>
    <w:p>
      <w:pPr>
        <w:spacing w:after="0" w:line="3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Pursuant to our Certificate of Incorporation (the “Certificate of Incorporation”) and Bylaws, the Board is divided into three classes, with only one class of directors being elected in each year and each class, Class I, Class II and Class III, serving a three-year term. Each Class III director has a term that expires at this Annual Meeting, each Class I director has a term that expires at the Company’s 2025 annual meeting of stockholders and each Class II director has a term that expires at the Company’s 2026 annual meeting of stockholders, or in each case until their respective successors are duly elected and qualified, or until their earlier death, resignation, or removal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or until such director’s earlier death, disqualification, resignation or removal.</w:t>
      </w:r>
    </w:p>
    <w:p>
      <w:pPr>
        <w:spacing w:after="0" w:line="131"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Board presently has seven members and one vacancy. There are two directors in the class whose term of office expires in 2024. Each of the nominees listed below is currently a director who was previously elected by the stockholders. If elected at the Annual Meeting, each of these nominees would serve until the 2027 annual meeting and until his or her successor has been duly elected and qualified, or, if sooner, until the director’s death, resignation or removal. Our policy is to encourage directors and nominees for director to attend the Annual Meeting. Four of the current directors attended the 2023 Annual Meeting of Stockholders</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Directors are elected by a plurality of the votes cast of the shares present online at meeting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nominee becomes unavailable for election as a result of an unexpected occurrence, shares that would have been voted for that nominee will instead be voted for the election of a substitute nominee proposed by us, if any. Each person nominated for election has agreed to serve if elected. Our management has no reason to believe that any nominee will be unable to serve.</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August 15, 2023, the Company announced that Justin Hartfield had resigned as a Class III director of the Board and as a member of the Technology Committee of the Board, effective August 9, 2023. Mr. Hartfield’s resignation was not due to any disagreement with the Company or on any matter relating to the Company’s operations, policies or practices. In connection with Mr. Hartfield’s resignation, the Board reduced the size of the Board from nine members to eight members, with the vacated Director position being removed from the Class III group of Directors, effective February 22, 2024.</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brief biography of each nominee and each director whose term will continue after the Annual Meeting.</w:t>
      </w:r>
    </w:p>
    <w:p>
      <w:pPr>
        <w:spacing w:after="0" w:line="288" w:lineRule="exact"/>
        <w:rPr>
          <w:sz w:val="20"/>
          <w:szCs w:val="20"/>
          <w:color w:val="auto"/>
        </w:rPr>
      </w:pPr>
    </w:p>
    <w:p>
      <w:pPr>
        <w:ind w:right="180"/>
        <w:spacing w:after="0" w:line="272" w:lineRule="auto"/>
        <w:rPr>
          <w:sz w:val="20"/>
          <w:szCs w:val="20"/>
          <w:color w:val="auto"/>
        </w:rPr>
      </w:pPr>
      <w:r>
        <w:rPr>
          <w:rFonts w:ascii="Arial" w:cs="Arial" w:eastAsia="Arial" w:hAnsi="Arial"/>
          <w:sz w:val="22"/>
          <w:szCs w:val="22"/>
          <w:b w:val="1"/>
          <w:bCs w:val="1"/>
          <w:color w:val="40C0C0"/>
        </w:rPr>
        <w:t>Class III Director Nominees for Election for a Three-Year Term Expiring at the 2027 Annual Meeting</w:t>
      </w:r>
    </w:p>
    <w:p>
      <w:pPr>
        <w:spacing w:after="0" w:line="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age 46, has served as a member of the Board since June 2021, and as Executive Chair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10</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Mr. Francis was selected to serve on the Board based on his perspective, experience and institutional knowledge as WMH’s co-founder and his long tenure as WMH’s President and Chief Executive Officer.</w:t>
      </w:r>
    </w:p>
    <w:p>
      <w:pPr>
        <w:spacing w:after="0" w:line="10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Scott Gordon</w:t>
      </w:r>
      <w:r>
        <w:rPr>
          <w:rFonts w:ascii="Arial" w:cs="Arial" w:eastAsia="Arial" w:hAnsi="Arial"/>
          <w:sz w:val="16"/>
          <w:szCs w:val="16"/>
          <w:color w:val="auto"/>
        </w:rPr>
        <w:t>. Mr. Gordon, age 62, has served as a member of the Board since June 2021. Mr. Gordon has held the dual roles of</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Chairperson of the board of directors of Silver Spike Investment Corp. since its founding. Similarly, he served in the same capacities for Silver Spike Acquisition Corp. from its inception until June 2021. 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Mr. Gordon was selected to serve on the Board based on his experience in emerging markets and in the cannabis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243840</wp:posOffset>
            </wp:positionV>
            <wp:extent cx="4114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Each Named Nominee.</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Class I Directors Continuing in Office Until the 2025 Annual Meeting</w:t>
      </w:r>
    </w:p>
    <w:p>
      <w:pPr>
        <w:spacing w:after="0" w:line="16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i w:val="1"/>
          <w:iCs w:val="1"/>
          <w:color w:val="auto"/>
        </w:rPr>
        <w:t>Fiona Tan</w:t>
      </w:r>
      <w:r>
        <w:rPr>
          <w:rFonts w:ascii="Arial" w:cs="Arial" w:eastAsia="Arial" w:hAnsi="Arial"/>
          <w:sz w:val="16"/>
          <w:szCs w:val="16"/>
          <w:color w:val="auto"/>
        </w:rPr>
        <w:t>. Ms. Tan, age 53, has served as a member of the Board since June 2021. Since March 2022, Ms. Tan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Ms. Tan was selected to serve on the Board based on her business experience and technology industry expertise.</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Anthony Bay</w:t>
      </w:r>
      <w:r>
        <w:rPr>
          <w:rFonts w:ascii="Arial" w:cs="Arial" w:eastAsia="Arial" w:hAnsi="Arial"/>
          <w:sz w:val="16"/>
          <w:szCs w:val="16"/>
          <w:color w:val="auto"/>
        </w:rPr>
        <w:t>. Mr. Bay, age 68, has served as a member of the Board since March 2022. Prior to joining the Board, Mr. Bay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255905</wp:posOffset>
            </wp:positionV>
            <wp:extent cx="59664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tabs>
          <w:tab w:leader="none" w:pos="464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11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Class II Directors Continuing in Office Until the 2026 Annual Meeting</w:t>
      </w:r>
    </w:p>
    <w:p>
      <w:pPr>
        <w:spacing w:after="0" w:line="16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Tony Aquila</w:t>
      </w:r>
      <w:r>
        <w:rPr>
          <w:rFonts w:ascii="Arial" w:cs="Arial" w:eastAsia="Arial" w:hAnsi="Arial"/>
          <w:sz w:val="16"/>
          <w:szCs w:val="16"/>
          <w:color w:val="auto"/>
        </w:rPr>
        <w:t>. Mr. Aquila, age 59, has served as a member of the Board since June 2021. Since April 2021, Mr. Aquila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 since January 2020, RocketRoute Limited, a global aviation services company, since March 2020, and APG Avionics LLC, an aviation data and software company for the general aviation market, since</w:t>
      </w:r>
    </w:p>
    <w:p>
      <w:pPr>
        <w:spacing w:after="0" w:line="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Mr. Aquila was selected to serve on the Board based on his business experience as a founder, inventor, chief executive officer and director of publicly-listed companies and his investing experience.</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Brenda Freeman</w:t>
      </w:r>
      <w:r>
        <w:rPr>
          <w:rFonts w:ascii="Arial" w:cs="Arial" w:eastAsia="Arial" w:hAnsi="Arial"/>
          <w:sz w:val="16"/>
          <w:szCs w:val="16"/>
          <w:color w:val="auto"/>
        </w:rPr>
        <w:t>. Ms. Freeman, age 59, has served as a member of the Board since June 2021. Ms. Freeman founded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Ms. Freeman was selected to serve on the Board based on her business experience and technology industry expertise.</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i w:val="1"/>
          <w:iCs w:val="1"/>
          <w:color w:val="auto"/>
        </w:rPr>
        <w:t>Olga Gonzalez</w:t>
      </w:r>
      <w:r>
        <w:rPr>
          <w:rFonts w:ascii="Arial" w:cs="Arial" w:eastAsia="Arial" w:hAnsi="Arial"/>
          <w:sz w:val="16"/>
          <w:szCs w:val="16"/>
          <w:color w:val="auto"/>
        </w:rPr>
        <w:t>. Ms. Gonzalez, age 57, has served as a member of the Board since June 2021. Since April 2023, Ms. Gonzalez</w:t>
      </w:r>
      <w:r>
        <w:rPr>
          <w:rFonts w:ascii="Arial" w:cs="Arial" w:eastAsia="Arial" w:hAnsi="Arial"/>
          <w:sz w:val="16"/>
          <w:szCs w:val="16"/>
          <w:i w:val="1"/>
          <w:iCs w:val="1"/>
          <w:color w:val="auto"/>
        </w:rPr>
        <w:t xml:space="preserve"> </w:t>
      </w:r>
      <w:r>
        <w:rPr>
          <w:rFonts w:ascii="Arial" w:cs="Arial" w:eastAsia="Arial" w:hAnsi="Arial"/>
          <w:sz w:val="16"/>
          <w:szCs w:val="16"/>
          <w:color w:val="auto"/>
        </w:rPr>
        <w:t>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from July 2017 to April 2020, Vice President Commercial &amp; Operations Finance at Walmart México y Centroamérica from</w:t>
      </w:r>
    </w:p>
    <w:p>
      <w:pPr>
        <w:spacing w:after="0" w:line="21" w:lineRule="exact"/>
        <w:rPr>
          <w:sz w:val="20"/>
          <w:szCs w:val="20"/>
          <w:color w:val="auto"/>
        </w:rPr>
      </w:pPr>
    </w:p>
    <w:p>
      <w:pPr>
        <w:ind w:left="800" w:right="820"/>
        <w:spacing w:after="0" w:line="250" w:lineRule="auto"/>
        <w:rPr>
          <w:sz w:val="20"/>
          <w:szCs w:val="20"/>
          <w:color w:val="auto"/>
        </w:rPr>
      </w:pPr>
      <w:r>
        <w:rPr>
          <w:rFonts w:ascii="Arial" w:cs="Arial" w:eastAsia="Arial" w:hAnsi="Arial"/>
          <w:sz w:val="16"/>
          <w:szCs w:val="16"/>
          <w:color w:val="auto"/>
        </w:rPr>
        <w:t>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Ms. Gonzalez was selected to serve on the Board based on her business experience and financial expertise.</w:t>
      </w:r>
    </w:p>
    <w:p>
      <w:pPr>
        <w:spacing w:after="0" w:line="369"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40C0C0"/>
        </w:rPr>
        <w:t>Board Diversity</w:t>
      </w:r>
    </w:p>
    <w:p>
      <w:pPr>
        <w:spacing w:after="0" w:line="166" w:lineRule="exact"/>
        <w:rPr>
          <w:sz w:val="20"/>
          <w:szCs w:val="20"/>
          <w:color w:val="auto"/>
        </w:rPr>
      </w:pPr>
    </w:p>
    <w:p>
      <w:pPr>
        <w:ind w:left="800" w:right="900"/>
        <w:spacing w:after="0" w:line="255" w:lineRule="auto"/>
        <w:rPr>
          <w:sz w:val="20"/>
          <w:szCs w:val="20"/>
          <w:color w:val="auto"/>
        </w:rPr>
      </w:pPr>
      <w:r>
        <w:rPr>
          <w:rFonts w:ascii="Arial" w:cs="Arial" w:eastAsia="Arial" w:hAnsi="Arial"/>
          <w:sz w:val="16"/>
          <w:szCs w:val="16"/>
          <w:color w:val="auto"/>
        </w:rPr>
        <w:t>While we do not have a formal diversity policy in place, our Nominating and Corporate Governance Committee considers the diversity of the Board overall with respect to age, disability, gender identity or expression, ethnicity, military veteran status, national origin, race, religion, sexual orientation, and other backgrounds and experiences. Our Nominating and Corporate Governance Committee is committed to actively seeking out and will instruct any search firm it engages to identify, individuals who will contribute to the overall diversity of the Board to be included in the pool of candidates from which nominees to the Board are selected.</w:t>
      </w:r>
    </w:p>
    <w:p>
      <w:pPr>
        <w:spacing w:after="0" w:line="319" w:lineRule="exact"/>
        <w:rPr>
          <w:sz w:val="20"/>
          <w:szCs w:val="20"/>
          <w:color w:val="auto"/>
        </w:rPr>
      </w:pPr>
    </w:p>
    <w:p>
      <w:pPr>
        <w:ind w:left="800" w:right="1100"/>
        <w:spacing w:after="0" w:line="266" w:lineRule="auto"/>
        <w:rPr>
          <w:sz w:val="20"/>
          <w:szCs w:val="20"/>
          <w:color w:val="auto"/>
        </w:rPr>
      </w:pPr>
      <w:r>
        <w:rPr>
          <w:rFonts w:ascii="Arial" w:cs="Arial" w:eastAsia="Arial" w:hAnsi="Arial"/>
          <w:sz w:val="16"/>
          <w:szCs w:val="16"/>
          <w:color w:val="auto"/>
        </w:rPr>
        <w:t>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117" w:lineRule="exact"/>
        <w:rPr>
          <w:sz w:val="20"/>
          <w:szCs w:val="20"/>
          <w:color w:val="auto"/>
        </w:rPr>
      </w:pPr>
    </w:p>
    <w:p>
      <w:pPr>
        <w:ind w:left="800" w:right="1140"/>
        <w:spacing w:after="0" w:line="266" w:lineRule="auto"/>
        <w:rPr>
          <w:sz w:val="20"/>
          <w:szCs w:val="20"/>
          <w:color w:val="auto"/>
        </w:rPr>
      </w:pPr>
      <w:r>
        <w:rPr>
          <w:rFonts w:ascii="Arial" w:cs="Arial" w:eastAsia="Arial" w:hAnsi="Arial"/>
          <w:sz w:val="16"/>
          <w:szCs w:val="16"/>
          <w:color w:val="auto"/>
        </w:rPr>
        <w:t>As of our record date, 43% of our directors were women or racially or ethnically diverse individuals. We believe that our current directors possess diverse professional experiences, skills and backgrounds, in addition to, among other characteristics, high standards of personal and professional ethics and valuable knowledge of our business and our industry.</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Board Diversity Matrix below provides the diversity statistics for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140970</wp:posOffset>
            </wp:positionV>
            <wp:extent cx="5966460" cy="265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265430"/>
                    </a:xfrm>
                    <a:prstGeom prst="rect">
                      <a:avLst/>
                    </a:prstGeom>
                    <a:noFill/>
                  </pic:spPr>
                </pic:pic>
              </a:graphicData>
            </a:graphic>
          </wp:anchor>
        </w:drawing>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FFFFFF"/>
        </w:rPr>
        <w:t>Board Diversity Matrix (as of May 28, 2024)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00" w:type="dxa"/>
            <w:vAlign w:val="bottom"/>
          </w:tcPr>
          <w:p>
            <w:pPr>
              <w:spacing w:after="0"/>
              <w:rPr>
                <w:sz w:val="23"/>
                <w:szCs w:val="23"/>
                <w:color w:val="auto"/>
              </w:rPr>
            </w:pPr>
          </w:p>
        </w:tc>
        <w:tc>
          <w:tcPr>
            <w:tcW w:w="440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Total Number of Directors</w:t>
            </w:r>
          </w:p>
        </w:tc>
        <w:tc>
          <w:tcPr>
            <w:tcW w:w="400" w:type="dxa"/>
            <w:vAlign w:val="bottom"/>
            <w:shd w:val="clear" w:color="auto" w:fill="000000"/>
          </w:tcPr>
          <w:p>
            <w:pPr>
              <w:spacing w:after="0"/>
              <w:rPr>
                <w:sz w:val="23"/>
                <w:szCs w:val="23"/>
                <w:color w:val="auto"/>
              </w:rPr>
            </w:pPr>
          </w:p>
        </w:tc>
        <w:tc>
          <w:tcPr>
            <w:tcW w:w="720" w:type="dxa"/>
            <w:vAlign w:val="bottom"/>
            <w:shd w:val="clear" w:color="auto" w:fill="000000"/>
          </w:tcPr>
          <w:p>
            <w:pPr>
              <w:spacing w:after="0"/>
              <w:rPr>
                <w:sz w:val="23"/>
                <w:szCs w:val="23"/>
                <w:color w:val="auto"/>
              </w:rPr>
            </w:pPr>
          </w:p>
        </w:tc>
        <w:tc>
          <w:tcPr>
            <w:tcW w:w="900" w:type="dxa"/>
            <w:vAlign w:val="bottom"/>
            <w:shd w:val="clear" w:color="auto" w:fill="000000"/>
          </w:tcPr>
          <w:p>
            <w:pPr>
              <w:spacing w:after="0"/>
              <w:rPr>
                <w:sz w:val="23"/>
                <w:szCs w:val="23"/>
                <w:color w:val="auto"/>
              </w:rPr>
            </w:pPr>
          </w:p>
        </w:tc>
        <w:tc>
          <w:tcPr>
            <w:tcW w:w="1060" w:type="dxa"/>
            <w:vAlign w:val="bottom"/>
            <w:shd w:val="clear" w:color="auto" w:fill="000000"/>
          </w:tcPr>
          <w:p>
            <w:pPr>
              <w:ind w:left="640"/>
              <w:spacing w:after="0"/>
              <w:rPr>
                <w:sz w:val="20"/>
                <w:szCs w:val="20"/>
                <w:color w:val="auto"/>
              </w:rPr>
            </w:pPr>
            <w:r>
              <w:rPr>
                <w:rFonts w:ascii="Arial" w:cs="Arial" w:eastAsia="Arial" w:hAnsi="Arial"/>
                <w:sz w:val="14"/>
                <w:szCs w:val="14"/>
                <w:b w:val="1"/>
                <w:bCs w:val="1"/>
                <w:color w:val="FFFFFF"/>
              </w:rPr>
              <w:t>​7</w:t>
            </w:r>
          </w:p>
        </w:tc>
        <w:tc>
          <w:tcPr>
            <w:tcW w:w="1920" w:type="dxa"/>
            <w:vAlign w:val="bottom"/>
            <w:shd w:val="clear" w:color="auto" w:fill="000000"/>
          </w:tcPr>
          <w:p>
            <w:pPr>
              <w:spacing w:after="0"/>
              <w:rPr>
                <w:sz w:val="23"/>
                <w:szCs w:val="23"/>
                <w:color w:val="auto"/>
              </w:rPr>
            </w:pPr>
          </w:p>
        </w:tc>
        <w:tc>
          <w:tcPr>
            <w:tcW w:w="820" w:type="dxa"/>
            <w:vAlign w:val="bottom"/>
          </w:tcPr>
          <w:p>
            <w:pPr>
              <w:spacing w:after="0"/>
              <w:rPr>
                <w:sz w:val="23"/>
                <w:szCs w:val="23"/>
                <w:color w:val="auto"/>
              </w:rPr>
            </w:pPr>
          </w:p>
        </w:tc>
      </w:tr>
      <w:tr>
        <w:trPr>
          <w:trHeight w:val="76"/>
        </w:trPr>
        <w:tc>
          <w:tcPr>
            <w:tcW w:w="800" w:type="dxa"/>
            <w:vAlign w:val="bottom"/>
          </w:tcPr>
          <w:p>
            <w:pPr>
              <w:spacing w:after="0"/>
              <w:rPr>
                <w:sz w:val="6"/>
                <w:szCs w:val="6"/>
                <w:color w:val="auto"/>
              </w:rPr>
            </w:pPr>
          </w:p>
        </w:tc>
        <w:tc>
          <w:tcPr>
            <w:tcW w:w="4400" w:type="dxa"/>
            <w:vAlign w:val="bottom"/>
            <w:shd w:val="clear" w:color="auto" w:fill="000000"/>
          </w:tcPr>
          <w:p>
            <w:pPr>
              <w:spacing w:after="0"/>
              <w:rPr>
                <w:sz w:val="6"/>
                <w:szCs w:val="6"/>
                <w:color w:val="auto"/>
              </w:rPr>
            </w:pPr>
          </w:p>
        </w:tc>
        <w:tc>
          <w:tcPr>
            <w:tcW w:w="400" w:type="dxa"/>
            <w:vAlign w:val="bottom"/>
            <w:shd w:val="clear" w:color="auto" w:fill="000000"/>
          </w:tcPr>
          <w:p>
            <w:pPr>
              <w:spacing w:after="0"/>
              <w:rPr>
                <w:sz w:val="6"/>
                <w:szCs w:val="6"/>
                <w:color w:val="auto"/>
              </w:rPr>
            </w:pPr>
          </w:p>
        </w:tc>
        <w:tc>
          <w:tcPr>
            <w:tcW w:w="72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1060" w:type="dxa"/>
            <w:vAlign w:val="bottom"/>
            <w:shd w:val="clear" w:color="auto" w:fill="000000"/>
          </w:tcPr>
          <w:p>
            <w:pPr>
              <w:spacing w:after="0"/>
              <w:rPr>
                <w:sz w:val="6"/>
                <w:szCs w:val="6"/>
                <w:color w:val="auto"/>
              </w:rPr>
            </w:pPr>
          </w:p>
        </w:tc>
        <w:tc>
          <w:tcPr>
            <w:tcW w:w="1920" w:type="dxa"/>
            <w:vAlign w:val="bottom"/>
            <w:shd w:val="clear" w:color="auto" w:fill="000000"/>
          </w:tcPr>
          <w:p>
            <w:pPr>
              <w:spacing w:after="0"/>
              <w:rPr>
                <w:sz w:val="6"/>
                <w:szCs w:val="6"/>
                <w:color w:val="auto"/>
              </w:rPr>
            </w:pPr>
          </w:p>
        </w:tc>
        <w:tc>
          <w:tcPr>
            <w:tcW w:w="820" w:type="dxa"/>
            <w:vAlign w:val="bottom"/>
          </w:tcPr>
          <w:p>
            <w:pPr>
              <w:spacing w:after="0"/>
              <w:rPr>
                <w:sz w:val="6"/>
                <w:szCs w:val="6"/>
                <w:color w:val="auto"/>
              </w:rPr>
            </w:pPr>
          </w:p>
        </w:tc>
      </w:tr>
      <w:tr>
        <w:trPr>
          <w:trHeight w:val="324"/>
        </w:trPr>
        <w:tc>
          <w:tcPr>
            <w:tcW w:w="800" w:type="dxa"/>
            <w:vAlign w:val="bottom"/>
          </w:tcPr>
          <w:p>
            <w:pPr>
              <w:spacing w:after="0"/>
              <w:rPr>
                <w:sz w:val="24"/>
                <w:szCs w:val="24"/>
                <w:color w:val="auto"/>
              </w:rPr>
            </w:pPr>
          </w:p>
        </w:tc>
        <w:tc>
          <w:tcPr>
            <w:tcW w:w="4400" w:type="dxa"/>
            <w:vAlign w:val="bottom"/>
            <w:tcBorders>
              <w:bottom w:val="single" w:sz="8" w:color="auto"/>
            </w:tcBorders>
            <w:shd w:val="clear" w:color="auto" w:fill="000000"/>
          </w:tcPr>
          <w:p>
            <w:pPr>
              <w:spacing w:after="0"/>
              <w:rPr>
                <w:sz w:val="24"/>
                <w:szCs w:val="24"/>
                <w:color w:val="auto"/>
              </w:rPr>
            </w:pPr>
          </w:p>
        </w:tc>
        <w:tc>
          <w:tcPr>
            <w:tcW w:w="400" w:type="dxa"/>
            <w:vAlign w:val="bottom"/>
            <w:tcBorders>
              <w:bottom w:val="single" w:sz="8" w:color="auto"/>
            </w:tcBorders>
            <w:shd w:val="clear" w:color="auto" w:fill="000000"/>
          </w:tcPr>
          <w:p>
            <w:pPr>
              <w:spacing w:after="0"/>
              <w:rPr>
                <w:sz w:val="24"/>
                <w:szCs w:val="24"/>
                <w:color w:val="auto"/>
              </w:rPr>
            </w:pPr>
          </w:p>
        </w:tc>
        <w:tc>
          <w:tcPr>
            <w:tcW w:w="72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4"/>
                <w:szCs w:val="14"/>
                <w:b w:val="1"/>
                <w:bCs w:val="1"/>
                <w:color w:val="FFFFFF"/>
              </w:rPr>
              <w:t>Female</w:t>
            </w:r>
          </w:p>
        </w:tc>
        <w:tc>
          <w:tcPr>
            <w:tcW w:w="900" w:type="dxa"/>
            <w:vAlign w:val="bottom"/>
            <w:tcBorders>
              <w:bottom w:val="single" w:sz="8" w:color="auto"/>
            </w:tcBorders>
            <w:shd w:val="clear" w:color="auto" w:fill="000000"/>
          </w:tcPr>
          <w:p>
            <w:pPr>
              <w:ind w:left="200"/>
              <w:spacing w:after="0"/>
              <w:rPr>
                <w:sz w:val="20"/>
                <w:szCs w:val="20"/>
                <w:color w:val="auto"/>
              </w:rPr>
            </w:pPr>
            <w:r>
              <w:rPr>
                <w:rFonts w:ascii="Arial" w:cs="Arial" w:eastAsia="Arial" w:hAnsi="Arial"/>
                <w:sz w:val="14"/>
                <w:szCs w:val="14"/>
                <w:b w:val="1"/>
                <w:bCs w:val="1"/>
                <w:color w:val="FFFFFF"/>
              </w:rPr>
              <w:t>Male</w:t>
            </w:r>
          </w:p>
        </w:tc>
        <w:tc>
          <w:tcPr>
            <w:tcW w:w="1060" w:type="dxa"/>
            <w:vAlign w:val="bottom"/>
            <w:tcBorders>
              <w:bottom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Non-Binary</w:t>
            </w:r>
          </w:p>
        </w:tc>
        <w:tc>
          <w:tcPr>
            <w:tcW w:w="1920" w:type="dxa"/>
            <w:vAlign w:val="bottom"/>
            <w:tcBorders>
              <w:bottom w:val="single" w:sz="8" w:color="auto"/>
            </w:tcBorders>
            <w:shd w:val="clear" w:color="auto" w:fill="000000"/>
          </w:tcPr>
          <w:p>
            <w:pPr>
              <w:ind w:left="240"/>
              <w:spacing w:after="0"/>
              <w:rPr>
                <w:sz w:val="20"/>
                <w:szCs w:val="20"/>
                <w:color w:val="auto"/>
              </w:rPr>
            </w:pPr>
            <w:r>
              <w:rPr>
                <w:rFonts w:ascii="Arial" w:cs="Arial" w:eastAsia="Arial" w:hAnsi="Arial"/>
                <w:sz w:val="14"/>
                <w:szCs w:val="14"/>
                <w:b w:val="1"/>
                <w:bCs w:val="1"/>
                <w:color w:val="FFFFFF"/>
              </w:rPr>
              <w:t>Did Not Disclose Gender</w:t>
            </w:r>
          </w:p>
        </w:tc>
        <w:tc>
          <w:tcPr>
            <w:tcW w:w="820" w:type="dxa"/>
            <w:vAlign w:val="bottom"/>
          </w:tcPr>
          <w:p>
            <w:pPr>
              <w:spacing w:after="0"/>
              <w:rPr>
                <w:sz w:val="24"/>
                <w:szCs w:val="24"/>
                <w:color w:val="auto"/>
              </w:rPr>
            </w:pPr>
          </w:p>
        </w:tc>
      </w:tr>
      <w:tr>
        <w:trPr>
          <w:trHeight w:val="268"/>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Part I: Gender Identity</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Directors</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3</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4</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69"/>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Part II: Demographic Background</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African American or Black</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Alaskan Native or Native American</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Asian</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69"/>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Hispanic or Latinx</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Native Hawaiian or Pacific Islander</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White</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4</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69"/>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Two or More Races or Ethnicities</w:t>
            </w:r>
          </w:p>
        </w:tc>
        <w:tc>
          <w:tcPr>
            <w:tcW w:w="400" w:type="dxa"/>
            <w:vAlign w:val="bottom"/>
          </w:tcPr>
          <w:p>
            <w:pPr>
              <w:spacing w:after="0"/>
              <w:rPr>
                <w:sz w:val="23"/>
                <w:szCs w:val="23"/>
                <w:color w:val="auto"/>
              </w:rPr>
            </w:pPr>
          </w:p>
        </w:tc>
        <w:tc>
          <w:tcPr>
            <w:tcW w:w="720" w:type="dxa"/>
            <w:vAlign w:val="bottom"/>
          </w:tcPr>
          <w:p>
            <w:pPr>
              <w:jc w:val="center"/>
              <w:ind w:right="129"/>
              <w:spacing w:after="0"/>
              <w:rPr>
                <w:sz w:val="20"/>
                <w:szCs w:val="20"/>
                <w:color w:val="auto"/>
              </w:rPr>
            </w:pPr>
            <w:r>
              <w:rPr>
                <w:rFonts w:ascii="Arial" w:cs="Arial" w:eastAsia="Arial" w:hAnsi="Arial"/>
                <w:sz w:val="14"/>
                <w:szCs w:val="14"/>
                <w:color w:val="auto"/>
              </w:rPr>
              <w:t>1</w:t>
            </w:r>
          </w:p>
        </w:tc>
        <w:tc>
          <w:tcPr>
            <w:tcW w:w="900" w:type="dxa"/>
            <w:vAlign w:val="bottom"/>
          </w:tcPr>
          <w:p>
            <w:pPr>
              <w:jc w:val="center"/>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2740" w:type="dxa"/>
            <w:vAlign w:val="bottom"/>
            <w:gridSpan w:val="2"/>
          </w:tcPr>
          <w:p>
            <w:pPr>
              <w:ind w:left="980"/>
              <w:spacing w:after="0"/>
              <w:rPr>
                <w:sz w:val="20"/>
                <w:szCs w:val="20"/>
                <w:color w:val="auto"/>
              </w:rPr>
            </w:pPr>
            <w:r>
              <w:rPr>
                <w:rFonts w:ascii="Arial" w:cs="Arial" w:eastAsia="Arial" w:hAnsi="Arial"/>
                <w:sz w:val="14"/>
                <w:szCs w:val="14"/>
                <w:color w:val="auto"/>
              </w:rPr>
              <w:t>—</w:t>
            </w:r>
          </w:p>
        </w:tc>
      </w:tr>
      <w:tr>
        <w:trPr>
          <w:trHeight w:val="69"/>
        </w:trPr>
        <w:tc>
          <w:tcPr>
            <w:tcW w:w="800" w:type="dxa"/>
            <w:vAlign w:val="bottom"/>
          </w:tcPr>
          <w:p>
            <w:pPr>
              <w:spacing w:after="0"/>
              <w:rPr>
                <w:sz w:val="6"/>
                <w:szCs w:val="6"/>
                <w:color w:val="auto"/>
              </w:rPr>
            </w:pPr>
          </w:p>
        </w:tc>
        <w:tc>
          <w:tcPr>
            <w:tcW w:w="44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LGBTQ+</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jc w:val="center"/>
              <w:ind w:right="148"/>
              <w:spacing w:after="0"/>
              <w:rPr>
                <w:sz w:val="20"/>
                <w:szCs w:val="20"/>
                <w:color w:val="auto"/>
              </w:rPr>
            </w:pPr>
            <w:r>
              <w:rPr>
                <w:rFonts w:ascii="Arial" w:cs="Arial" w:eastAsia="Arial" w:hAnsi="Arial"/>
                <w:sz w:val="14"/>
                <w:szCs w:val="14"/>
                <w:color w:val="auto"/>
              </w:rPr>
              <w:t>1</w:t>
            </w: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70"/>
        </w:trPr>
        <w:tc>
          <w:tcPr>
            <w:tcW w:w="800" w:type="dxa"/>
            <w:vAlign w:val="bottom"/>
          </w:tcPr>
          <w:p>
            <w:pPr>
              <w:spacing w:after="0"/>
              <w:rPr>
                <w:sz w:val="6"/>
                <w:szCs w:val="6"/>
                <w:color w:val="auto"/>
              </w:rPr>
            </w:pPr>
          </w:p>
        </w:tc>
        <w:tc>
          <w:tcPr>
            <w:tcW w:w="4400" w:type="dxa"/>
            <w:vAlign w:val="bottom"/>
            <w:tcBorders>
              <w:bottom w:val="single" w:sz="8" w:color="999999"/>
            </w:tcBorders>
          </w:tcPr>
          <w:p>
            <w:pPr>
              <w:spacing w:after="0"/>
              <w:rPr>
                <w:sz w:val="6"/>
                <w:szCs w:val="6"/>
                <w:color w:val="auto"/>
              </w:rPr>
            </w:pPr>
          </w:p>
        </w:tc>
        <w:tc>
          <w:tcPr>
            <w:tcW w:w="400" w:type="dxa"/>
            <w:vAlign w:val="bottom"/>
            <w:tcBorders>
              <w:bottom w:val="single" w:sz="8" w:color="999999"/>
            </w:tcBorders>
          </w:tcPr>
          <w:p>
            <w:pPr>
              <w:spacing w:after="0"/>
              <w:rPr>
                <w:sz w:val="6"/>
                <w:szCs w:val="6"/>
                <w:color w:val="auto"/>
              </w:rPr>
            </w:pPr>
          </w:p>
        </w:tc>
        <w:tc>
          <w:tcPr>
            <w:tcW w:w="720" w:type="dxa"/>
            <w:vAlign w:val="bottom"/>
            <w:tcBorders>
              <w:bottom w:val="single" w:sz="8" w:color="999999"/>
            </w:tcBorders>
          </w:tcPr>
          <w:p>
            <w:pPr>
              <w:spacing w:after="0"/>
              <w:rPr>
                <w:sz w:val="6"/>
                <w:szCs w:val="6"/>
                <w:color w:val="auto"/>
              </w:rPr>
            </w:pPr>
          </w:p>
        </w:tc>
        <w:tc>
          <w:tcPr>
            <w:tcW w:w="900" w:type="dxa"/>
            <w:vAlign w:val="bottom"/>
            <w:tcBorders>
              <w:bottom w:val="single" w:sz="8" w:color="999999"/>
            </w:tcBorders>
          </w:tcPr>
          <w:p>
            <w:pPr>
              <w:spacing w:after="0"/>
              <w:rPr>
                <w:sz w:val="6"/>
                <w:szCs w:val="6"/>
                <w:color w:val="auto"/>
              </w:rPr>
            </w:pPr>
          </w:p>
        </w:tc>
        <w:tc>
          <w:tcPr>
            <w:tcW w:w="1060" w:type="dxa"/>
            <w:vAlign w:val="bottom"/>
            <w:tcBorders>
              <w:bottom w:val="single" w:sz="8" w:color="999999"/>
            </w:tcBorders>
          </w:tcPr>
          <w:p>
            <w:pPr>
              <w:spacing w:after="0"/>
              <w:rPr>
                <w:sz w:val="6"/>
                <w:szCs w:val="6"/>
                <w:color w:val="auto"/>
              </w:rPr>
            </w:pPr>
          </w:p>
        </w:tc>
        <w:tc>
          <w:tcPr>
            <w:tcW w:w="1920" w:type="dxa"/>
            <w:vAlign w:val="bottom"/>
            <w:tcBorders>
              <w:bottom w:val="single" w:sz="8" w:color="999999"/>
            </w:tcBorders>
          </w:tcPr>
          <w:p>
            <w:pPr>
              <w:spacing w:after="0"/>
              <w:rPr>
                <w:sz w:val="6"/>
                <w:szCs w:val="6"/>
                <w:color w:val="auto"/>
              </w:rPr>
            </w:pPr>
          </w:p>
        </w:tc>
        <w:tc>
          <w:tcPr>
            <w:tcW w:w="820" w:type="dxa"/>
            <w:vAlign w:val="bottom"/>
          </w:tcPr>
          <w:p>
            <w:pPr>
              <w:spacing w:after="0"/>
              <w:rPr>
                <w:sz w:val="6"/>
                <w:szCs w:val="6"/>
                <w:color w:val="auto"/>
              </w:rPr>
            </w:pPr>
          </w:p>
        </w:tc>
      </w:tr>
      <w:tr>
        <w:trPr>
          <w:trHeight w:val="275"/>
        </w:trPr>
        <w:tc>
          <w:tcPr>
            <w:tcW w:w="800" w:type="dxa"/>
            <w:vAlign w:val="bottom"/>
          </w:tcPr>
          <w:p>
            <w:pPr>
              <w:spacing w:after="0"/>
              <w:rPr>
                <w:sz w:val="23"/>
                <w:szCs w:val="23"/>
                <w:color w:val="auto"/>
              </w:rPr>
            </w:pPr>
          </w:p>
        </w:tc>
        <w:tc>
          <w:tcPr>
            <w:tcW w:w="4400" w:type="dxa"/>
            <w:vAlign w:val="bottom"/>
          </w:tcPr>
          <w:p>
            <w:pPr>
              <w:ind w:left="80"/>
              <w:spacing w:after="0"/>
              <w:rPr>
                <w:sz w:val="20"/>
                <w:szCs w:val="20"/>
                <w:color w:val="auto"/>
              </w:rPr>
            </w:pPr>
            <w:r>
              <w:rPr>
                <w:rFonts w:ascii="Arial" w:cs="Arial" w:eastAsia="Arial" w:hAnsi="Arial"/>
                <w:sz w:val="14"/>
                <w:szCs w:val="14"/>
                <w:b w:val="1"/>
                <w:bCs w:val="1"/>
                <w:color w:val="40C0C0"/>
              </w:rPr>
              <w:t>Did Not Disclose Demographic Background</w:t>
            </w: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color w:val="auto"/>
                <w:w w:val="99"/>
              </w:rPr>
              <w:t>—</w:t>
            </w: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10"/>
        </w:trPr>
        <w:tc>
          <w:tcPr>
            <w:tcW w:w="800" w:type="dxa"/>
            <w:vAlign w:val="bottom"/>
          </w:tcPr>
          <w:p>
            <w:pPr>
              <w:spacing w:after="0"/>
              <w:rPr>
                <w:sz w:val="9"/>
                <w:szCs w:val="9"/>
                <w:color w:val="auto"/>
              </w:rPr>
            </w:pPr>
          </w:p>
        </w:tc>
        <w:tc>
          <w:tcPr>
            <w:tcW w:w="44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2"/>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r>
      <w:tr>
        <w:trPr>
          <w:trHeight w:val="209"/>
        </w:trPr>
        <w:tc>
          <w:tcPr>
            <w:tcW w:w="800" w:type="dxa"/>
            <w:vAlign w:val="bottom"/>
          </w:tcPr>
          <w:p>
            <w:pPr>
              <w:spacing w:after="0"/>
              <w:rPr>
                <w:sz w:val="18"/>
                <w:szCs w:val="18"/>
                <w:color w:val="auto"/>
              </w:rPr>
            </w:pPr>
          </w:p>
        </w:tc>
        <w:tc>
          <w:tcPr>
            <w:tcW w:w="4400" w:type="dxa"/>
            <w:vAlign w:val="bottom"/>
            <w:tcBorders>
              <w:bottom w:val="single" w:sz="8" w:color="40C0C0"/>
            </w:tcBorders>
          </w:tcPr>
          <w:p>
            <w:pPr>
              <w:spacing w:after="0"/>
              <w:rPr>
                <w:sz w:val="18"/>
                <w:szCs w:val="18"/>
                <w:color w:val="auto"/>
              </w:rPr>
            </w:pPr>
          </w:p>
        </w:tc>
        <w:tc>
          <w:tcPr>
            <w:tcW w:w="400" w:type="dxa"/>
            <w:vAlign w:val="bottom"/>
            <w:tcBorders>
              <w:bottom w:val="single" w:sz="8" w:color="40C0C0"/>
            </w:tcBorders>
          </w:tcPr>
          <w:p>
            <w:pPr>
              <w:spacing w:after="0"/>
              <w:rPr>
                <w:sz w:val="18"/>
                <w:szCs w:val="18"/>
                <w:color w:val="auto"/>
              </w:rPr>
            </w:pPr>
          </w:p>
        </w:tc>
        <w:tc>
          <w:tcPr>
            <w:tcW w:w="1620" w:type="dxa"/>
            <w:vAlign w:val="bottom"/>
            <w:tcBorders>
              <w:bottom w:val="single" w:sz="8" w:color="40C0C0"/>
            </w:tcBorders>
            <w:gridSpan w:val="2"/>
          </w:tcPr>
          <w:p>
            <w:pPr>
              <w:spacing w:after="0"/>
              <w:rPr>
                <w:sz w:val="18"/>
                <w:szCs w:val="18"/>
                <w:color w:val="auto"/>
              </w:rPr>
            </w:pPr>
          </w:p>
        </w:tc>
        <w:tc>
          <w:tcPr>
            <w:tcW w:w="1060" w:type="dxa"/>
            <w:vAlign w:val="bottom"/>
            <w:tcBorders>
              <w:bottom w:val="single" w:sz="8" w:color="40C0C0"/>
            </w:tcBorders>
          </w:tcPr>
          <w:p>
            <w:pPr>
              <w:spacing w:after="0"/>
              <w:rPr>
                <w:sz w:val="18"/>
                <w:szCs w:val="18"/>
                <w:color w:val="auto"/>
              </w:rPr>
            </w:pPr>
          </w:p>
        </w:tc>
        <w:tc>
          <w:tcPr>
            <w:tcW w:w="1920" w:type="dxa"/>
            <w:vAlign w:val="bottom"/>
            <w:tcBorders>
              <w:bottom w:val="single" w:sz="8" w:color="40C0C0"/>
            </w:tcBorders>
          </w:tcPr>
          <w:p>
            <w:pPr>
              <w:spacing w:after="0"/>
              <w:rPr>
                <w:sz w:val="18"/>
                <w:szCs w:val="18"/>
                <w:color w:val="auto"/>
              </w:rPr>
            </w:pPr>
          </w:p>
        </w:tc>
        <w:tc>
          <w:tcPr>
            <w:tcW w:w="820" w:type="dxa"/>
            <w:vAlign w:val="bottom"/>
          </w:tcPr>
          <w:p>
            <w:pPr>
              <w:spacing w:after="0"/>
              <w:rPr>
                <w:sz w:val="18"/>
                <w:szCs w:val="18"/>
                <w:color w:val="auto"/>
              </w:rPr>
            </w:pPr>
          </w:p>
        </w:tc>
      </w:tr>
      <w:tr>
        <w:trPr>
          <w:trHeight w:val="418"/>
        </w:trPr>
        <w:tc>
          <w:tcPr>
            <w:tcW w:w="800" w:type="dxa"/>
            <w:vAlign w:val="bottom"/>
          </w:tcPr>
          <w:p>
            <w:pPr>
              <w:spacing w:after="0"/>
              <w:rPr>
                <w:sz w:val="24"/>
                <w:szCs w:val="24"/>
                <w:color w:val="auto"/>
              </w:rPr>
            </w:pPr>
          </w:p>
        </w:tc>
        <w:tc>
          <w:tcPr>
            <w:tcW w:w="4400" w:type="dxa"/>
            <w:vAlign w:val="bottom"/>
          </w:tcPr>
          <w:p>
            <w:pPr>
              <w:ind w:left="3080"/>
              <w:spacing w:after="0"/>
              <w:rPr>
                <w:sz w:val="20"/>
                <w:szCs w:val="20"/>
                <w:color w:val="auto"/>
              </w:rPr>
            </w:pPr>
            <w:r>
              <w:rPr>
                <w:rFonts w:ascii="Arial" w:cs="Arial" w:eastAsia="Arial" w:hAnsi="Arial"/>
                <w:sz w:val="13"/>
                <w:szCs w:val="13"/>
                <w:b w:val="1"/>
                <w:bCs w:val="1"/>
                <w:color w:val="auto"/>
              </w:rPr>
              <w:t>WM Technology, Inc.</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13</w:t>
            </w:r>
          </w:p>
        </w:tc>
        <w:tc>
          <w:tcPr>
            <w:tcW w:w="1620" w:type="dxa"/>
            <w:vAlign w:val="bottom"/>
            <w:gridSpan w:val="2"/>
          </w:tcPr>
          <w:p>
            <w:pPr>
              <w:ind w:left="300"/>
              <w:spacing w:after="0"/>
              <w:rPr>
                <w:sz w:val="20"/>
                <w:szCs w:val="20"/>
                <w:color w:val="auto"/>
              </w:rPr>
            </w:pPr>
            <w:r>
              <w:rPr>
                <w:rFonts w:ascii="Arial" w:cs="Arial" w:eastAsia="Arial" w:hAnsi="Arial"/>
                <w:sz w:val="13"/>
                <w:szCs w:val="13"/>
                <w:color w:val="auto"/>
              </w:rPr>
              <w:t>2024 Proxy Statement</w:t>
            </w: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1"/>
        </w:trPr>
        <w:tc>
          <w:tcPr>
            <w:tcW w:w="800" w:type="dxa"/>
            <w:vAlign w:val="bottom"/>
            <w:tcBorders>
              <w:bottom w:val="single" w:sz="8" w:color="auto"/>
            </w:tcBorders>
          </w:tcPr>
          <w:p>
            <w:pPr>
              <w:spacing w:after="0"/>
              <w:rPr>
                <w:sz w:val="23"/>
                <w:szCs w:val="23"/>
                <w:color w:val="auto"/>
              </w:rPr>
            </w:pPr>
          </w:p>
        </w:tc>
        <w:tc>
          <w:tcPr>
            <w:tcW w:w="44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114"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400"/>
        <w:spacing w:after="0" w:line="255" w:lineRule="auto"/>
        <w:rPr>
          <w:sz w:val="20"/>
          <w:szCs w:val="20"/>
          <w:color w:val="auto"/>
        </w:rPr>
      </w:pPr>
      <w:r>
        <w:rPr>
          <w:rFonts w:ascii="Arial" w:cs="Arial" w:eastAsia="Arial" w:hAnsi="Arial"/>
          <w:sz w:val="58"/>
          <w:szCs w:val="58"/>
          <w:color w:val="auto"/>
        </w:rPr>
        <w:t>Information Regarding the Board of Directors and Corporate Governance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Director Independence</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As required under the Nasdaq Stock Market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32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titled “Related Person Transactions” that occurred during any 12-month period within the last three fiscal years.</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Board Leadership Structure</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Role of the Board in Risk Oversight</w:t>
      </w:r>
    </w:p>
    <w:p>
      <w:pPr>
        <w:spacing w:after="0" w:line="166"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 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Meetings of the Board of Directors</w:t>
      </w:r>
    </w:p>
    <w:p>
      <w:pPr>
        <w:spacing w:after="0" w:line="16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As required under applicable Nasdaq listing standards, in 2023, the Company’s independent directors met six times in regularly scheduled executive sessions at which only independent directors were present.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Information Regarding Committees of the Board of Directors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3980" w:type="dxa"/>
            <w:vAlign w:val="bottom"/>
            <w:shd w:val="clear" w:color="auto" w:fill="000000"/>
          </w:tcPr>
          <w:p>
            <w:pPr>
              <w:spacing w:after="0"/>
              <w:rPr>
                <w:sz w:val="24"/>
                <w:szCs w:val="24"/>
                <w:color w:val="auto"/>
              </w:rPr>
            </w:pPr>
          </w:p>
        </w:tc>
        <w:tc>
          <w:tcPr>
            <w:tcW w:w="1280" w:type="dxa"/>
            <w:vAlign w:val="bottom"/>
            <w:shd w:val="clear" w:color="auto" w:fill="000000"/>
          </w:tcPr>
          <w:p>
            <w:pPr>
              <w:spacing w:after="0"/>
              <w:rPr>
                <w:sz w:val="24"/>
                <w:szCs w:val="24"/>
                <w:color w:val="auto"/>
              </w:rPr>
            </w:pPr>
          </w:p>
        </w:tc>
        <w:tc>
          <w:tcPr>
            <w:tcW w:w="1500" w:type="dxa"/>
            <w:vAlign w:val="bottom"/>
            <w:shd w:val="clear" w:color="auto" w:fill="000000"/>
          </w:tcPr>
          <w:p>
            <w:pPr>
              <w:spacing w:after="0"/>
              <w:rPr>
                <w:sz w:val="24"/>
                <w:szCs w:val="24"/>
                <w:color w:val="auto"/>
              </w:rPr>
            </w:pPr>
          </w:p>
        </w:tc>
        <w:tc>
          <w:tcPr>
            <w:tcW w:w="1440" w:type="dxa"/>
            <w:vAlign w:val="bottom"/>
            <w:shd w:val="clear" w:color="auto" w:fill="000000"/>
          </w:tcPr>
          <w:p>
            <w:pPr>
              <w:jc w:val="center"/>
              <w:ind w:right="8"/>
              <w:spacing w:after="0"/>
              <w:rPr>
                <w:sz w:val="20"/>
                <w:szCs w:val="20"/>
                <w:color w:val="auto"/>
              </w:rPr>
            </w:pPr>
            <w:r>
              <w:rPr>
                <w:rFonts w:ascii="Arial" w:cs="Arial" w:eastAsia="Arial" w:hAnsi="Arial"/>
                <w:sz w:val="14"/>
                <w:szCs w:val="14"/>
                <w:b w:val="1"/>
                <w:bCs w:val="1"/>
                <w:color w:val="FFFFFF"/>
              </w:rPr>
              <w:t>Nominating and</w:t>
            </w:r>
          </w:p>
        </w:tc>
        <w:tc>
          <w:tcPr>
            <w:tcW w:w="1200" w:type="dxa"/>
            <w:vAlign w:val="bottom"/>
            <w:shd w:val="clear" w:color="auto" w:fill="000000"/>
          </w:tcPr>
          <w:p>
            <w:pPr>
              <w:spacing w:after="0"/>
              <w:rPr>
                <w:sz w:val="24"/>
                <w:szCs w:val="24"/>
                <w:color w:val="auto"/>
              </w:rPr>
            </w:pPr>
          </w:p>
        </w:tc>
      </w:tr>
      <w:tr>
        <w:trPr>
          <w:trHeight w:val="162"/>
        </w:trPr>
        <w:tc>
          <w:tcPr>
            <w:tcW w:w="3980" w:type="dxa"/>
            <w:vAlign w:val="bottom"/>
            <w:shd w:val="clear" w:color="auto" w:fill="000000"/>
          </w:tcPr>
          <w:p>
            <w:pPr>
              <w:spacing w:after="0"/>
              <w:rPr>
                <w:sz w:val="14"/>
                <w:szCs w:val="14"/>
                <w:color w:val="auto"/>
              </w:rPr>
            </w:pPr>
          </w:p>
        </w:tc>
        <w:tc>
          <w:tcPr>
            <w:tcW w:w="1280" w:type="dxa"/>
            <w:vAlign w:val="bottom"/>
            <w:shd w:val="clear" w:color="auto" w:fill="000000"/>
          </w:tcPr>
          <w:p>
            <w:pPr>
              <w:spacing w:after="0"/>
              <w:rPr>
                <w:sz w:val="14"/>
                <w:szCs w:val="14"/>
                <w:color w:val="auto"/>
              </w:rPr>
            </w:pPr>
          </w:p>
        </w:tc>
        <w:tc>
          <w:tcPr>
            <w:tcW w:w="1500" w:type="dxa"/>
            <w:vAlign w:val="bottom"/>
            <w:shd w:val="clear" w:color="auto" w:fill="000000"/>
          </w:tcPr>
          <w:p>
            <w:pPr>
              <w:spacing w:after="0"/>
              <w:rPr>
                <w:sz w:val="14"/>
                <w:szCs w:val="14"/>
                <w:color w:val="auto"/>
              </w:rPr>
            </w:pPr>
          </w:p>
        </w:tc>
        <w:tc>
          <w:tcPr>
            <w:tcW w:w="1440" w:type="dxa"/>
            <w:vAlign w:val="bottom"/>
            <w:shd w:val="clear" w:color="auto" w:fill="000000"/>
          </w:tcPr>
          <w:p>
            <w:pPr>
              <w:jc w:val="center"/>
              <w:ind w:right="8"/>
              <w:spacing w:after="0"/>
              <w:rPr>
                <w:sz w:val="20"/>
                <w:szCs w:val="20"/>
                <w:color w:val="auto"/>
              </w:rPr>
            </w:pPr>
            <w:r>
              <w:rPr>
                <w:rFonts w:ascii="Arial" w:cs="Arial" w:eastAsia="Arial" w:hAnsi="Arial"/>
                <w:sz w:val="14"/>
                <w:szCs w:val="14"/>
                <w:b w:val="1"/>
                <w:bCs w:val="1"/>
                <w:color w:val="FFFFFF"/>
              </w:rPr>
              <w:t>Corporate</w:t>
            </w:r>
          </w:p>
        </w:tc>
        <w:tc>
          <w:tcPr>
            <w:tcW w:w="1200" w:type="dxa"/>
            <w:vAlign w:val="bottom"/>
            <w:shd w:val="clear" w:color="auto" w:fill="000000"/>
          </w:tcPr>
          <w:p>
            <w:pPr>
              <w:spacing w:after="0"/>
              <w:rPr>
                <w:sz w:val="14"/>
                <w:szCs w:val="14"/>
                <w:color w:val="auto"/>
              </w:rPr>
            </w:pPr>
          </w:p>
        </w:tc>
      </w:tr>
      <w:tr>
        <w:trPr>
          <w:trHeight w:val="212"/>
        </w:trPr>
        <w:tc>
          <w:tcPr>
            <w:tcW w:w="3980" w:type="dxa"/>
            <w:vAlign w:val="bottom"/>
            <w:shd w:val="clear" w:color="auto" w:fill="000000"/>
          </w:tcPr>
          <w:p>
            <w:pPr>
              <w:ind w:left="40"/>
              <w:spacing w:after="0"/>
              <w:rPr>
                <w:sz w:val="20"/>
                <w:szCs w:val="20"/>
                <w:color w:val="auto"/>
              </w:rPr>
            </w:pPr>
            <w:r>
              <w:rPr>
                <w:rFonts w:ascii="Arial" w:cs="Arial" w:eastAsia="Arial" w:hAnsi="Arial"/>
                <w:sz w:val="14"/>
                <w:szCs w:val="14"/>
                <w:b w:val="1"/>
                <w:bCs w:val="1"/>
                <w:color w:val="FFFFFF"/>
              </w:rPr>
              <w:t>Director</w:t>
            </w:r>
          </w:p>
        </w:tc>
        <w:tc>
          <w:tcPr>
            <w:tcW w:w="1280" w:type="dxa"/>
            <w:vAlign w:val="bottom"/>
            <w:shd w:val="clear" w:color="auto" w:fill="000000"/>
          </w:tcPr>
          <w:p>
            <w:pPr>
              <w:jc w:val="center"/>
              <w:ind w:left="168"/>
              <w:spacing w:after="0"/>
              <w:rPr>
                <w:sz w:val="20"/>
                <w:szCs w:val="20"/>
                <w:color w:val="auto"/>
              </w:rPr>
            </w:pPr>
            <w:r>
              <w:rPr>
                <w:rFonts w:ascii="Arial" w:cs="Arial" w:eastAsia="Arial" w:hAnsi="Arial"/>
                <w:sz w:val="14"/>
                <w:szCs w:val="14"/>
                <w:b w:val="1"/>
                <w:bCs w:val="1"/>
                <w:color w:val="FFFFFF"/>
              </w:rPr>
              <w:t>Audit</w:t>
            </w:r>
          </w:p>
        </w:tc>
        <w:tc>
          <w:tcPr>
            <w:tcW w:w="1500" w:type="dxa"/>
            <w:vAlign w:val="bottom"/>
            <w:shd w:val="clear" w:color="auto" w:fill="000000"/>
          </w:tcPr>
          <w:p>
            <w:pPr>
              <w:jc w:val="center"/>
              <w:ind w:left="108"/>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Governance</w:t>
            </w:r>
          </w:p>
        </w:tc>
        <w:tc>
          <w:tcPr>
            <w:tcW w:w="120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w w:val="99"/>
              </w:rPr>
              <w:t>Technology</w:t>
            </w:r>
          </w:p>
        </w:tc>
      </w:tr>
      <w:tr>
        <w:trPr>
          <w:trHeight w:val="221"/>
        </w:trPr>
        <w:tc>
          <w:tcPr>
            <w:tcW w:w="3980" w:type="dxa"/>
            <w:vAlign w:val="bottom"/>
          </w:tcPr>
          <w:p>
            <w:pPr>
              <w:ind w:left="40"/>
              <w:spacing w:after="0"/>
              <w:rPr>
                <w:sz w:val="20"/>
                <w:szCs w:val="20"/>
                <w:color w:val="auto"/>
              </w:rPr>
            </w:pPr>
            <w:r>
              <w:rPr>
                <w:rFonts w:ascii="Arial" w:cs="Arial" w:eastAsia="Arial" w:hAnsi="Arial"/>
                <w:sz w:val="14"/>
                <w:szCs w:val="14"/>
                <w:color w:val="40C0C0"/>
              </w:rPr>
              <w:t>Tony Aquila</w:t>
            </w:r>
          </w:p>
        </w:tc>
        <w:tc>
          <w:tcPr>
            <w:tcW w:w="1280" w:type="dxa"/>
            <w:vAlign w:val="bottom"/>
          </w:tcPr>
          <w:p>
            <w:pPr>
              <w:spacing w:after="0"/>
              <w:rPr>
                <w:sz w:val="19"/>
                <w:szCs w:val="19"/>
                <w:color w:val="auto"/>
              </w:rPr>
            </w:pPr>
          </w:p>
        </w:tc>
        <w:tc>
          <w:tcPr>
            <w:tcW w:w="1500" w:type="dxa"/>
            <w:vAlign w:val="bottom"/>
          </w:tcPr>
          <w:p>
            <w:pPr>
              <w:jc w:val="center"/>
              <w:ind w:left="108"/>
              <w:spacing w:after="0"/>
              <w:rPr>
                <w:sz w:val="20"/>
                <w:szCs w:val="20"/>
                <w:color w:val="auto"/>
              </w:rPr>
            </w:pPr>
            <w:r>
              <w:rPr>
                <w:rFonts w:ascii="Arial" w:cs="Arial" w:eastAsia="Arial" w:hAnsi="Arial"/>
                <w:sz w:val="14"/>
                <w:szCs w:val="14"/>
                <w:color w:val="auto"/>
                <w:w w:val="98"/>
              </w:rPr>
              <w:t>X**</w:t>
            </w: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Anthony Bay</w:t>
            </w:r>
          </w:p>
        </w:tc>
        <w:tc>
          <w:tcPr>
            <w:tcW w:w="1280" w:type="dxa"/>
            <w:vAlign w:val="bottom"/>
          </w:tcPr>
          <w:p>
            <w:pPr>
              <w:jc w:val="center"/>
              <w:ind w:left="168"/>
              <w:spacing w:after="0"/>
              <w:rPr>
                <w:sz w:val="20"/>
                <w:szCs w:val="20"/>
                <w:color w:val="auto"/>
              </w:rPr>
            </w:pPr>
            <w:r>
              <w:rPr>
                <w:rFonts w:ascii="Arial" w:cs="Arial" w:eastAsia="Arial" w:hAnsi="Arial"/>
                <w:sz w:val="14"/>
                <w:szCs w:val="14"/>
                <w:color w:val="auto"/>
                <w:w w:val="89"/>
              </w:rPr>
              <w:t>X    </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w w:val="89"/>
              </w:rPr>
              <w:t>X    </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9"/>
                <w:szCs w:val="19"/>
                <w:color w:val="auto"/>
              </w:rPr>
            </w:pP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Douglas Francis*</w:t>
            </w:r>
          </w:p>
        </w:tc>
        <w:tc>
          <w:tcPr>
            <w:tcW w:w="1280" w:type="dxa"/>
            <w:vAlign w:val="bottom"/>
          </w:tcPr>
          <w:p>
            <w:pPr>
              <w:spacing w:after="0"/>
              <w:rPr>
                <w:sz w:val="19"/>
                <w:szCs w:val="19"/>
                <w:color w:val="auto"/>
              </w:rPr>
            </w:pPr>
          </w:p>
        </w:tc>
        <w:tc>
          <w:tcPr>
            <w:tcW w:w="150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9"/>
                <w:szCs w:val="19"/>
                <w:color w:val="auto"/>
              </w:rPr>
            </w:pPr>
          </w:p>
        </w:tc>
        <w:tc>
          <w:tcPr>
            <w:tcW w:w="1200" w:type="dxa"/>
            <w:vAlign w:val="bottom"/>
          </w:tcPr>
          <w:p>
            <w:pPr>
              <w:jc w:val="center"/>
              <w:ind w:left="8"/>
              <w:spacing w:after="0"/>
              <w:rPr>
                <w:sz w:val="20"/>
                <w:szCs w:val="20"/>
                <w:color w:val="auto"/>
              </w:rPr>
            </w:pPr>
            <w:r>
              <w:rPr>
                <w:rFonts w:ascii="Arial" w:cs="Arial" w:eastAsia="Arial" w:hAnsi="Arial"/>
                <w:sz w:val="14"/>
                <w:szCs w:val="14"/>
                <w:color w:val="auto"/>
                <w:w w:val="89"/>
              </w:rPr>
              <w:t>X    </w:t>
            </w: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Brenda Freeman</w:t>
            </w:r>
          </w:p>
        </w:tc>
        <w:tc>
          <w:tcPr>
            <w:tcW w:w="1280" w:type="dxa"/>
            <w:vAlign w:val="bottom"/>
          </w:tcPr>
          <w:p>
            <w:pPr>
              <w:jc w:val="center"/>
              <w:ind w:left="168"/>
              <w:spacing w:after="0"/>
              <w:rPr>
                <w:sz w:val="20"/>
                <w:szCs w:val="20"/>
                <w:color w:val="auto"/>
              </w:rPr>
            </w:pPr>
            <w:r>
              <w:rPr>
                <w:rFonts w:ascii="Arial" w:cs="Arial" w:eastAsia="Arial" w:hAnsi="Arial"/>
                <w:sz w:val="14"/>
                <w:szCs w:val="14"/>
                <w:color w:val="auto"/>
                <w:w w:val="89"/>
              </w:rPr>
              <w:t>X    </w:t>
            </w:r>
          </w:p>
        </w:tc>
        <w:tc>
          <w:tcPr>
            <w:tcW w:w="15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X**</w:t>
            </w:r>
          </w:p>
        </w:tc>
        <w:tc>
          <w:tcPr>
            <w:tcW w:w="1200" w:type="dxa"/>
            <w:vAlign w:val="bottom"/>
          </w:tcPr>
          <w:p>
            <w:pPr>
              <w:spacing w:after="0"/>
              <w:rPr>
                <w:sz w:val="19"/>
                <w:szCs w:val="19"/>
                <w:color w:val="auto"/>
              </w:rPr>
            </w:pP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Olga Gonzalez</w:t>
            </w:r>
          </w:p>
        </w:tc>
        <w:tc>
          <w:tcPr>
            <w:tcW w:w="1280" w:type="dxa"/>
            <w:vAlign w:val="bottom"/>
          </w:tcPr>
          <w:p>
            <w:pPr>
              <w:jc w:val="center"/>
              <w:ind w:left="168"/>
              <w:spacing w:after="0"/>
              <w:rPr>
                <w:sz w:val="20"/>
                <w:szCs w:val="20"/>
                <w:color w:val="auto"/>
              </w:rPr>
            </w:pPr>
            <w:r>
              <w:rPr>
                <w:rFonts w:ascii="Arial" w:cs="Arial" w:eastAsia="Arial" w:hAnsi="Arial"/>
                <w:sz w:val="14"/>
                <w:szCs w:val="14"/>
                <w:color w:val="auto"/>
                <w:w w:val="98"/>
              </w:rPr>
              <w:t>X**</w:t>
            </w:r>
          </w:p>
        </w:tc>
        <w:tc>
          <w:tcPr>
            <w:tcW w:w="1500" w:type="dxa"/>
            <w:vAlign w:val="bottom"/>
          </w:tcPr>
          <w:p>
            <w:pPr>
              <w:jc w:val="center"/>
              <w:ind w:left="148"/>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Scott Gordon</w:t>
            </w:r>
          </w:p>
        </w:tc>
        <w:tc>
          <w:tcPr>
            <w:tcW w:w="1280" w:type="dxa"/>
            <w:vAlign w:val="bottom"/>
          </w:tcPr>
          <w:p>
            <w:pPr>
              <w:jc w:val="center"/>
              <w:ind w:left="168"/>
              <w:spacing w:after="0"/>
              <w:rPr>
                <w:sz w:val="20"/>
                <w:szCs w:val="20"/>
                <w:color w:val="auto"/>
              </w:rPr>
            </w:pPr>
            <w:r>
              <w:rPr>
                <w:rFonts w:ascii="Arial" w:cs="Arial" w:eastAsia="Arial" w:hAnsi="Arial"/>
                <w:sz w:val="14"/>
                <w:szCs w:val="14"/>
                <w:color w:val="auto"/>
                <w:w w:val="89"/>
              </w:rPr>
              <w:t>X    </w:t>
            </w:r>
          </w:p>
        </w:tc>
        <w:tc>
          <w:tcPr>
            <w:tcW w:w="1500" w:type="dxa"/>
            <w:vAlign w:val="bottom"/>
          </w:tcPr>
          <w:p>
            <w:pPr>
              <w:jc w:val="center"/>
              <w:ind w:left="108"/>
              <w:spacing w:after="0"/>
              <w:rPr>
                <w:sz w:val="20"/>
                <w:szCs w:val="20"/>
                <w:color w:val="auto"/>
              </w:rPr>
            </w:pPr>
            <w:r>
              <w:rPr>
                <w:rFonts w:ascii="Arial" w:cs="Arial" w:eastAsia="Arial" w:hAnsi="Arial"/>
                <w:sz w:val="14"/>
                <w:szCs w:val="14"/>
                <w:color w:val="auto"/>
                <w:w w:val="89"/>
              </w:rPr>
              <w:t>X    </w:t>
            </w:r>
          </w:p>
        </w:tc>
        <w:tc>
          <w:tcPr>
            <w:tcW w:w="1440" w:type="dxa"/>
            <w:vAlign w:val="bottom"/>
          </w:tcPr>
          <w:p>
            <w:pPr>
              <w:jc w:val="center"/>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9"/>
                <w:szCs w:val="19"/>
                <w:color w:val="auto"/>
              </w:rPr>
            </w:pP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Fiona Tan</w:t>
            </w:r>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X    </w:t>
            </w: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35"/>
        </w:trPr>
        <w:tc>
          <w:tcPr>
            <w:tcW w:w="3980" w:type="dxa"/>
            <w:vAlign w:val="bottom"/>
            <w:tcBorders>
              <w:bottom w:val="single" w:sz="8" w:color="999999"/>
            </w:tcBorders>
          </w:tcPr>
          <w:p>
            <w:pPr>
              <w:spacing w:after="0"/>
              <w:rPr>
                <w:sz w:val="3"/>
                <w:szCs w:val="3"/>
                <w:color w:val="auto"/>
              </w:rPr>
            </w:pPr>
          </w:p>
        </w:tc>
        <w:tc>
          <w:tcPr>
            <w:tcW w:w="1280" w:type="dxa"/>
            <w:vAlign w:val="bottom"/>
            <w:tcBorders>
              <w:bottom w:val="single" w:sz="8" w:color="999999"/>
            </w:tcBorders>
          </w:tcPr>
          <w:p>
            <w:pPr>
              <w:spacing w:after="0"/>
              <w:rPr>
                <w:sz w:val="3"/>
                <w:szCs w:val="3"/>
                <w:color w:val="auto"/>
              </w:rPr>
            </w:pPr>
          </w:p>
        </w:tc>
        <w:tc>
          <w:tcPr>
            <w:tcW w:w="1500" w:type="dxa"/>
            <w:vAlign w:val="bottom"/>
            <w:tcBorders>
              <w:bottom w:val="single" w:sz="8" w:color="999999"/>
            </w:tcBorders>
          </w:tcPr>
          <w:p>
            <w:pPr>
              <w:spacing w:after="0"/>
              <w:rPr>
                <w:sz w:val="3"/>
                <w:szCs w:val="3"/>
                <w:color w:val="auto"/>
              </w:rPr>
            </w:pPr>
          </w:p>
        </w:tc>
        <w:tc>
          <w:tcPr>
            <w:tcW w:w="1440" w:type="dxa"/>
            <w:vAlign w:val="bottom"/>
            <w:tcBorders>
              <w:bottom w:val="single" w:sz="8" w:color="999999"/>
            </w:tcBorders>
          </w:tcPr>
          <w:p>
            <w:pPr>
              <w:spacing w:after="0"/>
              <w:rPr>
                <w:sz w:val="3"/>
                <w:szCs w:val="3"/>
                <w:color w:val="auto"/>
              </w:rPr>
            </w:pPr>
          </w:p>
        </w:tc>
        <w:tc>
          <w:tcPr>
            <w:tcW w:w="1200" w:type="dxa"/>
            <w:vAlign w:val="bottom"/>
            <w:tcBorders>
              <w:bottom w:val="single" w:sz="8" w:color="999999"/>
            </w:tcBorders>
          </w:tcPr>
          <w:p>
            <w:pPr>
              <w:spacing w:after="0"/>
              <w:rPr>
                <w:sz w:val="3"/>
                <w:szCs w:val="3"/>
                <w:color w:val="auto"/>
              </w:rPr>
            </w:pPr>
          </w:p>
        </w:tc>
      </w:tr>
      <w:tr>
        <w:trPr>
          <w:trHeight w:val="228"/>
        </w:trPr>
        <w:tc>
          <w:tcPr>
            <w:tcW w:w="3980" w:type="dxa"/>
            <w:vAlign w:val="bottom"/>
          </w:tcPr>
          <w:p>
            <w:pPr>
              <w:ind w:left="40"/>
              <w:spacing w:after="0"/>
              <w:rPr>
                <w:sz w:val="20"/>
                <w:szCs w:val="20"/>
                <w:color w:val="auto"/>
              </w:rPr>
            </w:pPr>
            <w:r>
              <w:rPr>
                <w:rFonts w:ascii="Arial" w:cs="Arial" w:eastAsia="Arial" w:hAnsi="Arial"/>
                <w:sz w:val="14"/>
                <w:szCs w:val="14"/>
                <w:color w:val="40C0C0"/>
              </w:rPr>
              <w:t>Total meetings in the year ended December 31, 2023</w:t>
            </w:r>
          </w:p>
        </w:tc>
        <w:tc>
          <w:tcPr>
            <w:tcW w:w="1280" w:type="dxa"/>
            <w:vAlign w:val="bottom"/>
          </w:tcPr>
          <w:p>
            <w:pPr>
              <w:jc w:val="center"/>
              <w:ind w:left="168"/>
              <w:spacing w:after="0"/>
              <w:rPr>
                <w:sz w:val="20"/>
                <w:szCs w:val="20"/>
                <w:color w:val="auto"/>
              </w:rPr>
            </w:pPr>
            <w:r>
              <w:rPr>
                <w:rFonts w:ascii="Arial" w:cs="Arial" w:eastAsia="Arial" w:hAnsi="Arial"/>
                <w:sz w:val="14"/>
                <w:szCs w:val="14"/>
                <w:color w:val="auto"/>
                <w:w w:val="95"/>
              </w:rPr>
              <w:t>8    </w:t>
            </w:r>
          </w:p>
        </w:tc>
        <w:tc>
          <w:tcPr>
            <w:tcW w:w="1500" w:type="dxa"/>
            <w:vAlign w:val="bottom"/>
          </w:tcPr>
          <w:p>
            <w:pPr>
              <w:jc w:val="center"/>
              <w:ind w:left="128"/>
              <w:spacing w:after="0"/>
              <w:rPr>
                <w:sz w:val="20"/>
                <w:szCs w:val="20"/>
                <w:color w:val="auto"/>
              </w:rPr>
            </w:pPr>
            <w:r>
              <w:rPr>
                <w:rFonts w:ascii="Arial" w:cs="Arial" w:eastAsia="Arial" w:hAnsi="Arial"/>
                <w:sz w:val="14"/>
                <w:szCs w:val="14"/>
                <w:color w:val="auto"/>
                <w:w w:val="87"/>
              </w:rPr>
              <w:t>9    </w:t>
            </w:r>
          </w:p>
        </w:tc>
        <w:tc>
          <w:tcPr>
            <w:tcW w:w="1440" w:type="dxa"/>
            <w:vAlign w:val="bottom"/>
          </w:tcPr>
          <w:p>
            <w:pPr>
              <w:jc w:val="center"/>
              <w:spacing w:after="0"/>
              <w:rPr>
                <w:sz w:val="20"/>
                <w:szCs w:val="20"/>
                <w:color w:val="auto"/>
              </w:rPr>
            </w:pPr>
            <w:r>
              <w:rPr>
                <w:rFonts w:ascii="Arial" w:cs="Arial" w:eastAsia="Arial" w:hAnsi="Arial"/>
                <w:sz w:val="14"/>
                <w:szCs w:val="14"/>
                <w:color w:val="auto"/>
                <w:w w:val="87"/>
              </w:rPr>
              <w:t>3    </w:t>
            </w:r>
          </w:p>
        </w:tc>
        <w:tc>
          <w:tcPr>
            <w:tcW w:w="1200" w:type="dxa"/>
            <w:vAlign w:val="bottom"/>
          </w:tcPr>
          <w:p>
            <w:pPr>
              <w:jc w:val="center"/>
              <w:spacing w:after="0"/>
              <w:rPr>
                <w:sz w:val="20"/>
                <w:szCs w:val="20"/>
                <w:color w:val="auto"/>
              </w:rPr>
            </w:pPr>
            <w:r>
              <w:rPr>
                <w:rFonts w:ascii="Arial" w:cs="Arial" w:eastAsia="Arial" w:hAnsi="Arial"/>
                <w:sz w:val="14"/>
                <w:szCs w:val="14"/>
                <w:color w:val="auto"/>
                <w:w w:val="87"/>
              </w:rPr>
              <w:t>4    </w:t>
            </w:r>
          </w:p>
        </w:tc>
      </w:tr>
      <w:tr>
        <w:trPr>
          <w:trHeight w:val="89"/>
        </w:trPr>
        <w:tc>
          <w:tcPr>
            <w:tcW w:w="39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r>
    </w:tbl>
    <w:p>
      <w:pPr>
        <w:spacing w:after="0" w:line="198" w:lineRule="exact"/>
        <w:rPr>
          <w:sz w:val="20"/>
          <w:szCs w:val="20"/>
          <w:color w:val="auto"/>
        </w:rPr>
      </w:pPr>
    </w:p>
    <w:p>
      <w:pPr>
        <w:ind w:left="240" w:hanging="234"/>
        <w:spacing w:after="0"/>
        <w:tabs>
          <w:tab w:leader="none" w:pos="24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Executive Chair</w:t>
      </w:r>
    </w:p>
    <w:p>
      <w:pPr>
        <w:spacing w:after="0" w:line="67" w:lineRule="exact"/>
        <w:rPr>
          <w:sz w:val="20"/>
          <w:szCs w:val="20"/>
          <w:color w:val="auto"/>
        </w:rPr>
      </w:pPr>
    </w:p>
    <w:p>
      <w:pPr>
        <w:ind w:left="240" w:hanging="234"/>
        <w:spacing w:after="0"/>
        <w:tabs>
          <w:tab w:leader="none" w:pos="24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Committee Chairperson</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Audit Committee</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Audit Committee consists of Mses. Gonzalez and Freeman and Messrs. Bay and Gordon. The Board has determined that each of the members of the Audit Committee satisfy the independence requirements of Rule 5605(c)(2)(A)(i)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26"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this committee include, among other things, to:</w:t>
      </w:r>
    </w:p>
    <w:p>
      <w:pPr>
        <w:spacing w:after="0" w:line="86" w:lineRule="exact"/>
        <w:rPr>
          <w:sz w:val="20"/>
          <w:szCs w:val="20"/>
          <w:color w:val="auto"/>
        </w:rPr>
      </w:pPr>
    </w:p>
    <w:p>
      <w:pPr>
        <w:ind w:left="600" w:right="120" w:hanging="288"/>
        <w:spacing w:after="0" w:line="286"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 oversee the work of our independent registered public accounting firm;</w:t>
      </w:r>
    </w:p>
    <w:p>
      <w:pPr>
        <w:spacing w:after="0" w:line="7" w:lineRule="exact"/>
        <w:rPr>
          <w:rFonts w:ascii="Arial" w:cs="Arial" w:eastAsia="Arial" w:hAnsi="Arial"/>
          <w:sz w:val="16"/>
          <w:szCs w:val="16"/>
          <w:color w:val="auto"/>
        </w:rPr>
      </w:pPr>
    </w:p>
    <w:p>
      <w:pPr>
        <w:ind w:left="600" w:right="260" w:hanging="288"/>
        <w:spacing w:after="0" w:line="286"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approve engagements of the independent registered public accounting firm to render any audit or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qualifications, independence and performance of the independent registered public accounting firm;</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our financial statements and review our critical accounting policies and estimates;</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approve related party transactions;</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adequacy and effectiveness of our internal controls; and</w:t>
      </w:r>
    </w:p>
    <w:p>
      <w:pPr>
        <w:spacing w:after="0" w:line="72" w:lineRule="exact"/>
        <w:rPr>
          <w:rFonts w:ascii="Arial" w:cs="Arial" w:eastAsia="Arial" w:hAnsi="Arial"/>
          <w:sz w:val="16"/>
          <w:szCs w:val="16"/>
          <w:color w:val="auto"/>
        </w:rPr>
      </w:pPr>
    </w:p>
    <w:p>
      <w:pPr>
        <w:ind w:left="600" w:right="60" w:hanging="288"/>
        <w:spacing w:after="0" w:line="266" w:lineRule="auto"/>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Report of the Audit Committee of the Board of Directors</w:t>
      </w:r>
      <w:r>
        <w:rPr>
          <w:rFonts w:ascii="Arial" w:cs="Arial" w:eastAsia="Arial" w:hAnsi="Arial"/>
          <w:sz w:val="35"/>
          <w:szCs w:val="35"/>
          <w:b w:val="1"/>
          <w:bCs w:val="1"/>
          <w:color w:val="40C0C0"/>
          <w:vertAlign w:val="superscript"/>
        </w:rPr>
        <w:t>(1)</w:t>
      </w:r>
    </w:p>
    <w:p>
      <w:pPr>
        <w:spacing w:after="0" w:line="7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Audit Committee has reviewed and discussed the audited financial statements for the fiscal year ended December 31, 2023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Olga Gonzalez (Chairperson)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Brenda Freeman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Scott Gordon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Anthony Bay</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Committee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Compensation Committee include, among other things, to:</w:t>
      </w:r>
    </w:p>
    <w:p>
      <w:pPr>
        <w:spacing w:after="0" w:line="73" w:lineRule="exact"/>
        <w:rPr>
          <w:sz w:val="20"/>
          <w:szCs w:val="20"/>
          <w:color w:val="auto"/>
        </w:rPr>
      </w:pPr>
    </w:p>
    <w:p>
      <w:pPr>
        <w:ind w:left="600" w:hanging="288"/>
        <w:spacing w:after="0"/>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review and recommend policies relating to compensation and benefits of our officers and employees;</w:t>
      </w:r>
    </w:p>
    <w:p>
      <w:pPr>
        <w:spacing w:after="0" w:line="86" w:lineRule="exact"/>
        <w:rPr>
          <w:rFonts w:ascii="Arial" w:cs="Arial" w:eastAsia="Arial" w:hAnsi="Arial"/>
          <w:sz w:val="16"/>
          <w:szCs w:val="16"/>
          <w:color w:val="auto"/>
        </w:rPr>
      </w:pPr>
    </w:p>
    <w:p>
      <w:pPr>
        <w:ind w:left="600" w:hanging="288"/>
        <w:spacing w:after="0" w:line="286" w:lineRule="auto"/>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review and approve corporate goals and objectives relevant to compensation of our chief executive officer and other senior officers;</w:t>
      </w:r>
    </w:p>
    <w:p>
      <w:pPr>
        <w:spacing w:after="0" w:line="7" w:lineRule="exact"/>
        <w:rPr>
          <w:rFonts w:ascii="Arial" w:cs="Arial" w:eastAsia="Arial" w:hAnsi="Arial"/>
          <w:sz w:val="16"/>
          <w:szCs w:val="16"/>
          <w:color w:val="auto"/>
        </w:rPr>
      </w:pPr>
    </w:p>
    <w:p>
      <w:pPr>
        <w:ind w:left="600" w:hanging="288"/>
        <w:spacing w:after="0"/>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 the performance of our officers in light of established goals and objectives;</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recommend compensation of our officers based on its evaluations; and</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administer the issuance of stock options and other awards under our stock plans.</w:t>
      </w:r>
    </w:p>
    <w:p>
      <w:pPr>
        <w:spacing w:after="0" w:line="136" w:lineRule="exact"/>
        <w:rPr>
          <w:rFonts w:ascii="Arial" w:cs="Arial" w:eastAsia="Arial" w:hAnsi="Arial"/>
          <w:sz w:val="16"/>
          <w:szCs w:val="16"/>
          <w:color w:val="auto"/>
        </w:rPr>
      </w:pPr>
    </w:p>
    <w:p>
      <w:pPr>
        <w:ind w:left="240" w:right="60" w:hanging="234"/>
        <w:spacing w:after="0" w:line="236" w:lineRule="auto"/>
        <w:tabs>
          <w:tab w:leader="none" w:pos="24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-319405</wp:posOffset>
            </wp:positionV>
            <wp:extent cx="822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133985</wp:posOffset>
            </wp:positionV>
            <wp:extent cx="59664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17</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Committee Processes and Procedures</w:t>
      </w:r>
    </w:p>
    <w:p>
      <w:pPr>
        <w:spacing w:after="0" w:line="166"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 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13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During the past fiscal year, after taking into consideration those factors prescribed by the SEC and Nasdaq, the Compensation Committee engaged Compensia Inc. (“Compensia”) as compensation consultants.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2023, Compensia provided the following services:</w:t>
      </w:r>
    </w:p>
    <w:p>
      <w:pPr>
        <w:spacing w:after="0" w:line="86" w:lineRule="exact"/>
        <w:rPr>
          <w:sz w:val="20"/>
          <w:szCs w:val="20"/>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Discussion and Analysis drafting and review for the Proxy Statement for the 2023 Annual Meeting;</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assisted the Compensation Committee in refreshing our compensation peer group;</w:t>
      </w:r>
    </w:p>
    <w:p>
      <w:pPr>
        <w:spacing w:after="0" w:line="72" w:lineRule="exact"/>
        <w:rPr>
          <w:rFonts w:ascii="Arial" w:cs="Arial" w:eastAsia="Arial" w:hAnsi="Arial"/>
          <w:sz w:val="16"/>
          <w:szCs w:val="16"/>
          <w:color w:val="auto"/>
        </w:rPr>
      </w:pPr>
    </w:p>
    <w:p>
      <w:pPr>
        <w:ind w:left="600" w:right="40" w:hanging="288"/>
        <w:spacing w:after="0" w:line="266"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36" w:lineRule="exact"/>
        <w:rPr>
          <w:rFonts w:ascii="Arial" w:cs="Arial" w:eastAsia="Arial" w:hAnsi="Arial"/>
          <w:sz w:val="16"/>
          <w:szCs w:val="16"/>
          <w:color w:val="auto"/>
        </w:rPr>
      </w:pPr>
    </w:p>
    <w:p>
      <w:pPr>
        <w:ind w:left="600" w:right="280" w:hanging="288"/>
        <w:spacing w:after="0" w:line="286"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provided guidance on other compensation topics including clawback programs, equity design and programs, burn rates and overhang levels, and ad hoc market data and practices.</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134" w:lineRule="exact"/>
        <w:rPr>
          <w:sz w:val="20"/>
          <w:szCs w:val="20"/>
          <w:color w:val="auto"/>
        </w:rPr>
      </w:pPr>
    </w:p>
    <w:p>
      <w:pPr>
        <w:ind w:right="700"/>
        <w:spacing w:after="0" w:line="266" w:lineRule="auto"/>
        <w:rPr>
          <w:sz w:val="20"/>
          <w:szCs w:val="20"/>
          <w:color w:val="auto"/>
        </w:rPr>
      </w:pPr>
      <w:r>
        <w:rPr>
          <w:rFonts w:ascii="Arial" w:cs="Arial" w:eastAsia="Arial" w:hAnsi="Arial"/>
          <w:sz w:val="16"/>
          <w:szCs w:val="16"/>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18</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Nominating and Corporate Governance Committee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Nominating and Corporate Governance Committee include, among other things, to:</w:t>
      </w:r>
    </w:p>
    <w:p>
      <w:pPr>
        <w:spacing w:after="0" w:line="73" w:lineRule="exact"/>
        <w:rPr>
          <w:sz w:val="20"/>
          <w:szCs w:val="20"/>
          <w:color w:val="auto"/>
        </w:rPr>
      </w:pPr>
    </w:p>
    <w:p>
      <w:pPr>
        <w:ind w:left="600" w:hanging="28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 and make recommendations regarding the organization and governance of the Board and its committees;</w:t>
      </w:r>
    </w:p>
    <w:p>
      <w:pPr>
        <w:spacing w:after="0" w:line="72" w:lineRule="exact"/>
        <w:rPr>
          <w:rFonts w:ascii="Arial" w:cs="Arial" w:eastAsia="Arial" w:hAnsi="Arial"/>
          <w:sz w:val="16"/>
          <w:szCs w:val="16"/>
          <w:color w:val="auto"/>
        </w:rPr>
      </w:pPr>
    </w:p>
    <w:p>
      <w:pPr>
        <w:ind w:left="600" w:right="440" w:hanging="288"/>
        <w:spacing w:after="0" w:line="286"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 the performance of members of the Board and make recommendations regarding committee and chairperson assignments;</w:t>
      </w:r>
    </w:p>
    <w:p>
      <w:pPr>
        <w:spacing w:after="0" w:line="20" w:lineRule="exact"/>
        <w:rPr>
          <w:rFonts w:ascii="Arial" w:cs="Arial" w:eastAsia="Arial" w:hAnsi="Arial"/>
          <w:sz w:val="16"/>
          <w:szCs w:val="16"/>
          <w:color w:val="auto"/>
        </w:rPr>
      </w:pPr>
    </w:p>
    <w:p>
      <w:pPr>
        <w:ind w:left="600" w:hanging="28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recommend desired qualifications for Board membership and conduct searches for potential members of the Board; and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 and make recommendations with regard to our corporate governance guidelines.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32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59664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19</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Technology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Committee consists of Ms. Tan and Mr. Francis. Ms. Tan serves as the Chairperson of the Technology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Technology Committee met four times during 2023.</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functions of the Technology Committee include, among other things, to:</w:t>
      </w:r>
    </w:p>
    <w:p>
      <w:pPr>
        <w:spacing w:after="0" w:line="86" w:lineRule="exact"/>
        <w:rPr>
          <w:sz w:val="20"/>
          <w:szCs w:val="20"/>
          <w:color w:val="auto"/>
        </w:rPr>
      </w:pPr>
    </w:p>
    <w:p>
      <w:pPr>
        <w:ind w:left="600" w:right="400" w:hanging="288"/>
        <w:spacing w:after="0" w:line="286"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 and make recommendations regarding our major technology developments, technology related systems and architecture;</w:t>
      </w:r>
    </w:p>
    <w:p>
      <w:pPr>
        <w:spacing w:after="0" w:line="7" w:lineRule="exact"/>
        <w:rPr>
          <w:rFonts w:ascii="Arial" w:cs="Arial" w:eastAsia="Arial" w:hAnsi="Arial"/>
          <w:sz w:val="16"/>
          <w:szCs w:val="16"/>
          <w:color w:val="auto"/>
        </w:rPr>
      </w:pPr>
    </w:p>
    <w:p>
      <w:pPr>
        <w:ind w:left="600" w:right="200" w:hanging="288"/>
        <w:spacing w:after="0" w:line="286"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 the formulation, definition, tracking, retention and reporting of our key metrics, performance indicators and other operational data, and help ensure effective internal and disclosure controls related to such data;</w:t>
      </w:r>
    </w:p>
    <w:p>
      <w:pPr>
        <w:spacing w:after="0" w:line="7" w:lineRule="exact"/>
        <w:rPr>
          <w:rFonts w:ascii="Arial" w:cs="Arial" w:eastAsia="Arial" w:hAnsi="Arial"/>
          <w:sz w:val="16"/>
          <w:szCs w:val="16"/>
          <w:color w:val="auto"/>
        </w:rPr>
      </w:pPr>
    </w:p>
    <w:p>
      <w:pPr>
        <w:ind w:left="600" w:right="40" w:hanging="288"/>
        <w:spacing w:after="0" w:line="286"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 guidance regarding significant emerging technology issues and trends that may affect our business and strategies; and.</w:t>
      </w:r>
    </w:p>
    <w:p>
      <w:pPr>
        <w:spacing w:after="0" w:line="20" w:lineRule="exact"/>
        <w:rPr>
          <w:rFonts w:ascii="Arial" w:cs="Arial" w:eastAsia="Arial" w:hAnsi="Arial"/>
          <w:sz w:val="16"/>
          <w:szCs w:val="16"/>
          <w:color w:val="auto"/>
        </w:rPr>
      </w:pPr>
    </w:p>
    <w:p>
      <w:pPr>
        <w:ind w:left="600" w:right="520" w:hanging="288"/>
        <w:spacing w:after="0" w:line="286"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 and provide guidance regarding our technology risk management, including our policies and procedures with respect to technology and its uses including cybersecurity, reporting and data system management.</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Stockholder Communications with the Board of Directors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Code of Conduct</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Corporate Governance Guidelines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20</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Hedging and Pledging Policy</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5966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Proposal No. 2</w:t>
      </w:r>
    </w:p>
    <w:p>
      <w:pPr>
        <w:spacing w:after="0" w:line="53" w:lineRule="exact"/>
        <w:rPr>
          <w:sz w:val="20"/>
          <w:szCs w:val="20"/>
          <w:color w:val="auto"/>
        </w:rPr>
      </w:pPr>
    </w:p>
    <w:p>
      <w:pPr>
        <w:spacing w:after="0" w:line="248" w:lineRule="auto"/>
        <w:rPr>
          <w:sz w:val="20"/>
          <w:szCs w:val="20"/>
          <w:color w:val="auto"/>
        </w:rPr>
      </w:pPr>
      <w:r>
        <w:rPr>
          <w:rFonts w:ascii="Arial" w:cs="Arial" w:eastAsia="Arial" w:hAnsi="Arial"/>
          <w:sz w:val="57"/>
          <w:szCs w:val="57"/>
          <w:color w:val="auto"/>
        </w:rPr>
        <w:t>Advisory Vote, on a Non-Binding Basis, to Approve the Compensation of Our Named Executive Officers for the Year Ended 2023</w:t>
      </w:r>
    </w:p>
    <w:p>
      <w:pPr>
        <w:spacing w:after="0" w:line="120" w:lineRule="exact"/>
        <w:rPr>
          <w:sz w:val="20"/>
          <w:szCs w:val="20"/>
          <w:color w:val="auto"/>
        </w:rPr>
      </w:pPr>
    </w:p>
    <w:p>
      <w:pPr>
        <w:ind w:right="40"/>
        <w:spacing w:after="0" w:line="326" w:lineRule="auto"/>
        <w:rPr>
          <w:sz w:val="20"/>
          <w:szCs w:val="20"/>
          <w:color w:val="auto"/>
        </w:rPr>
      </w:pPr>
      <w:r>
        <w:rPr>
          <w:rFonts w:ascii="Arial" w:cs="Arial" w:eastAsia="Arial" w:hAnsi="Arial"/>
          <w:sz w:val="16"/>
          <w:szCs w:val="16"/>
          <w:color w:val="auto"/>
        </w:rPr>
        <w:t>Pursuant to Section 14A of the Exchange Act, at the 2022 Annual Meeting of Stockholders, our stockholders indicated their preference that the Company solicit a non-binding advisory vote on the compensation of the Named Executive Officers, commonly referred to as a “say-on-pay vote,” every year. The Board has adopted a policy that is consistent with that preference. In accordance with that policy, this year, the Company is again asking our stockholders to approve, on an advisory basis, the compensation of the Company’s named executive officers as disclosed in this proxy statement in accordance with SEC rules.</w:t>
      </w:r>
    </w:p>
    <w:p>
      <w:pPr>
        <w:spacing w:after="0" w:line="87" w:lineRule="exact"/>
        <w:rPr>
          <w:sz w:val="20"/>
          <w:szCs w:val="20"/>
          <w:color w:val="auto"/>
        </w:rPr>
      </w:pPr>
    </w:p>
    <w:p>
      <w:pPr>
        <w:ind w:right="120"/>
        <w:spacing w:after="0" w:line="322"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Executive Compensation section, the compensation tables, and the related narrative disclosure contained in this Proxy Statement. As discussed in those disclosures, the Company believes that its compensation policies and decisions are reasonable, competitive, and appropriately balance the goals of attracting, motivating, rewarding, and retaining its Named Executive Officers with the goal of aligning their interests with those of the stockholders. Compensation of the Company’s Named Executive Officers is designed to enable the Company to attract and retain talented and experienced executives to lead the Company successfully in a competitive environment.</w:t>
      </w:r>
    </w:p>
    <w:p>
      <w:pPr>
        <w:spacing w:after="0" w:line="104" w:lineRule="exact"/>
        <w:rPr>
          <w:sz w:val="20"/>
          <w:szCs w:val="20"/>
          <w:color w:val="auto"/>
        </w:rPr>
      </w:pPr>
    </w:p>
    <w:p>
      <w:pPr>
        <w:ind w:right="400"/>
        <w:spacing w:after="0" w:line="336" w:lineRule="auto"/>
        <w:rPr>
          <w:sz w:val="20"/>
          <w:szCs w:val="20"/>
          <w:color w:val="auto"/>
        </w:rPr>
      </w:pPr>
      <w:r>
        <w:rPr>
          <w:rFonts w:ascii="Arial" w:cs="Arial" w:eastAsia="Arial" w:hAnsi="Arial"/>
          <w:sz w:val="16"/>
          <w:szCs w:val="16"/>
          <w:color w:val="auto"/>
        </w:rPr>
        <w:t>Accordingly, the Board is asking the Company’s stockholders to indicate their support for the compensation of the Company’s Named Executive Officers as described in this Proxy Statement by casting a non-binding advisory vote “FOR” the following resolution:</w:t>
      </w:r>
    </w:p>
    <w:p>
      <w:pPr>
        <w:spacing w:after="0" w:line="78" w:lineRule="exact"/>
        <w:rPr>
          <w:sz w:val="20"/>
          <w:szCs w:val="20"/>
          <w:color w:val="auto"/>
        </w:rPr>
      </w:pPr>
    </w:p>
    <w:p>
      <w:pPr>
        <w:ind w:left="360" w:right="120"/>
        <w:spacing w:after="0" w:line="356"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tables and narrative discussion is hereby APPROVED.”</w:t>
      </w:r>
    </w:p>
    <w:p>
      <w:pPr>
        <w:spacing w:after="0" w:line="62" w:lineRule="exact"/>
        <w:rPr>
          <w:sz w:val="20"/>
          <w:szCs w:val="20"/>
          <w:color w:val="auto"/>
        </w:rPr>
      </w:pPr>
    </w:p>
    <w:p>
      <w:pPr>
        <w:spacing w:after="0" w:line="330" w:lineRule="auto"/>
        <w:rPr>
          <w:sz w:val="20"/>
          <w:szCs w:val="20"/>
          <w:color w:val="auto"/>
        </w:rPr>
      </w:pPr>
      <w:r>
        <w:rPr>
          <w:rFonts w:ascii="Arial" w:cs="Arial" w:eastAsia="Arial" w:hAnsi="Arial"/>
          <w:sz w:val="16"/>
          <w:szCs w:val="16"/>
          <w:color w:val="auto"/>
        </w:rPr>
        <w:t>Because the vote is advisory, it is not binding on the Board or the Company.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95" w:lineRule="exact"/>
        <w:rPr>
          <w:sz w:val="20"/>
          <w:szCs w:val="20"/>
          <w:color w:val="auto"/>
        </w:rPr>
      </w:pPr>
    </w:p>
    <w:p>
      <w:pPr>
        <w:ind w:right="180"/>
        <w:spacing w:after="0" w:line="330" w:lineRule="auto"/>
        <w:rPr>
          <w:sz w:val="20"/>
          <w:szCs w:val="20"/>
          <w:color w:val="auto"/>
        </w:rPr>
      </w:pPr>
      <w:r>
        <w:rPr>
          <w:rFonts w:ascii="Arial" w:cs="Arial" w:eastAsia="Arial" w:hAnsi="Arial"/>
          <w:sz w:val="16"/>
          <w:szCs w:val="16"/>
          <w:color w:val="auto"/>
        </w:rPr>
        <w:t>Advisory approval of this proposal requires the vote of the holders of a majority in voting power of the shares of Common Stock present or represented by proxy and entitled to vote on the matter at the Annual Meeting. Unless the Board decides to modify its policy regarding the frequency of soliciting advisory votes on the compensation of the Company’s Named Executive Officers, the next scheduled say-on-pay vote will be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189230</wp:posOffset>
            </wp:positionV>
            <wp:extent cx="41148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Proposal No. 3</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auto"/>
        </w:rPr>
        <w:t>Ratification of Selection of</w:t>
      </w:r>
    </w:p>
    <w:p>
      <w:pPr>
        <w:spacing w:after="0" w:line="238" w:lineRule="auto"/>
        <w:rPr>
          <w:sz w:val="20"/>
          <w:szCs w:val="20"/>
          <w:color w:val="auto"/>
        </w:rPr>
      </w:pPr>
      <w:r>
        <w:rPr>
          <w:rFonts w:ascii="Arial" w:cs="Arial" w:eastAsia="Arial" w:hAnsi="Arial"/>
          <w:sz w:val="58"/>
          <w:szCs w:val="58"/>
          <w:color w:val="auto"/>
        </w:rPr>
        <w:t>Independent Registered Public</w:t>
      </w:r>
    </w:p>
    <w:p>
      <w:pPr>
        <w:spacing w:after="0"/>
        <w:rPr>
          <w:sz w:val="20"/>
          <w:szCs w:val="20"/>
          <w:color w:val="auto"/>
        </w:rPr>
      </w:pPr>
      <w:r>
        <w:rPr>
          <w:rFonts w:ascii="Arial" w:cs="Arial" w:eastAsia="Arial" w:hAnsi="Arial"/>
          <w:sz w:val="58"/>
          <w:szCs w:val="58"/>
          <w:color w:val="auto"/>
        </w:rPr>
        <w:t>Accounting Firm</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Audit Committee has selected Moss Adams as our independent registered public accounting firm for the year ending December 31, 2024 and has further directed that management submit the selection of its independent registered public accounting firm for ratification by the stockholders at the annual meeting. Moss Adams has audited our financial statements since the year ended December 31, 2023. Representatives of Moss Adams are expected to be present at the Annual Meeting. They will have an opportunity to make a statement if they so desire and will be available to respond to appropriate questions.</w:t>
      </w:r>
    </w:p>
    <w:p>
      <w:pPr>
        <w:spacing w:after="0" w:line="126"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Moss Adams as our independent registered public accounting firm. However, the Audit Committee is submitting the selection of Moss Adams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for us and our stockholders.</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affirmative vote of the holders of a majority in voting power of the shares present by remote communication or represented by proxy and entitled to vote on the matter at the annual meeting will be required to ratify the selection of Moss Adams.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Change in Independent Registered Accounting Firm</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On August 2, 2023, the Audit Committee approved the engagement of Moss Adams as our independent registered public accounting firm to audit our consolidated financial statements for the year ending December 31, 2023, in place of Baker Tilly US, LLP (“Baker Tilly”). As previously disclosed, on June 8, 2023, we were notified by Baker Tilly of its decision to resign as our independent registered public accounting firm due to staffing constraints within Baker Tilly, effective immediately following the filing of our Quarterly Report on Form 10-Q for the quarter ended June 30, 2023. The audit reports of Baker Tilly relating to the Company’s financial statements as of and for the years ended December 31, 2022 and 2021 did not contain any adverse opinion or disclaimer of opinion and were not qualified or modified as to uncertainty, audit scope, or accounting principles.</w:t>
      </w:r>
    </w:p>
    <w:p>
      <w:pPr>
        <w:spacing w:after="0" w:line="12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the years ended December 31, 2022 and 2021 and the subsequent interim period through June 14, 2023, there were no (i) disagreements, within the meaning of Item 304(a)(1)(iv) of Regulation S-K promulgated under the Securities Exchange Act of 1934, as amended (“Regulation S-K”), and the related instructions thereto, with Baker Tilly on any matter of accounting principles or practices, financial statement disclosure, or auditing scope or procedure, which disagreements, if not resolved to the satisfaction of Baker Tilly, would have caused Baker Tilly to make reference to the subject matter of the disagreements in connection with its reports; or (ii) reportable events within the meaning of Item 304(a)(1)(v) of Regulation S-K and the related instructions thereto, except that as disclosed in the Company’s Annual Report on Form 10-K for the year ended December 31, 2022, the Company reported that its internal control over financial reporting was not effective as of December 31, 2022 due to a material weakness in its internal controls resulting from ineffective information technology general controls in the areas of user access and program change-management over certain information technology systems that support its financial reporting processes.</w:t>
      </w:r>
    </w:p>
    <w:p>
      <w:pPr>
        <w:spacing w:after="0" w:line="13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Baker Tilly did not seek the Company’s consent to its decision to resign as the Company’s independent registered public accounting firm. As a result, the Company’s Board of Directors or Audit Committee did not recommend or approve such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5966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23</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We previously provided Baker Tilly with a copy of the foregoing disclosures and received from Baker Tilly a letter addressed to the SEC stating that it agreed with the statements made by the Company as set forth in Item 4.01 of the Current Report on Form 8-K dated June 14, 2023. The letter from Baker Tilly was filed as Exhibit 16.1 to our Current Report on Form 8-K filed with the SEC on June 14, 2023.</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Principal Accountant Fees and Services</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represents aggregate fees billed to the Company for the years ended December 31, 2023 and 2022, by Moss Adams, the Company’s principal accountant, and Baker Tilly, the Company’s previous principal accountant.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5320" w:type="dxa"/>
            <w:vAlign w:val="bottom"/>
            <w:shd w:val="clear" w:color="auto" w:fill="000000"/>
          </w:tcPr>
          <w:p>
            <w:pPr>
              <w:spacing w:after="0"/>
              <w:rPr>
                <w:sz w:val="24"/>
                <w:szCs w:val="24"/>
                <w:color w:val="auto"/>
              </w:rPr>
            </w:pPr>
          </w:p>
        </w:tc>
        <w:tc>
          <w:tcPr>
            <w:tcW w:w="23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Year​</w:t>
            </w:r>
          </w:p>
        </w:tc>
        <w:tc>
          <w:tcPr>
            <w:tcW w:w="1780" w:type="dxa"/>
            <w:vAlign w:val="bottom"/>
            <w:shd w:val="clear" w:color="auto" w:fill="000000"/>
          </w:tcPr>
          <w:p>
            <w:pPr>
              <w:ind w:left="20"/>
              <w:spacing w:after="0"/>
              <w:rPr>
                <w:sz w:val="20"/>
                <w:szCs w:val="20"/>
                <w:color w:val="auto"/>
              </w:rPr>
            </w:pPr>
            <w:r>
              <w:rPr>
                <w:rFonts w:ascii="Arial" w:cs="Arial" w:eastAsia="Arial" w:hAnsi="Arial"/>
                <w:sz w:val="14"/>
                <w:szCs w:val="14"/>
                <w:b w:val="1"/>
                <w:bCs w:val="1"/>
                <w:color w:val="FFFFFF"/>
              </w:rPr>
              <w:t>Ended December 31</w:t>
            </w:r>
          </w:p>
        </w:tc>
      </w:tr>
      <w:tr>
        <w:trPr>
          <w:trHeight w:val="76"/>
        </w:trPr>
        <w:tc>
          <w:tcPr>
            <w:tcW w:w="5320" w:type="dxa"/>
            <w:vAlign w:val="bottom"/>
            <w:shd w:val="clear" w:color="auto" w:fill="000000"/>
          </w:tcPr>
          <w:p>
            <w:pPr>
              <w:spacing w:after="0"/>
              <w:rPr>
                <w:sz w:val="6"/>
                <w:szCs w:val="6"/>
                <w:color w:val="auto"/>
              </w:rPr>
            </w:pPr>
          </w:p>
        </w:tc>
        <w:tc>
          <w:tcPr>
            <w:tcW w:w="2300" w:type="dxa"/>
            <w:vAlign w:val="bottom"/>
            <w:shd w:val="clear" w:color="auto" w:fill="000000"/>
          </w:tcPr>
          <w:p>
            <w:pPr>
              <w:spacing w:after="0"/>
              <w:rPr>
                <w:sz w:val="6"/>
                <w:szCs w:val="6"/>
                <w:color w:val="auto"/>
              </w:rPr>
            </w:pPr>
          </w:p>
        </w:tc>
        <w:tc>
          <w:tcPr>
            <w:tcW w:w="1780" w:type="dxa"/>
            <w:vAlign w:val="bottom"/>
            <w:shd w:val="clear" w:color="auto" w:fill="000000"/>
          </w:tcPr>
          <w:p>
            <w:pPr>
              <w:spacing w:after="0"/>
              <w:rPr>
                <w:sz w:val="6"/>
                <w:szCs w:val="6"/>
                <w:color w:val="auto"/>
              </w:rPr>
            </w:pPr>
          </w:p>
        </w:tc>
      </w:tr>
      <w:tr>
        <w:trPr>
          <w:trHeight w:val="324"/>
        </w:trPr>
        <w:tc>
          <w:tcPr>
            <w:tcW w:w="5320" w:type="dxa"/>
            <w:vAlign w:val="bottom"/>
            <w:tcBorders>
              <w:bottom w:val="single" w:sz="8" w:color="auto"/>
            </w:tcBorders>
            <w:shd w:val="clear" w:color="auto" w:fill="000000"/>
          </w:tcPr>
          <w:p>
            <w:pPr>
              <w:spacing w:after="0"/>
              <w:rPr>
                <w:sz w:val="24"/>
                <w:szCs w:val="24"/>
                <w:color w:val="auto"/>
              </w:rPr>
            </w:pPr>
          </w:p>
        </w:tc>
        <w:tc>
          <w:tcPr>
            <w:tcW w:w="2300" w:type="dxa"/>
            <w:vAlign w:val="bottom"/>
            <w:tcBorders>
              <w:bottom w:val="single" w:sz="8" w:color="auto"/>
            </w:tcBorders>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2023</w:t>
            </w:r>
          </w:p>
        </w:tc>
        <w:tc>
          <w:tcPr>
            <w:tcW w:w="1780" w:type="dxa"/>
            <w:vAlign w:val="bottom"/>
            <w:tcBorders>
              <w:bottom w:val="single" w:sz="8" w:color="auto"/>
            </w:tcBorders>
            <w:shd w:val="clear" w:color="auto" w:fill="000000"/>
          </w:tcPr>
          <w:p>
            <w:pPr>
              <w:ind w:left="1460"/>
              <w:spacing w:after="0"/>
              <w:rPr>
                <w:sz w:val="20"/>
                <w:szCs w:val="20"/>
                <w:color w:val="auto"/>
              </w:rPr>
            </w:pPr>
            <w:r>
              <w:rPr>
                <w:rFonts w:ascii="Arial" w:cs="Arial" w:eastAsia="Arial" w:hAnsi="Arial"/>
                <w:sz w:val="14"/>
                <w:szCs w:val="14"/>
                <w:b w:val="1"/>
                <w:bCs w:val="1"/>
                <w:color w:val="FFFFFF"/>
                <w:w w:val="96"/>
              </w:rPr>
              <w:t>​2022</w:t>
            </w:r>
          </w:p>
        </w:tc>
      </w:tr>
      <w:tr>
        <w:trPr>
          <w:trHeight w:val="364"/>
        </w:trPr>
        <w:tc>
          <w:tcPr>
            <w:tcW w:w="5320" w:type="dxa"/>
            <w:vAlign w:val="bottom"/>
            <w:tcBorders>
              <w:bottom w:val="single" w:sz="8" w:color="999999"/>
            </w:tcBorders>
          </w:tcPr>
          <w:p>
            <w:pPr>
              <w:ind w:left="60"/>
              <w:spacing w:after="0"/>
              <w:rPr>
                <w:sz w:val="20"/>
                <w:szCs w:val="20"/>
                <w:color w:val="auto"/>
              </w:rPr>
            </w:pPr>
            <w:r>
              <w:rPr>
                <w:rFonts w:ascii="Arial" w:cs="Arial" w:eastAsia="Arial" w:hAnsi="Arial"/>
                <w:sz w:val="14"/>
                <w:szCs w:val="14"/>
                <w:b w:val="1"/>
                <w:bCs w:val="1"/>
                <w:color w:val="40C0C0"/>
              </w:rPr>
              <w:t>Audit Fees</w:t>
            </w:r>
            <w:r>
              <w:rPr>
                <w:rFonts w:ascii="Arial" w:cs="Arial" w:eastAsia="Arial" w:hAnsi="Arial"/>
                <w:sz w:val="23"/>
                <w:szCs w:val="23"/>
                <w:b w:val="1"/>
                <w:bCs w:val="1"/>
                <w:color w:val="40C0C0"/>
                <w:vertAlign w:val="superscript"/>
              </w:rPr>
              <w:t>(1)</w:t>
            </w:r>
          </w:p>
        </w:tc>
        <w:tc>
          <w:tcPr>
            <w:tcW w:w="230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$2,106,100</w:t>
            </w:r>
          </w:p>
        </w:tc>
        <w:tc>
          <w:tcPr>
            <w:tcW w:w="1780" w:type="dxa"/>
            <w:vAlign w:val="bottom"/>
            <w:tcBorders>
              <w:bottom w:val="single" w:sz="8" w:color="999999"/>
            </w:tcBorders>
          </w:tcPr>
          <w:p>
            <w:pPr>
              <w:ind w:left="1140"/>
              <w:spacing w:after="0"/>
              <w:rPr>
                <w:sz w:val="20"/>
                <w:szCs w:val="20"/>
                <w:color w:val="auto"/>
              </w:rPr>
            </w:pPr>
            <w:r>
              <w:rPr>
                <w:rFonts w:ascii="Arial" w:cs="Arial" w:eastAsia="Arial" w:hAnsi="Arial"/>
                <w:sz w:val="14"/>
                <w:szCs w:val="14"/>
                <w:color w:val="auto"/>
              </w:rPr>
              <w:t>​$842,400</w:t>
            </w:r>
          </w:p>
        </w:tc>
      </w:tr>
      <w:tr>
        <w:trPr>
          <w:trHeight w:val="372"/>
        </w:trPr>
        <w:tc>
          <w:tcPr>
            <w:tcW w:w="5320" w:type="dxa"/>
            <w:vAlign w:val="bottom"/>
            <w:tcBorders>
              <w:bottom w:val="single" w:sz="8" w:color="999999"/>
            </w:tcBorders>
          </w:tcPr>
          <w:p>
            <w:pPr>
              <w:ind w:left="60"/>
              <w:spacing w:after="0"/>
              <w:rPr>
                <w:sz w:val="20"/>
                <w:szCs w:val="20"/>
                <w:color w:val="auto"/>
              </w:rPr>
            </w:pPr>
            <w:r>
              <w:rPr>
                <w:rFonts w:ascii="Arial" w:cs="Arial" w:eastAsia="Arial" w:hAnsi="Arial"/>
                <w:sz w:val="14"/>
                <w:szCs w:val="14"/>
                <w:b w:val="1"/>
                <w:bCs w:val="1"/>
                <w:color w:val="40C0C0"/>
              </w:rPr>
              <w:t>Audit-Related Fees</w:t>
            </w:r>
            <w:r>
              <w:rPr>
                <w:rFonts w:ascii="Arial" w:cs="Arial" w:eastAsia="Arial" w:hAnsi="Arial"/>
                <w:sz w:val="23"/>
                <w:szCs w:val="23"/>
                <w:b w:val="1"/>
                <w:bCs w:val="1"/>
                <w:color w:val="40C0C0"/>
                <w:vertAlign w:val="superscript"/>
              </w:rPr>
              <w:t>(2)</w:t>
            </w:r>
          </w:p>
        </w:tc>
        <w:tc>
          <w:tcPr>
            <w:tcW w:w="2300" w:type="dxa"/>
            <w:vAlign w:val="bottom"/>
            <w:tcBorders>
              <w:bottom w:val="single" w:sz="8" w:color="999999"/>
            </w:tcBorders>
          </w:tcPr>
          <w:p>
            <w:pPr>
              <w:jc w:val="right"/>
              <w:ind w:right="228"/>
              <w:spacing w:after="0"/>
              <w:rPr>
                <w:sz w:val="20"/>
                <w:szCs w:val="20"/>
                <w:color w:val="auto"/>
              </w:rPr>
            </w:pPr>
            <w:r>
              <w:rPr>
                <w:rFonts w:ascii="Arial" w:cs="Arial" w:eastAsia="Arial" w:hAnsi="Arial"/>
                <w:sz w:val="14"/>
                <w:szCs w:val="14"/>
                <w:color w:val="auto"/>
              </w:rPr>
              <w:t>$18,150</w:t>
            </w:r>
          </w:p>
        </w:tc>
        <w:tc>
          <w:tcPr>
            <w:tcW w:w="1780" w:type="dxa"/>
            <w:vAlign w:val="bottom"/>
            <w:tcBorders>
              <w:bottom w:val="single" w:sz="8" w:color="999999"/>
            </w:tcBorders>
          </w:tcPr>
          <w:p>
            <w:pPr>
              <w:ind w:left="1140"/>
              <w:spacing w:after="0"/>
              <w:rPr>
                <w:sz w:val="20"/>
                <w:szCs w:val="20"/>
                <w:color w:val="auto"/>
              </w:rPr>
            </w:pPr>
            <w:r>
              <w:rPr>
                <w:rFonts w:ascii="Arial" w:cs="Arial" w:eastAsia="Arial" w:hAnsi="Arial"/>
                <w:sz w:val="14"/>
                <w:szCs w:val="14"/>
                <w:color w:val="auto"/>
              </w:rPr>
              <w:t>​ $19,440</w:t>
            </w:r>
          </w:p>
        </w:tc>
      </w:tr>
      <w:tr>
        <w:trPr>
          <w:trHeight w:val="275"/>
        </w:trPr>
        <w:tc>
          <w:tcPr>
            <w:tcW w:w="5320" w:type="dxa"/>
            <w:vAlign w:val="bottom"/>
          </w:tcPr>
          <w:p>
            <w:pPr>
              <w:ind w:left="60"/>
              <w:spacing w:after="0"/>
              <w:rPr>
                <w:sz w:val="20"/>
                <w:szCs w:val="20"/>
                <w:color w:val="auto"/>
              </w:rPr>
            </w:pPr>
            <w:r>
              <w:rPr>
                <w:rFonts w:ascii="Arial" w:cs="Arial" w:eastAsia="Arial" w:hAnsi="Arial"/>
                <w:sz w:val="14"/>
                <w:szCs w:val="14"/>
                <w:b w:val="1"/>
                <w:bCs w:val="1"/>
                <w:color w:val="40C0C0"/>
              </w:rPr>
              <w:t>Total Fees</w:t>
            </w:r>
          </w:p>
        </w:tc>
        <w:tc>
          <w:tcPr>
            <w:tcW w:w="2300" w:type="dxa"/>
            <w:vAlign w:val="bottom"/>
          </w:tcPr>
          <w:p>
            <w:pPr>
              <w:jc w:val="right"/>
              <w:ind w:right="228"/>
              <w:spacing w:after="0"/>
              <w:rPr>
                <w:sz w:val="20"/>
                <w:szCs w:val="20"/>
                <w:color w:val="auto"/>
              </w:rPr>
            </w:pPr>
            <w:r>
              <w:rPr>
                <w:rFonts w:ascii="Arial" w:cs="Arial" w:eastAsia="Arial" w:hAnsi="Arial"/>
                <w:sz w:val="14"/>
                <w:szCs w:val="14"/>
                <w:color w:val="auto"/>
              </w:rPr>
              <w:t>$2,124,250</w:t>
            </w:r>
          </w:p>
        </w:tc>
        <w:tc>
          <w:tcPr>
            <w:tcW w:w="1780" w:type="dxa"/>
            <w:vAlign w:val="bottom"/>
          </w:tcPr>
          <w:p>
            <w:pPr>
              <w:ind w:left="1140"/>
              <w:spacing w:after="0"/>
              <w:rPr>
                <w:sz w:val="20"/>
                <w:szCs w:val="20"/>
                <w:color w:val="auto"/>
              </w:rPr>
            </w:pPr>
            <w:r>
              <w:rPr>
                <w:rFonts w:ascii="Arial" w:cs="Arial" w:eastAsia="Arial" w:hAnsi="Arial"/>
                <w:sz w:val="14"/>
                <w:szCs w:val="14"/>
                <w:color w:val="auto"/>
              </w:rPr>
              <w:t>​$861,840</w:t>
            </w:r>
          </w:p>
        </w:tc>
      </w:tr>
      <w:tr>
        <w:trPr>
          <w:trHeight w:val="110"/>
        </w:trPr>
        <w:tc>
          <w:tcPr>
            <w:tcW w:w="532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ind w:left="240" w:right="200" w:hanging="234"/>
        <w:spacing w:after="0" w:line="231" w:lineRule="auto"/>
        <w:tabs>
          <w:tab w:leader="none" w:pos="24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“Audit Fees” consist of fees in connection with the audit of the Company’s annual consolidated financial statements, including audited financial statements presented in the Company’s annual report on Form 10-K, review of its quarterly financial statements presented in our quarterly reports on Form 10-Q and services that are normally provided by the Company’s independent registered public accounting firm in connection with statutory and regulatory filings or engagements for the 2023 fiscal year.</w:t>
      </w:r>
    </w:p>
    <w:p>
      <w:pPr>
        <w:spacing w:after="0" w:line="45" w:lineRule="exact"/>
        <w:rPr>
          <w:rFonts w:ascii="Arial" w:cs="Arial" w:eastAsia="Arial" w:hAnsi="Arial"/>
          <w:sz w:val="13"/>
          <w:szCs w:val="13"/>
          <w:b w:val="1"/>
          <w:bCs w:val="1"/>
          <w:color w:val="auto"/>
        </w:rPr>
      </w:pPr>
    </w:p>
    <w:p>
      <w:pPr>
        <w:ind w:left="240" w:right="740" w:hanging="234"/>
        <w:spacing w:after="0" w:line="252" w:lineRule="auto"/>
        <w:tabs>
          <w:tab w:leader="none" w:pos="24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“Audit-Related Fees” consist of fees in connection with employee benefit plan audits, prior auditor consent and successor auditor access to workpapers.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All 2023 fees described above were pre-approved by the Audit Committee.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Pre-Approval Policies and Procedures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Audit Committee has adopted a policy and procedures for the pre-approval of audit and non-audit services rendered by our independent registered public accounting firm, Moss Adams. The policy generally pre-approves specified services in the defined categories of audit services, audit-related services and tax services up to specified amounts. Pre-approval may also be given on a collective basis pursuant to such policy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2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Audit Committee has determined that the rendering of services other than audit services by Moss Adams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4114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1480" cy="685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40C0C0"/>
        </w:rPr>
        <w:t>VOTE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Board Recommends a Vote “For’’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59664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Executive Officers</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our current executive officers as of Tuesday, May 28,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86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000000"/>
          </w:tcPr>
          <w:p>
            <w:pPr>
              <w:ind w:left="560"/>
              <w:spacing w:after="0"/>
              <w:rPr>
                <w:sz w:val="20"/>
                <w:szCs w:val="20"/>
                <w:color w:val="auto"/>
              </w:rPr>
            </w:pPr>
            <w:r>
              <w:rPr>
                <w:rFonts w:ascii="Arial" w:cs="Arial" w:eastAsia="Arial" w:hAnsi="Arial"/>
                <w:sz w:val="14"/>
                <w:szCs w:val="14"/>
                <w:b w:val="1"/>
                <w:bCs w:val="1"/>
                <w:color w:val="FFFFFF"/>
              </w:rPr>
              <w:t>Age</w:t>
            </w:r>
          </w:p>
        </w:tc>
        <w:tc>
          <w:tcPr>
            <w:tcW w:w="6520" w:type="dxa"/>
            <w:vAlign w:val="bottom"/>
            <w:gridSpan w:val="2"/>
            <w:shd w:val="clear" w:color="auto" w:fill="000000"/>
          </w:tcPr>
          <w:p>
            <w:pPr>
              <w:ind w:left="200"/>
              <w:spacing w:after="0"/>
              <w:rPr>
                <w:sz w:val="20"/>
                <w:szCs w:val="20"/>
                <w:color w:val="auto"/>
              </w:rPr>
            </w:pPr>
            <w:r>
              <w:rPr>
                <w:rFonts w:ascii="Arial" w:cs="Arial" w:eastAsia="Arial" w:hAnsi="Arial"/>
                <w:sz w:val="14"/>
                <w:szCs w:val="14"/>
                <w:b w:val="1"/>
                <w:bCs w:val="1"/>
                <w:color w:val="FFFFFF"/>
              </w:rPr>
              <w:t>Position</w:t>
            </w:r>
          </w:p>
        </w:tc>
      </w:tr>
      <w:tr>
        <w:trPr>
          <w:trHeight w:val="110"/>
        </w:trPr>
        <w:tc>
          <w:tcPr>
            <w:tcW w:w="1860" w:type="dxa"/>
            <w:vAlign w:val="bottom"/>
            <w:shd w:val="clear" w:color="auto" w:fill="000000"/>
          </w:tcPr>
          <w:p>
            <w:pPr>
              <w:spacing w:after="0"/>
              <w:rPr>
                <w:sz w:val="9"/>
                <w:szCs w:val="9"/>
                <w:color w:val="auto"/>
              </w:rPr>
            </w:pPr>
          </w:p>
        </w:tc>
        <w:tc>
          <w:tcPr>
            <w:tcW w:w="1020" w:type="dxa"/>
            <w:vAlign w:val="bottom"/>
            <w:shd w:val="clear" w:color="auto" w:fill="000000"/>
          </w:tcPr>
          <w:p>
            <w:pPr>
              <w:spacing w:after="0"/>
              <w:rPr>
                <w:sz w:val="9"/>
                <w:szCs w:val="9"/>
                <w:color w:val="auto"/>
              </w:rPr>
            </w:pPr>
          </w:p>
        </w:tc>
        <w:tc>
          <w:tcPr>
            <w:tcW w:w="660" w:type="dxa"/>
            <w:vAlign w:val="bottom"/>
            <w:shd w:val="clear" w:color="auto" w:fill="000000"/>
          </w:tcPr>
          <w:p>
            <w:pPr>
              <w:spacing w:after="0"/>
              <w:rPr>
                <w:sz w:val="9"/>
                <w:szCs w:val="9"/>
                <w:color w:val="auto"/>
              </w:rPr>
            </w:pPr>
          </w:p>
        </w:tc>
        <w:tc>
          <w:tcPr>
            <w:tcW w:w="5860" w:type="dxa"/>
            <w:vAlign w:val="bottom"/>
            <w:shd w:val="clear" w:color="auto" w:fill="000000"/>
          </w:tcPr>
          <w:p>
            <w:pPr>
              <w:spacing w:after="0"/>
              <w:rPr>
                <w:sz w:val="9"/>
                <w:szCs w:val="9"/>
                <w:color w:val="auto"/>
              </w:rPr>
            </w:pPr>
          </w:p>
        </w:tc>
      </w:tr>
      <w:tr>
        <w:trPr>
          <w:trHeight w:val="322"/>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Executive Officers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124"/>
        </w:trPr>
        <w:tc>
          <w:tcPr>
            <w:tcW w:w="18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gridSpan w:val="2"/>
          </w:tcPr>
          <w:p>
            <w:pPr>
              <w:spacing w:after="0"/>
              <w:rPr>
                <w:sz w:val="10"/>
                <w:szCs w:val="10"/>
                <w:color w:val="auto"/>
              </w:rPr>
            </w:pPr>
          </w:p>
        </w:tc>
      </w:tr>
      <w:tr>
        <w:trPr>
          <w:trHeight w:val="329"/>
        </w:trPr>
        <w:tc>
          <w:tcPr>
            <w:tcW w:w="1860" w:type="dxa"/>
            <w:vAlign w:val="bottom"/>
          </w:tcPr>
          <w:p>
            <w:pPr>
              <w:ind w:left="60"/>
              <w:spacing w:after="0"/>
              <w:rPr>
                <w:sz w:val="20"/>
                <w:szCs w:val="20"/>
                <w:color w:val="auto"/>
              </w:rPr>
            </w:pPr>
            <w:r>
              <w:rPr>
                <w:rFonts w:ascii="Arial" w:cs="Arial" w:eastAsia="Arial" w:hAnsi="Arial"/>
                <w:sz w:val="14"/>
                <w:szCs w:val="14"/>
                <w:b w:val="1"/>
                <w:bCs w:val="1"/>
                <w:color w:val="40C0C0"/>
              </w:rPr>
              <w:t>Douglas Francis</w:t>
            </w:r>
          </w:p>
        </w:tc>
        <w:tc>
          <w:tcPr>
            <w:tcW w:w="1020" w:type="dxa"/>
            <w:vAlign w:val="bottom"/>
          </w:tcPr>
          <w:p>
            <w:pPr>
              <w:ind w:left="560"/>
              <w:spacing w:after="0"/>
              <w:rPr>
                <w:sz w:val="20"/>
                <w:szCs w:val="20"/>
                <w:color w:val="auto"/>
              </w:rPr>
            </w:pPr>
            <w:r>
              <w:rPr>
                <w:rFonts w:ascii="Arial" w:cs="Arial" w:eastAsia="Arial" w:hAnsi="Arial"/>
                <w:sz w:val="14"/>
                <w:szCs w:val="14"/>
                <w:color w:val="auto"/>
              </w:rPr>
              <w:t>46</w:t>
            </w:r>
          </w:p>
        </w:tc>
        <w:tc>
          <w:tcPr>
            <w:tcW w:w="6520" w:type="dxa"/>
            <w:vAlign w:val="bottom"/>
            <w:gridSpan w:val="2"/>
          </w:tcPr>
          <w:p>
            <w:pPr>
              <w:ind w:left="200"/>
              <w:spacing w:after="0"/>
              <w:rPr>
                <w:sz w:val="20"/>
                <w:szCs w:val="20"/>
                <w:color w:val="auto"/>
              </w:rPr>
            </w:pPr>
            <w:r>
              <w:rPr>
                <w:rFonts w:ascii="Arial" w:cs="Arial" w:eastAsia="Arial" w:hAnsi="Arial"/>
                <w:sz w:val="14"/>
                <w:szCs w:val="14"/>
                <w:color w:val="auto"/>
              </w:rPr>
              <w:t>Executive Chair</w:t>
            </w:r>
          </w:p>
        </w:tc>
      </w:tr>
      <w:tr>
        <w:trPr>
          <w:trHeight w:val="124"/>
        </w:trPr>
        <w:tc>
          <w:tcPr>
            <w:tcW w:w="18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860" w:type="dxa"/>
            <w:vAlign w:val="bottom"/>
            <w:tcBorders>
              <w:bottom w:val="single" w:sz="8" w:color="auto"/>
            </w:tcBorders>
          </w:tcPr>
          <w:p>
            <w:pPr>
              <w:spacing w:after="0"/>
              <w:rPr>
                <w:sz w:val="10"/>
                <w:szCs w:val="10"/>
                <w:color w:val="auto"/>
              </w:rPr>
            </w:pPr>
          </w:p>
        </w:tc>
      </w:tr>
      <w:tr>
        <w:trPr>
          <w:trHeight w:val="329"/>
        </w:trPr>
        <w:tc>
          <w:tcPr>
            <w:tcW w:w="1860" w:type="dxa"/>
            <w:vAlign w:val="bottom"/>
          </w:tcPr>
          <w:p>
            <w:pPr>
              <w:ind w:left="60"/>
              <w:spacing w:after="0"/>
              <w:rPr>
                <w:sz w:val="20"/>
                <w:szCs w:val="20"/>
                <w:color w:val="auto"/>
              </w:rPr>
            </w:pPr>
            <w:r>
              <w:rPr>
                <w:rFonts w:ascii="Arial" w:cs="Arial" w:eastAsia="Arial" w:hAnsi="Arial"/>
                <w:sz w:val="14"/>
                <w:szCs w:val="14"/>
                <w:b w:val="1"/>
                <w:bCs w:val="1"/>
                <w:color w:val="40C0C0"/>
              </w:rPr>
              <w:t>Susan Echard</w:t>
            </w:r>
          </w:p>
        </w:tc>
        <w:tc>
          <w:tcPr>
            <w:tcW w:w="1020" w:type="dxa"/>
            <w:vAlign w:val="bottom"/>
          </w:tcPr>
          <w:p>
            <w:pPr>
              <w:ind w:left="560"/>
              <w:spacing w:after="0"/>
              <w:rPr>
                <w:sz w:val="20"/>
                <w:szCs w:val="20"/>
                <w:color w:val="auto"/>
              </w:rPr>
            </w:pPr>
            <w:r>
              <w:rPr>
                <w:rFonts w:ascii="Arial" w:cs="Arial" w:eastAsia="Arial" w:hAnsi="Arial"/>
                <w:sz w:val="14"/>
                <w:szCs w:val="14"/>
                <w:color w:val="auto"/>
              </w:rPr>
              <w:t>59</w:t>
            </w:r>
          </w:p>
        </w:tc>
        <w:tc>
          <w:tcPr>
            <w:tcW w:w="660" w:type="dxa"/>
            <w:vAlign w:val="bottom"/>
          </w:tcPr>
          <w:p>
            <w:pPr>
              <w:ind w:left="200"/>
              <w:spacing w:after="0"/>
              <w:rPr>
                <w:sz w:val="20"/>
                <w:szCs w:val="20"/>
                <w:color w:val="auto"/>
              </w:rPr>
            </w:pPr>
            <w:r>
              <w:rPr>
                <w:rFonts w:ascii="Arial" w:cs="Arial" w:eastAsia="Arial" w:hAnsi="Arial"/>
                <w:sz w:val="14"/>
                <w:szCs w:val="14"/>
                <w:color w:val="auto"/>
              </w:rPr>
              <w:t>Interim​</w:t>
            </w:r>
          </w:p>
        </w:tc>
        <w:tc>
          <w:tcPr>
            <w:tcW w:w="58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24"/>
        </w:trPr>
        <w:tc>
          <w:tcPr>
            <w:tcW w:w="18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gridSpan w:val="2"/>
          </w:tcPr>
          <w:p>
            <w:pPr>
              <w:spacing w:after="0"/>
              <w:rPr>
                <w:sz w:val="10"/>
                <w:szCs w:val="10"/>
                <w:color w:val="auto"/>
              </w:rPr>
            </w:pPr>
          </w:p>
        </w:tc>
      </w:tr>
      <w:tr>
        <w:trPr>
          <w:trHeight w:val="329"/>
        </w:trPr>
        <w:tc>
          <w:tcPr>
            <w:tcW w:w="1860" w:type="dxa"/>
            <w:vAlign w:val="bottom"/>
          </w:tcPr>
          <w:p>
            <w:pPr>
              <w:ind w:left="60"/>
              <w:spacing w:after="0"/>
              <w:rPr>
                <w:sz w:val="20"/>
                <w:szCs w:val="20"/>
                <w:color w:val="auto"/>
              </w:rPr>
            </w:pPr>
            <w:r>
              <w:rPr>
                <w:rFonts w:ascii="Arial" w:cs="Arial" w:eastAsia="Arial" w:hAnsi="Arial"/>
                <w:sz w:val="14"/>
                <w:szCs w:val="14"/>
                <w:b w:val="1"/>
                <w:bCs w:val="1"/>
                <w:color w:val="40C0C0"/>
              </w:rPr>
              <w:t>Duncan Grazier</w:t>
            </w:r>
          </w:p>
        </w:tc>
        <w:tc>
          <w:tcPr>
            <w:tcW w:w="1020" w:type="dxa"/>
            <w:vAlign w:val="bottom"/>
          </w:tcPr>
          <w:p>
            <w:pPr>
              <w:ind w:left="560"/>
              <w:spacing w:after="0"/>
              <w:rPr>
                <w:sz w:val="20"/>
                <w:szCs w:val="20"/>
                <w:color w:val="auto"/>
              </w:rPr>
            </w:pPr>
            <w:r>
              <w:rPr>
                <w:rFonts w:ascii="Arial" w:cs="Arial" w:eastAsia="Arial" w:hAnsi="Arial"/>
                <w:sz w:val="14"/>
                <w:szCs w:val="14"/>
                <w:color w:val="auto"/>
              </w:rPr>
              <w:t>37</w:t>
            </w:r>
          </w:p>
        </w:tc>
        <w:tc>
          <w:tcPr>
            <w:tcW w:w="6520" w:type="dxa"/>
            <w:vAlign w:val="bottom"/>
            <w:gridSpan w:val="2"/>
          </w:tcPr>
          <w:p>
            <w:pPr>
              <w:ind w:left="200"/>
              <w:spacing w:after="0"/>
              <w:rPr>
                <w:sz w:val="20"/>
                <w:szCs w:val="20"/>
                <w:color w:val="auto"/>
              </w:rPr>
            </w:pPr>
            <w:r>
              <w:rPr>
                <w:rFonts w:ascii="Arial" w:cs="Arial" w:eastAsia="Arial" w:hAnsi="Arial"/>
                <w:sz w:val="14"/>
                <w:szCs w:val="14"/>
                <w:color w:val="auto"/>
              </w:rPr>
              <w:t>Chief Technology Officer</w:t>
            </w:r>
          </w:p>
        </w:tc>
      </w:tr>
      <w:tr>
        <w:trPr>
          <w:trHeight w:val="124"/>
        </w:trPr>
        <w:tc>
          <w:tcPr>
            <w:tcW w:w="18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gridSpan w:val="2"/>
          </w:tcPr>
          <w:p>
            <w:pPr>
              <w:spacing w:after="0"/>
              <w:rPr>
                <w:sz w:val="10"/>
                <w:szCs w:val="10"/>
                <w:color w:val="auto"/>
              </w:rPr>
            </w:pPr>
          </w:p>
        </w:tc>
      </w:tr>
      <w:tr>
        <w:trPr>
          <w:trHeight w:val="329"/>
        </w:trPr>
        <w:tc>
          <w:tcPr>
            <w:tcW w:w="1860" w:type="dxa"/>
            <w:vAlign w:val="bottom"/>
          </w:tcPr>
          <w:p>
            <w:pPr>
              <w:ind w:left="60"/>
              <w:spacing w:after="0"/>
              <w:rPr>
                <w:sz w:val="20"/>
                <w:szCs w:val="20"/>
                <w:color w:val="auto"/>
              </w:rPr>
            </w:pPr>
            <w:r>
              <w:rPr>
                <w:rFonts w:ascii="Arial" w:cs="Arial" w:eastAsia="Arial" w:hAnsi="Arial"/>
                <w:sz w:val="14"/>
                <w:szCs w:val="14"/>
                <w:b w:val="1"/>
                <w:bCs w:val="1"/>
                <w:color w:val="40C0C0"/>
              </w:rPr>
              <w:t>Brian Camire</w:t>
            </w:r>
          </w:p>
        </w:tc>
        <w:tc>
          <w:tcPr>
            <w:tcW w:w="1020" w:type="dxa"/>
            <w:vAlign w:val="bottom"/>
          </w:tcPr>
          <w:p>
            <w:pPr>
              <w:ind w:left="560"/>
              <w:spacing w:after="0"/>
              <w:rPr>
                <w:sz w:val="20"/>
                <w:szCs w:val="20"/>
                <w:color w:val="auto"/>
              </w:rPr>
            </w:pPr>
            <w:r>
              <w:rPr>
                <w:rFonts w:ascii="Arial" w:cs="Arial" w:eastAsia="Arial" w:hAnsi="Arial"/>
                <w:sz w:val="14"/>
                <w:szCs w:val="14"/>
                <w:color w:val="auto"/>
              </w:rPr>
              <w:t>45</w:t>
            </w:r>
          </w:p>
        </w:tc>
        <w:tc>
          <w:tcPr>
            <w:tcW w:w="6520" w:type="dxa"/>
            <w:vAlign w:val="bottom"/>
            <w:gridSpan w:val="2"/>
          </w:tcPr>
          <w:p>
            <w:pPr>
              <w:ind w:left="200"/>
              <w:spacing w:after="0"/>
              <w:rPr>
                <w:sz w:val="20"/>
                <w:szCs w:val="20"/>
                <w:color w:val="auto"/>
              </w:rPr>
            </w:pPr>
            <w:r>
              <w:rPr>
                <w:rFonts w:ascii="Arial" w:cs="Arial" w:eastAsia="Arial" w:hAnsi="Arial"/>
                <w:sz w:val="14"/>
                <w:szCs w:val="14"/>
                <w:color w:val="auto"/>
              </w:rPr>
              <w:t>General Counsel and Secretary</w:t>
            </w:r>
          </w:p>
        </w:tc>
      </w:tr>
      <w:tr>
        <w:trPr>
          <w:trHeight w:val="110"/>
        </w:trPr>
        <w:tc>
          <w:tcPr>
            <w:tcW w:w="1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60" w:type="dxa"/>
            <w:vAlign w:val="bottom"/>
            <w:tcBorders>
              <w:bottom w:val="single" w:sz="8" w:color="auto"/>
            </w:tcBorders>
          </w:tcPr>
          <w:p>
            <w:pPr>
              <w:spacing w:after="0"/>
              <w:rPr>
                <w:sz w:val="9"/>
                <w:szCs w:val="9"/>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biographical information with respect to our executive officers who are not directors.</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b w:val="1"/>
          <w:bCs w:val="1"/>
          <w:color w:val="auto"/>
        </w:rPr>
        <w:t>Susan Echard</w:t>
      </w:r>
      <w:r>
        <w:rPr>
          <w:rFonts w:ascii="Arial" w:cs="Arial" w:eastAsia="Arial" w:hAnsi="Arial"/>
          <w:sz w:val="16"/>
          <w:szCs w:val="16"/>
          <w:color w:val="auto"/>
        </w:rPr>
        <w:t>. Ms. Echard has served as Interim Chief Financial Officer since February 2024. Since February 2021 Ms. Echard</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Duncan Grazier</w:t>
      </w:r>
      <w:r>
        <w:rPr>
          <w:rFonts w:ascii="Arial" w:cs="Arial" w:eastAsia="Arial" w:hAnsi="Arial"/>
          <w:sz w:val="16"/>
          <w:szCs w:val="16"/>
          <w:color w:val="auto"/>
        </w:rPr>
        <w:t>. Mr. Grazier has served as our Chief Technology Officer since December 2022. Mr. Grazier previously served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both Legacy WMH and the Company) as Senior Vice President, Engineering from November 2020 to December 2022. Mr. Grazier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served as an advisor to American Field from January 2019 to April 2019, and served as VP of Engineering at MealPal,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2019 to August 2019. He also previously served as founding Chief Technology Officer for Voray, Inc. from December 2015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2018. Mr. Grazier attended the Rochester Institute of Technology from 2005 to 2008.</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Brian Camire</w:t>
      </w:r>
      <w:r>
        <w:rPr>
          <w:rFonts w:ascii="Arial" w:cs="Arial" w:eastAsia="Arial" w:hAnsi="Arial"/>
          <w:sz w:val="16"/>
          <w:szCs w:val="16"/>
          <w:color w:val="auto"/>
        </w:rPr>
        <w:t>. Mr. Camire has served as our General Counsel and Secretary since June 2021. Mr. Camire served as Legacy</w:t>
      </w:r>
      <w:r>
        <w:rPr>
          <w:rFonts w:ascii="Arial" w:cs="Arial" w:eastAsia="Arial" w:hAnsi="Arial"/>
          <w:sz w:val="16"/>
          <w:szCs w:val="16"/>
          <w:b w:val="1"/>
          <w:bCs w:val="1"/>
          <w:color w:val="auto"/>
        </w:rPr>
        <w:t xml:space="preserve"> </w:t>
      </w:r>
      <w:r>
        <w:rPr>
          <w:rFonts w:ascii="Arial" w:cs="Arial" w:eastAsia="Arial" w:hAnsi="Arial"/>
          <w:sz w:val="16"/>
          <w:szCs w:val="16"/>
          <w:color w:val="auto"/>
        </w:rPr>
        <w:t>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59664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80"/>
        <w:spacing w:after="0" w:line="282" w:lineRule="auto"/>
        <w:rPr>
          <w:sz w:val="20"/>
          <w:szCs w:val="20"/>
          <w:color w:val="auto"/>
        </w:rPr>
      </w:pPr>
      <w:r>
        <w:rPr>
          <w:rFonts w:ascii="Arial" w:cs="Arial" w:eastAsia="Arial" w:hAnsi="Arial"/>
          <w:sz w:val="57"/>
          <w:szCs w:val="57"/>
          <w:color w:val="auto"/>
        </w:rPr>
        <w:t>Security Ownership of Certain Beneficial Owners and Management</w:t>
      </w:r>
    </w:p>
    <w:p>
      <w:pPr>
        <w:spacing w:after="0" w:line="3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following table sets forth information known to us regarding the beneficial ownership of our Common Stock as of May 13, 2024, by:</w:t>
      </w:r>
    </w:p>
    <w:p>
      <w:pPr>
        <w:spacing w:after="0" w:line="7" w:lineRule="exact"/>
        <w:rPr>
          <w:sz w:val="20"/>
          <w:szCs w:val="20"/>
          <w:color w:val="auto"/>
        </w:rPr>
      </w:pPr>
    </w:p>
    <w:p>
      <w:pPr>
        <w:ind w:left="600" w:right="380" w:hanging="288"/>
        <w:spacing w:after="0" w:line="286"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person who is known by us to be the beneficial owner of more than 5% of the outstanding shares of our Class A Common Stock and Class V Common Stock;</w:t>
      </w:r>
    </w:p>
    <w:p>
      <w:pPr>
        <w:spacing w:after="0" w:line="7" w:lineRule="exact"/>
        <w:rPr>
          <w:rFonts w:ascii="Arial" w:cs="Arial" w:eastAsia="Arial" w:hAnsi="Arial"/>
          <w:sz w:val="16"/>
          <w:szCs w:val="16"/>
          <w:color w:val="auto"/>
        </w:rPr>
      </w:pPr>
    </w:p>
    <w:p>
      <w:pPr>
        <w:ind w:left="600" w:hanging="288"/>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our current Named Executive Officers and directors; and</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6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11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beneficial ownership percentages set forth in the table below are based on 150,538,096 shares of our Class A Common Stock and Class V Common Stock issued and outstanding as of Monday, May 13,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11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3180" w:type="dxa"/>
            <w:vAlign w:val="bottom"/>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1000" w:type="dxa"/>
            <w:vAlign w:val="bottom"/>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Number of</w:t>
            </w:r>
          </w:p>
        </w:tc>
        <w:tc>
          <w:tcPr>
            <w:tcW w:w="660" w:type="dxa"/>
            <w:vAlign w:val="bottom"/>
            <w:shd w:val="clear" w:color="auto" w:fill="000000"/>
          </w:tcPr>
          <w:p>
            <w:pPr>
              <w:spacing w:after="0"/>
              <w:rPr>
                <w:sz w:val="24"/>
                <w:szCs w:val="24"/>
                <w:color w:val="auto"/>
              </w:rPr>
            </w:pPr>
          </w:p>
        </w:tc>
        <w:tc>
          <w:tcPr>
            <w:tcW w:w="420" w:type="dxa"/>
            <w:vAlign w:val="bottom"/>
            <w:shd w:val="clear" w:color="auto" w:fill="000000"/>
          </w:tcPr>
          <w:p>
            <w:pPr>
              <w:spacing w:after="0"/>
              <w:rPr>
                <w:sz w:val="24"/>
                <w:szCs w:val="24"/>
                <w:color w:val="auto"/>
              </w:rPr>
            </w:pPr>
          </w:p>
        </w:tc>
        <w:tc>
          <w:tcPr>
            <w:tcW w:w="15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Number of</w:t>
            </w:r>
          </w:p>
        </w:tc>
        <w:tc>
          <w:tcPr>
            <w:tcW w:w="1120" w:type="dxa"/>
            <w:vAlign w:val="bottom"/>
            <w:shd w:val="clear" w:color="auto" w:fill="000000"/>
          </w:tcPr>
          <w:p>
            <w:pPr>
              <w:spacing w:after="0"/>
              <w:rPr>
                <w:sz w:val="24"/>
                <w:szCs w:val="24"/>
                <w:color w:val="auto"/>
              </w:rPr>
            </w:pPr>
          </w:p>
        </w:tc>
        <w:tc>
          <w:tcPr>
            <w:tcW w:w="9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1000" w:type="dxa"/>
            <w:vAlign w:val="bottom"/>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Shares of</w:t>
            </w:r>
          </w:p>
        </w:tc>
        <w:tc>
          <w:tcPr>
            <w:tcW w:w="66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15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Shares of</w:t>
            </w:r>
          </w:p>
        </w:tc>
        <w:tc>
          <w:tcPr>
            <w:tcW w:w="112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1000" w:type="dxa"/>
            <w:vAlign w:val="bottom"/>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Class A</w:t>
            </w:r>
          </w:p>
        </w:tc>
        <w:tc>
          <w:tcPr>
            <w:tcW w:w="6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420" w:type="dxa"/>
            <w:vAlign w:val="bottom"/>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of</w:t>
            </w:r>
          </w:p>
        </w:tc>
        <w:tc>
          <w:tcPr>
            <w:tcW w:w="15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Class V</w:t>
            </w:r>
          </w:p>
        </w:tc>
        <w:tc>
          <w:tcPr>
            <w:tcW w:w="11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 of</w:t>
            </w:r>
          </w:p>
        </w:tc>
        <w:tc>
          <w:tcPr>
            <w:tcW w:w="9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Combined</w:t>
            </w:r>
          </w:p>
        </w:tc>
        <w:tc>
          <w:tcPr>
            <w:tcW w:w="0" w:type="dxa"/>
            <w:vAlign w:val="bottom"/>
          </w:tcPr>
          <w:p>
            <w:pPr>
              <w:spacing w:after="0"/>
              <w:rPr>
                <w:sz w:val="1"/>
                <w:szCs w:val="1"/>
                <w:color w:val="auto"/>
              </w:rPr>
            </w:pPr>
          </w:p>
        </w:tc>
      </w:tr>
      <w:tr>
        <w:trPr>
          <w:trHeight w:val="162"/>
        </w:trPr>
        <w:tc>
          <w:tcPr>
            <w:tcW w:w="3180" w:type="dxa"/>
            <w:vAlign w:val="bottom"/>
            <w:shd w:val="clear" w:color="auto" w:fill="000000"/>
          </w:tcPr>
          <w:p>
            <w:pPr>
              <w:spacing w:after="0"/>
              <w:rPr>
                <w:sz w:val="14"/>
                <w:szCs w:val="14"/>
                <w:color w:val="auto"/>
              </w:rPr>
            </w:pPr>
          </w:p>
        </w:tc>
        <w:tc>
          <w:tcPr>
            <w:tcW w:w="1540" w:type="dxa"/>
            <w:vAlign w:val="bottom"/>
            <w:gridSpan w:val="2"/>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Common Stock</w:t>
            </w:r>
          </w:p>
        </w:tc>
        <w:tc>
          <w:tcPr>
            <w:tcW w:w="1080" w:type="dxa"/>
            <w:vAlign w:val="bottom"/>
            <w:gridSpan w:val="2"/>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Class A</w:t>
            </w:r>
          </w:p>
        </w:tc>
        <w:tc>
          <w:tcPr>
            <w:tcW w:w="15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Common Stock</w:t>
            </w:r>
          </w:p>
        </w:tc>
        <w:tc>
          <w:tcPr>
            <w:tcW w:w="11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Class V</w:t>
            </w:r>
          </w:p>
        </w:tc>
        <w:tc>
          <w:tcPr>
            <w:tcW w:w="9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162"/>
        </w:trPr>
        <w:tc>
          <w:tcPr>
            <w:tcW w:w="3180" w:type="dxa"/>
            <w:vAlign w:val="bottom"/>
            <w:vMerge w:val="restart"/>
            <w:shd w:val="clear" w:color="auto" w:fill="000000"/>
          </w:tcPr>
          <w:p>
            <w:pPr>
              <w:ind w:left="80"/>
              <w:spacing w:after="0"/>
              <w:rPr>
                <w:sz w:val="20"/>
                <w:szCs w:val="20"/>
                <w:color w:val="auto"/>
              </w:rPr>
            </w:pPr>
            <w:r>
              <w:rPr>
                <w:rFonts w:ascii="Arial" w:cs="Arial" w:eastAsia="Arial" w:hAnsi="Arial"/>
                <w:sz w:val="14"/>
                <w:szCs w:val="14"/>
                <w:b w:val="1"/>
                <w:bCs w:val="1"/>
                <w:color w:val="FFFFFF"/>
              </w:rPr>
              <w:t>Name of Beneficial Owner</w:t>
            </w:r>
            <w:r>
              <w:rPr>
                <w:rFonts w:ascii="Arial" w:cs="Arial" w:eastAsia="Arial" w:hAnsi="Arial"/>
                <w:sz w:val="23"/>
                <w:szCs w:val="23"/>
                <w:b w:val="1"/>
                <w:bCs w:val="1"/>
                <w:color w:val="FFFFFF"/>
                <w:vertAlign w:val="superscript"/>
              </w:rPr>
              <w:t>(1)</w:t>
            </w:r>
          </w:p>
        </w:tc>
        <w:tc>
          <w:tcPr>
            <w:tcW w:w="1540" w:type="dxa"/>
            <w:vAlign w:val="bottom"/>
            <w:gridSpan w:val="2"/>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Beneficially</w:t>
            </w:r>
          </w:p>
        </w:tc>
        <w:tc>
          <w:tcPr>
            <w:tcW w:w="1080" w:type="dxa"/>
            <w:vAlign w:val="bottom"/>
            <w:gridSpan w:val="2"/>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Common</w:t>
            </w:r>
          </w:p>
        </w:tc>
        <w:tc>
          <w:tcPr>
            <w:tcW w:w="15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Beneficially</w:t>
            </w:r>
          </w:p>
        </w:tc>
        <w:tc>
          <w:tcPr>
            <w:tcW w:w="112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Common</w:t>
            </w:r>
          </w:p>
        </w:tc>
        <w:tc>
          <w:tcPr>
            <w:tcW w:w="9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324"/>
        </w:trPr>
        <w:tc>
          <w:tcPr>
            <w:tcW w:w="3180" w:type="dxa"/>
            <w:vAlign w:val="bottom"/>
            <w:vMerge w:val="continue"/>
            <w:shd w:val="clear" w:color="auto" w:fill="000000"/>
          </w:tcPr>
          <w:p>
            <w:pPr>
              <w:spacing w:after="0"/>
              <w:rPr>
                <w:sz w:val="24"/>
                <w:szCs w:val="24"/>
                <w:color w:val="auto"/>
              </w:rPr>
            </w:pPr>
          </w:p>
        </w:tc>
        <w:tc>
          <w:tcPr>
            <w:tcW w:w="540" w:type="dxa"/>
            <w:vAlign w:val="bottom"/>
            <w:shd w:val="clear" w:color="auto" w:fill="000000"/>
          </w:tcPr>
          <w:p>
            <w:pPr>
              <w:spacing w:after="0"/>
              <w:rPr>
                <w:sz w:val="24"/>
                <w:szCs w:val="24"/>
                <w:color w:val="auto"/>
              </w:rPr>
            </w:pPr>
          </w:p>
        </w:tc>
        <w:tc>
          <w:tcPr>
            <w:tcW w:w="10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Owned</w:t>
            </w:r>
          </w:p>
        </w:tc>
        <w:tc>
          <w:tcPr>
            <w:tcW w:w="1080" w:type="dxa"/>
            <w:vAlign w:val="bottom"/>
            <w:gridSpan w:val="2"/>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Stock</w:t>
            </w:r>
          </w:p>
        </w:tc>
        <w:tc>
          <w:tcPr>
            <w:tcW w:w="152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Owned</w:t>
            </w:r>
            <w:r>
              <w:rPr>
                <w:rFonts w:ascii="Arial" w:cs="Arial" w:eastAsia="Arial" w:hAnsi="Arial"/>
                <w:sz w:val="23"/>
                <w:szCs w:val="23"/>
                <w:b w:val="1"/>
                <w:bCs w:val="1"/>
                <w:color w:val="FFFFFF"/>
                <w:vertAlign w:val="superscript"/>
              </w:rPr>
              <w:t>(2)</w:t>
            </w:r>
          </w:p>
        </w:tc>
        <w:tc>
          <w:tcPr>
            <w:tcW w:w="1120" w:type="dxa"/>
            <w:vAlign w:val="bottom"/>
            <w:shd w:val="clear" w:color="auto" w:fill="000000"/>
          </w:tcPr>
          <w:p>
            <w:pPr>
              <w:ind w:left="500"/>
              <w:spacing w:after="0"/>
              <w:rPr>
                <w:sz w:val="20"/>
                <w:szCs w:val="20"/>
                <w:color w:val="auto"/>
              </w:rPr>
            </w:pPr>
            <w:r>
              <w:rPr>
                <w:rFonts w:ascii="Arial" w:cs="Arial" w:eastAsia="Arial" w:hAnsi="Arial"/>
                <w:sz w:val="14"/>
                <w:szCs w:val="14"/>
                <w:b w:val="1"/>
                <w:bCs w:val="1"/>
                <w:color w:val="FFFFFF"/>
              </w:rPr>
              <w:t>Stock</w:t>
            </w:r>
          </w:p>
        </w:tc>
        <w:tc>
          <w:tcPr>
            <w:tcW w:w="9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Power</w:t>
            </w:r>
            <w:r>
              <w:rPr>
                <w:rFonts w:ascii="Arial" w:cs="Arial" w:eastAsia="Arial" w:hAnsi="Arial"/>
                <w:sz w:val="23"/>
                <w:szCs w:val="23"/>
                <w:b w:val="1"/>
                <w:bCs w:val="1"/>
                <w:color w:val="FFFFFF"/>
                <w:vertAlign w:val="superscript"/>
              </w:rPr>
              <w:t>(3)</w:t>
            </w:r>
          </w:p>
        </w:tc>
        <w:tc>
          <w:tcPr>
            <w:tcW w:w="0" w:type="dxa"/>
            <w:vAlign w:val="bottom"/>
          </w:tcPr>
          <w:p>
            <w:pPr>
              <w:spacing w:after="0"/>
              <w:rPr>
                <w:sz w:val="1"/>
                <w:szCs w:val="1"/>
                <w:color w:val="auto"/>
              </w:rPr>
            </w:pPr>
          </w:p>
        </w:tc>
      </w:tr>
      <w:tr>
        <w:trPr>
          <w:trHeight w:val="322"/>
        </w:trPr>
        <w:tc>
          <w:tcPr>
            <w:tcW w:w="3180" w:type="dxa"/>
            <w:vAlign w:val="bottom"/>
          </w:tcPr>
          <w:p>
            <w:pPr>
              <w:ind w:left="80"/>
              <w:spacing w:after="0"/>
              <w:rPr>
                <w:sz w:val="20"/>
                <w:szCs w:val="20"/>
                <w:color w:val="auto"/>
              </w:rPr>
            </w:pPr>
            <w:r>
              <w:rPr>
                <w:rFonts w:ascii="Arial" w:cs="Arial" w:eastAsia="Arial" w:hAnsi="Arial"/>
                <w:sz w:val="14"/>
                <w:szCs w:val="14"/>
                <w:b w:val="1"/>
                <w:bCs w:val="1"/>
                <w:color w:val="auto"/>
              </w:rPr>
              <w:t>Directors and Named Executive Officers: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gridSpan w:val="2"/>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Tony Aquila</w:t>
            </w:r>
            <w:r>
              <w:rPr>
                <w:rFonts w:ascii="Arial" w:cs="Arial" w:eastAsia="Arial" w:hAnsi="Arial"/>
                <w:sz w:val="23"/>
                <w:szCs w:val="23"/>
                <w:b w:val="1"/>
                <w:bCs w:val="1"/>
                <w:color w:val="40C0C0"/>
                <w:vertAlign w:val="superscript"/>
              </w:rPr>
              <w:t>(5)</w:t>
            </w:r>
          </w:p>
        </w:tc>
        <w:tc>
          <w:tcPr>
            <w:tcW w:w="5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5,297,761</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5.6%</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gridSpan w:val="2"/>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(6)</w:t>
            </w:r>
          </w:p>
        </w:tc>
        <w:tc>
          <w:tcPr>
            <w:tcW w:w="5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4,792,347</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5.0%</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22,970,182</w:t>
            </w:r>
          </w:p>
        </w:tc>
        <w:tc>
          <w:tcPr>
            <w:tcW w:w="1120" w:type="dxa"/>
            <w:vAlign w:val="bottom"/>
          </w:tcPr>
          <w:p>
            <w:pPr>
              <w:ind w:left="400"/>
              <w:spacing w:after="0"/>
              <w:rPr>
                <w:sz w:val="20"/>
                <w:szCs w:val="20"/>
                <w:color w:val="auto"/>
              </w:rPr>
            </w:pPr>
            <w:r>
              <w:rPr>
                <w:rFonts w:ascii="Arial" w:cs="Arial" w:eastAsia="Arial" w:hAnsi="Arial"/>
                <w:sz w:val="14"/>
                <w:szCs w:val="14"/>
                <w:color w:val="auto"/>
              </w:rPr>
              <w:t>41.4%</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660" w:type="dxa"/>
            <w:vAlign w:val="bottom"/>
            <w:tcBorders>
              <w:bottom w:val="single" w:sz="8" w:color="999999"/>
            </w:tcBorders>
          </w:tcPr>
          <w:p>
            <w:pPr>
              <w:spacing w:after="0" w:line="20" w:lineRule="exact"/>
              <w:rPr>
                <w:sz w:val="1"/>
                <w:szCs w:val="1"/>
                <w:color w:val="auto"/>
              </w:rPr>
            </w:pPr>
          </w:p>
        </w:tc>
        <w:tc>
          <w:tcPr>
            <w:tcW w:w="420" w:type="dxa"/>
            <w:vAlign w:val="bottom"/>
            <w:tcBorders>
              <w:bottom w:val="single" w:sz="8" w:color="999999"/>
            </w:tcBorders>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Scott Gordon</w:t>
            </w:r>
          </w:p>
        </w:tc>
        <w:tc>
          <w:tcPr>
            <w:tcW w:w="5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376,262</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Fiona Tan</w:t>
            </w:r>
          </w:p>
        </w:tc>
        <w:tc>
          <w:tcPr>
            <w:tcW w:w="5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271,813</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Olga Gonzalez</w:t>
            </w:r>
          </w:p>
        </w:tc>
        <w:tc>
          <w:tcPr>
            <w:tcW w:w="5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277,125</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Brenda Freeman</w:t>
            </w:r>
          </w:p>
        </w:tc>
        <w:tc>
          <w:tcPr>
            <w:tcW w:w="5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277,127</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Anthony Bay</w:t>
            </w:r>
          </w:p>
        </w:tc>
        <w:tc>
          <w:tcPr>
            <w:tcW w:w="540" w:type="dxa"/>
            <w:vAlign w:val="bottom"/>
          </w:tcPr>
          <w:p>
            <w:pPr>
              <w:ind w:left="4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291,325</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54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256,433</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Duncan Grazier</w:t>
            </w:r>
          </w:p>
        </w:tc>
        <w:tc>
          <w:tcPr>
            <w:tcW w:w="54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161,971</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20" w:type="dxa"/>
            <w:vAlign w:val="bottom"/>
          </w:tcPr>
          <w:p>
            <w:pPr>
              <w:jc w:val="center"/>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3180" w:type="dxa"/>
            <w:vAlign w:val="bottom"/>
            <w:tcBorders>
              <w:bottom w:val="single" w:sz="8" w:color="999999"/>
            </w:tcBorders>
          </w:tcPr>
          <w:p>
            <w:pPr>
              <w:spacing w:after="0"/>
              <w:rPr>
                <w:sz w:val="10"/>
                <w:szCs w:val="10"/>
                <w:color w:val="auto"/>
              </w:rPr>
            </w:pPr>
          </w:p>
        </w:tc>
        <w:tc>
          <w:tcPr>
            <w:tcW w:w="540" w:type="dxa"/>
            <w:vAlign w:val="bottom"/>
            <w:tcBorders>
              <w:bottom w:val="single" w:sz="8" w:color="999999"/>
            </w:tcBorders>
          </w:tcPr>
          <w:p>
            <w:pPr>
              <w:spacing w:after="0"/>
              <w:rPr>
                <w:sz w:val="10"/>
                <w:szCs w:val="10"/>
                <w:color w:val="auto"/>
              </w:rPr>
            </w:pPr>
          </w:p>
        </w:tc>
        <w:tc>
          <w:tcPr>
            <w:tcW w:w="1000" w:type="dxa"/>
            <w:vAlign w:val="bottom"/>
            <w:tcBorders>
              <w:bottom w:val="single" w:sz="8" w:color="999999"/>
            </w:tcBorders>
          </w:tcPr>
          <w:p>
            <w:pPr>
              <w:spacing w:after="0"/>
              <w:rPr>
                <w:sz w:val="10"/>
                <w:szCs w:val="10"/>
                <w:color w:val="auto"/>
              </w:rPr>
            </w:pPr>
          </w:p>
        </w:tc>
        <w:tc>
          <w:tcPr>
            <w:tcW w:w="660" w:type="dxa"/>
            <w:vAlign w:val="bottom"/>
            <w:tcBorders>
              <w:bottom w:val="single" w:sz="8" w:color="999999"/>
            </w:tcBorders>
          </w:tcPr>
          <w:p>
            <w:pPr>
              <w:spacing w:after="0"/>
              <w:rPr>
                <w:sz w:val="10"/>
                <w:szCs w:val="10"/>
                <w:color w:val="auto"/>
              </w:rPr>
            </w:pPr>
          </w:p>
        </w:tc>
        <w:tc>
          <w:tcPr>
            <w:tcW w:w="42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Susan Echard</w:t>
            </w:r>
          </w:p>
        </w:tc>
        <w:tc>
          <w:tcPr>
            <w:tcW w:w="54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420" w:type="dxa"/>
            <w:vAlign w:val="bottom"/>
          </w:tcPr>
          <w:p>
            <w:pPr>
              <w:jc w:val="center"/>
              <w:ind w:right="1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6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3180" w:type="dxa"/>
            <w:vAlign w:val="bottom"/>
          </w:tcPr>
          <w:p>
            <w:pPr>
              <w:ind w:left="80"/>
              <w:spacing w:after="0"/>
              <w:rPr>
                <w:sz w:val="20"/>
                <w:szCs w:val="20"/>
                <w:color w:val="auto"/>
              </w:rPr>
            </w:pPr>
            <w:r>
              <w:rPr>
                <w:rFonts w:ascii="Arial" w:cs="Arial" w:eastAsia="Arial" w:hAnsi="Arial"/>
                <w:sz w:val="14"/>
                <w:szCs w:val="14"/>
                <w:b w:val="1"/>
                <w:bCs w:val="1"/>
                <w:color w:val="auto"/>
              </w:rPr>
              <w:t>All Directors and Executive Officers of the</w:t>
            </w:r>
          </w:p>
        </w:tc>
        <w:tc>
          <w:tcPr>
            <w:tcW w:w="1540" w:type="dxa"/>
            <w:vAlign w:val="bottom"/>
            <w:gridSpan w:val="2"/>
            <w:vMerge w:val="restart"/>
          </w:tcPr>
          <w:p>
            <w:pPr>
              <w:ind w:left="480"/>
              <w:spacing w:after="0"/>
              <w:rPr>
                <w:sz w:val="20"/>
                <w:szCs w:val="20"/>
                <w:color w:val="auto"/>
              </w:rPr>
            </w:pPr>
            <w:r>
              <w:rPr>
                <w:rFonts w:ascii="Arial" w:cs="Arial" w:eastAsia="Arial" w:hAnsi="Arial"/>
                <w:sz w:val="14"/>
                <w:szCs w:val="14"/>
                <w:color w:val="auto"/>
              </w:rPr>
              <w:t>12,002,164​</w:t>
            </w:r>
          </w:p>
        </w:tc>
        <w:tc>
          <w:tcPr>
            <w:tcW w:w="108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12​.4%</w:t>
            </w:r>
          </w:p>
        </w:tc>
        <w:tc>
          <w:tcPr>
            <w:tcW w:w="1520" w:type="dxa"/>
            <w:vAlign w:val="bottom"/>
            <w:vMerge w:val="restart"/>
          </w:tcPr>
          <w:p>
            <w:pPr>
              <w:jc w:val="right"/>
              <w:ind w:right="288"/>
              <w:spacing w:after="0"/>
              <w:rPr>
                <w:sz w:val="20"/>
                <w:szCs w:val="20"/>
                <w:color w:val="auto"/>
              </w:rPr>
            </w:pPr>
            <w:r>
              <w:rPr>
                <w:rFonts w:ascii="Arial" w:cs="Arial" w:eastAsia="Arial" w:hAnsi="Arial"/>
                <w:sz w:val="14"/>
                <w:szCs w:val="14"/>
                <w:color w:val="auto"/>
              </w:rPr>
              <w:t>22,970,182</w:t>
            </w:r>
          </w:p>
        </w:tc>
        <w:tc>
          <w:tcPr>
            <w:tcW w:w="1120" w:type="dxa"/>
            <w:vAlign w:val="bottom"/>
            <w:vMerge w:val="restart"/>
          </w:tcPr>
          <w:p>
            <w:pPr>
              <w:ind w:left="400"/>
              <w:spacing w:after="0"/>
              <w:rPr>
                <w:sz w:val="20"/>
                <w:szCs w:val="20"/>
                <w:color w:val="auto"/>
              </w:rPr>
            </w:pPr>
            <w:r>
              <w:rPr>
                <w:rFonts w:ascii="Arial" w:cs="Arial" w:eastAsia="Arial" w:hAnsi="Arial"/>
                <w:sz w:val="14"/>
                <w:szCs w:val="14"/>
                <w:color w:val="auto"/>
              </w:rPr>
              <w:t>41.4%</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26"/>
        </w:trPr>
        <w:tc>
          <w:tcPr>
            <w:tcW w:w="31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Company as a Group (10 Individuals)</w:t>
            </w:r>
            <w:r>
              <w:rPr>
                <w:rFonts w:ascii="Arial" w:cs="Arial" w:eastAsia="Arial" w:hAnsi="Arial"/>
                <w:sz w:val="23"/>
                <w:szCs w:val="23"/>
                <w:b w:val="1"/>
                <w:bCs w:val="1"/>
                <w:color w:val="auto"/>
                <w:vertAlign w:val="superscript"/>
              </w:rPr>
              <w:t>(8)</w:t>
            </w:r>
          </w:p>
        </w:tc>
        <w:tc>
          <w:tcPr>
            <w:tcW w:w="154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3180" w:type="dxa"/>
            <w:vAlign w:val="bottom"/>
          </w:tcPr>
          <w:p>
            <w:pPr>
              <w:ind w:left="80"/>
              <w:spacing w:after="0"/>
              <w:rPr>
                <w:sz w:val="20"/>
                <w:szCs w:val="20"/>
                <w:color w:val="auto"/>
              </w:rPr>
            </w:pPr>
            <w:r>
              <w:rPr>
                <w:rFonts w:ascii="Arial" w:cs="Arial" w:eastAsia="Arial" w:hAnsi="Arial"/>
                <w:sz w:val="14"/>
                <w:szCs w:val="14"/>
                <w:b w:val="1"/>
                <w:bCs w:val="1"/>
                <w:color w:val="auto"/>
              </w:rPr>
              <w:t>Five Percent Holders:</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Ghost Media Group, LLC</w:t>
            </w:r>
            <w:r>
              <w:rPr>
                <w:rFonts w:ascii="Arial" w:cs="Arial" w:eastAsia="Arial" w:hAnsi="Arial"/>
                <w:sz w:val="23"/>
                <w:szCs w:val="23"/>
                <w:b w:val="1"/>
                <w:bCs w:val="1"/>
                <w:color w:val="40C0C0"/>
                <w:vertAlign w:val="superscript"/>
              </w:rPr>
              <w:t>(6)(7)</w:t>
            </w:r>
          </w:p>
        </w:tc>
        <w:tc>
          <w:tcPr>
            <w:tcW w:w="54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420" w:type="dxa"/>
            <w:vAlign w:val="bottom"/>
          </w:tcPr>
          <w:p>
            <w:pPr>
              <w:jc w:val="center"/>
              <w:ind w:right="1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8,469,191</w:t>
            </w:r>
          </w:p>
        </w:tc>
        <w:tc>
          <w:tcPr>
            <w:tcW w:w="1120" w:type="dxa"/>
            <w:vAlign w:val="bottom"/>
          </w:tcPr>
          <w:p>
            <w:pPr>
              <w:ind w:left="400"/>
              <w:spacing w:after="0"/>
              <w:rPr>
                <w:sz w:val="20"/>
                <w:szCs w:val="20"/>
                <w:color w:val="auto"/>
              </w:rPr>
            </w:pPr>
            <w:r>
              <w:rPr>
                <w:rFonts w:ascii="Arial" w:cs="Arial" w:eastAsia="Arial" w:hAnsi="Arial"/>
                <w:sz w:val="14"/>
                <w:szCs w:val="14"/>
                <w:color w:val="auto"/>
              </w:rPr>
              <w:t>15.3%</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gridSpan w:val="2"/>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Morgan Stanley</w:t>
            </w:r>
            <w:r>
              <w:rPr>
                <w:rFonts w:ascii="Arial" w:cs="Arial" w:eastAsia="Arial" w:hAnsi="Arial"/>
                <w:sz w:val="23"/>
                <w:szCs w:val="23"/>
                <w:b w:val="1"/>
                <w:bCs w:val="1"/>
                <w:color w:val="40C0C0"/>
                <w:vertAlign w:val="superscript"/>
              </w:rPr>
              <w:t>(9)</w:t>
            </w:r>
          </w:p>
        </w:tc>
        <w:tc>
          <w:tcPr>
            <w:tcW w:w="5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6,016,658</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6.3%</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gridSpan w:val="2"/>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James J. Pallotta</w:t>
            </w:r>
            <w:r>
              <w:rPr>
                <w:rFonts w:ascii="Arial" w:cs="Arial" w:eastAsia="Arial" w:hAnsi="Arial"/>
                <w:sz w:val="23"/>
                <w:szCs w:val="23"/>
                <w:b w:val="1"/>
                <w:bCs w:val="1"/>
                <w:color w:val="40C0C0"/>
                <w:vertAlign w:val="superscript"/>
              </w:rPr>
              <w:t>(10)</w:t>
            </w:r>
          </w:p>
        </w:tc>
        <w:tc>
          <w:tcPr>
            <w:tcW w:w="540" w:type="dxa"/>
            <w:vAlign w:val="bottom"/>
          </w:tcPr>
          <w:p>
            <w:pPr>
              <w:spacing w:after="0"/>
              <w:rPr>
                <w:sz w:val="24"/>
                <w:szCs w:val="24"/>
                <w:color w:val="auto"/>
              </w:rPr>
            </w:pP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4,980,143</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5.2%</w:t>
            </w:r>
          </w:p>
        </w:tc>
        <w:tc>
          <w:tcPr>
            <w:tcW w:w="1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gridSpan w:val="2"/>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3180" w:type="dxa"/>
            <w:vAlign w:val="bottom"/>
          </w:tcPr>
          <w:p>
            <w:pPr>
              <w:ind w:left="80"/>
              <w:spacing w:after="0"/>
              <w:rPr>
                <w:sz w:val="20"/>
                <w:szCs w:val="20"/>
                <w:color w:val="auto"/>
              </w:rPr>
            </w:pPr>
            <w:r>
              <w:rPr>
                <w:rFonts w:ascii="Arial" w:cs="Arial" w:eastAsia="Arial" w:hAnsi="Arial"/>
                <w:sz w:val="14"/>
                <w:szCs w:val="14"/>
                <w:b w:val="1"/>
                <w:bCs w:val="1"/>
                <w:color w:val="40C0C0"/>
              </w:rPr>
              <w:t>Christopher Beals</w:t>
            </w:r>
            <w:r>
              <w:rPr>
                <w:rFonts w:ascii="Arial" w:cs="Arial" w:eastAsia="Arial" w:hAnsi="Arial"/>
                <w:sz w:val="23"/>
                <w:szCs w:val="23"/>
                <w:b w:val="1"/>
                <w:bCs w:val="1"/>
                <w:color w:val="40C0C0"/>
                <w:vertAlign w:val="superscript"/>
              </w:rPr>
              <w:t>(4)</w:t>
            </w:r>
          </w:p>
        </w:tc>
        <w:tc>
          <w:tcPr>
            <w:tcW w:w="540" w:type="dxa"/>
            <w:vAlign w:val="bottom"/>
          </w:tcPr>
          <w:p>
            <w:pPr>
              <w:spacing w:after="0"/>
              <w:rPr>
                <w:sz w:val="24"/>
                <w:szCs w:val="24"/>
                <w:color w:val="auto"/>
              </w:rPr>
            </w:pP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428,773</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color w:val="auto"/>
              </w:rPr>
              <w:t>0.5%</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6,166,819</w:t>
            </w:r>
          </w:p>
        </w:tc>
        <w:tc>
          <w:tcPr>
            <w:tcW w:w="1120" w:type="dxa"/>
            <w:vAlign w:val="bottom"/>
          </w:tcPr>
          <w:p>
            <w:pPr>
              <w:ind w:left="400"/>
              <w:spacing w:after="0"/>
              <w:rPr>
                <w:sz w:val="20"/>
                <w:szCs w:val="20"/>
                <w:color w:val="auto"/>
              </w:rPr>
            </w:pPr>
            <w:r>
              <w:rPr>
                <w:rFonts w:ascii="Arial" w:cs="Arial" w:eastAsia="Arial" w:hAnsi="Arial"/>
                <w:sz w:val="14"/>
                <w:szCs w:val="14"/>
                <w:color w:val="auto"/>
              </w:rPr>
              <w:t>11.1%</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3"/>
        </w:trPr>
        <w:tc>
          <w:tcPr>
            <w:tcW w:w="3180" w:type="dxa"/>
            <w:vAlign w:val="bottom"/>
            <w:tcBorders>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0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gridSpan w:val="2"/>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c>
          <w:tcPr>
            <w:tcW w:w="1120" w:type="dxa"/>
            <w:vAlign w:val="bottom"/>
            <w:tcBorders>
              <w:bottom w:val="single" w:sz="8" w:color="999999"/>
            </w:tcBorders>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40C0C0"/>
              </w:rPr>
              <w:t>Justin Hartfield</w:t>
            </w:r>
            <w:r>
              <w:rPr>
                <w:rFonts w:ascii="Arial" w:cs="Arial" w:eastAsia="Arial" w:hAnsi="Arial"/>
                <w:sz w:val="23"/>
                <w:szCs w:val="23"/>
                <w:b w:val="1"/>
                <w:bCs w:val="1"/>
                <w:color w:val="40C0C0"/>
                <w:vertAlign w:val="superscript"/>
              </w:rPr>
              <w:t>(7)</w:t>
            </w: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61,679</w:t>
            </w:r>
          </w:p>
        </w:tc>
        <w:tc>
          <w:tcPr>
            <w:tcW w:w="108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0.1%</w:t>
            </w: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29,318,217</w:t>
            </w: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52.8%</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Respresents beneficial ownership of less than 1%.</w:t>
      </w:r>
    </w:p>
    <w:p>
      <w:pPr>
        <w:spacing w:after="0" w:line="53" w:lineRule="exact"/>
        <w:rPr>
          <w:sz w:val="20"/>
          <w:szCs w:val="20"/>
          <w:color w:val="auto"/>
        </w:rPr>
      </w:pPr>
    </w:p>
    <w:p>
      <w:pPr>
        <w:ind w:left="240" w:hanging="234"/>
        <w:spacing w:after="0"/>
        <w:tabs>
          <w:tab w:leader="none" w:pos="2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b w:val="1"/>
          <w:bCs w:val="1"/>
          <w:color w:val="auto"/>
        </w:rPr>
      </w:pPr>
    </w:p>
    <w:p>
      <w:pPr>
        <w:ind w:left="240" w:right="40" w:hanging="234"/>
        <w:spacing w:after="0" w:line="231" w:lineRule="auto"/>
        <w:tabs>
          <w:tab w:leader="none" w:pos="2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45" w:lineRule="exact"/>
        <w:rPr>
          <w:rFonts w:ascii="Arial" w:cs="Arial" w:eastAsia="Arial" w:hAnsi="Arial"/>
          <w:sz w:val="13"/>
          <w:szCs w:val="13"/>
          <w:b w:val="1"/>
          <w:bCs w:val="1"/>
          <w:color w:val="auto"/>
        </w:rPr>
      </w:pPr>
    </w:p>
    <w:p>
      <w:pPr>
        <w:ind w:left="240" w:hanging="234"/>
        <w:spacing w:after="0"/>
        <w:tabs>
          <w:tab w:leader="none" w:pos="2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percentage of voting power of the holders of Class A Common Stock and Class V Common Stock voting together as a single class.</w:t>
      </w:r>
    </w:p>
    <w:p>
      <w:pPr>
        <w:spacing w:after="0" w:line="53" w:lineRule="exact"/>
        <w:rPr>
          <w:rFonts w:ascii="Arial" w:cs="Arial" w:eastAsia="Arial" w:hAnsi="Arial"/>
          <w:sz w:val="13"/>
          <w:szCs w:val="13"/>
          <w:b w:val="1"/>
          <w:bCs w:val="1"/>
          <w:color w:val="auto"/>
        </w:rPr>
      </w:pPr>
    </w:p>
    <w:p>
      <w:pPr>
        <w:ind w:left="240" w:right="60" w:hanging="234"/>
        <w:spacing w:after="0" w:line="252" w:lineRule="auto"/>
        <w:tabs>
          <w:tab w:leader="none" w:pos="2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spacing w:after="0" w:line="23" w:lineRule="exact"/>
        <w:rPr>
          <w:rFonts w:ascii="Arial" w:cs="Arial" w:eastAsia="Arial" w:hAnsi="Arial"/>
          <w:sz w:val="13"/>
          <w:szCs w:val="13"/>
          <w:b w:val="1"/>
          <w:bCs w:val="1"/>
          <w:color w:val="auto"/>
        </w:rPr>
      </w:pPr>
    </w:p>
    <w:p>
      <w:pPr>
        <w:ind w:left="240" w:right="20" w:hanging="234"/>
        <w:spacing w:after="0" w:line="231" w:lineRule="auto"/>
        <w:tabs>
          <w:tab w:leader="none" w:pos="2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 and AFV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5966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27</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60" w:right="40"/>
        <w:spacing w:after="0" w:line="231" w:lineRule="auto"/>
        <w:rPr>
          <w:sz w:val="20"/>
          <w:szCs w:val="20"/>
          <w:color w:val="auto"/>
        </w:rPr>
      </w:pPr>
      <w:r>
        <w:rPr>
          <w:rFonts w:ascii="Arial" w:cs="Arial" w:eastAsia="Arial" w:hAnsi="Arial"/>
          <w:sz w:val="13"/>
          <w:szCs w:val="13"/>
          <w:b w:val="1"/>
          <w:bCs w:val="1"/>
          <w:color w:val="auto"/>
        </w:rPr>
        <w:t>and a co-trustee of each of the Trusts and as such may be deemed to hold voting and dispositive power with respect to the shares held in the aggregate by such Trusts. It also includes 1,311,679 shares of Class A Common Stock that Mr. Aquila personally holds and 10,093 shares of underlying restricted stock units that vest on June 16, 2024 and 225,988 shares of underlying restricted stock units that vest on June 21, 2024. The business address of the reporting person is 2126 Hamilton Road Suite 260, Argyle, TX 76226.</w:t>
      </w:r>
    </w:p>
    <w:p>
      <w:pPr>
        <w:spacing w:after="0" w:line="32" w:lineRule="exact"/>
        <w:rPr>
          <w:sz w:val="20"/>
          <w:szCs w:val="20"/>
          <w:color w:val="auto"/>
        </w:rPr>
      </w:pPr>
    </w:p>
    <w:p>
      <w:pPr>
        <w:ind w:left="240" w:right="20" w:hanging="234"/>
        <w:spacing w:after="0" w:line="226" w:lineRule="auto"/>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 The 4,792,347 shares of Class A Common Stock held by Mr. Francis include 10,094 shares of underlying restricted stock units that vest on June 16, 2024.</w:t>
      </w:r>
    </w:p>
    <w:p>
      <w:pPr>
        <w:spacing w:after="0" w:line="32" w:lineRule="exact"/>
        <w:rPr>
          <w:rFonts w:ascii="Arial" w:cs="Arial" w:eastAsia="Arial" w:hAnsi="Arial"/>
          <w:sz w:val="13"/>
          <w:szCs w:val="13"/>
          <w:b w:val="1"/>
          <w:bCs w:val="1"/>
          <w:color w:val="auto"/>
        </w:rPr>
      </w:pPr>
    </w:p>
    <w:p>
      <w:pPr>
        <w:ind w:left="240" w:right="20" w:hanging="234"/>
        <w:spacing w:after="0" w:line="231" w:lineRule="auto"/>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45" w:lineRule="exact"/>
        <w:rPr>
          <w:rFonts w:ascii="Arial" w:cs="Arial" w:eastAsia="Arial" w:hAnsi="Arial"/>
          <w:sz w:val="13"/>
          <w:szCs w:val="13"/>
          <w:b w:val="1"/>
          <w:bCs w:val="1"/>
          <w:color w:val="auto"/>
        </w:rPr>
      </w:pPr>
    </w:p>
    <w:p>
      <w:pPr>
        <w:ind w:left="240" w:right="20" w:hanging="234"/>
        <w:spacing w:after="0" w:line="252" w:lineRule="auto"/>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Class A Common shares consist of (i) 10,445,433 shares held of record by our current executive officers and directors, and (ii) 1,556,731 shares issuable upon the vesting of restricted stock units (“RSUs”) within 60 days of May 28, 2024.</w:t>
      </w:r>
    </w:p>
    <w:p>
      <w:pPr>
        <w:spacing w:after="0" w:line="23" w:lineRule="exact"/>
        <w:rPr>
          <w:rFonts w:ascii="Arial" w:cs="Arial" w:eastAsia="Arial" w:hAnsi="Arial"/>
          <w:sz w:val="13"/>
          <w:szCs w:val="13"/>
          <w:b w:val="1"/>
          <w:bCs w:val="1"/>
          <w:color w:val="auto"/>
        </w:rPr>
      </w:pPr>
    </w:p>
    <w:p>
      <w:pPr>
        <w:ind w:left="240" w:right="100" w:hanging="234"/>
        <w:spacing w:after="0" w:line="252" w:lineRule="auto"/>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23" w:lineRule="exact"/>
        <w:rPr>
          <w:rFonts w:ascii="Arial" w:cs="Arial" w:eastAsia="Arial" w:hAnsi="Arial"/>
          <w:sz w:val="13"/>
          <w:szCs w:val="13"/>
          <w:b w:val="1"/>
          <w:bCs w:val="1"/>
          <w:color w:val="auto"/>
        </w:rPr>
      </w:pPr>
    </w:p>
    <w:p>
      <w:pPr>
        <w:ind w:left="240" w:hanging="234"/>
        <w:spacing w:after="0" w:line="252" w:lineRule="auto"/>
        <w:tabs>
          <w:tab w:leader="none" w:pos="24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Based solely on information obtained from a Schedule 13G filed by James J. Pallotta on January 16, 2024, includes 4,980,143 shares of Class A Common Stock. The business address of the reporting person is 2340 Collins Avenue, 5th Floor, Miami Beach, Florida 33139.</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Equity Compensation Plan</w:t>
      </w:r>
    </w:p>
    <w:p>
      <w:pPr>
        <w:spacing w:after="0" w:line="166"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summarizes information about our equity compensation plans as of December 31, 2023. Information is included for equity compensation plans approved by our stockholders. We do not have any non-stockholder approved equity compensation plans.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300" w:type="dxa"/>
            <w:vAlign w:val="bottom"/>
            <w:shd w:val="clear" w:color="auto" w:fill="000000"/>
          </w:tcPr>
          <w:p>
            <w:pPr>
              <w:spacing w:after="0"/>
              <w:rPr>
                <w:sz w:val="24"/>
                <w:szCs w:val="24"/>
                <w:color w:val="auto"/>
              </w:rPr>
            </w:pPr>
          </w:p>
        </w:tc>
        <w:tc>
          <w:tcPr>
            <w:tcW w:w="268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Number of</w:t>
            </w:r>
          </w:p>
        </w:tc>
        <w:tc>
          <w:tcPr>
            <w:tcW w:w="1540" w:type="dxa"/>
            <w:vAlign w:val="bottom"/>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80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0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shares</w:t>
            </w:r>
          </w:p>
        </w:tc>
        <w:tc>
          <w:tcPr>
            <w:tcW w:w="1780" w:type="dxa"/>
            <w:vAlign w:val="bottom"/>
            <w:gridSpan w:val="2"/>
            <w:vMerge w:val="restart"/>
            <w:shd w:val="clear" w:color="auto" w:fill="000000"/>
          </w:tcPr>
          <w:p>
            <w:pPr>
              <w:ind w:left="160"/>
              <w:spacing w:after="0"/>
              <w:rPr>
                <w:sz w:val="20"/>
                <w:szCs w:val="20"/>
                <w:color w:val="auto"/>
              </w:rPr>
            </w:pPr>
            <w:r>
              <w:rPr>
                <w:rFonts w:ascii="Arial" w:cs="Arial" w:eastAsia="Arial" w:hAnsi="Arial"/>
                <w:sz w:val="14"/>
                <w:szCs w:val="14"/>
                <w:b w:val="1"/>
                <w:bCs w:val="1"/>
                <w:color w:val="FFFFFF"/>
              </w:rPr>
              <w:t>Weighted-</w:t>
            </w:r>
          </w:p>
        </w:tc>
        <w:tc>
          <w:tcPr>
            <w:tcW w:w="2000" w:type="dxa"/>
            <w:vAlign w:val="bottom"/>
            <w:gridSpan w:val="4"/>
            <w:shd w:val="clear" w:color="auto" w:fill="000000"/>
          </w:tcPr>
          <w:p>
            <w:pPr>
              <w:ind w:left="320"/>
              <w:spacing w:after="0"/>
              <w:rPr>
                <w:sz w:val="20"/>
                <w:szCs w:val="20"/>
                <w:color w:val="auto"/>
              </w:rPr>
            </w:pPr>
            <w:r>
              <w:rPr>
                <w:rFonts w:ascii="Arial" w:cs="Arial" w:eastAsia="Arial" w:hAnsi="Arial"/>
                <w:sz w:val="14"/>
                <w:szCs w:val="14"/>
                <w:b w:val="1"/>
                <w:bCs w:val="1"/>
                <w:color w:val="FFFFFF"/>
              </w:rPr>
              <w:t>Number of shares</w:t>
            </w:r>
          </w:p>
        </w:tc>
        <w:tc>
          <w:tcPr>
            <w:tcW w:w="0" w:type="dxa"/>
            <w:vAlign w:val="bottom"/>
          </w:tcPr>
          <w:p>
            <w:pPr>
              <w:spacing w:after="0"/>
              <w:rPr>
                <w:sz w:val="1"/>
                <w:szCs w:val="1"/>
                <w:color w:val="auto"/>
              </w:rPr>
            </w:pPr>
          </w:p>
        </w:tc>
      </w:tr>
      <w:tr>
        <w:trPr>
          <w:trHeight w:val="144"/>
        </w:trPr>
        <w:tc>
          <w:tcPr>
            <w:tcW w:w="1300" w:type="dxa"/>
            <w:vAlign w:val="bottom"/>
            <w:shd w:val="clear" w:color="auto" w:fill="000000"/>
          </w:tcPr>
          <w:p>
            <w:pPr>
              <w:spacing w:after="0"/>
              <w:rPr>
                <w:sz w:val="12"/>
                <w:szCs w:val="12"/>
                <w:color w:val="auto"/>
              </w:rPr>
            </w:pPr>
          </w:p>
        </w:tc>
        <w:tc>
          <w:tcPr>
            <w:tcW w:w="26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500" w:type="dxa"/>
            <w:vAlign w:val="bottom"/>
            <w:gridSpan w:val="4"/>
            <w:shd w:val="clear" w:color="auto" w:fill="000000"/>
          </w:tcPr>
          <w:p>
            <w:pPr>
              <w:ind w:left="160"/>
              <w:spacing w:after="0" w:line="145" w:lineRule="exact"/>
              <w:rPr>
                <w:sz w:val="20"/>
                <w:szCs w:val="20"/>
                <w:color w:val="auto"/>
              </w:rPr>
            </w:pPr>
            <w:r>
              <w:rPr>
                <w:rFonts w:ascii="Arial" w:cs="Arial" w:eastAsia="Arial" w:hAnsi="Arial"/>
                <w:sz w:val="14"/>
                <w:szCs w:val="14"/>
                <w:b w:val="1"/>
                <w:bCs w:val="1"/>
                <w:color w:val="FFFFFF"/>
              </w:rPr>
              <w:t>to be issued</w:t>
            </w:r>
          </w:p>
        </w:tc>
        <w:tc>
          <w:tcPr>
            <w:tcW w:w="1780" w:type="dxa"/>
            <w:vAlign w:val="bottom"/>
            <w:gridSpan w:val="2"/>
            <w:vMerge w:val="continue"/>
            <w:shd w:val="clear" w:color="auto" w:fill="000000"/>
          </w:tcPr>
          <w:p>
            <w:pPr>
              <w:spacing w:after="0"/>
              <w:rPr>
                <w:sz w:val="12"/>
                <w:szCs w:val="12"/>
                <w:color w:val="auto"/>
              </w:rPr>
            </w:pPr>
          </w:p>
        </w:tc>
        <w:tc>
          <w:tcPr>
            <w:tcW w:w="2000" w:type="dxa"/>
            <w:vAlign w:val="bottom"/>
            <w:gridSpan w:val="4"/>
            <w:shd w:val="clear" w:color="auto" w:fill="000000"/>
          </w:tcPr>
          <w:p>
            <w:pPr>
              <w:ind w:left="320"/>
              <w:spacing w:after="0" w:line="145" w:lineRule="exact"/>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2"/>
        </w:trPr>
        <w:tc>
          <w:tcPr>
            <w:tcW w:w="130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upon</w:t>
            </w:r>
          </w:p>
        </w:tc>
        <w:tc>
          <w:tcPr>
            <w:tcW w:w="1780" w:type="dxa"/>
            <w:vAlign w:val="bottom"/>
            <w:gridSpan w:val="2"/>
            <w:shd w:val="clear" w:color="auto" w:fill="000000"/>
          </w:tcPr>
          <w:p>
            <w:pPr>
              <w:ind w:left="160"/>
              <w:spacing w:after="0"/>
              <w:rPr>
                <w:sz w:val="20"/>
                <w:szCs w:val="20"/>
                <w:color w:val="auto"/>
              </w:rPr>
            </w:pPr>
            <w:r>
              <w:rPr>
                <w:rFonts w:ascii="Arial" w:cs="Arial" w:eastAsia="Arial" w:hAnsi="Arial"/>
                <w:sz w:val="14"/>
                <w:szCs w:val="14"/>
                <w:b w:val="1"/>
                <w:bCs w:val="1"/>
                <w:color w:val="FFFFFF"/>
              </w:rPr>
              <w:t>average exercise price</w:t>
            </w:r>
          </w:p>
        </w:tc>
        <w:tc>
          <w:tcPr>
            <w:tcW w:w="2000" w:type="dxa"/>
            <w:vAlign w:val="bottom"/>
            <w:gridSpan w:val="4"/>
            <w:shd w:val="clear" w:color="auto" w:fill="000000"/>
          </w:tcPr>
          <w:p>
            <w:pPr>
              <w:ind w:left="320"/>
              <w:spacing w:after="0"/>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62"/>
        </w:trPr>
        <w:tc>
          <w:tcPr>
            <w:tcW w:w="130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exercise of</w:t>
            </w:r>
          </w:p>
        </w:tc>
        <w:tc>
          <w:tcPr>
            <w:tcW w:w="1780" w:type="dxa"/>
            <w:vAlign w:val="bottom"/>
            <w:gridSpan w:val="2"/>
            <w:shd w:val="clear" w:color="auto" w:fill="000000"/>
          </w:tcPr>
          <w:p>
            <w:pPr>
              <w:ind w:left="160"/>
              <w:spacing w:after="0"/>
              <w:rPr>
                <w:sz w:val="20"/>
                <w:szCs w:val="20"/>
                <w:color w:val="auto"/>
              </w:rPr>
            </w:pPr>
            <w:r>
              <w:rPr>
                <w:rFonts w:ascii="Arial" w:cs="Arial" w:eastAsia="Arial" w:hAnsi="Arial"/>
                <w:sz w:val="14"/>
                <w:szCs w:val="14"/>
                <w:b w:val="1"/>
                <w:bCs w:val="1"/>
                <w:color w:val="FFFFFF"/>
              </w:rPr>
              <w:t>of</w:t>
            </w:r>
          </w:p>
        </w:tc>
        <w:tc>
          <w:tcPr>
            <w:tcW w:w="2000" w:type="dxa"/>
            <w:vAlign w:val="bottom"/>
            <w:gridSpan w:val="4"/>
            <w:shd w:val="clear" w:color="auto" w:fill="000000"/>
          </w:tcPr>
          <w:p>
            <w:pPr>
              <w:ind w:left="320"/>
              <w:spacing w:after="0"/>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62"/>
        </w:trPr>
        <w:tc>
          <w:tcPr>
            <w:tcW w:w="130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outstanding</w:t>
            </w:r>
          </w:p>
        </w:tc>
        <w:tc>
          <w:tcPr>
            <w:tcW w:w="1780" w:type="dxa"/>
            <w:vAlign w:val="bottom"/>
            <w:gridSpan w:val="2"/>
            <w:shd w:val="clear" w:color="auto" w:fill="000000"/>
          </w:tcPr>
          <w:p>
            <w:pPr>
              <w:ind w:left="160"/>
              <w:spacing w:after="0"/>
              <w:rPr>
                <w:sz w:val="20"/>
                <w:szCs w:val="20"/>
                <w:color w:val="auto"/>
              </w:rPr>
            </w:pPr>
            <w:r>
              <w:rPr>
                <w:rFonts w:ascii="Arial" w:cs="Arial" w:eastAsia="Arial" w:hAnsi="Arial"/>
                <w:sz w:val="14"/>
                <w:szCs w:val="14"/>
                <w:b w:val="1"/>
                <w:bCs w:val="1"/>
                <w:color w:val="FFFFFF"/>
              </w:rPr>
              <w:t>outstanding</w:t>
            </w:r>
          </w:p>
        </w:tc>
        <w:tc>
          <w:tcPr>
            <w:tcW w:w="2000" w:type="dxa"/>
            <w:vAlign w:val="bottom"/>
            <w:gridSpan w:val="4"/>
            <w:shd w:val="clear" w:color="auto" w:fill="000000"/>
          </w:tcPr>
          <w:p>
            <w:pPr>
              <w:ind w:left="320"/>
              <w:spacing w:after="0"/>
              <w:rPr>
                <w:sz w:val="20"/>
                <w:szCs w:val="20"/>
                <w:color w:val="auto"/>
              </w:rPr>
            </w:pPr>
            <w:r>
              <w:rPr>
                <w:rFonts w:ascii="Arial" w:cs="Arial" w:eastAsia="Arial" w:hAnsi="Arial"/>
                <w:sz w:val="14"/>
                <w:szCs w:val="14"/>
                <w:b w:val="1"/>
                <w:bCs w:val="1"/>
                <w:color w:val="FFFFFF"/>
              </w:rPr>
              <w:t>plans (excluding shares</w:t>
            </w:r>
          </w:p>
        </w:tc>
        <w:tc>
          <w:tcPr>
            <w:tcW w:w="0" w:type="dxa"/>
            <w:vAlign w:val="bottom"/>
          </w:tcPr>
          <w:p>
            <w:pPr>
              <w:spacing w:after="0"/>
              <w:rPr>
                <w:sz w:val="1"/>
                <w:szCs w:val="1"/>
                <w:color w:val="auto"/>
              </w:rPr>
            </w:pPr>
          </w:p>
        </w:tc>
      </w:tr>
      <w:tr>
        <w:trPr>
          <w:trHeight w:val="162"/>
        </w:trPr>
        <w:tc>
          <w:tcPr>
            <w:tcW w:w="130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options, warrants</w:t>
            </w:r>
          </w:p>
        </w:tc>
        <w:tc>
          <w:tcPr>
            <w:tcW w:w="1780" w:type="dxa"/>
            <w:vAlign w:val="bottom"/>
            <w:gridSpan w:val="2"/>
            <w:shd w:val="clear" w:color="auto" w:fill="000000"/>
          </w:tcPr>
          <w:p>
            <w:pPr>
              <w:ind w:left="160"/>
              <w:spacing w:after="0"/>
              <w:rPr>
                <w:sz w:val="20"/>
                <w:szCs w:val="20"/>
                <w:color w:val="auto"/>
              </w:rPr>
            </w:pPr>
            <w:r>
              <w:rPr>
                <w:rFonts w:ascii="Arial" w:cs="Arial" w:eastAsia="Arial" w:hAnsi="Arial"/>
                <w:sz w:val="14"/>
                <w:szCs w:val="14"/>
                <w:b w:val="1"/>
                <w:bCs w:val="1"/>
                <w:color w:val="FFFFFF"/>
              </w:rPr>
              <w:t>options, warrants and</w:t>
            </w:r>
          </w:p>
        </w:tc>
        <w:tc>
          <w:tcPr>
            <w:tcW w:w="2000" w:type="dxa"/>
            <w:vAlign w:val="bottom"/>
            <w:gridSpan w:val="4"/>
            <w:shd w:val="clear" w:color="auto" w:fill="000000"/>
          </w:tcPr>
          <w:p>
            <w:pPr>
              <w:ind w:left="320"/>
              <w:spacing w:after="0"/>
              <w:rPr>
                <w:sz w:val="20"/>
                <w:szCs w:val="20"/>
                <w:color w:val="auto"/>
              </w:rPr>
            </w:pPr>
            <w:r>
              <w:rPr>
                <w:rFonts w:ascii="Arial" w:cs="Arial" w:eastAsia="Arial" w:hAnsi="Arial"/>
                <w:sz w:val="14"/>
                <w:szCs w:val="14"/>
                <w:b w:val="1"/>
                <w:bCs w:val="1"/>
                <w:color w:val="FFFFFF"/>
              </w:rPr>
              <w:t>reflected in column (a))</w:t>
            </w:r>
          </w:p>
        </w:tc>
        <w:tc>
          <w:tcPr>
            <w:tcW w:w="0" w:type="dxa"/>
            <w:vAlign w:val="bottom"/>
          </w:tcPr>
          <w:p>
            <w:pPr>
              <w:spacing w:after="0"/>
              <w:rPr>
                <w:sz w:val="1"/>
                <w:szCs w:val="1"/>
                <w:color w:val="auto"/>
              </w:rPr>
            </w:pPr>
          </w:p>
        </w:tc>
      </w:tr>
      <w:tr>
        <w:trPr>
          <w:trHeight w:val="324"/>
        </w:trPr>
        <w:tc>
          <w:tcPr>
            <w:tcW w:w="3980" w:type="dxa"/>
            <w:vAlign w:val="bottom"/>
            <w:gridSpan w:val="2"/>
            <w:shd w:val="clear" w:color="auto" w:fill="000000"/>
          </w:tcPr>
          <w:p>
            <w:pPr>
              <w:ind w:left="80"/>
              <w:spacing w:after="0"/>
              <w:rPr>
                <w:sz w:val="20"/>
                <w:szCs w:val="20"/>
                <w:color w:val="auto"/>
              </w:rPr>
            </w:pPr>
            <w:r>
              <w:rPr>
                <w:rFonts w:ascii="Arial" w:cs="Arial" w:eastAsia="Arial" w:hAnsi="Arial"/>
                <w:sz w:val="14"/>
                <w:szCs w:val="14"/>
                <w:b w:val="1"/>
                <w:bCs w:val="1"/>
                <w:color w:val="FFFFFF"/>
              </w:rPr>
              <w:t>Plan Category</w:t>
            </w:r>
          </w:p>
        </w:tc>
        <w:tc>
          <w:tcPr>
            <w:tcW w:w="140" w:type="dxa"/>
            <w:vAlign w:val="bottom"/>
            <w:shd w:val="clear" w:color="auto" w:fill="000000"/>
          </w:tcPr>
          <w:p>
            <w:pPr>
              <w:spacing w:after="0"/>
              <w:rPr>
                <w:sz w:val="24"/>
                <w:szCs w:val="24"/>
                <w:color w:val="auto"/>
              </w:rPr>
            </w:pPr>
          </w:p>
        </w:tc>
        <w:tc>
          <w:tcPr>
            <w:tcW w:w="1500" w:type="dxa"/>
            <w:vAlign w:val="bottom"/>
            <w:gridSpan w:val="4"/>
            <w:shd w:val="clear" w:color="auto" w:fill="000000"/>
          </w:tcPr>
          <w:p>
            <w:pPr>
              <w:ind w:left="160"/>
              <w:spacing w:after="0"/>
              <w:rPr>
                <w:sz w:val="20"/>
                <w:szCs w:val="20"/>
                <w:color w:val="auto"/>
              </w:rPr>
            </w:pPr>
            <w:r>
              <w:rPr>
                <w:rFonts w:ascii="Arial" w:cs="Arial" w:eastAsia="Arial" w:hAnsi="Arial"/>
                <w:sz w:val="14"/>
                <w:szCs w:val="14"/>
                <w:b w:val="1"/>
                <w:bCs w:val="1"/>
                <w:color w:val="FFFFFF"/>
              </w:rPr>
              <w:t>and rights</w:t>
            </w:r>
          </w:p>
        </w:tc>
        <w:tc>
          <w:tcPr>
            <w:tcW w:w="1780" w:type="dxa"/>
            <w:vAlign w:val="bottom"/>
            <w:gridSpan w:val="2"/>
            <w:shd w:val="clear" w:color="auto" w:fill="000000"/>
          </w:tcPr>
          <w:p>
            <w:pPr>
              <w:ind w:left="160"/>
              <w:spacing w:after="0"/>
              <w:rPr>
                <w:sz w:val="20"/>
                <w:szCs w:val="20"/>
                <w:color w:val="auto"/>
              </w:rPr>
            </w:pPr>
            <w:r>
              <w:rPr>
                <w:rFonts w:ascii="Arial" w:cs="Arial" w:eastAsia="Arial" w:hAnsi="Arial"/>
                <w:sz w:val="14"/>
                <w:szCs w:val="14"/>
                <w:b w:val="1"/>
                <w:bCs w:val="1"/>
                <w:color w:val="FFFFFF"/>
              </w:rPr>
              <w:t>rights</w:t>
            </w:r>
            <w:r>
              <w:rPr>
                <w:rFonts w:ascii="Arial" w:cs="Arial" w:eastAsia="Arial" w:hAnsi="Arial"/>
                <w:sz w:val="23"/>
                <w:szCs w:val="23"/>
                <w:b w:val="1"/>
                <w:bCs w:val="1"/>
                <w:color w:val="FFFFFF"/>
                <w:vertAlign w:val="superscript"/>
              </w:rPr>
              <w:t>(2)</w:t>
            </w:r>
          </w:p>
        </w:tc>
        <w:tc>
          <w:tcPr>
            <w:tcW w:w="1080" w:type="dxa"/>
            <w:vAlign w:val="bottom"/>
            <w:shd w:val="clear" w:color="auto" w:fill="000000"/>
          </w:tcPr>
          <w:p>
            <w:pPr>
              <w:ind w:left="320"/>
              <w:spacing w:after="0"/>
              <w:rPr>
                <w:sz w:val="20"/>
                <w:szCs w:val="20"/>
                <w:color w:val="auto"/>
              </w:rPr>
            </w:pPr>
            <w:r>
              <w:rPr>
                <w:rFonts w:ascii="Arial" w:cs="Arial" w:eastAsia="Arial" w:hAnsi="Arial"/>
                <w:sz w:val="12"/>
                <w:szCs w:val="12"/>
                <w:b w:val="1"/>
                <w:bCs w:val="1"/>
                <w:color w:val="FFFFFF"/>
              </w:rPr>
              <w:t>(3)</w:t>
            </w:r>
          </w:p>
        </w:tc>
        <w:tc>
          <w:tcPr>
            <w:tcW w:w="80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300" w:type="dxa"/>
            <w:vAlign w:val="bottom"/>
            <w:shd w:val="clear" w:color="auto" w:fill="000000"/>
          </w:tcPr>
          <w:p>
            <w:pPr>
              <w:spacing w:after="0"/>
              <w:rPr>
                <w:sz w:val="24"/>
                <w:szCs w:val="24"/>
                <w:color w:val="auto"/>
              </w:rPr>
            </w:pPr>
          </w:p>
        </w:tc>
        <w:tc>
          <w:tcPr>
            <w:tcW w:w="268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560" w:type="dxa"/>
            <w:vAlign w:val="bottom"/>
            <w:shd w:val="clear" w:color="auto" w:fill="000000"/>
          </w:tcPr>
          <w:p>
            <w:pPr>
              <w:spacing w:after="0"/>
              <w:rPr>
                <w:sz w:val="24"/>
                <w:szCs w:val="24"/>
                <w:color w:val="auto"/>
              </w:rPr>
            </w:pPr>
          </w:p>
        </w:tc>
        <w:tc>
          <w:tcPr>
            <w:tcW w:w="940" w:type="dxa"/>
            <w:vAlign w:val="bottom"/>
            <w:gridSpan w:val="3"/>
            <w:shd w:val="clear" w:color="auto" w:fill="000000"/>
          </w:tcPr>
          <w:p>
            <w:pPr>
              <w:ind w:left="100"/>
              <w:spacing w:after="0"/>
              <w:rPr>
                <w:sz w:val="20"/>
                <w:szCs w:val="20"/>
                <w:color w:val="auto"/>
              </w:rPr>
            </w:pPr>
            <w:r>
              <w:rPr>
                <w:rFonts w:ascii="Arial" w:cs="Arial" w:eastAsia="Arial" w:hAnsi="Arial"/>
                <w:sz w:val="14"/>
                <w:szCs w:val="14"/>
                <w:b w:val="1"/>
                <w:bCs w:val="1"/>
                <w:color w:val="FFFFFF"/>
              </w:rPr>
              <w:t>(a)</w:t>
            </w:r>
          </w:p>
        </w:tc>
        <w:tc>
          <w:tcPr>
            <w:tcW w:w="1780" w:type="dxa"/>
            <w:vAlign w:val="bottom"/>
            <w:gridSpan w:val="2"/>
            <w:shd w:val="clear" w:color="auto" w:fill="000000"/>
          </w:tcPr>
          <w:p>
            <w:pPr>
              <w:ind w:left="880"/>
              <w:spacing w:after="0"/>
              <w:rPr>
                <w:sz w:val="20"/>
                <w:szCs w:val="20"/>
                <w:color w:val="auto"/>
              </w:rPr>
            </w:pPr>
            <w:r>
              <w:rPr>
                <w:rFonts w:ascii="Arial" w:cs="Arial" w:eastAsia="Arial" w:hAnsi="Arial"/>
                <w:sz w:val="14"/>
                <w:szCs w:val="14"/>
                <w:b w:val="1"/>
                <w:bCs w:val="1"/>
                <w:color w:val="FFFFFF"/>
              </w:rPr>
              <w:t>(b)</w:t>
            </w:r>
          </w:p>
        </w:tc>
        <w:tc>
          <w:tcPr>
            <w:tcW w:w="2000" w:type="dxa"/>
            <w:vAlign w:val="bottom"/>
            <w:gridSpan w:val="4"/>
            <w:shd w:val="clear" w:color="auto" w:fill="000000"/>
          </w:tcPr>
          <w:p>
            <w:pPr>
              <w:ind w:left="1080"/>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10"/>
        </w:trPr>
        <w:tc>
          <w:tcPr>
            <w:tcW w:w="1300" w:type="dxa"/>
            <w:vAlign w:val="bottom"/>
            <w:shd w:val="clear" w:color="auto" w:fill="000000"/>
          </w:tcPr>
          <w:p>
            <w:pPr>
              <w:spacing w:after="0"/>
              <w:rPr>
                <w:sz w:val="9"/>
                <w:szCs w:val="9"/>
                <w:color w:val="auto"/>
              </w:rPr>
            </w:pPr>
          </w:p>
        </w:tc>
        <w:tc>
          <w:tcPr>
            <w:tcW w:w="268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560" w:type="dxa"/>
            <w:vAlign w:val="bottom"/>
            <w:shd w:val="clear" w:color="auto" w:fill="000000"/>
          </w:tcPr>
          <w:p>
            <w:pPr>
              <w:spacing w:after="0"/>
              <w:rPr>
                <w:sz w:val="9"/>
                <w:szCs w:val="9"/>
                <w:color w:val="auto"/>
              </w:rPr>
            </w:pPr>
          </w:p>
        </w:tc>
        <w:tc>
          <w:tcPr>
            <w:tcW w:w="7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154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1080" w:type="dxa"/>
            <w:vAlign w:val="bottom"/>
            <w:shd w:val="clear" w:color="auto" w:fill="000000"/>
          </w:tcPr>
          <w:p>
            <w:pPr>
              <w:spacing w:after="0"/>
              <w:rPr>
                <w:sz w:val="9"/>
                <w:szCs w:val="9"/>
                <w:color w:val="auto"/>
              </w:rPr>
            </w:pPr>
          </w:p>
        </w:tc>
        <w:tc>
          <w:tcPr>
            <w:tcW w:w="80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444"/>
        </w:trPr>
        <w:tc>
          <w:tcPr>
            <w:tcW w:w="3980" w:type="dxa"/>
            <w:vAlign w:val="bottom"/>
            <w:gridSpan w:val="2"/>
          </w:tcPr>
          <w:p>
            <w:pPr>
              <w:ind w:left="80"/>
              <w:spacing w:after="0"/>
              <w:rPr>
                <w:sz w:val="20"/>
                <w:szCs w:val="20"/>
                <w:color w:val="auto"/>
              </w:rPr>
            </w:pPr>
            <w:r>
              <w:rPr>
                <w:rFonts w:ascii="Arial" w:cs="Arial" w:eastAsia="Arial" w:hAnsi="Arial"/>
                <w:sz w:val="14"/>
                <w:szCs w:val="14"/>
                <w:b w:val="1"/>
                <w:bCs w:val="1"/>
                <w:color w:val="40C0C0"/>
              </w:rPr>
              <w:t>Equity compensation plan approved by stockholders</w:t>
            </w: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color w:val="auto"/>
              </w:rPr>
              <w:t>7,917,973</w:t>
            </w:r>
            <w:r>
              <w:rPr>
                <w:rFonts w:ascii="Arial" w:cs="Arial" w:eastAsia="Arial" w:hAnsi="Arial"/>
                <w:sz w:val="23"/>
                <w:szCs w:val="23"/>
                <w:color w:val="auto"/>
                <w:vertAlign w:val="superscript"/>
              </w:rPr>
              <w:t>(1)</w:t>
            </w:r>
          </w:p>
        </w:tc>
        <w:tc>
          <w:tcPr>
            <w:tcW w:w="15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2000" w:type="dxa"/>
            <w:vAlign w:val="bottom"/>
            <w:gridSpan w:val="4"/>
          </w:tcPr>
          <w:p>
            <w:pPr>
              <w:ind w:left="1080"/>
              <w:spacing w:after="0"/>
              <w:rPr>
                <w:sz w:val="20"/>
                <w:szCs w:val="20"/>
                <w:color w:val="auto"/>
              </w:rPr>
            </w:pPr>
            <w:r>
              <w:rPr>
                <w:rFonts w:ascii="Arial" w:cs="Arial" w:eastAsia="Arial" w:hAnsi="Arial"/>
                <w:sz w:val="14"/>
                <w:szCs w:val="14"/>
                <w:color w:val="auto"/>
              </w:rPr>
              <w:t>22,149,589</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9"/>
        </w:trPr>
        <w:tc>
          <w:tcPr>
            <w:tcW w:w="1300" w:type="dxa"/>
            <w:vAlign w:val="bottom"/>
            <w:tcBorders>
              <w:bottom w:val="single" w:sz="8" w:color="999999"/>
            </w:tcBorders>
          </w:tcPr>
          <w:p>
            <w:pPr>
              <w:spacing w:after="0"/>
              <w:rPr>
                <w:sz w:val="2"/>
                <w:szCs w:val="2"/>
                <w:color w:val="auto"/>
              </w:rPr>
            </w:pPr>
          </w:p>
        </w:tc>
        <w:tc>
          <w:tcPr>
            <w:tcW w:w="2680" w:type="dxa"/>
            <w:vAlign w:val="bottom"/>
            <w:tcBorders>
              <w:bottom w:val="single" w:sz="8" w:color="999999"/>
            </w:tcBorders>
          </w:tcPr>
          <w:p>
            <w:pPr>
              <w:spacing w:after="0"/>
              <w:rPr>
                <w:sz w:val="2"/>
                <w:szCs w:val="2"/>
                <w:color w:val="auto"/>
              </w:rPr>
            </w:pPr>
          </w:p>
        </w:tc>
        <w:tc>
          <w:tcPr>
            <w:tcW w:w="14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720" w:type="dxa"/>
            <w:vAlign w:val="bottom"/>
            <w:tcBorders>
              <w:bottom w:val="single" w:sz="8" w:color="999999"/>
            </w:tcBorders>
          </w:tcPr>
          <w:p>
            <w:pPr>
              <w:spacing w:after="0"/>
              <w:rPr>
                <w:sz w:val="2"/>
                <w:szCs w:val="2"/>
                <w:color w:val="auto"/>
              </w:rPr>
            </w:pPr>
          </w:p>
        </w:tc>
        <w:tc>
          <w:tcPr>
            <w:tcW w:w="40" w:type="dxa"/>
            <w:vAlign w:val="bottom"/>
            <w:tcBorders>
              <w:bottom w:val="single" w:sz="8" w:color="999999"/>
            </w:tcBorders>
          </w:tcPr>
          <w:p>
            <w:pPr>
              <w:spacing w:after="0"/>
              <w:rPr>
                <w:sz w:val="2"/>
                <w:szCs w:val="2"/>
                <w:color w:val="auto"/>
              </w:rPr>
            </w:pPr>
          </w:p>
        </w:tc>
        <w:tc>
          <w:tcPr>
            <w:tcW w:w="180" w:type="dxa"/>
            <w:vAlign w:val="bottom"/>
            <w:tcBorders>
              <w:bottom w:val="single" w:sz="8" w:color="999999"/>
            </w:tcBorders>
          </w:tcPr>
          <w:p>
            <w:pPr>
              <w:spacing w:after="0"/>
              <w:rPr>
                <w:sz w:val="2"/>
                <w:szCs w:val="2"/>
                <w:color w:val="auto"/>
              </w:rPr>
            </w:pPr>
          </w:p>
        </w:tc>
        <w:tc>
          <w:tcPr>
            <w:tcW w:w="1540" w:type="dxa"/>
            <w:vAlign w:val="bottom"/>
            <w:tcBorders>
              <w:bottom w:val="single" w:sz="8" w:color="999999"/>
            </w:tcBorders>
          </w:tcPr>
          <w:p>
            <w:pPr>
              <w:spacing w:after="0"/>
              <w:rPr>
                <w:sz w:val="2"/>
                <w:szCs w:val="2"/>
                <w:color w:val="auto"/>
              </w:rPr>
            </w:pPr>
          </w:p>
        </w:tc>
        <w:tc>
          <w:tcPr>
            <w:tcW w:w="24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80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6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980" w:type="dxa"/>
            <w:vAlign w:val="bottom"/>
            <w:gridSpan w:val="2"/>
          </w:tcPr>
          <w:p>
            <w:pPr>
              <w:ind w:left="80"/>
              <w:spacing w:after="0"/>
              <w:rPr>
                <w:sz w:val="20"/>
                <w:szCs w:val="20"/>
                <w:color w:val="auto"/>
              </w:rPr>
            </w:pPr>
            <w:r>
              <w:rPr>
                <w:rFonts w:ascii="Arial" w:cs="Arial" w:eastAsia="Arial" w:hAnsi="Arial"/>
                <w:sz w:val="14"/>
                <w:szCs w:val="14"/>
                <w:b w:val="1"/>
                <w:bCs w:val="1"/>
                <w:color w:val="40C0C0"/>
              </w:rPr>
              <w:t>Equity compensation plan not approved by stockholders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gridSpan w:val="3"/>
          </w:tcPr>
          <w:p>
            <w:pPr>
              <w:ind w:left="62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gridSpan w:val="3"/>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1300" w:type="dxa"/>
            <w:vAlign w:val="bottom"/>
            <w:tcBorders>
              <w:bottom w:val="single" w:sz="8" w:color="999999"/>
            </w:tcBorders>
          </w:tcPr>
          <w:p>
            <w:pPr>
              <w:spacing w:after="0"/>
              <w:rPr>
                <w:sz w:val="11"/>
                <w:szCs w:val="11"/>
                <w:color w:val="auto"/>
              </w:rPr>
            </w:pPr>
          </w:p>
        </w:tc>
        <w:tc>
          <w:tcPr>
            <w:tcW w:w="2680" w:type="dxa"/>
            <w:vAlign w:val="bottom"/>
            <w:tcBorders>
              <w:bottom w:val="single" w:sz="8" w:color="999999"/>
            </w:tcBorders>
          </w:tcPr>
          <w:p>
            <w:pPr>
              <w:spacing w:after="0"/>
              <w:rPr>
                <w:sz w:val="11"/>
                <w:szCs w:val="11"/>
                <w:color w:val="auto"/>
              </w:rPr>
            </w:pPr>
          </w:p>
        </w:tc>
        <w:tc>
          <w:tcPr>
            <w:tcW w:w="140" w:type="dxa"/>
            <w:vAlign w:val="bottom"/>
            <w:tcBorders>
              <w:bottom w:val="single" w:sz="8" w:color="999999"/>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999999"/>
            </w:tcBorders>
          </w:tcPr>
          <w:p>
            <w:pPr>
              <w:spacing w:after="0"/>
              <w:rPr>
                <w:sz w:val="11"/>
                <w:szCs w:val="11"/>
                <w:color w:val="auto"/>
              </w:rPr>
            </w:pPr>
          </w:p>
        </w:tc>
        <w:tc>
          <w:tcPr>
            <w:tcW w:w="40" w:type="dxa"/>
            <w:vAlign w:val="bottom"/>
            <w:tcBorders>
              <w:top w:val="single" w:sz="8" w:color="999999"/>
            </w:tcBorders>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Borders>
              <w:top w:val="single" w:sz="8" w:color="999999"/>
            </w:tcBorders>
          </w:tcPr>
          <w:p>
            <w:pPr>
              <w:spacing w:after="0"/>
              <w:rPr>
                <w:sz w:val="11"/>
                <w:szCs w:val="11"/>
                <w:color w:val="auto"/>
              </w:rPr>
            </w:pPr>
          </w:p>
        </w:tc>
        <w:tc>
          <w:tcPr>
            <w:tcW w:w="60" w:type="dxa"/>
            <w:vAlign w:val="bottom"/>
            <w:tcBorders>
              <w:top w:val="single" w:sz="8" w:color="999999"/>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3980" w:type="dxa"/>
            <w:vAlign w:val="bottom"/>
            <w:gridSpan w:val="2"/>
          </w:tcPr>
          <w:p>
            <w:pPr>
              <w:ind w:left="80"/>
              <w:spacing w:after="0"/>
              <w:rPr>
                <w:sz w:val="20"/>
                <w:szCs w:val="20"/>
                <w:color w:val="auto"/>
              </w:rPr>
            </w:pPr>
            <w:r>
              <w:rPr>
                <w:rFonts w:ascii="Arial" w:cs="Arial" w:eastAsia="Arial" w:hAnsi="Arial"/>
                <w:sz w:val="14"/>
                <w:szCs w:val="14"/>
                <w:b w:val="1"/>
                <w:bCs w:val="1"/>
                <w:color w:val="40C0C0"/>
              </w:rPr>
              <w:t>Total</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7,917,973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940" w:type="dxa"/>
            <w:vAlign w:val="bottom"/>
            <w:gridSpan w:val="3"/>
          </w:tcPr>
          <w:p>
            <w:pPr>
              <w:ind w:left="1160"/>
              <w:spacing w:after="0"/>
              <w:rPr>
                <w:sz w:val="20"/>
                <w:szCs w:val="20"/>
                <w:color w:val="auto"/>
              </w:rPr>
            </w:pPr>
            <w:r>
              <w:rPr>
                <w:rFonts w:ascii="Arial" w:cs="Arial" w:eastAsia="Arial" w:hAnsi="Arial"/>
                <w:sz w:val="14"/>
                <w:szCs w:val="14"/>
                <w:color w:val="auto"/>
              </w:rPr>
              <w:t>22,149,589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808080"/>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808080"/>
              <w:bottom w:val="single" w:sz="8" w:color="808080"/>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top w:val="single" w:sz="8" w:color="808080"/>
              <w:bottom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300" w:type="dxa"/>
            <w:vAlign w:val="bottom"/>
            <w:tcBorders>
              <w:bottom w:val="single" w:sz="8" w:color="999999"/>
            </w:tcBorders>
          </w:tcPr>
          <w:p>
            <w:pPr>
              <w:spacing w:after="0"/>
              <w:rPr>
                <w:sz w:val="7"/>
                <w:szCs w:val="7"/>
                <w:color w:val="auto"/>
              </w:rPr>
            </w:pPr>
          </w:p>
        </w:tc>
        <w:tc>
          <w:tcPr>
            <w:tcW w:w="2680" w:type="dxa"/>
            <w:vAlign w:val="bottom"/>
            <w:tcBorders>
              <w:bottom w:val="single" w:sz="8" w:color="999999"/>
            </w:tcBorders>
          </w:tcPr>
          <w:p>
            <w:pPr>
              <w:spacing w:after="0"/>
              <w:rPr>
                <w:sz w:val="7"/>
                <w:szCs w:val="7"/>
                <w:color w:val="auto"/>
              </w:rPr>
            </w:pPr>
          </w:p>
        </w:tc>
        <w:tc>
          <w:tcPr>
            <w:tcW w:w="140" w:type="dxa"/>
            <w:vAlign w:val="bottom"/>
            <w:tcBorders>
              <w:bottom w:val="single" w:sz="8" w:color="999999"/>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right="140" w:hanging="354"/>
        <w:spacing w:after="0" w:line="252" w:lineRule="auto"/>
        <w:tabs>
          <w:tab w:leader="none" w:pos="36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of shares to be issued upon exercise of outstanding options, warrants and rights includes shares that will be issued upon the vesting of outstanding RSU awards of 7,683,598 shares and performance based restricted stock units (“PRSUs”) awards of 234,375 shares.</w:t>
      </w:r>
    </w:p>
    <w:p>
      <w:pPr>
        <w:spacing w:after="0" w:line="24" w:lineRule="exact"/>
        <w:rPr>
          <w:sz w:val="20"/>
          <w:szCs w:val="20"/>
          <w:color w:val="auto"/>
        </w:rPr>
      </w:pPr>
    </w:p>
    <w:p>
      <w:pPr>
        <w:ind w:left="360" w:right="260" w:hanging="354"/>
        <w:spacing w:after="0" w:line="252" w:lineRule="auto"/>
        <w:tabs>
          <w:tab w:leader="none" w:pos="36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The weighted-average exercise price of outstanding options, warrants and rights does not reflect the shares that will be issued upon the vesting of outstanding awards of RSUs and PRSUs, which have no exercise price.</w:t>
      </w:r>
    </w:p>
    <w:p>
      <w:pPr>
        <w:spacing w:after="0" w:line="37" w:lineRule="exact"/>
        <w:rPr>
          <w:sz w:val="20"/>
          <w:szCs w:val="20"/>
          <w:color w:val="auto"/>
        </w:rPr>
      </w:pPr>
    </w:p>
    <w:p>
      <w:pPr>
        <w:ind w:left="360" w:right="20" w:hanging="354"/>
        <w:spacing w:after="0" w:line="228" w:lineRule="auto"/>
        <w:tabs>
          <w:tab w:leader="none" w:pos="36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Our 2021 Equity Plan provides that on the first day of each fiscal year beginning with the 2022 fiscal year, the number of shares of Class A Common stock reserved for issuance under the 2021 Equity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w:t>
      </w:r>
    </w:p>
    <w:p>
      <w:pPr>
        <w:spacing w:after="0" w:line="32" w:lineRule="exact"/>
        <w:rPr>
          <w:sz w:val="20"/>
          <w:szCs w:val="20"/>
          <w:color w:val="auto"/>
        </w:rPr>
      </w:pPr>
    </w:p>
    <w:p>
      <w:pPr>
        <w:ind w:left="360" w:right="500" w:hanging="354"/>
        <w:spacing w:after="0" w:line="252" w:lineRule="auto"/>
        <w:tabs>
          <w:tab w:leader="none" w:pos="36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The number Consists of 19,530,046 shares of our common stock reserved for issuance under our 2021 Equity Plan and 2,619,543 shares of our common stock reserved for issuance under our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59664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28</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Delinquent Section 16(a) Reports</w:t>
      </w: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Officers, directors and greater than ten percent stockholders are required by SEC regulation to furnish us with copies of all Section 16(a) forms they file.</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To our knowledge, based solely on a review of the copies of such reports furnished to us and written representations that no other reports were required, during the year ended December 31, 2023, all Section 16(a) filing requirements applicable to our officers, directors and greater than ten percent stockholders were complied with, with the exception of two Form 3s for the initial statement of beneficial ownership, which were inadvertently filed late, one for each of Mmes. Hoitt and McMinn, and two Form 4s for restricted stock unit grants, which were inadvertently filed late, one for each of Messrs. Camire and Grazier, all due to administrative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5966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29</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00"/>
          </w:cols>
          <w:pgMar w:left="1240" w:top="114" w:right="1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Executive Compensation</w:t>
      </w:r>
    </w:p>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the year ended December 31, 2023, are:</w:t>
      </w:r>
    </w:p>
    <w:p>
      <w:pPr>
        <w:spacing w:after="0" w:line="86" w:lineRule="exact"/>
        <w:rPr>
          <w:sz w:val="20"/>
          <w:szCs w:val="20"/>
          <w:color w:val="auto"/>
        </w:rPr>
      </w:pPr>
    </w:p>
    <w:p>
      <w:pPr>
        <w:ind w:left="600" w:hanging="288"/>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Douglas Francis, our principal executive officer and Executive Chair</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Brian Camire, our General Counsel and Secretary</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Duncan Grazier, our Chief Technology Officer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Pay and Performance</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124"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We emphasize variable compensation that appropriately rewards our Named Executive Officers through two separate compensation elements:</w:t>
      </w:r>
    </w:p>
    <w:p>
      <w:pPr>
        <w:spacing w:after="0" w:line="8" w:lineRule="exact"/>
        <w:rPr>
          <w:sz w:val="20"/>
          <w:szCs w:val="20"/>
          <w:color w:val="auto"/>
        </w:rPr>
      </w:pPr>
    </w:p>
    <w:p>
      <w:pPr>
        <w:ind w:left="600" w:hanging="288"/>
        <w:spacing w:after="0" w:line="214" w:lineRule="auto"/>
        <w:tabs>
          <w:tab w:leader="none" w:pos="600" w:val="left"/>
        </w:tabs>
        <w:numPr>
          <w:ilvl w:val="0"/>
          <w:numId w:val="24"/>
        </w:numPr>
        <w:rPr>
          <w:rFonts w:ascii="Arial" w:cs="Arial" w:eastAsia="Arial" w:hAnsi="Arial"/>
          <w:sz w:val="32"/>
          <w:szCs w:val="32"/>
          <w:color w:val="auto"/>
          <w:vertAlign w:val="superscript"/>
        </w:rPr>
      </w:pPr>
      <w:r>
        <w:rPr>
          <w:rFonts w:ascii="Arial" w:cs="Arial" w:eastAsia="Arial" w:hAnsi="Arial"/>
          <w:sz w:val="16"/>
          <w:szCs w:val="16"/>
          <w:color w:val="auto"/>
        </w:rPr>
        <w:t>The Compensation Committee adopted a formal cash bonus plan for 2023</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55" w:lineRule="exact"/>
        <w:rPr>
          <w:rFonts w:ascii="Arial" w:cs="Arial" w:eastAsia="Arial" w:hAnsi="Arial"/>
          <w:sz w:val="32"/>
          <w:szCs w:val="32"/>
          <w:color w:val="auto"/>
          <w:vertAlign w:val="superscript"/>
        </w:rPr>
      </w:pPr>
    </w:p>
    <w:p>
      <w:pPr>
        <w:ind w:left="600" w:right="20" w:hanging="288"/>
        <w:spacing w:after="0" w:line="256"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126"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“—Executive Employment Arrangements” below.</w:t>
      </w:r>
    </w:p>
    <w:p>
      <w:pPr>
        <w:spacing w:after="0" w:line="124"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966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30</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Policies and Practices</w:t>
      </w:r>
    </w:p>
    <w:p>
      <w:pPr>
        <w:spacing w:after="0" w:line="154"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96646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6460" cy="22288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p>
      <w:pPr>
        <w:spacing w:after="0" w:line="149"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FFFFFF"/>
        </w:rPr>
        <w:t>WHAT WE DO</w:t>
      </w:r>
    </w:p>
    <w:p>
      <w:pPr>
        <w:spacing w:after="0" w:line="109" w:lineRule="exact"/>
        <w:rPr>
          <w:sz w:val="20"/>
          <w:szCs w:val="20"/>
          <w:color w:val="auto"/>
        </w:rPr>
      </w:pPr>
    </w:p>
    <w:p>
      <w:pPr>
        <w:ind w:left="480" w:hanging="268"/>
        <w:spacing w:after="0" w:line="248"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Maintain Independent Compensation Committee. </w:t>
      </w:r>
      <w:r>
        <w:rPr>
          <w:rFonts w:ascii="Arial" w:cs="Arial" w:eastAsia="Arial" w:hAnsi="Arial"/>
          <w:sz w:val="14"/>
          <w:szCs w:val="14"/>
          <w:color w:val="auto"/>
        </w:rPr>
        <w:t>The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Proxy Statement.</w:t>
      </w:r>
    </w:p>
    <w:p>
      <w:pPr>
        <w:spacing w:after="0" w:line="279" w:lineRule="exact"/>
        <w:rPr>
          <w:rFonts w:ascii="Arial" w:cs="Arial" w:eastAsia="Arial" w:hAnsi="Arial"/>
          <w:sz w:val="14"/>
          <w:szCs w:val="14"/>
          <w:b w:val="1"/>
          <w:bCs w:val="1"/>
          <w:color w:val="auto"/>
        </w:rPr>
      </w:pPr>
    </w:p>
    <w:p>
      <w:pPr>
        <w:ind w:left="480" w:hanging="268"/>
        <w:spacing w:after="0" w:line="250"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Retain an Independent Compensation Consultant. </w:t>
      </w:r>
      <w:r>
        <w:rPr>
          <w:rFonts w:ascii="Arial" w:cs="Arial" w:eastAsia="Arial" w:hAnsi="Arial"/>
          <w:sz w:val="14"/>
          <w:szCs w:val="14"/>
          <w:color w:val="auto"/>
        </w:rPr>
        <w:t>In 2023,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engaged its own compensation consultant to provide information, analysis, and other advice on compensation matters independent of management. This compensation consultant performed no other services for us during 2023.</w:t>
      </w:r>
    </w:p>
    <w:p>
      <w:pPr>
        <w:spacing w:after="0" w:line="114" w:lineRule="exact"/>
        <w:rPr>
          <w:rFonts w:ascii="Arial" w:cs="Arial" w:eastAsia="Arial" w:hAnsi="Arial"/>
          <w:sz w:val="14"/>
          <w:szCs w:val="14"/>
          <w:b w:val="1"/>
          <w:bCs w:val="1"/>
          <w:color w:val="auto"/>
        </w:rPr>
      </w:pPr>
    </w:p>
    <w:p>
      <w:pPr>
        <w:ind w:left="480" w:hanging="268"/>
        <w:spacing w:after="0" w:line="252"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Annual Executive Compensation Review. </w:t>
      </w:r>
      <w:r>
        <w:rPr>
          <w:rFonts w:ascii="Arial" w:cs="Arial" w:eastAsia="Arial" w:hAnsi="Arial"/>
          <w:sz w:val="14"/>
          <w:szCs w:val="14"/>
          <w:color w:val="auto"/>
        </w:rPr>
        <w:t>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reviews and approves our compensation strategy and policies planned to be done annually, including review and approval of the 2023 short-term incentive plan for executive officers.</w:t>
      </w:r>
    </w:p>
    <w:p>
      <w:pPr>
        <w:spacing w:after="0" w:line="113" w:lineRule="exact"/>
        <w:rPr>
          <w:rFonts w:ascii="Arial" w:cs="Arial" w:eastAsia="Arial" w:hAnsi="Arial"/>
          <w:sz w:val="14"/>
          <w:szCs w:val="14"/>
          <w:b w:val="1"/>
          <w:bCs w:val="1"/>
          <w:color w:val="auto"/>
        </w:rPr>
      </w:pPr>
    </w:p>
    <w:p>
      <w:pPr>
        <w:ind w:left="480" w:right="60" w:hanging="268"/>
        <w:spacing w:after="0" w:line="250"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Compensation “At-Risk.” </w:t>
      </w:r>
      <w:r>
        <w:rPr>
          <w:rFonts w:ascii="Arial" w:cs="Arial" w:eastAsia="Arial" w:hAnsi="Arial"/>
          <w:sz w:val="14"/>
          <w:szCs w:val="14"/>
          <w:color w:val="auto"/>
        </w:rPr>
        <w:t>Other than the compensation for</w:t>
      </w:r>
      <w:r>
        <w:rPr>
          <w:rFonts w:ascii="Arial" w:cs="Arial" w:eastAsia="Arial" w:hAnsi="Arial"/>
          <w:sz w:val="14"/>
          <w:szCs w:val="14"/>
          <w:i w:val="1"/>
          <w:iCs w:val="1"/>
          <w:color w:val="auto"/>
        </w:rPr>
        <w:t xml:space="preserve"> </w:t>
      </w:r>
      <w:r>
        <w:rPr>
          <w:rFonts w:ascii="Arial" w:cs="Arial" w:eastAsia="Arial" w:hAnsi="Arial"/>
          <w:sz w:val="14"/>
          <w:szCs w:val="14"/>
          <w:color w:val="auto"/>
        </w:rPr>
        <w:t>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Arial" w:cs="Arial" w:eastAsia="Arial" w:hAnsi="Arial"/>
          <w:sz w:val="14"/>
          <w:szCs w:val="14"/>
          <w:b w:val="1"/>
          <w:bCs w:val="1"/>
          <w:color w:val="auto"/>
        </w:rPr>
      </w:pPr>
    </w:p>
    <w:p>
      <w:pPr>
        <w:spacing w:after="0" w:line="200" w:lineRule="exact"/>
        <w:rPr>
          <w:rFonts w:ascii="Arial" w:cs="Arial" w:eastAsia="Arial" w:hAnsi="Arial"/>
          <w:sz w:val="14"/>
          <w:szCs w:val="14"/>
          <w:b w:val="1"/>
          <w:bCs w:val="1"/>
          <w:color w:val="auto"/>
        </w:rPr>
      </w:pPr>
    </w:p>
    <w:p>
      <w:pPr>
        <w:spacing w:after="0" w:line="362" w:lineRule="exact"/>
        <w:rPr>
          <w:rFonts w:ascii="Arial" w:cs="Arial" w:eastAsia="Arial" w:hAnsi="Arial"/>
          <w:sz w:val="14"/>
          <w:szCs w:val="14"/>
          <w:b w:val="1"/>
          <w:bCs w:val="1"/>
          <w:color w:val="auto"/>
        </w:rPr>
      </w:pPr>
    </w:p>
    <w:p>
      <w:pPr>
        <w:ind w:left="480" w:right="80" w:hanging="268"/>
        <w:spacing w:after="0" w:line="256"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Use of “Pay-for-Performance” Philosophy. </w:t>
      </w:r>
      <w:r>
        <w:rPr>
          <w:rFonts w:ascii="Arial" w:cs="Arial" w:eastAsia="Arial" w:hAnsi="Arial"/>
          <w:sz w:val="14"/>
          <w:szCs w:val="14"/>
          <w:color w:val="auto"/>
        </w:rPr>
        <w:t>The majority of our</w:t>
      </w:r>
      <w:r>
        <w:rPr>
          <w:rFonts w:ascii="Arial" w:cs="Arial" w:eastAsia="Arial" w:hAnsi="Arial"/>
          <w:sz w:val="14"/>
          <w:szCs w:val="14"/>
          <w:i w:val="1"/>
          <w:iCs w:val="1"/>
          <w:color w:val="auto"/>
        </w:rPr>
        <w:t xml:space="preserve"> </w:t>
      </w:r>
      <w:r>
        <w:rPr>
          <w:rFonts w:ascii="Arial" w:cs="Arial" w:eastAsia="Arial" w:hAnsi="Arial"/>
          <w:sz w:val="14"/>
          <w:szCs w:val="14"/>
          <w:color w:val="auto"/>
        </w:rPr>
        <w:t>Named Executive Officers’ target annual total direct compensation, other than for Mr. Francis, is directly linked to our financial results and our stock price performance.</w:t>
      </w:r>
    </w:p>
    <w:p>
      <w:pPr>
        <w:spacing w:after="0" w:line="109" w:lineRule="exact"/>
        <w:rPr>
          <w:rFonts w:ascii="Arial" w:cs="Arial" w:eastAsia="Arial" w:hAnsi="Arial"/>
          <w:sz w:val="14"/>
          <w:szCs w:val="14"/>
          <w:b w:val="1"/>
          <w:bCs w:val="1"/>
          <w:color w:val="auto"/>
        </w:rPr>
      </w:pPr>
    </w:p>
    <w:p>
      <w:pPr>
        <w:jc w:val="both"/>
        <w:ind w:left="480" w:right="160" w:hanging="268"/>
        <w:spacing w:after="0" w:line="256"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Multi-Year Vesting Requirements. </w:t>
      </w:r>
      <w:r>
        <w:rPr>
          <w:rFonts w:ascii="Arial" w:cs="Arial" w:eastAsia="Arial" w:hAnsi="Arial"/>
          <w:sz w:val="14"/>
          <w:szCs w:val="14"/>
          <w:color w:val="auto"/>
        </w:rPr>
        <w:t>The annual equity awards</w:t>
      </w:r>
      <w:r>
        <w:rPr>
          <w:rFonts w:ascii="Arial" w:cs="Arial" w:eastAsia="Arial" w:hAnsi="Arial"/>
          <w:sz w:val="14"/>
          <w:szCs w:val="14"/>
          <w:i w:val="1"/>
          <w:iCs w:val="1"/>
          <w:color w:val="auto"/>
        </w:rPr>
        <w:t xml:space="preserve"> </w:t>
      </w:r>
      <w:r>
        <w:rPr>
          <w:rFonts w:ascii="Arial" w:cs="Arial" w:eastAsia="Arial" w:hAnsi="Arial"/>
          <w:sz w:val="14"/>
          <w:szCs w:val="14"/>
          <w:color w:val="auto"/>
        </w:rPr>
        <w:t>granted to our Named Executive Officers are earned and/or vest over multi-year periods, consistent with current market practice and our retention objectives.</w:t>
      </w:r>
    </w:p>
    <w:p>
      <w:pPr>
        <w:spacing w:after="0" w:line="111" w:lineRule="exact"/>
        <w:rPr>
          <w:rFonts w:ascii="Arial" w:cs="Arial" w:eastAsia="Arial" w:hAnsi="Arial"/>
          <w:sz w:val="14"/>
          <w:szCs w:val="14"/>
          <w:b w:val="1"/>
          <w:bCs w:val="1"/>
          <w:color w:val="auto"/>
        </w:rPr>
      </w:pPr>
    </w:p>
    <w:p>
      <w:pPr>
        <w:ind w:left="480" w:hanging="268"/>
        <w:spacing w:after="0" w:line="245"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Maintain “Double-Trigger” Change-in-Control Arrangements. </w:t>
      </w:r>
      <w:r>
        <w:rPr>
          <w:rFonts w:ascii="Arial" w:cs="Arial" w:eastAsia="Arial" w:hAnsi="Arial"/>
          <w:sz w:val="14"/>
          <w:szCs w:val="14"/>
          <w:color w:val="auto"/>
        </w:rPr>
        <w:t>Our Named Executive Officers other 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282" w:lineRule="exact"/>
        <w:rPr>
          <w:rFonts w:ascii="Arial" w:cs="Arial" w:eastAsia="Arial" w:hAnsi="Arial"/>
          <w:sz w:val="14"/>
          <w:szCs w:val="14"/>
          <w:b w:val="1"/>
          <w:bCs w:val="1"/>
          <w:color w:val="auto"/>
        </w:rPr>
      </w:pPr>
    </w:p>
    <w:p>
      <w:pPr>
        <w:ind w:left="480" w:right="140" w:hanging="268"/>
        <w:spacing w:after="0" w:line="256"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Only Broad-Based Health and Welfare Benefits. </w:t>
      </w:r>
      <w:r>
        <w:rPr>
          <w:rFonts w:ascii="Arial" w:cs="Arial" w:eastAsia="Arial" w:hAnsi="Arial"/>
          <w:sz w:val="14"/>
          <w:szCs w:val="14"/>
          <w:color w:val="auto"/>
        </w:rPr>
        <w:t>Our Named</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Officers participate in broad-based Company-sponsored health and welfare benefit programs on the same basis as our other employees.</w:t>
      </w:r>
    </w:p>
    <w:p>
      <w:pPr>
        <w:spacing w:after="0" w:line="109" w:lineRule="exact"/>
        <w:rPr>
          <w:rFonts w:ascii="Arial" w:cs="Arial" w:eastAsia="Arial" w:hAnsi="Arial"/>
          <w:sz w:val="14"/>
          <w:szCs w:val="14"/>
          <w:b w:val="1"/>
          <w:bCs w:val="1"/>
          <w:color w:val="auto"/>
        </w:rPr>
      </w:pPr>
    </w:p>
    <w:p>
      <w:pPr>
        <w:jc w:val="both"/>
        <w:ind w:left="480" w:right="140" w:hanging="268"/>
        <w:spacing w:after="0" w:line="263"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Clawback Policy. </w:t>
      </w:r>
      <w:r>
        <w:rPr>
          <w:rFonts w:ascii="Arial" w:cs="Arial" w:eastAsia="Arial" w:hAnsi="Arial"/>
          <w:sz w:val="14"/>
          <w:szCs w:val="14"/>
          <w:color w:val="auto"/>
        </w:rPr>
        <w:t>We require compensation recoupment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respect to our executive officers pursuant to the terms of our clawback policy.</w:t>
      </w:r>
    </w:p>
    <w:p>
      <w:pPr>
        <w:spacing w:after="0" w:line="105" w:lineRule="exact"/>
        <w:rPr>
          <w:rFonts w:ascii="Arial" w:cs="Arial" w:eastAsia="Arial" w:hAnsi="Arial"/>
          <w:sz w:val="14"/>
          <w:szCs w:val="14"/>
          <w:b w:val="1"/>
          <w:bCs w:val="1"/>
          <w:color w:val="auto"/>
        </w:rPr>
      </w:pPr>
    </w:p>
    <w:p>
      <w:pPr>
        <w:jc w:val="both"/>
        <w:ind w:left="480" w:right="40" w:hanging="268"/>
        <w:spacing w:after="0" w:line="263" w:lineRule="auto"/>
        <w:tabs>
          <w:tab w:leader="none" w:pos="480" w:val="left"/>
        </w:tabs>
        <w:numPr>
          <w:ilvl w:val="0"/>
          <w:numId w:val="25"/>
        </w:numPr>
        <w:rPr>
          <w:rFonts w:ascii="Arial" w:cs="Arial" w:eastAsia="Arial" w:hAnsi="Arial"/>
          <w:sz w:val="14"/>
          <w:szCs w:val="14"/>
          <w:b w:val="1"/>
          <w:bCs w:val="1"/>
          <w:color w:val="auto"/>
        </w:rPr>
      </w:pPr>
      <w:r>
        <w:rPr>
          <w:rFonts w:ascii="Arial" w:cs="Arial" w:eastAsia="Arial" w:hAnsi="Arial"/>
          <w:sz w:val="14"/>
          <w:szCs w:val="14"/>
          <w:color w:val="auto"/>
        </w:rPr>
        <w:t>Succession Planning. We review the risks associated with our key executive officer positions 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64135</wp:posOffset>
            </wp:positionV>
            <wp:extent cx="2914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-381000</wp:posOffset>
            </wp:positionV>
            <wp:extent cx="29146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-784225</wp:posOffset>
            </wp:positionV>
            <wp:extent cx="2914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-1289685</wp:posOffset>
            </wp:positionV>
            <wp:extent cx="2914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-2618740</wp:posOffset>
            </wp:positionV>
            <wp:extent cx="29146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-3124200</wp:posOffset>
            </wp:positionV>
            <wp:extent cx="29146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-3630295</wp:posOffset>
            </wp:positionV>
            <wp:extent cx="29146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-4752975</wp:posOffset>
            </wp:positionV>
            <wp:extent cx="29146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-5361940</wp:posOffset>
            </wp:positionV>
            <wp:extent cx="29146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-6073140</wp:posOffset>
            </wp:positionV>
            <wp:extent cx="2914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218440</wp:posOffset>
            </wp:positionV>
            <wp:extent cx="59664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334"/>
        <w:spacing w:after="0"/>
        <w:rPr>
          <w:sz w:val="20"/>
          <w:szCs w:val="20"/>
          <w:color w:val="auto"/>
        </w:rPr>
      </w:pPr>
      <w:r>
        <w:rPr>
          <w:rFonts w:ascii="Arial" w:cs="Arial" w:eastAsia="Arial" w:hAnsi="Arial"/>
          <w:sz w:val="14"/>
          <w:szCs w:val="14"/>
          <w:b w:val="1"/>
          <w:bCs w:val="1"/>
          <w:color w:val="FFFFFF"/>
        </w:rPr>
        <w:t>WHAT WE DON’T DO</w:t>
      </w:r>
    </w:p>
    <w:p>
      <w:pPr>
        <w:spacing w:after="0" w:line="109" w:lineRule="exact"/>
        <w:rPr>
          <w:sz w:val="20"/>
          <w:szCs w:val="20"/>
          <w:color w:val="auto"/>
        </w:rPr>
      </w:pPr>
    </w:p>
    <w:p>
      <w:pPr>
        <w:ind w:left="274" w:hanging="274"/>
        <w:spacing w:after="0" w:line="247" w:lineRule="auto"/>
        <w:tabs>
          <w:tab w:leader="none" w:pos="274"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No Executive Officer Retirement Plans. </w:t>
      </w:r>
      <w:r>
        <w:rPr>
          <w:rFonts w:ascii="Arial" w:cs="Arial" w:eastAsia="Arial" w:hAnsi="Arial"/>
          <w:sz w:val="14"/>
          <w:szCs w:val="14"/>
          <w:color w:val="auto"/>
        </w:rPr>
        <w:t>We do not currently</w:t>
      </w:r>
      <w:r>
        <w:rPr>
          <w:rFonts w:ascii="Arial" w:cs="Arial" w:eastAsia="Arial" w:hAnsi="Arial"/>
          <w:sz w:val="14"/>
          <w:szCs w:val="14"/>
          <w:i w:val="1"/>
          <w:iCs w:val="1"/>
          <w:color w:val="auto"/>
        </w:rPr>
        <w:t xml:space="preserve"> </w:t>
      </w:r>
      <w:r>
        <w:rPr>
          <w:rFonts w:ascii="Arial" w:cs="Arial" w:eastAsia="Arial" w:hAnsi="Arial"/>
          <w:sz w:val="14"/>
          <w:szCs w:val="14"/>
          <w:color w:val="auto"/>
        </w:rPr>
        <w:t>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118" w:lineRule="exact"/>
        <w:rPr>
          <w:rFonts w:ascii="Arial" w:cs="Arial" w:eastAsia="Arial" w:hAnsi="Arial"/>
          <w:sz w:val="14"/>
          <w:szCs w:val="14"/>
          <w:color w:val="auto"/>
        </w:rPr>
      </w:pPr>
    </w:p>
    <w:p>
      <w:pPr>
        <w:ind w:left="274" w:hanging="274"/>
        <w:spacing w:after="0" w:line="245" w:lineRule="auto"/>
        <w:tabs>
          <w:tab w:leader="none" w:pos="274"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Limited Executive Officer Perquisites. </w:t>
      </w:r>
      <w:r>
        <w:rPr>
          <w:rFonts w:ascii="Arial" w:cs="Arial" w:eastAsia="Arial" w:hAnsi="Arial"/>
          <w:sz w:val="14"/>
          <w:szCs w:val="14"/>
          <w:color w:val="auto"/>
        </w:rPr>
        <w:t>We generally provide</w:t>
      </w:r>
      <w:r>
        <w:rPr>
          <w:rFonts w:ascii="Arial" w:cs="Arial" w:eastAsia="Arial" w:hAnsi="Arial"/>
          <w:sz w:val="14"/>
          <w:szCs w:val="14"/>
          <w:i w:val="1"/>
          <w:iCs w:val="1"/>
          <w:color w:val="auto"/>
        </w:rPr>
        <w:t xml:space="preserve"> </w:t>
      </w:r>
      <w:r>
        <w:rPr>
          <w:rFonts w:ascii="Arial" w:cs="Arial" w:eastAsia="Arial" w:hAnsi="Arial"/>
          <w:sz w:val="14"/>
          <w:szCs w:val="14"/>
          <w:color w:val="auto"/>
        </w:rPr>
        <w:t>benefits to our Named Executive Officers on the same basis as provided to all of our employees, including health, dental and vision insurance; accidental death and dismemberment insurance; disability insurance; and a tax-qualified</w:t>
      </w:r>
    </w:p>
    <w:p>
      <w:pPr>
        <w:spacing w:after="0" w:line="2" w:lineRule="exact"/>
        <w:rPr>
          <w:rFonts w:ascii="Arial" w:cs="Arial" w:eastAsia="Arial" w:hAnsi="Arial"/>
          <w:sz w:val="14"/>
          <w:szCs w:val="14"/>
          <w:color w:val="auto"/>
        </w:rPr>
      </w:pPr>
    </w:p>
    <w:p>
      <w:pPr>
        <w:ind w:left="274"/>
        <w:spacing w:after="0"/>
        <w:rPr>
          <w:rFonts w:ascii="Arial" w:cs="Arial" w:eastAsia="Arial" w:hAnsi="Arial"/>
          <w:sz w:val="14"/>
          <w:szCs w:val="14"/>
          <w:color w:val="auto"/>
        </w:rPr>
      </w:pPr>
      <w:r>
        <w:rPr>
          <w:rFonts w:ascii="Arial" w:cs="Arial" w:eastAsia="Arial" w:hAnsi="Arial"/>
          <w:sz w:val="14"/>
          <w:szCs w:val="14"/>
          <w:color w:val="auto"/>
        </w:rPr>
        <w:t>Section 401(k) plan.</w:t>
      </w:r>
    </w:p>
    <w:p>
      <w:pPr>
        <w:spacing w:after="0" w:line="135" w:lineRule="exact"/>
        <w:rPr>
          <w:rFonts w:ascii="Arial" w:cs="Arial" w:eastAsia="Arial" w:hAnsi="Arial"/>
          <w:sz w:val="14"/>
          <w:szCs w:val="14"/>
          <w:color w:val="auto"/>
        </w:rPr>
      </w:pPr>
    </w:p>
    <w:p>
      <w:pPr>
        <w:jc w:val="both"/>
        <w:ind w:left="274" w:right="20" w:hanging="274"/>
        <w:spacing w:after="0" w:line="256" w:lineRule="auto"/>
        <w:tabs>
          <w:tab w:leader="none" w:pos="274"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No Tax Payments on Change-in-Control Arrangements. </w:t>
      </w:r>
      <w:r>
        <w:rPr>
          <w:rFonts w:ascii="Arial" w:cs="Arial" w:eastAsia="Arial" w:hAnsi="Arial"/>
          <w:sz w:val="14"/>
          <w:szCs w:val="14"/>
          <w:color w:val="auto"/>
        </w:rPr>
        <w:t>We do</w:t>
      </w:r>
      <w:r>
        <w:rPr>
          <w:rFonts w:ascii="Arial" w:cs="Arial" w:eastAsia="Arial" w:hAnsi="Arial"/>
          <w:sz w:val="14"/>
          <w:szCs w:val="14"/>
          <w:i w:val="1"/>
          <w:iCs w:val="1"/>
          <w:color w:val="auto"/>
        </w:rPr>
        <w:t xml:space="preserve"> </w:t>
      </w:r>
      <w:r>
        <w:rPr>
          <w:rFonts w:ascii="Arial" w:cs="Arial" w:eastAsia="Arial" w:hAnsi="Arial"/>
          <w:sz w:val="14"/>
          <w:szCs w:val="14"/>
          <w:color w:val="auto"/>
        </w:rPr>
        <w:t>not provide any excise tax reimbursement payments (including “gross-ups”) on payments or benefits that are contingent upon a change-in-control of the Company.</w:t>
      </w:r>
    </w:p>
    <w:p>
      <w:pPr>
        <w:spacing w:after="0" w:line="271" w:lineRule="exact"/>
        <w:rPr>
          <w:rFonts w:ascii="Arial" w:cs="Arial" w:eastAsia="Arial" w:hAnsi="Arial"/>
          <w:sz w:val="14"/>
          <w:szCs w:val="14"/>
          <w:color w:val="auto"/>
        </w:rPr>
      </w:pPr>
    </w:p>
    <w:p>
      <w:pPr>
        <w:ind w:left="274" w:hanging="274"/>
        <w:spacing w:after="0" w:line="246" w:lineRule="auto"/>
        <w:tabs>
          <w:tab w:leader="none" w:pos="274"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 xml:space="preserve">No Hedging or Pledging of our Securities. </w:t>
      </w:r>
      <w:r>
        <w:rPr>
          <w:rFonts w:ascii="Arial" w:cs="Arial" w:eastAsia="Arial" w:hAnsi="Arial"/>
          <w:sz w:val="14"/>
          <w:szCs w:val="14"/>
          <w:color w:val="auto"/>
        </w:rPr>
        <w:t>As part of our insider</w:t>
      </w:r>
      <w:r>
        <w:rPr>
          <w:rFonts w:ascii="Arial" w:cs="Arial" w:eastAsia="Arial" w:hAnsi="Arial"/>
          <w:sz w:val="14"/>
          <w:szCs w:val="14"/>
          <w:i w:val="1"/>
          <w:iCs w:val="1"/>
          <w:color w:val="auto"/>
        </w:rPr>
        <w:t xml:space="preserve"> </w:t>
      </w:r>
      <w:r>
        <w:rPr>
          <w:rFonts w:ascii="Arial" w:cs="Arial" w:eastAsia="Arial" w:hAnsi="Arial"/>
          <w:sz w:val="14"/>
          <w:szCs w:val="14"/>
          <w:color w:val="auto"/>
        </w:rPr>
        <w:t>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29845</wp:posOffset>
            </wp:positionV>
            <wp:extent cx="2871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-1092835</wp:posOffset>
            </wp:positionV>
            <wp:extent cx="2871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-1701165</wp:posOffset>
            </wp:positionV>
            <wp:extent cx="2871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71470" cy="825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-2413000</wp:posOffset>
            </wp:positionV>
            <wp:extent cx="2871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5964" w:lineRule="exact"/>
        <w:rPr>
          <w:sz w:val="20"/>
          <w:szCs w:val="20"/>
          <w:color w:val="auto"/>
        </w:rPr>
      </w:pPr>
    </w:p>
    <w:p>
      <w:pPr>
        <w:sectPr>
          <w:pgSz w:w="11900" w:h="16838" w:orient="portrait"/>
          <w:cols w:equalWidth="0" w:num="2">
            <w:col w:w="4460" w:space="626"/>
            <w:col w:w="4274"/>
          </w:cols>
          <w:pgMar w:left="1240" w:top="114" w:right="129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Advisory Votes on Named Executive Officer Compensation</w:t>
      </w:r>
    </w:p>
    <w:p>
      <w:pPr>
        <w:spacing w:after="0" w:line="22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At the annual meeting to which this Proxy Statement relates, we will be conducting a non-binding vote on the compensation of our Named Executive Officers (commonly known as a “Say-on-Pay” vote).</w:t>
      </w:r>
    </w:p>
    <w:p>
      <w:pPr>
        <w:spacing w:after="0" w:line="10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See “Proposal No. 2: Advisory Vote, on a Non-binding Basis, to Approve the Compensation of Our Named Executive Officers for the Year Ended 2023” in this Proxy Statement.</w:t>
      </w:r>
    </w:p>
    <w:p>
      <w:pPr>
        <w:spacing w:after="0" w:line="102"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Although these are non-binding, advisory votes, we value the opinions of our stockholders. At our 2023 Annual Meeting of Stockholders, our stockholders approved, on an advisory basis, the compensation of our Named Executive Officers (92.7% of votes cast). The Board and the Compensation Committee believe this level of stockholder support reflects a very strong endorsement of our compensation policies and decisions. The Compensation Committee considered the results of this advisory vote in connection with developing our compensation policies and making compensation decisions for 2024.</w:t>
      </w:r>
    </w:p>
    <w:p>
      <w:pPr>
        <w:spacing w:after="0" w:line="126"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Compensation Committee will consider the outcome of the 2024 Say-on-Pay vote, in addition to other relevant stockholder feedback that may be received throughout the year, when making future compensation decisions for our Named Executive Officers.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Executive Compensation Philosophy and Objectives</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36" w:lineRule="exact"/>
        <w:rPr>
          <w:sz w:val="20"/>
          <w:szCs w:val="20"/>
          <w:color w:val="auto"/>
        </w:rPr>
      </w:pPr>
    </w:p>
    <w:p>
      <w:pPr>
        <w:ind w:left="600" w:right="500" w:hanging="288"/>
        <w:spacing w:after="0" w:line="286"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Top Talent </w:t>
      </w:r>
      <w:r>
        <w:rPr>
          <w:rFonts w:ascii="Arial" w:cs="Arial" w:eastAsia="Arial" w:hAnsi="Arial"/>
          <w:sz w:val="16"/>
          <w:szCs w:val="16"/>
          <w:color w:val="auto"/>
        </w:rPr>
        <w:t>– Given the nature of our business and our long-term financial and strategic objectives, we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compete with other top technology companies for talent to build and grow our Company;</w:t>
      </w:r>
    </w:p>
    <w:p>
      <w:pPr>
        <w:spacing w:after="0" w:line="7" w:lineRule="exact"/>
        <w:rPr>
          <w:rFonts w:ascii="Arial" w:cs="Arial" w:eastAsia="Arial" w:hAnsi="Arial"/>
          <w:sz w:val="16"/>
          <w:szCs w:val="16"/>
          <w:color w:val="auto"/>
        </w:rPr>
      </w:pPr>
    </w:p>
    <w:p>
      <w:pPr>
        <w:ind w:left="600" w:right="20" w:hanging="288"/>
        <w:spacing w:after="0" w:line="266"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Develop and Maintain a Performance-Based Culture </w:t>
      </w:r>
      <w:r>
        <w:rPr>
          <w:rFonts w:ascii="Arial" w:cs="Arial" w:eastAsia="Arial" w:hAnsi="Arial"/>
          <w:sz w:val="16"/>
          <w:szCs w:val="16"/>
          <w:color w:val="auto"/>
        </w:rPr>
        <w:t>– To be successful in a highly competitive market for talent,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must create consistency through a compensation program that motivates exceptional performance by expanding the reach of our employees’ incentives so that they may share in the success of our business with our stockholders; and</w:t>
      </w:r>
    </w:p>
    <w:p>
      <w:pPr>
        <w:spacing w:after="0" w:line="22" w:lineRule="exact"/>
        <w:rPr>
          <w:rFonts w:ascii="Arial" w:cs="Arial" w:eastAsia="Arial" w:hAnsi="Arial"/>
          <w:sz w:val="16"/>
          <w:szCs w:val="16"/>
          <w:color w:val="auto"/>
        </w:rPr>
      </w:pPr>
    </w:p>
    <w:p>
      <w:pPr>
        <w:ind w:left="600" w:hanging="288"/>
        <w:spacing w:after="0" w:line="266"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Exceptional Employees </w:t>
      </w:r>
      <w:r>
        <w:rPr>
          <w:rFonts w:ascii="Arial" w:cs="Arial" w:eastAsia="Arial" w:hAnsi="Arial"/>
          <w:sz w:val="16"/>
          <w:szCs w:val="16"/>
          <w:color w:val="auto"/>
        </w:rPr>
        <w:t>– To ensure that we can meet our objectives, we must foster a culture that instills a sense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commitment to the organization and each other while, at the same time, recognizing and rewarding individual contributions and impact.</w:t>
      </w:r>
    </w:p>
    <w:p>
      <w:pPr>
        <w:spacing w:after="0" w:line="117"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124" w:lineRule="exact"/>
        <w:rPr>
          <w:sz w:val="20"/>
          <w:szCs w:val="20"/>
          <w:color w:val="auto"/>
        </w:rPr>
      </w:pPr>
    </w:p>
    <w:p>
      <w:pPr>
        <w:jc w:val="both"/>
        <w:ind w:right="220"/>
        <w:spacing w:after="0" w:line="256" w:lineRule="auto"/>
        <w:rPr>
          <w:sz w:val="20"/>
          <w:szCs w:val="20"/>
          <w:color w:val="auto"/>
        </w:rPr>
      </w:pPr>
      <w:r>
        <w:rPr>
          <w:rFonts w:ascii="Arial" w:cs="Arial" w:eastAsia="Arial" w:hAnsi="Arial"/>
          <w:sz w:val="16"/>
          <w:szCs w:val="16"/>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59664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Compensation Elements</w:t>
      </w:r>
    </w:p>
    <w:p>
      <w:pPr>
        <w:spacing w:after="0" w:line="16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Generally, our executive compensation program consists of three principal elements – base salary, cash bonus opportunities, and long-term incentive compensation in the form of equity awards.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18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Element</w:t>
            </w:r>
          </w:p>
        </w:tc>
        <w:tc>
          <w:tcPr>
            <w:tcW w:w="1340" w:type="dxa"/>
            <w:vAlign w:val="bottom"/>
            <w:shd w:val="clear" w:color="auto" w:fill="000000"/>
          </w:tcPr>
          <w:p>
            <w:pPr>
              <w:ind w:left="120"/>
              <w:spacing w:after="0"/>
              <w:rPr>
                <w:sz w:val="20"/>
                <w:szCs w:val="20"/>
                <w:color w:val="auto"/>
              </w:rPr>
            </w:pPr>
            <w:r>
              <w:rPr>
                <w:rFonts w:ascii="Arial" w:cs="Arial" w:eastAsia="Arial" w:hAnsi="Arial"/>
                <w:sz w:val="14"/>
                <w:szCs w:val="14"/>
                <w:b w:val="1"/>
                <w:bCs w:val="1"/>
                <w:color w:val="FFFFFF"/>
              </w:rPr>
              <w:t>Type of Element</w:t>
            </w:r>
          </w:p>
        </w:tc>
        <w:tc>
          <w:tcPr>
            <w:tcW w:w="2080" w:type="dxa"/>
            <w:vAlign w:val="bottom"/>
            <w:shd w:val="clear" w:color="auto" w:fill="000000"/>
          </w:tcPr>
          <w:p>
            <w:pPr>
              <w:ind w:left="120"/>
              <w:spacing w:after="0"/>
              <w:rPr>
                <w:sz w:val="20"/>
                <w:szCs w:val="20"/>
                <w:color w:val="auto"/>
              </w:rPr>
            </w:pPr>
            <w:r>
              <w:rPr>
                <w:rFonts w:ascii="Arial" w:cs="Arial" w:eastAsia="Arial" w:hAnsi="Arial"/>
                <w:sz w:val="14"/>
                <w:szCs w:val="14"/>
                <w:b w:val="1"/>
                <w:bCs w:val="1"/>
                <w:color w:val="FFFFFF"/>
              </w:rPr>
              <w:t>Compensation Element</w:t>
            </w:r>
          </w:p>
        </w:tc>
        <w:tc>
          <w:tcPr>
            <w:tcW w:w="4800" w:type="dxa"/>
            <w:vAlign w:val="bottom"/>
            <w:shd w:val="clear" w:color="auto" w:fill="000000"/>
          </w:tcPr>
          <w:p>
            <w:pPr>
              <w:ind w:left="380"/>
              <w:spacing w:after="0"/>
              <w:rPr>
                <w:sz w:val="20"/>
                <w:szCs w:val="20"/>
                <w:color w:val="auto"/>
              </w:rPr>
            </w:pPr>
            <w:r>
              <w:rPr>
                <w:rFonts w:ascii="Arial" w:cs="Arial" w:eastAsia="Arial" w:hAnsi="Arial"/>
                <w:sz w:val="14"/>
                <w:szCs w:val="14"/>
                <w:b w:val="1"/>
                <w:bCs w:val="1"/>
                <w:color w:val="FFFFFF"/>
              </w:rPr>
              <w:t>Objective</w:t>
            </w:r>
          </w:p>
        </w:tc>
      </w:tr>
      <w:tr>
        <w:trPr>
          <w:trHeight w:val="83"/>
        </w:trPr>
        <w:tc>
          <w:tcPr>
            <w:tcW w:w="1180" w:type="dxa"/>
            <w:vAlign w:val="bottom"/>
            <w:shd w:val="clear" w:color="auto" w:fill="000000"/>
          </w:tcPr>
          <w:p>
            <w:pPr>
              <w:spacing w:after="0"/>
              <w:rPr>
                <w:sz w:val="7"/>
                <w:szCs w:val="7"/>
                <w:color w:val="auto"/>
              </w:rPr>
            </w:pPr>
          </w:p>
        </w:tc>
        <w:tc>
          <w:tcPr>
            <w:tcW w:w="1340" w:type="dxa"/>
            <w:vAlign w:val="bottom"/>
            <w:shd w:val="clear" w:color="auto" w:fill="000000"/>
          </w:tcPr>
          <w:p>
            <w:pPr>
              <w:spacing w:after="0"/>
              <w:rPr>
                <w:sz w:val="7"/>
                <w:szCs w:val="7"/>
                <w:color w:val="auto"/>
              </w:rPr>
            </w:pPr>
          </w:p>
        </w:tc>
        <w:tc>
          <w:tcPr>
            <w:tcW w:w="2080" w:type="dxa"/>
            <w:vAlign w:val="bottom"/>
            <w:shd w:val="clear" w:color="auto" w:fill="000000"/>
          </w:tcPr>
          <w:p>
            <w:pPr>
              <w:spacing w:after="0"/>
              <w:rPr>
                <w:sz w:val="7"/>
                <w:szCs w:val="7"/>
                <w:color w:val="auto"/>
              </w:rPr>
            </w:pPr>
          </w:p>
        </w:tc>
        <w:tc>
          <w:tcPr>
            <w:tcW w:w="4800" w:type="dxa"/>
            <w:vAlign w:val="bottom"/>
            <w:shd w:val="clear" w:color="auto" w:fill="000000"/>
          </w:tcPr>
          <w:p>
            <w:pPr>
              <w:spacing w:after="0"/>
              <w:rPr>
                <w:sz w:val="7"/>
                <w:szCs w:val="7"/>
                <w:color w:val="auto"/>
              </w:rPr>
            </w:pPr>
          </w:p>
        </w:tc>
      </w:tr>
      <w:tr>
        <w:trPr>
          <w:trHeight w:val="261"/>
        </w:trPr>
        <w:tc>
          <w:tcPr>
            <w:tcW w:w="1180" w:type="dxa"/>
            <w:vAlign w:val="bottom"/>
          </w:tcPr>
          <w:p>
            <w:pPr>
              <w:ind w:left="60"/>
              <w:spacing w:after="0"/>
              <w:rPr>
                <w:sz w:val="20"/>
                <w:szCs w:val="20"/>
                <w:color w:val="auto"/>
              </w:rPr>
            </w:pPr>
            <w:r>
              <w:rPr>
                <w:rFonts w:ascii="Arial" w:cs="Arial" w:eastAsia="Arial" w:hAnsi="Arial"/>
                <w:sz w:val="14"/>
                <w:szCs w:val="14"/>
                <w:b w:val="1"/>
                <w:bCs w:val="1"/>
                <w:color w:val="40C0C0"/>
              </w:rPr>
              <w:t>Base Salary</w:t>
            </w:r>
          </w:p>
        </w:tc>
        <w:tc>
          <w:tcPr>
            <w:tcW w:w="1340" w:type="dxa"/>
            <w:vAlign w:val="bottom"/>
          </w:tcPr>
          <w:p>
            <w:pPr>
              <w:ind w:left="120"/>
              <w:spacing w:after="0"/>
              <w:rPr>
                <w:sz w:val="20"/>
                <w:szCs w:val="20"/>
                <w:color w:val="auto"/>
              </w:rPr>
            </w:pPr>
            <w:r>
              <w:rPr>
                <w:rFonts w:ascii="Arial" w:cs="Arial" w:eastAsia="Arial" w:hAnsi="Arial"/>
                <w:sz w:val="14"/>
                <w:szCs w:val="14"/>
                <w:color w:val="auto"/>
              </w:rPr>
              <w:t>Fixed</w:t>
            </w:r>
          </w:p>
        </w:tc>
        <w:tc>
          <w:tcPr>
            <w:tcW w:w="2080" w:type="dxa"/>
            <w:vAlign w:val="bottom"/>
          </w:tcPr>
          <w:p>
            <w:pPr>
              <w:ind w:left="120"/>
              <w:spacing w:after="0"/>
              <w:rPr>
                <w:sz w:val="20"/>
                <w:szCs w:val="20"/>
                <w:color w:val="auto"/>
              </w:rPr>
            </w:pPr>
            <w:r>
              <w:rPr>
                <w:rFonts w:ascii="Arial" w:cs="Arial" w:eastAsia="Arial" w:hAnsi="Arial"/>
                <w:sz w:val="14"/>
                <w:szCs w:val="14"/>
                <w:color w:val="auto"/>
              </w:rPr>
              <w:t>Cash</w:t>
            </w:r>
          </w:p>
        </w:tc>
        <w:tc>
          <w:tcPr>
            <w:tcW w:w="4800" w:type="dxa"/>
            <w:vAlign w:val="bottom"/>
          </w:tcPr>
          <w:p>
            <w:pPr>
              <w:ind w:left="380"/>
              <w:spacing w:after="0"/>
              <w:rPr>
                <w:sz w:val="20"/>
                <w:szCs w:val="20"/>
                <w:color w:val="auto"/>
              </w:rPr>
            </w:pPr>
            <w:r>
              <w:rPr>
                <w:rFonts w:ascii="Arial" w:cs="Arial" w:eastAsia="Arial" w:hAnsi="Arial"/>
                <w:sz w:val="14"/>
                <w:szCs w:val="14"/>
                <w:color w:val="auto"/>
              </w:rPr>
              <w:t>Designed to attract and retain executives by providing a competitive</w:t>
            </w:r>
          </w:p>
        </w:tc>
      </w:tr>
      <w:tr>
        <w:trPr>
          <w:trHeight w:val="162"/>
        </w:trPr>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0" w:type="dxa"/>
            <w:vAlign w:val="bottom"/>
          </w:tcPr>
          <w:p>
            <w:pPr>
              <w:ind w:left="380"/>
              <w:spacing w:after="0"/>
              <w:rPr>
                <w:sz w:val="20"/>
                <w:szCs w:val="20"/>
                <w:color w:val="auto"/>
              </w:rPr>
            </w:pPr>
            <w:r>
              <w:rPr>
                <w:rFonts w:ascii="Arial" w:cs="Arial" w:eastAsia="Arial" w:hAnsi="Arial"/>
                <w:sz w:val="14"/>
                <w:szCs w:val="14"/>
                <w:color w:val="auto"/>
              </w:rPr>
              <w:t>fixed amount of cash compensation based on the executive’s role,</w:t>
            </w:r>
          </w:p>
        </w:tc>
      </w:tr>
      <w:tr>
        <w:trPr>
          <w:trHeight w:val="190"/>
        </w:trPr>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0" w:type="dxa"/>
            <w:vAlign w:val="bottom"/>
          </w:tcPr>
          <w:p>
            <w:pPr>
              <w:ind w:left="380"/>
              <w:spacing w:after="0"/>
              <w:rPr>
                <w:sz w:val="20"/>
                <w:szCs w:val="20"/>
                <w:color w:val="auto"/>
              </w:rPr>
            </w:pPr>
            <w:r>
              <w:rPr>
                <w:rFonts w:ascii="Arial" w:cs="Arial" w:eastAsia="Arial" w:hAnsi="Arial"/>
                <w:sz w:val="14"/>
                <w:szCs w:val="14"/>
                <w:color w:val="auto"/>
              </w:rPr>
              <w:t>prior experience, and expected contributions to the Company</w:t>
            </w:r>
          </w:p>
        </w:tc>
      </w:tr>
      <w:tr>
        <w:trPr>
          <w:trHeight w:val="89"/>
        </w:trPr>
        <w:tc>
          <w:tcPr>
            <w:tcW w:w="11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4800" w:type="dxa"/>
            <w:vAlign w:val="bottom"/>
            <w:tcBorders>
              <w:bottom w:val="single" w:sz="8" w:color="auto"/>
            </w:tcBorders>
          </w:tcPr>
          <w:p>
            <w:pPr>
              <w:spacing w:after="0"/>
              <w:rPr>
                <w:sz w:val="7"/>
                <w:szCs w:val="7"/>
                <w:color w:val="auto"/>
              </w:rPr>
            </w:pPr>
          </w:p>
        </w:tc>
      </w:tr>
      <w:tr>
        <w:trPr>
          <w:trHeight w:val="254"/>
        </w:trPr>
        <w:tc>
          <w:tcPr>
            <w:tcW w:w="1180" w:type="dxa"/>
            <w:vAlign w:val="bottom"/>
          </w:tcPr>
          <w:p>
            <w:pPr>
              <w:ind w:left="60"/>
              <w:spacing w:after="0"/>
              <w:rPr>
                <w:sz w:val="20"/>
                <w:szCs w:val="20"/>
                <w:color w:val="auto"/>
              </w:rPr>
            </w:pPr>
            <w:r>
              <w:rPr>
                <w:rFonts w:ascii="Arial" w:cs="Arial" w:eastAsia="Arial" w:hAnsi="Arial"/>
                <w:sz w:val="14"/>
                <w:szCs w:val="14"/>
                <w:b w:val="1"/>
                <w:bCs w:val="1"/>
                <w:color w:val="40C0C0"/>
              </w:rPr>
              <w:t>Cash Bonuses</w:t>
            </w:r>
          </w:p>
        </w:tc>
        <w:tc>
          <w:tcPr>
            <w:tcW w:w="1340" w:type="dxa"/>
            <w:vAlign w:val="bottom"/>
          </w:tcPr>
          <w:p>
            <w:pPr>
              <w:ind w:left="120"/>
              <w:spacing w:after="0"/>
              <w:rPr>
                <w:sz w:val="20"/>
                <w:szCs w:val="20"/>
                <w:color w:val="auto"/>
              </w:rPr>
            </w:pPr>
            <w:r>
              <w:rPr>
                <w:rFonts w:ascii="Arial" w:cs="Arial" w:eastAsia="Arial" w:hAnsi="Arial"/>
                <w:sz w:val="14"/>
                <w:szCs w:val="14"/>
                <w:color w:val="auto"/>
              </w:rPr>
              <w:t>Variable</w:t>
            </w:r>
          </w:p>
        </w:tc>
        <w:tc>
          <w:tcPr>
            <w:tcW w:w="2080" w:type="dxa"/>
            <w:vAlign w:val="bottom"/>
          </w:tcPr>
          <w:p>
            <w:pPr>
              <w:ind w:left="120"/>
              <w:spacing w:after="0"/>
              <w:rPr>
                <w:sz w:val="20"/>
                <w:szCs w:val="20"/>
                <w:color w:val="auto"/>
              </w:rPr>
            </w:pPr>
            <w:r>
              <w:rPr>
                <w:rFonts w:ascii="Arial" w:cs="Arial" w:eastAsia="Arial" w:hAnsi="Arial"/>
                <w:sz w:val="14"/>
                <w:szCs w:val="14"/>
                <w:color w:val="auto"/>
              </w:rPr>
              <w:t>Cash</w:t>
            </w:r>
          </w:p>
        </w:tc>
        <w:tc>
          <w:tcPr>
            <w:tcW w:w="4800" w:type="dxa"/>
            <w:vAlign w:val="bottom"/>
          </w:tcPr>
          <w:p>
            <w:pPr>
              <w:ind w:left="380"/>
              <w:spacing w:after="0"/>
              <w:rPr>
                <w:sz w:val="20"/>
                <w:szCs w:val="20"/>
                <w:color w:val="auto"/>
              </w:rPr>
            </w:pPr>
            <w:r>
              <w:rPr>
                <w:rFonts w:ascii="Arial" w:cs="Arial" w:eastAsia="Arial" w:hAnsi="Arial"/>
                <w:sz w:val="14"/>
                <w:szCs w:val="14"/>
                <w:color w:val="auto"/>
              </w:rPr>
              <w:t>Designed to motivate our executives to achieve business objectives</w:t>
            </w:r>
          </w:p>
        </w:tc>
      </w:tr>
      <w:tr>
        <w:trPr>
          <w:trHeight w:val="162"/>
        </w:trPr>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0" w:type="dxa"/>
            <w:vAlign w:val="bottom"/>
          </w:tcPr>
          <w:p>
            <w:pPr>
              <w:ind w:left="380"/>
              <w:spacing w:after="0"/>
              <w:rPr>
                <w:sz w:val="20"/>
                <w:szCs w:val="20"/>
                <w:color w:val="auto"/>
              </w:rPr>
            </w:pPr>
            <w:r>
              <w:rPr>
                <w:rFonts w:ascii="Arial" w:cs="Arial" w:eastAsia="Arial" w:hAnsi="Arial"/>
                <w:sz w:val="14"/>
                <w:szCs w:val="14"/>
                <w:color w:val="auto"/>
              </w:rPr>
              <w:t>tied to specific Company metrics and which are aligned to our annual</w:t>
            </w:r>
          </w:p>
        </w:tc>
      </w:tr>
      <w:tr>
        <w:trPr>
          <w:trHeight w:val="162"/>
        </w:trPr>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800" w:type="dxa"/>
            <w:vAlign w:val="bottom"/>
          </w:tcPr>
          <w:p>
            <w:pPr>
              <w:ind w:left="380"/>
              <w:spacing w:after="0"/>
              <w:rPr>
                <w:sz w:val="20"/>
                <w:szCs w:val="20"/>
                <w:color w:val="auto"/>
              </w:rPr>
            </w:pPr>
            <w:r>
              <w:rPr>
                <w:rFonts w:ascii="Arial" w:cs="Arial" w:eastAsia="Arial" w:hAnsi="Arial"/>
                <w:sz w:val="14"/>
                <w:szCs w:val="14"/>
                <w:color w:val="auto"/>
              </w:rPr>
              <w:t>priorities, with the payout opportunity based on Company and</w:t>
            </w:r>
          </w:p>
        </w:tc>
      </w:tr>
      <w:tr>
        <w:trPr>
          <w:trHeight w:val="190"/>
        </w:trPr>
        <w:tc>
          <w:tcPr>
            <w:tcW w:w="1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0" w:type="dxa"/>
            <w:vAlign w:val="bottom"/>
          </w:tcPr>
          <w:p>
            <w:pPr>
              <w:ind w:left="380"/>
              <w:spacing w:after="0"/>
              <w:rPr>
                <w:sz w:val="20"/>
                <w:szCs w:val="20"/>
                <w:color w:val="auto"/>
              </w:rPr>
            </w:pPr>
            <w:r>
              <w:rPr>
                <w:rFonts w:ascii="Arial" w:cs="Arial" w:eastAsia="Arial" w:hAnsi="Arial"/>
                <w:sz w:val="14"/>
                <w:szCs w:val="14"/>
                <w:color w:val="auto"/>
              </w:rPr>
              <w:t>individual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59664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201" w:lineRule="exact"/>
        <w:rPr>
          <w:sz w:val="20"/>
          <w:szCs w:val="20"/>
          <w:color w:val="auto"/>
        </w:rPr>
      </w:pPr>
    </w:p>
    <w:p>
      <w:pPr>
        <w:ind w:left="60"/>
        <w:spacing w:after="0"/>
        <w:tabs>
          <w:tab w:leader="none" w:pos="1280" w:val="left"/>
          <w:tab w:leader="none" w:pos="2620" w:val="left"/>
        </w:tabs>
        <w:rPr>
          <w:sz w:val="20"/>
          <w:szCs w:val="20"/>
          <w:color w:val="auto"/>
        </w:rPr>
      </w:pPr>
      <w:r>
        <w:rPr>
          <w:rFonts w:ascii="Arial" w:cs="Arial" w:eastAsia="Arial" w:hAnsi="Arial"/>
          <w:sz w:val="14"/>
          <w:szCs w:val="14"/>
          <w:b w:val="1"/>
          <w:bCs w:val="1"/>
          <w:color w:val="40C0C0"/>
        </w:rPr>
        <w:t>Long Term</w:t>
      </w:r>
      <w:r>
        <w:rPr>
          <w:sz w:val="20"/>
          <w:szCs w:val="20"/>
          <w:color w:val="auto"/>
        </w:rPr>
        <w:tab/>
      </w:r>
      <w:r>
        <w:rPr>
          <w:rFonts w:ascii="Arial" w:cs="Arial" w:eastAsia="Arial" w:hAnsi="Arial"/>
          <w:sz w:val="14"/>
          <w:szCs w:val="14"/>
          <w:color w:val="auto"/>
        </w:rPr>
        <w:t>Variable</w:t>
      </w:r>
      <w:r>
        <w:rPr>
          <w:sz w:val="20"/>
          <w:szCs w:val="20"/>
          <w:color w:val="auto"/>
        </w:rPr>
        <w:tab/>
      </w:r>
      <w:r>
        <w:rPr>
          <w:rFonts w:ascii="Arial" w:cs="Arial" w:eastAsia="Arial" w:hAnsi="Arial"/>
          <w:sz w:val="14"/>
          <w:szCs w:val="14"/>
          <w:color w:val="auto"/>
        </w:rPr>
        <w:t>Equity awards in the form of</w:t>
      </w:r>
    </w:p>
    <w:p>
      <w:pPr>
        <w:spacing w:after="0" w:line="15"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4"/>
          <w:szCs w:val="14"/>
          <w:b w:val="1"/>
          <w:bCs w:val="1"/>
          <w:color w:val="40C0C0"/>
        </w:rPr>
        <w:t>Incentive</w:t>
      </w:r>
      <w:r>
        <w:rPr>
          <w:sz w:val="20"/>
          <w:szCs w:val="20"/>
          <w:color w:val="auto"/>
        </w:rPr>
        <w:tab/>
      </w:r>
      <w:r>
        <w:rPr>
          <w:rFonts w:ascii="Arial" w:cs="Arial" w:eastAsia="Arial" w:hAnsi="Arial"/>
          <w:sz w:val="14"/>
          <w:szCs w:val="14"/>
          <w:color w:val="auto"/>
        </w:rPr>
        <w:t>RSU awards that may be settled</w:t>
      </w:r>
    </w:p>
    <w:p>
      <w:pPr>
        <w:spacing w:after="0" w:line="1" w:lineRule="exact"/>
        <w:rPr>
          <w:sz w:val="20"/>
          <w:szCs w:val="20"/>
          <w:color w:val="auto"/>
        </w:rPr>
      </w:pPr>
    </w:p>
    <w:p>
      <w:pPr>
        <w:ind w:left="60"/>
        <w:spacing w:after="0"/>
        <w:tabs>
          <w:tab w:leader="none" w:pos="2620" w:val="left"/>
        </w:tabs>
        <w:rPr>
          <w:sz w:val="20"/>
          <w:szCs w:val="20"/>
          <w:color w:val="auto"/>
        </w:rPr>
      </w:pPr>
      <w:r>
        <w:rPr>
          <w:rFonts w:ascii="Arial" w:cs="Arial" w:eastAsia="Arial" w:hAnsi="Arial"/>
          <w:sz w:val="14"/>
          <w:szCs w:val="14"/>
          <w:b w:val="1"/>
          <w:bCs w:val="1"/>
          <w:color w:val="40C0C0"/>
        </w:rPr>
        <w:t>Compensation</w:t>
      </w:r>
      <w:r>
        <w:rPr>
          <w:sz w:val="20"/>
          <w:szCs w:val="20"/>
          <w:color w:val="auto"/>
        </w:rPr>
        <w:tab/>
      </w:r>
      <w:r>
        <w:rPr>
          <w:rFonts w:ascii="Arial" w:cs="Arial" w:eastAsia="Arial" w:hAnsi="Arial"/>
          <w:sz w:val="14"/>
          <w:szCs w:val="14"/>
          <w:color w:val="auto"/>
        </w:rPr>
        <w:t>for shares of our Class A</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Common Stock and PRSU</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awards that may be earned and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settled for shares of our Class A</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59664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Designed to align the interests of our executives and our stockholders while helping to attract and retain talented leaders by paying for performance</w:t>
      </w:r>
    </w:p>
    <w:p>
      <w:pPr>
        <w:spacing w:after="0" w:line="817" w:lineRule="exact"/>
        <w:rPr>
          <w:sz w:val="20"/>
          <w:szCs w:val="20"/>
          <w:color w:val="auto"/>
        </w:rPr>
      </w:pPr>
    </w:p>
    <w:p>
      <w:pPr>
        <w:sectPr>
          <w:pgSz w:w="11900" w:h="16838" w:orient="portrait"/>
          <w:cols w:equalWidth="0" w:num="2">
            <w:col w:w="4700" w:space="280"/>
            <w:col w:w="4420"/>
          </w:cols>
          <w:pgMar w:left="1240" w:top="114" w:right="1259" w:bottom="1440" w:gutter="0" w:footer="0" w:header="0"/>
          <w:type w:val="continuous"/>
        </w:sectPr>
      </w:pP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annual base salaries of our Named Executive Officers for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5000" w:type="dxa"/>
            <w:vAlign w:val="bottom"/>
            <w:shd w:val="clear" w:color="auto" w:fill="000000"/>
          </w:tcPr>
          <w:p>
            <w:pPr>
              <w:spacing w:after="0"/>
              <w:rPr>
                <w:sz w:val="24"/>
                <w:szCs w:val="24"/>
                <w:color w:val="auto"/>
              </w:rPr>
            </w:pPr>
          </w:p>
        </w:tc>
        <w:tc>
          <w:tcPr>
            <w:tcW w:w="44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2023 Base Salary</w:t>
            </w:r>
          </w:p>
        </w:tc>
      </w:tr>
      <w:tr>
        <w:trPr>
          <w:trHeight w:val="196"/>
        </w:trPr>
        <w:tc>
          <w:tcPr>
            <w:tcW w:w="500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44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r>
      <w:tr>
        <w:trPr>
          <w:trHeight w:val="96"/>
        </w:trPr>
        <w:tc>
          <w:tcPr>
            <w:tcW w:w="5000" w:type="dxa"/>
            <w:vAlign w:val="bottom"/>
            <w:shd w:val="clear" w:color="auto" w:fill="000000"/>
          </w:tcPr>
          <w:p>
            <w:pPr>
              <w:spacing w:after="0"/>
              <w:rPr>
                <w:sz w:val="8"/>
                <w:szCs w:val="8"/>
                <w:color w:val="auto"/>
              </w:rPr>
            </w:pPr>
          </w:p>
        </w:tc>
        <w:tc>
          <w:tcPr>
            <w:tcW w:w="4400" w:type="dxa"/>
            <w:vAlign w:val="bottom"/>
            <w:shd w:val="clear" w:color="auto" w:fill="000000"/>
          </w:tcPr>
          <w:p>
            <w:pPr>
              <w:spacing w:after="0"/>
              <w:rPr>
                <w:sz w:val="8"/>
                <w:szCs w:val="8"/>
                <w:color w:val="auto"/>
              </w:rPr>
            </w:pPr>
          </w:p>
        </w:tc>
      </w:tr>
      <w:tr>
        <w:trPr>
          <w:trHeight w:val="432"/>
        </w:trPr>
        <w:tc>
          <w:tcPr>
            <w:tcW w:w="5000" w:type="dxa"/>
            <w:vAlign w:val="bottom"/>
            <w:tcBorders>
              <w:bottom w:val="single" w:sz="8" w:color="999999"/>
            </w:tcBorders>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(1)</w:t>
            </w:r>
          </w:p>
        </w:tc>
        <w:tc>
          <w:tcPr>
            <w:tcW w:w="44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$1,020,000</w:t>
            </w:r>
          </w:p>
        </w:tc>
      </w:tr>
      <w:tr>
        <w:trPr>
          <w:trHeight w:val="302"/>
        </w:trPr>
        <w:tc>
          <w:tcPr>
            <w:tcW w:w="500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4400" w:type="dxa"/>
            <w:vAlign w:val="bottom"/>
          </w:tcPr>
          <w:p>
            <w:pPr>
              <w:jc w:val="right"/>
              <w:spacing w:after="0"/>
              <w:rPr>
                <w:sz w:val="20"/>
                <w:szCs w:val="20"/>
                <w:color w:val="auto"/>
              </w:rPr>
            </w:pPr>
            <w:r>
              <w:rPr>
                <w:rFonts w:ascii="Arial" w:cs="Arial" w:eastAsia="Arial" w:hAnsi="Arial"/>
                <w:sz w:val="14"/>
                <w:szCs w:val="14"/>
                <w:color w:val="auto"/>
              </w:rPr>
              <w:t>$410,000</w:t>
            </w:r>
          </w:p>
        </w:tc>
      </w:tr>
      <w:tr>
        <w:trPr>
          <w:trHeight w:val="96"/>
        </w:trPr>
        <w:tc>
          <w:tcPr>
            <w:tcW w:w="5000" w:type="dxa"/>
            <w:vAlign w:val="bottom"/>
            <w:tcBorders>
              <w:bottom w:val="single" w:sz="8" w:color="999999"/>
            </w:tcBorders>
          </w:tcPr>
          <w:p>
            <w:pPr>
              <w:spacing w:after="0"/>
              <w:rPr>
                <w:sz w:val="8"/>
                <w:szCs w:val="8"/>
                <w:color w:val="auto"/>
              </w:rPr>
            </w:pPr>
          </w:p>
        </w:tc>
        <w:tc>
          <w:tcPr>
            <w:tcW w:w="4400" w:type="dxa"/>
            <w:vAlign w:val="bottom"/>
            <w:tcBorders>
              <w:bottom w:val="single" w:sz="8" w:color="999999"/>
            </w:tcBorders>
          </w:tcPr>
          <w:p>
            <w:pPr>
              <w:spacing w:after="0"/>
              <w:rPr>
                <w:sz w:val="8"/>
                <w:szCs w:val="8"/>
                <w:color w:val="auto"/>
              </w:rPr>
            </w:pPr>
          </w:p>
        </w:tc>
      </w:tr>
      <w:tr>
        <w:trPr>
          <w:trHeight w:val="434"/>
        </w:trPr>
        <w:tc>
          <w:tcPr>
            <w:tcW w:w="5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(2)</w:t>
            </w:r>
          </w:p>
        </w:tc>
        <w:tc>
          <w:tcPr>
            <w:tcW w:w="4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$408,171</w:t>
            </w:r>
          </w:p>
        </w:tc>
      </w:tr>
    </w:tbl>
    <w:p>
      <w:pPr>
        <w:spacing w:after="0" w:line="198" w:lineRule="exact"/>
        <w:rPr>
          <w:sz w:val="20"/>
          <w:szCs w:val="20"/>
          <w:color w:val="auto"/>
        </w:rPr>
      </w:pPr>
    </w:p>
    <w:p>
      <w:pPr>
        <w:ind w:left="240" w:hanging="234"/>
        <w:spacing w:after="0"/>
        <w:tabs>
          <w:tab w:leader="none" w:pos="24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base salary in 2023 of $1,020,000 became effective on August 15, 2023.</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Grazier’s previous annual base salary was $402,500 and was increased to $425,000 on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33</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21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total base salaries paid to our Named Executive Officers during 2023 are set forth in the “Summary Compensation Table” below.</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Bonuses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Target Bonus Opportunities</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12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target cash bonus opportunities of our Named Executive Officers for 2023, as a percentage of annual base salary,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3920" w:type="dxa"/>
            <w:vAlign w:val="bottom"/>
            <w:shd w:val="clear" w:color="auto" w:fill="000000"/>
          </w:tcPr>
          <w:p>
            <w:pPr>
              <w:spacing w:after="0"/>
              <w:rPr>
                <w:sz w:val="24"/>
                <w:szCs w:val="24"/>
                <w:color w:val="auto"/>
              </w:rPr>
            </w:pPr>
          </w:p>
        </w:tc>
        <w:tc>
          <w:tcPr>
            <w:tcW w:w="3960" w:type="dxa"/>
            <w:vAlign w:val="bottom"/>
            <w:shd w:val="clear" w:color="auto" w:fill="000000"/>
          </w:tcPr>
          <w:p>
            <w:pPr>
              <w:jc w:val="right"/>
              <w:ind w:right="628"/>
              <w:spacing w:after="0"/>
              <w:rPr>
                <w:sz w:val="20"/>
                <w:szCs w:val="20"/>
                <w:color w:val="auto"/>
              </w:rPr>
            </w:pPr>
            <w:r>
              <w:rPr>
                <w:rFonts w:ascii="Arial" w:cs="Arial" w:eastAsia="Arial" w:hAnsi="Arial"/>
                <w:sz w:val="14"/>
                <w:szCs w:val="14"/>
                <w:b w:val="1"/>
                <w:bCs w:val="1"/>
                <w:color w:val="FFFFFF"/>
              </w:rPr>
              <w:t>2023 Target</w:t>
            </w:r>
          </w:p>
        </w:tc>
        <w:tc>
          <w:tcPr>
            <w:tcW w:w="1520" w:type="dxa"/>
            <w:vAlign w:val="bottom"/>
            <w:shd w:val="clear" w:color="auto" w:fill="000000"/>
          </w:tcPr>
          <w:p>
            <w:pPr>
              <w:spacing w:after="0"/>
              <w:rPr>
                <w:sz w:val="24"/>
                <w:szCs w:val="24"/>
                <w:color w:val="auto"/>
              </w:rPr>
            </w:pPr>
          </w:p>
        </w:tc>
      </w:tr>
      <w:tr>
        <w:trPr>
          <w:trHeight w:val="162"/>
        </w:trPr>
        <w:tc>
          <w:tcPr>
            <w:tcW w:w="3920" w:type="dxa"/>
            <w:vAlign w:val="bottom"/>
            <w:shd w:val="clear" w:color="auto" w:fill="000000"/>
          </w:tcPr>
          <w:p>
            <w:pPr>
              <w:spacing w:after="0"/>
              <w:rPr>
                <w:sz w:val="14"/>
                <w:szCs w:val="14"/>
                <w:color w:val="auto"/>
              </w:rPr>
            </w:pPr>
          </w:p>
        </w:tc>
        <w:tc>
          <w:tcPr>
            <w:tcW w:w="3960" w:type="dxa"/>
            <w:vAlign w:val="bottom"/>
            <w:shd w:val="clear" w:color="auto" w:fill="000000"/>
          </w:tcPr>
          <w:p>
            <w:pPr>
              <w:jc w:val="right"/>
              <w:ind w:right="628"/>
              <w:spacing w:after="0"/>
              <w:rPr>
                <w:sz w:val="20"/>
                <w:szCs w:val="20"/>
                <w:color w:val="auto"/>
              </w:rPr>
            </w:pPr>
            <w:r>
              <w:rPr>
                <w:rFonts w:ascii="Arial" w:cs="Arial" w:eastAsia="Arial" w:hAnsi="Arial"/>
                <w:sz w:val="14"/>
                <w:szCs w:val="14"/>
                <w:b w:val="1"/>
                <w:bCs w:val="1"/>
                <w:color w:val="FFFFFF"/>
              </w:rPr>
              <w:t>Cash Bonus</w:t>
            </w:r>
          </w:p>
        </w:tc>
        <w:tc>
          <w:tcPr>
            <w:tcW w:w="15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2023 Target</w:t>
            </w:r>
          </w:p>
        </w:tc>
      </w:tr>
      <w:tr>
        <w:trPr>
          <w:trHeight w:val="162"/>
        </w:trPr>
        <w:tc>
          <w:tcPr>
            <w:tcW w:w="3920" w:type="dxa"/>
            <w:vAlign w:val="bottom"/>
            <w:shd w:val="clear" w:color="auto" w:fill="000000"/>
          </w:tcPr>
          <w:p>
            <w:pPr>
              <w:spacing w:after="0"/>
              <w:rPr>
                <w:sz w:val="14"/>
                <w:szCs w:val="14"/>
                <w:color w:val="auto"/>
              </w:rPr>
            </w:pPr>
          </w:p>
        </w:tc>
        <w:tc>
          <w:tcPr>
            <w:tcW w:w="3960" w:type="dxa"/>
            <w:vAlign w:val="bottom"/>
            <w:shd w:val="clear" w:color="auto" w:fill="000000"/>
          </w:tcPr>
          <w:p>
            <w:pPr>
              <w:jc w:val="right"/>
              <w:ind w:right="628"/>
              <w:spacing w:after="0"/>
              <w:rPr>
                <w:sz w:val="20"/>
                <w:szCs w:val="20"/>
                <w:color w:val="auto"/>
              </w:rPr>
            </w:pPr>
            <w:r>
              <w:rPr>
                <w:rFonts w:ascii="Arial" w:cs="Arial" w:eastAsia="Arial" w:hAnsi="Arial"/>
                <w:sz w:val="14"/>
                <w:szCs w:val="14"/>
                <w:b w:val="1"/>
                <w:bCs w:val="1"/>
                <w:color w:val="FFFFFF"/>
              </w:rPr>
              <w:t>Opportunity</w:t>
            </w:r>
          </w:p>
        </w:tc>
        <w:tc>
          <w:tcPr>
            <w:tcW w:w="15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Cash Bonus</w:t>
            </w:r>
          </w:p>
        </w:tc>
      </w:tr>
      <w:tr>
        <w:trPr>
          <w:trHeight w:val="162"/>
        </w:trPr>
        <w:tc>
          <w:tcPr>
            <w:tcW w:w="3920" w:type="dxa"/>
            <w:vAlign w:val="bottom"/>
            <w:shd w:val="clear" w:color="auto" w:fill="000000"/>
          </w:tcPr>
          <w:p>
            <w:pPr>
              <w:spacing w:after="0"/>
              <w:rPr>
                <w:sz w:val="14"/>
                <w:szCs w:val="14"/>
                <w:color w:val="auto"/>
              </w:rPr>
            </w:pPr>
          </w:p>
        </w:tc>
        <w:tc>
          <w:tcPr>
            <w:tcW w:w="3960" w:type="dxa"/>
            <w:vAlign w:val="bottom"/>
            <w:shd w:val="clear" w:color="auto" w:fill="000000"/>
          </w:tcPr>
          <w:p>
            <w:pPr>
              <w:jc w:val="right"/>
              <w:ind w:right="628"/>
              <w:spacing w:after="0"/>
              <w:rPr>
                <w:sz w:val="20"/>
                <w:szCs w:val="20"/>
                <w:color w:val="auto"/>
              </w:rPr>
            </w:pPr>
            <w:r>
              <w:rPr>
                <w:rFonts w:ascii="Arial" w:cs="Arial" w:eastAsia="Arial" w:hAnsi="Arial"/>
                <w:sz w:val="14"/>
                <w:szCs w:val="14"/>
                <w:b w:val="1"/>
                <w:bCs w:val="1"/>
                <w:color w:val="FFFFFF"/>
              </w:rPr>
              <w:t>(as a percentage</w:t>
            </w:r>
          </w:p>
        </w:tc>
        <w:tc>
          <w:tcPr>
            <w:tcW w:w="15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Opportunity</w:t>
            </w:r>
          </w:p>
        </w:tc>
      </w:tr>
      <w:tr>
        <w:trPr>
          <w:trHeight w:val="196"/>
        </w:trPr>
        <w:tc>
          <w:tcPr>
            <w:tcW w:w="392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3960" w:type="dxa"/>
            <w:vAlign w:val="bottom"/>
            <w:shd w:val="clear" w:color="auto" w:fill="000000"/>
          </w:tcPr>
          <w:p>
            <w:pPr>
              <w:jc w:val="right"/>
              <w:ind w:right="588"/>
              <w:spacing w:after="0"/>
              <w:rPr>
                <w:sz w:val="20"/>
                <w:szCs w:val="20"/>
                <w:color w:val="auto"/>
              </w:rPr>
            </w:pPr>
            <w:r>
              <w:rPr>
                <w:rFonts w:ascii="Arial" w:cs="Arial" w:eastAsia="Arial" w:hAnsi="Arial"/>
                <w:sz w:val="14"/>
                <w:szCs w:val="14"/>
                <w:b w:val="1"/>
                <w:bCs w:val="1"/>
                <w:color w:val="FFFFFF"/>
              </w:rPr>
              <w:t>of base salary)</w:t>
            </w:r>
          </w:p>
        </w:tc>
        <w:tc>
          <w:tcPr>
            <w:tcW w:w="15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r>
      <w:tr>
        <w:trPr>
          <w:trHeight w:val="110"/>
        </w:trPr>
        <w:tc>
          <w:tcPr>
            <w:tcW w:w="3920" w:type="dxa"/>
            <w:vAlign w:val="bottom"/>
            <w:shd w:val="clear" w:color="auto" w:fill="000000"/>
          </w:tcPr>
          <w:p>
            <w:pPr>
              <w:spacing w:after="0"/>
              <w:rPr>
                <w:sz w:val="9"/>
                <w:szCs w:val="9"/>
                <w:color w:val="auto"/>
              </w:rPr>
            </w:pPr>
          </w:p>
        </w:tc>
        <w:tc>
          <w:tcPr>
            <w:tcW w:w="3960" w:type="dxa"/>
            <w:vAlign w:val="bottom"/>
            <w:shd w:val="clear" w:color="auto" w:fill="000000"/>
          </w:tcPr>
          <w:p>
            <w:pPr>
              <w:spacing w:after="0"/>
              <w:rPr>
                <w:sz w:val="9"/>
                <w:szCs w:val="9"/>
                <w:color w:val="auto"/>
              </w:rPr>
            </w:pPr>
          </w:p>
        </w:tc>
        <w:tc>
          <w:tcPr>
            <w:tcW w:w="1520" w:type="dxa"/>
            <w:vAlign w:val="bottom"/>
            <w:shd w:val="clear" w:color="auto" w:fill="000000"/>
          </w:tcPr>
          <w:p>
            <w:pPr>
              <w:spacing w:after="0"/>
              <w:rPr>
                <w:sz w:val="9"/>
                <w:szCs w:val="9"/>
                <w:color w:val="auto"/>
              </w:rPr>
            </w:pPr>
          </w:p>
        </w:tc>
      </w:tr>
      <w:tr>
        <w:trPr>
          <w:trHeight w:val="450"/>
        </w:trPr>
        <w:tc>
          <w:tcPr>
            <w:tcW w:w="392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(1)</w:t>
            </w:r>
          </w:p>
        </w:tc>
        <w:tc>
          <w:tcPr>
            <w:tcW w:w="3960" w:type="dxa"/>
            <w:vAlign w:val="bottom"/>
          </w:tcPr>
          <w:p>
            <w:pPr>
              <w:jc w:val="right"/>
              <w:ind w:right="728"/>
              <w:spacing w:after="0"/>
              <w:rPr>
                <w:sz w:val="20"/>
                <w:szCs w:val="20"/>
                <w:color w:val="auto"/>
              </w:rPr>
            </w:pPr>
            <w:r>
              <w:rPr>
                <w:rFonts w:ascii="Arial" w:cs="Arial" w:eastAsia="Arial" w:hAnsi="Arial"/>
                <w:sz w:val="14"/>
                <w:szCs w:val="14"/>
                <w:color w:val="auto"/>
              </w:rPr>
              <w:t>0%</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$0</w:t>
            </w:r>
          </w:p>
        </w:tc>
      </w:tr>
      <w:tr>
        <w:trPr>
          <w:trHeight w:val="23"/>
        </w:trPr>
        <w:tc>
          <w:tcPr>
            <w:tcW w:w="3920" w:type="dxa"/>
            <w:vAlign w:val="bottom"/>
            <w:tcBorders>
              <w:bottom w:val="single" w:sz="8" w:color="999999"/>
            </w:tcBorders>
          </w:tcPr>
          <w:p>
            <w:pPr>
              <w:spacing w:after="0" w:line="20" w:lineRule="exact"/>
              <w:rPr>
                <w:sz w:val="1"/>
                <w:szCs w:val="1"/>
                <w:color w:val="auto"/>
              </w:rPr>
            </w:pPr>
          </w:p>
        </w:tc>
        <w:tc>
          <w:tcPr>
            <w:tcW w:w="3960" w:type="dxa"/>
            <w:vAlign w:val="bottom"/>
            <w:tcBorders>
              <w:bottom w:val="single" w:sz="8" w:color="999999"/>
            </w:tcBorders>
          </w:tcPr>
          <w:p>
            <w:pPr>
              <w:spacing w:after="0" w:line="20" w:lineRule="exact"/>
              <w:rPr>
                <w:sz w:val="1"/>
                <w:szCs w:val="1"/>
                <w:color w:val="auto"/>
              </w:rPr>
            </w:pPr>
          </w:p>
        </w:tc>
        <w:tc>
          <w:tcPr>
            <w:tcW w:w="1520" w:type="dxa"/>
            <w:vAlign w:val="bottom"/>
            <w:tcBorders>
              <w:bottom w:val="single" w:sz="8" w:color="999999"/>
            </w:tcBorders>
          </w:tcPr>
          <w:p>
            <w:pPr>
              <w:spacing w:after="0" w:line="20" w:lineRule="exact"/>
              <w:rPr>
                <w:sz w:val="1"/>
                <w:szCs w:val="1"/>
                <w:color w:val="auto"/>
              </w:rPr>
            </w:pPr>
          </w:p>
        </w:tc>
      </w:tr>
      <w:tr>
        <w:trPr>
          <w:trHeight w:val="329"/>
        </w:trPr>
        <w:tc>
          <w:tcPr>
            <w:tcW w:w="392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3960" w:type="dxa"/>
            <w:vAlign w:val="bottom"/>
          </w:tcPr>
          <w:p>
            <w:pPr>
              <w:jc w:val="right"/>
              <w:ind w:right="728"/>
              <w:spacing w:after="0"/>
              <w:rPr>
                <w:sz w:val="20"/>
                <w:szCs w:val="20"/>
                <w:color w:val="auto"/>
              </w:rPr>
            </w:pPr>
            <w:r>
              <w:rPr>
                <w:rFonts w:ascii="Arial" w:cs="Arial" w:eastAsia="Arial" w:hAnsi="Arial"/>
                <w:sz w:val="14"/>
                <w:szCs w:val="14"/>
                <w:color w:val="auto"/>
              </w:rPr>
              <w:t>50%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$205,000</w:t>
            </w:r>
          </w:p>
        </w:tc>
      </w:tr>
      <w:tr>
        <w:trPr>
          <w:trHeight w:val="124"/>
        </w:trPr>
        <w:tc>
          <w:tcPr>
            <w:tcW w:w="3920" w:type="dxa"/>
            <w:vAlign w:val="bottom"/>
            <w:tcBorders>
              <w:bottom w:val="single" w:sz="8" w:color="999999"/>
            </w:tcBorders>
          </w:tcPr>
          <w:p>
            <w:pPr>
              <w:spacing w:after="0"/>
              <w:rPr>
                <w:sz w:val="10"/>
                <w:szCs w:val="10"/>
                <w:color w:val="auto"/>
              </w:rPr>
            </w:pPr>
          </w:p>
        </w:tc>
        <w:tc>
          <w:tcPr>
            <w:tcW w:w="3960" w:type="dxa"/>
            <w:vAlign w:val="bottom"/>
            <w:tcBorders>
              <w:bottom w:val="single" w:sz="8" w:color="999999"/>
            </w:tcBorders>
          </w:tcPr>
          <w:p>
            <w:pPr>
              <w:spacing w:after="0"/>
              <w:rPr>
                <w:sz w:val="10"/>
                <w:szCs w:val="10"/>
                <w:color w:val="auto"/>
              </w:rPr>
            </w:pPr>
          </w:p>
        </w:tc>
        <w:tc>
          <w:tcPr>
            <w:tcW w:w="1520" w:type="dxa"/>
            <w:vAlign w:val="bottom"/>
            <w:tcBorders>
              <w:bottom w:val="single" w:sz="8" w:color="999999"/>
            </w:tcBorders>
          </w:tcPr>
          <w:p>
            <w:pPr>
              <w:spacing w:after="0"/>
              <w:rPr>
                <w:sz w:val="10"/>
                <w:szCs w:val="10"/>
                <w:color w:val="auto"/>
              </w:rPr>
            </w:pPr>
          </w:p>
        </w:tc>
      </w:tr>
      <w:tr>
        <w:trPr>
          <w:trHeight w:val="461"/>
        </w:trPr>
        <w:tc>
          <w:tcPr>
            <w:tcW w:w="3920" w:type="dxa"/>
            <w:vAlign w:val="bottom"/>
            <w:tcBorders>
              <w:bottom w:val="single" w:sz="8" w:color="999999"/>
            </w:tcBorders>
          </w:tcPr>
          <w:p>
            <w:pPr>
              <w:ind w:left="8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(2)</w:t>
            </w:r>
          </w:p>
        </w:tc>
        <w:tc>
          <w:tcPr>
            <w:tcW w:w="3960" w:type="dxa"/>
            <w:vAlign w:val="bottom"/>
            <w:tcBorders>
              <w:bottom w:val="single" w:sz="8" w:color="999999"/>
            </w:tcBorders>
          </w:tcPr>
          <w:p>
            <w:pPr>
              <w:jc w:val="right"/>
              <w:ind w:right="728"/>
              <w:spacing w:after="0"/>
              <w:rPr>
                <w:sz w:val="20"/>
                <w:szCs w:val="20"/>
                <w:color w:val="auto"/>
              </w:rPr>
            </w:pPr>
            <w:r>
              <w:rPr>
                <w:rFonts w:ascii="Arial" w:cs="Arial" w:eastAsia="Arial" w:hAnsi="Arial"/>
                <w:sz w:val="14"/>
                <w:szCs w:val="14"/>
                <w:color w:val="auto"/>
              </w:rPr>
              <w:t>50%</w:t>
            </w:r>
          </w:p>
        </w:tc>
        <w:tc>
          <w:tcPr>
            <w:tcW w:w="1520" w:type="dxa"/>
            <w:vAlign w:val="bottom"/>
            <w:tcBorders>
              <w:bottom w:val="single" w:sz="8" w:color="999999"/>
            </w:tcBorders>
          </w:tcPr>
          <w:p>
            <w:pPr>
              <w:jc w:val="right"/>
              <w:ind w:right="68"/>
              <w:spacing w:after="0"/>
              <w:rPr>
                <w:sz w:val="20"/>
                <w:szCs w:val="20"/>
                <w:color w:val="auto"/>
              </w:rPr>
            </w:pPr>
            <w:r>
              <w:rPr>
                <w:rFonts w:ascii="Arial" w:cs="Arial" w:eastAsia="Arial" w:hAnsi="Arial"/>
                <w:sz w:val="14"/>
                <w:szCs w:val="14"/>
                <w:color w:val="auto"/>
              </w:rPr>
              <w:t>$212,500</w:t>
            </w:r>
          </w:p>
        </w:tc>
      </w:tr>
    </w:tbl>
    <w:p>
      <w:pPr>
        <w:spacing w:after="0" w:line="198" w:lineRule="exact"/>
        <w:rPr>
          <w:sz w:val="20"/>
          <w:szCs w:val="20"/>
          <w:color w:val="auto"/>
        </w:rPr>
      </w:pPr>
    </w:p>
    <w:p>
      <w:pPr>
        <w:ind w:left="240" w:right="280" w:hanging="234"/>
        <w:spacing w:after="0" w:line="252" w:lineRule="auto"/>
        <w:tabs>
          <w:tab w:leader="none" w:pos="24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was not eligible for a target bonus opportunity in 2023 , but did receive a signing bonus of $700,000 in connection with the entry into his offer letter dated August 15, 2023.</w:t>
      </w:r>
    </w:p>
    <w:p>
      <w:pPr>
        <w:spacing w:after="0" w:line="23" w:lineRule="exact"/>
        <w:rPr>
          <w:rFonts w:ascii="Arial" w:cs="Arial" w:eastAsia="Arial" w:hAnsi="Arial"/>
          <w:sz w:val="13"/>
          <w:szCs w:val="13"/>
          <w:b w:val="1"/>
          <w:bCs w:val="1"/>
          <w:color w:val="auto"/>
        </w:rPr>
      </w:pPr>
    </w:p>
    <w:p>
      <w:pPr>
        <w:ind w:left="240" w:hanging="234"/>
        <w:spacing w:after="0"/>
        <w:tabs>
          <w:tab w:leader="none" w:pos="24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Mr. Grazier’s approved target bonus by the Compensation Committee was based off his increased base salary of $425,000.</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Performance</w:t>
      </w:r>
    </w:p>
    <w:p>
      <w:pPr>
        <w:spacing w:after="0" w:line="16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 xml:space="preserve">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the paragraph immediately below, </w:t>
      </w:r>
      <w:r>
        <w:rPr>
          <w:rFonts w:ascii="Arial" w:cs="Arial" w:eastAsia="Arial" w:hAnsi="Arial"/>
          <w:sz w:val="16"/>
          <w:szCs w:val="16"/>
          <w:i w:val="1"/>
          <w:iCs w:val="1"/>
          <w:color w:val="auto"/>
        </w:rPr>
        <w:t>Cash Bonus Payments</w:t>
      </w:r>
      <w:r>
        <w:rPr>
          <w:rFonts w:ascii="Arial" w:cs="Arial" w:eastAsia="Arial" w:hAnsi="Arial"/>
          <w:sz w:val="16"/>
          <w:szCs w:val="16"/>
          <w:color w:val="auto"/>
        </w:rPr>
        <w:t xml:space="preserve"> for additional details regarding our cash bonus plan.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Bonus Payments</w:t>
      </w:r>
    </w:p>
    <w:p>
      <w:pPr>
        <w:spacing w:after="0" w:line="16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3060" w:type="dxa"/>
            <w:vAlign w:val="bottom"/>
            <w:shd w:val="clear" w:color="auto" w:fill="000000"/>
          </w:tcPr>
          <w:p>
            <w:pPr>
              <w:spacing w:after="0"/>
              <w:rPr>
                <w:sz w:val="24"/>
                <w:szCs w:val="24"/>
                <w:color w:val="auto"/>
              </w:rPr>
            </w:pPr>
          </w:p>
        </w:tc>
        <w:tc>
          <w:tcPr>
            <w:tcW w:w="2900" w:type="dxa"/>
            <w:vAlign w:val="bottom"/>
            <w:shd w:val="clear" w:color="auto" w:fill="000000"/>
          </w:tcPr>
          <w:p>
            <w:pPr>
              <w:jc w:val="right"/>
              <w:ind w:right="248"/>
              <w:spacing w:after="0"/>
              <w:rPr>
                <w:sz w:val="20"/>
                <w:szCs w:val="20"/>
                <w:color w:val="auto"/>
              </w:rPr>
            </w:pPr>
            <w:r>
              <w:rPr>
                <w:rFonts w:ascii="Arial" w:cs="Arial" w:eastAsia="Arial" w:hAnsi="Arial"/>
                <w:sz w:val="14"/>
                <w:szCs w:val="14"/>
                <w:b w:val="1"/>
                <w:bCs w:val="1"/>
                <w:color w:val="FFFFFF"/>
              </w:rPr>
              <w:t>2023 Target Cash</w:t>
            </w:r>
          </w:p>
        </w:tc>
        <w:tc>
          <w:tcPr>
            <w:tcW w:w="1400" w:type="dxa"/>
            <w:vAlign w:val="bottom"/>
            <w:shd w:val="clear" w:color="auto" w:fill="000000"/>
          </w:tcPr>
          <w:p>
            <w:pPr>
              <w:jc w:val="right"/>
              <w:ind w:right="228"/>
              <w:spacing w:after="0"/>
              <w:rPr>
                <w:sz w:val="20"/>
                <w:szCs w:val="20"/>
                <w:color w:val="auto"/>
              </w:rPr>
            </w:pPr>
            <w:r>
              <w:rPr>
                <w:rFonts w:ascii="Arial" w:cs="Arial" w:eastAsia="Arial" w:hAnsi="Arial"/>
                <w:sz w:val="14"/>
                <w:szCs w:val="14"/>
                <w:b w:val="1"/>
                <w:bCs w:val="1"/>
                <w:color w:val="FFFFFF"/>
              </w:rPr>
              <w:t>Actual 2023</w:t>
            </w:r>
          </w:p>
        </w:tc>
        <w:tc>
          <w:tcPr>
            <w:tcW w:w="2040" w:type="dxa"/>
            <w:vAlign w:val="bottom"/>
            <w:gridSpan w:val="2"/>
            <w:shd w:val="clear" w:color="auto" w:fill="000000"/>
          </w:tcPr>
          <w:p>
            <w:pPr>
              <w:jc w:val="right"/>
              <w:spacing w:after="0"/>
              <w:rPr>
                <w:sz w:val="20"/>
                <w:szCs w:val="20"/>
                <w:color w:val="auto"/>
              </w:rPr>
            </w:pPr>
            <w:r>
              <w:rPr>
                <w:rFonts w:ascii="Arial" w:cs="Arial" w:eastAsia="Arial" w:hAnsi="Arial"/>
                <w:sz w:val="14"/>
                <w:szCs w:val="14"/>
                <w:b w:val="1"/>
                <w:bCs w:val="1"/>
                <w:color w:val="FFFFFF"/>
              </w:rPr>
              <w:t>Actual 2023 Cash Bonus</w:t>
            </w:r>
          </w:p>
        </w:tc>
      </w:tr>
      <w:tr>
        <w:trPr>
          <w:trHeight w:val="162"/>
        </w:trPr>
        <w:tc>
          <w:tcPr>
            <w:tcW w:w="3060" w:type="dxa"/>
            <w:vAlign w:val="bottom"/>
            <w:shd w:val="clear" w:color="auto" w:fill="000000"/>
          </w:tcPr>
          <w:p>
            <w:pPr>
              <w:spacing w:after="0"/>
              <w:rPr>
                <w:sz w:val="14"/>
                <w:szCs w:val="14"/>
                <w:color w:val="auto"/>
              </w:rPr>
            </w:pPr>
          </w:p>
        </w:tc>
        <w:tc>
          <w:tcPr>
            <w:tcW w:w="2900" w:type="dxa"/>
            <w:vAlign w:val="bottom"/>
            <w:shd w:val="clear" w:color="auto" w:fill="000000"/>
          </w:tcPr>
          <w:p>
            <w:pPr>
              <w:jc w:val="right"/>
              <w:ind w:right="248"/>
              <w:spacing w:after="0"/>
              <w:rPr>
                <w:sz w:val="20"/>
                <w:szCs w:val="20"/>
                <w:color w:val="auto"/>
              </w:rPr>
            </w:pPr>
            <w:r>
              <w:rPr>
                <w:rFonts w:ascii="Arial" w:cs="Arial" w:eastAsia="Arial" w:hAnsi="Arial"/>
                <w:sz w:val="14"/>
                <w:szCs w:val="14"/>
                <w:b w:val="1"/>
                <w:bCs w:val="1"/>
                <w:color w:val="FFFFFF"/>
              </w:rPr>
              <w:t>Bonus Opportunity</w:t>
            </w:r>
          </w:p>
        </w:tc>
        <w:tc>
          <w:tcPr>
            <w:tcW w:w="1400" w:type="dxa"/>
            <w:vAlign w:val="bottom"/>
            <w:shd w:val="clear" w:color="auto" w:fill="000000"/>
          </w:tcPr>
          <w:p>
            <w:pPr>
              <w:jc w:val="right"/>
              <w:ind w:right="228"/>
              <w:spacing w:after="0"/>
              <w:rPr>
                <w:sz w:val="20"/>
                <w:szCs w:val="20"/>
                <w:color w:val="auto"/>
              </w:rPr>
            </w:pPr>
            <w:r>
              <w:rPr>
                <w:rFonts w:ascii="Arial" w:cs="Arial" w:eastAsia="Arial" w:hAnsi="Arial"/>
                <w:sz w:val="14"/>
                <w:szCs w:val="14"/>
                <w:b w:val="1"/>
                <w:bCs w:val="1"/>
                <w:color w:val="FFFFFF"/>
              </w:rPr>
              <w:t>Cash Bonus</w:t>
            </w:r>
          </w:p>
        </w:tc>
        <w:tc>
          <w:tcPr>
            <w:tcW w:w="2040" w:type="dxa"/>
            <w:vAlign w:val="bottom"/>
            <w:gridSpan w:val="2"/>
            <w:shd w:val="clear" w:color="auto" w:fill="000000"/>
          </w:tcPr>
          <w:p>
            <w:pPr>
              <w:jc w:val="right"/>
              <w:spacing w:after="0"/>
              <w:rPr>
                <w:sz w:val="20"/>
                <w:szCs w:val="20"/>
                <w:color w:val="auto"/>
              </w:rPr>
            </w:pPr>
            <w:r>
              <w:rPr>
                <w:rFonts w:ascii="Arial" w:cs="Arial" w:eastAsia="Arial" w:hAnsi="Arial"/>
                <w:sz w:val="14"/>
                <w:szCs w:val="14"/>
                <w:b w:val="1"/>
                <w:bCs w:val="1"/>
                <w:color w:val="FFFFFF"/>
              </w:rPr>
              <w:t>(as a percentage of target</w:t>
            </w:r>
          </w:p>
        </w:tc>
      </w:tr>
      <w:tr>
        <w:trPr>
          <w:trHeight w:val="324"/>
        </w:trPr>
        <w:tc>
          <w:tcPr>
            <w:tcW w:w="30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2900" w:type="dxa"/>
            <w:vAlign w:val="bottom"/>
            <w:shd w:val="clear" w:color="auto" w:fill="000000"/>
          </w:tcPr>
          <w:p>
            <w:pPr>
              <w:jc w:val="right"/>
              <w:ind w:right="2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0000"/>
          </w:tcPr>
          <w:p>
            <w:pPr>
              <w:jc w:val="right"/>
              <w:ind w:right="1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2040" w:type="dxa"/>
            <w:vAlign w:val="bottom"/>
            <w:gridSpan w:val="2"/>
            <w:shd w:val="clear" w:color="auto" w:fill="000000"/>
          </w:tcPr>
          <w:p>
            <w:pPr>
              <w:jc w:val="right"/>
              <w:spacing w:after="0"/>
              <w:rPr>
                <w:sz w:val="20"/>
                <w:szCs w:val="20"/>
                <w:color w:val="auto"/>
              </w:rPr>
            </w:pPr>
            <w:r>
              <w:rPr>
                <w:rFonts w:ascii="Arial" w:cs="Arial" w:eastAsia="Arial" w:hAnsi="Arial"/>
                <w:sz w:val="14"/>
                <w:szCs w:val="14"/>
                <w:b w:val="1"/>
                <w:bCs w:val="1"/>
                <w:color w:val="FFFFFF"/>
              </w:rPr>
              <w:t>cash bonus opportunity)</w:t>
            </w:r>
          </w:p>
        </w:tc>
      </w:tr>
      <w:tr>
        <w:trPr>
          <w:trHeight w:val="450"/>
        </w:trPr>
        <w:tc>
          <w:tcPr>
            <w:tcW w:w="306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(1)</w:t>
            </w:r>
          </w:p>
        </w:tc>
        <w:tc>
          <w:tcPr>
            <w:tcW w:w="2900" w:type="dxa"/>
            <w:vAlign w:val="bottom"/>
          </w:tcPr>
          <w:p>
            <w:pPr>
              <w:jc w:val="right"/>
              <w:ind w:right="208"/>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060" w:type="dxa"/>
            <w:vAlign w:val="bottom"/>
            <w:tcBorders>
              <w:bottom w:val="single" w:sz="8" w:color="999999"/>
            </w:tcBorders>
          </w:tcPr>
          <w:p>
            <w:pPr>
              <w:spacing w:after="0" w:line="20" w:lineRule="exact"/>
              <w:rPr>
                <w:sz w:val="1"/>
                <w:szCs w:val="1"/>
                <w:color w:val="auto"/>
              </w:rPr>
            </w:pPr>
          </w:p>
        </w:tc>
        <w:tc>
          <w:tcPr>
            <w:tcW w:w="2900" w:type="dxa"/>
            <w:vAlign w:val="bottom"/>
            <w:tcBorders>
              <w:bottom w:val="single" w:sz="8" w:color="999999"/>
            </w:tcBorders>
          </w:tcPr>
          <w:p>
            <w:pPr>
              <w:spacing w:after="0" w:line="20" w:lineRule="exact"/>
              <w:rPr>
                <w:sz w:val="1"/>
                <w:szCs w:val="1"/>
                <w:color w:val="auto"/>
              </w:rPr>
            </w:pPr>
          </w:p>
        </w:tc>
        <w:tc>
          <w:tcPr>
            <w:tcW w:w="1400" w:type="dxa"/>
            <w:vAlign w:val="bottom"/>
            <w:tcBorders>
              <w:bottom w:val="single" w:sz="8" w:color="999999"/>
            </w:tcBorders>
          </w:tcPr>
          <w:p>
            <w:pPr>
              <w:spacing w:after="0" w:line="20" w:lineRule="exact"/>
              <w:rPr>
                <w:sz w:val="1"/>
                <w:szCs w:val="1"/>
                <w:color w:val="auto"/>
              </w:rPr>
            </w:pPr>
          </w:p>
        </w:tc>
        <w:tc>
          <w:tcPr>
            <w:tcW w:w="180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r>
      <w:tr>
        <w:trPr>
          <w:trHeight w:val="329"/>
        </w:trPr>
        <w:tc>
          <w:tcPr>
            <w:tcW w:w="306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2900" w:type="dxa"/>
            <w:vAlign w:val="bottom"/>
          </w:tcPr>
          <w:p>
            <w:pPr>
              <w:jc w:val="right"/>
              <w:ind w:right="208"/>
              <w:spacing w:after="0"/>
              <w:rPr>
                <w:sz w:val="20"/>
                <w:szCs w:val="20"/>
                <w:color w:val="auto"/>
              </w:rPr>
            </w:pPr>
            <w:r>
              <w:rPr>
                <w:rFonts w:ascii="Arial" w:cs="Arial" w:eastAsia="Arial" w:hAnsi="Arial"/>
                <w:sz w:val="14"/>
                <w:szCs w:val="14"/>
                <w:color w:val="auto"/>
              </w:rPr>
              <w:t>$205,000</w:t>
            </w:r>
          </w:p>
        </w:tc>
        <w:tc>
          <w:tcPr>
            <w:tcW w:w="1400" w:type="dxa"/>
            <w:vAlign w:val="bottom"/>
          </w:tcPr>
          <w:p>
            <w:pPr>
              <w:jc w:val="right"/>
              <w:ind w:right="188"/>
              <w:spacing w:after="0"/>
              <w:rPr>
                <w:sz w:val="20"/>
                <w:szCs w:val="20"/>
                <w:color w:val="auto"/>
              </w:rPr>
            </w:pPr>
            <w:r>
              <w:rPr>
                <w:rFonts w:ascii="Arial" w:cs="Arial" w:eastAsia="Arial" w:hAnsi="Arial"/>
                <w:sz w:val="14"/>
                <w:szCs w:val="14"/>
                <w:color w:val="auto"/>
              </w:rPr>
              <w:t>$181,425</w:t>
            </w:r>
          </w:p>
        </w:tc>
        <w:tc>
          <w:tcPr>
            <w:tcW w:w="1800" w:type="dxa"/>
            <w:vAlign w:val="bottom"/>
          </w:tcPr>
          <w:p>
            <w:pPr>
              <w:ind w:left="1640"/>
              <w:spacing w:after="0"/>
              <w:rPr>
                <w:sz w:val="20"/>
                <w:szCs w:val="20"/>
                <w:color w:val="auto"/>
              </w:rPr>
            </w:pPr>
            <w:r>
              <w:rPr>
                <w:rFonts w:ascii="Arial" w:cs="Arial" w:eastAsia="Arial" w:hAnsi="Arial"/>
                <w:sz w:val="14"/>
                <w:szCs w:val="14"/>
                <w:color w:val="auto"/>
                <w:w w:val="89"/>
              </w:rPr>
              <w:t>88​</w:t>
            </w:r>
          </w:p>
        </w:tc>
        <w:tc>
          <w:tcPr>
            <w:tcW w:w="240" w:type="dxa"/>
            <w:vAlign w:val="bottom"/>
          </w:tcPr>
          <w:p>
            <w:pPr>
              <w:jc w:val="right"/>
              <w:spacing w:after="0"/>
              <w:rPr>
                <w:sz w:val="20"/>
                <w:szCs w:val="20"/>
                <w:color w:val="auto"/>
              </w:rPr>
            </w:pPr>
            <w:r>
              <w:rPr>
                <w:rFonts w:ascii="Arial" w:cs="Arial" w:eastAsia="Arial" w:hAnsi="Arial"/>
                <w:sz w:val="14"/>
                <w:szCs w:val="14"/>
                <w:color w:val="auto"/>
                <w:w w:val="90"/>
              </w:rPr>
              <w:t>.5%</w:t>
            </w:r>
          </w:p>
        </w:tc>
      </w:tr>
      <w:tr>
        <w:trPr>
          <w:trHeight w:val="123"/>
        </w:trPr>
        <w:tc>
          <w:tcPr>
            <w:tcW w:w="3060" w:type="dxa"/>
            <w:vAlign w:val="bottom"/>
            <w:tcBorders>
              <w:bottom w:val="single" w:sz="8" w:color="999999"/>
            </w:tcBorders>
          </w:tcPr>
          <w:p>
            <w:pPr>
              <w:spacing w:after="0"/>
              <w:rPr>
                <w:sz w:val="10"/>
                <w:szCs w:val="10"/>
                <w:color w:val="auto"/>
              </w:rPr>
            </w:pPr>
          </w:p>
        </w:tc>
        <w:tc>
          <w:tcPr>
            <w:tcW w:w="2900" w:type="dxa"/>
            <w:vAlign w:val="bottom"/>
            <w:tcBorders>
              <w:bottom w:val="single" w:sz="8" w:color="999999"/>
            </w:tcBorders>
          </w:tcPr>
          <w:p>
            <w:pPr>
              <w:spacing w:after="0"/>
              <w:rPr>
                <w:sz w:val="10"/>
                <w:szCs w:val="10"/>
                <w:color w:val="auto"/>
              </w:rPr>
            </w:pPr>
          </w:p>
        </w:tc>
        <w:tc>
          <w:tcPr>
            <w:tcW w:w="1400" w:type="dxa"/>
            <w:vAlign w:val="bottom"/>
            <w:tcBorders>
              <w:bottom w:val="single" w:sz="8" w:color="999999"/>
            </w:tcBorders>
          </w:tcPr>
          <w:p>
            <w:pPr>
              <w:spacing w:after="0"/>
              <w:rPr>
                <w:sz w:val="10"/>
                <w:szCs w:val="10"/>
                <w:color w:val="auto"/>
              </w:rPr>
            </w:pPr>
          </w:p>
        </w:tc>
        <w:tc>
          <w:tcPr>
            <w:tcW w:w="1800" w:type="dxa"/>
            <w:vAlign w:val="bottom"/>
            <w:tcBorders>
              <w:bottom w:val="single" w:sz="8" w:color="999999"/>
            </w:tcBorders>
          </w:tcPr>
          <w:p>
            <w:pPr>
              <w:spacing w:after="0"/>
              <w:rPr>
                <w:sz w:val="10"/>
                <w:szCs w:val="10"/>
                <w:color w:val="auto"/>
              </w:rPr>
            </w:pPr>
          </w:p>
        </w:tc>
        <w:tc>
          <w:tcPr>
            <w:tcW w:w="240" w:type="dxa"/>
            <w:vAlign w:val="bottom"/>
            <w:tcBorders>
              <w:bottom w:val="single" w:sz="8" w:color="999999"/>
            </w:tcBorders>
          </w:tcPr>
          <w:p>
            <w:pPr>
              <w:spacing w:after="0"/>
              <w:rPr>
                <w:sz w:val="10"/>
                <w:szCs w:val="10"/>
                <w:color w:val="auto"/>
              </w:rPr>
            </w:pPr>
          </w:p>
        </w:tc>
      </w:tr>
      <w:tr>
        <w:trPr>
          <w:trHeight w:val="461"/>
        </w:trPr>
        <w:tc>
          <w:tcPr>
            <w:tcW w:w="3060" w:type="dxa"/>
            <w:vAlign w:val="bottom"/>
            <w:tcBorders>
              <w:bottom w:val="single" w:sz="8" w:color="999999"/>
            </w:tcBorders>
          </w:tcPr>
          <w:p>
            <w:pPr>
              <w:ind w:left="80"/>
              <w:spacing w:after="0"/>
              <w:rPr>
                <w:sz w:val="20"/>
                <w:szCs w:val="20"/>
                <w:color w:val="auto"/>
              </w:rPr>
            </w:pPr>
            <w:r>
              <w:rPr>
                <w:rFonts w:ascii="Arial" w:cs="Arial" w:eastAsia="Arial" w:hAnsi="Arial"/>
                <w:sz w:val="14"/>
                <w:szCs w:val="14"/>
                <w:b w:val="1"/>
                <w:bCs w:val="1"/>
                <w:color w:val="40C0C0"/>
              </w:rPr>
              <w:t>Duncan Grazier</w:t>
            </w:r>
            <w:r>
              <w:rPr>
                <w:rFonts w:ascii="Arial" w:cs="Arial" w:eastAsia="Arial" w:hAnsi="Arial"/>
                <w:sz w:val="23"/>
                <w:szCs w:val="23"/>
                <w:b w:val="1"/>
                <w:bCs w:val="1"/>
                <w:color w:val="40C0C0"/>
                <w:vertAlign w:val="superscript"/>
              </w:rPr>
              <w:t>(3)</w:t>
            </w:r>
          </w:p>
        </w:tc>
        <w:tc>
          <w:tcPr>
            <w:tcW w:w="2900" w:type="dxa"/>
            <w:vAlign w:val="bottom"/>
            <w:tcBorders>
              <w:bottom w:val="single" w:sz="8" w:color="999999"/>
            </w:tcBorders>
          </w:tcPr>
          <w:p>
            <w:pPr>
              <w:jc w:val="right"/>
              <w:ind w:right="208"/>
              <w:spacing w:after="0"/>
              <w:rPr>
                <w:sz w:val="20"/>
                <w:szCs w:val="20"/>
                <w:color w:val="auto"/>
              </w:rPr>
            </w:pPr>
            <w:r>
              <w:rPr>
                <w:rFonts w:ascii="Arial" w:cs="Arial" w:eastAsia="Arial" w:hAnsi="Arial"/>
                <w:sz w:val="14"/>
                <w:szCs w:val="14"/>
                <w:color w:val="auto"/>
              </w:rPr>
              <w:t>$212,500</w:t>
            </w:r>
          </w:p>
        </w:tc>
        <w:tc>
          <w:tcPr>
            <w:tcW w:w="1400" w:type="dxa"/>
            <w:vAlign w:val="bottom"/>
            <w:tcBorders>
              <w:bottom w:val="single" w:sz="8" w:color="999999"/>
            </w:tcBorders>
          </w:tcPr>
          <w:p>
            <w:pPr>
              <w:jc w:val="right"/>
              <w:ind w:right="188"/>
              <w:spacing w:after="0"/>
              <w:rPr>
                <w:sz w:val="20"/>
                <w:szCs w:val="20"/>
                <w:color w:val="auto"/>
              </w:rPr>
            </w:pPr>
            <w:r>
              <w:rPr>
                <w:rFonts w:ascii="Arial" w:cs="Arial" w:eastAsia="Arial" w:hAnsi="Arial"/>
                <w:sz w:val="14"/>
                <w:szCs w:val="14"/>
                <w:color w:val="auto"/>
              </w:rPr>
              <w:t>$188,062</w:t>
            </w:r>
          </w:p>
        </w:tc>
        <w:tc>
          <w:tcPr>
            <w:tcW w:w="1800" w:type="dxa"/>
            <w:vAlign w:val="bottom"/>
            <w:tcBorders>
              <w:bottom w:val="single" w:sz="8" w:color="999999"/>
            </w:tcBorders>
          </w:tcPr>
          <w:p>
            <w:pPr>
              <w:ind w:left="1640"/>
              <w:spacing w:after="0"/>
              <w:rPr>
                <w:sz w:val="20"/>
                <w:szCs w:val="20"/>
                <w:color w:val="auto"/>
              </w:rPr>
            </w:pPr>
            <w:r>
              <w:rPr>
                <w:rFonts w:ascii="Arial" w:cs="Arial" w:eastAsia="Arial" w:hAnsi="Arial"/>
                <w:sz w:val="14"/>
                <w:szCs w:val="14"/>
                <w:color w:val="auto"/>
                <w:w w:val="89"/>
              </w:rPr>
              <w:t>88​</w:t>
            </w:r>
          </w:p>
        </w:tc>
        <w:tc>
          <w:tcPr>
            <w:tcW w:w="24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w w:val="90"/>
              </w:rPr>
              <w:t>.5%</w:t>
            </w:r>
          </w:p>
        </w:tc>
      </w:tr>
    </w:tbl>
    <w:p>
      <w:pPr>
        <w:spacing w:after="0" w:line="198" w:lineRule="exact"/>
        <w:rPr>
          <w:sz w:val="20"/>
          <w:szCs w:val="20"/>
          <w:color w:val="auto"/>
        </w:rPr>
      </w:pPr>
    </w:p>
    <w:p>
      <w:pPr>
        <w:ind w:left="240" w:hanging="234"/>
        <w:spacing w:after="0"/>
        <w:tabs>
          <w:tab w:leader="none" w:pos="24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was not eligible for a bonus in 2023 other than his signing bonus disclosed in the Summary Compensation Table below.</w:t>
      </w:r>
    </w:p>
    <w:p>
      <w:pPr>
        <w:spacing w:after="0" w:line="66" w:lineRule="exact"/>
        <w:rPr>
          <w:rFonts w:ascii="Arial" w:cs="Arial" w:eastAsia="Arial" w:hAnsi="Arial"/>
          <w:sz w:val="13"/>
          <w:szCs w:val="13"/>
          <w:b w:val="1"/>
          <w:bCs w:val="1"/>
          <w:color w:val="auto"/>
        </w:rPr>
      </w:pPr>
    </w:p>
    <w:p>
      <w:pPr>
        <w:ind w:left="240" w:right="280" w:hanging="234"/>
        <w:spacing w:after="0" w:line="252" w:lineRule="auto"/>
        <w:tabs>
          <w:tab w:leader="none" w:pos="24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2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Going forward, we anticipate the Compensation Committee will design and adopt a similar cash bonus plan for our Named Executive Officers as part of its annual review of our executive compensation program.</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annual bonuses awarded to our Named Executive Officers for 2023 are set forth in the “Summary Compensation Table” below.</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Equity Incentive Compensation</w:t>
      </w:r>
    </w:p>
    <w:p>
      <w:pPr>
        <w:spacing w:after="0" w:line="16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encounter significant competition for qualified personnel, and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59664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12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equity awards granted to our Named Executive Officers in 2023 under the WM Technology, Inc. 2021 Equity Incentive Plan (the “2021 Equity Plan”),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960" w:type="dxa"/>
            <w:vAlign w:val="bottom"/>
            <w:shd w:val="clear" w:color="auto" w:fill="000000"/>
          </w:tcPr>
          <w:p>
            <w:pPr>
              <w:spacing w:after="0"/>
              <w:rPr>
                <w:sz w:val="24"/>
                <w:szCs w:val="24"/>
                <w:color w:val="auto"/>
              </w:rPr>
            </w:pPr>
          </w:p>
        </w:tc>
        <w:tc>
          <w:tcPr>
            <w:tcW w:w="2600" w:type="dxa"/>
            <w:vAlign w:val="bottom"/>
            <w:shd w:val="clear" w:color="auto" w:fill="000000"/>
          </w:tcPr>
          <w:p>
            <w:pPr>
              <w:spacing w:after="0"/>
              <w:rPr>
                <w:sz w:val="24"/>
                <w:szCs w:val="24"/>
                <w:color w:val="auto"/>
              </w:rPr>
            </w:pPr>
          </w:p>
        </w:tc>
        <w:tc>
          <w:tcPr>
            <w:tcW w:w="126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RSU Awards</w:t>
            </w:r>
          </w:p>
        </w:tc>
        <w:tc>
          <w:tcPr>
            <w:tcW w:w="14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PRSU Awards</w:t>
            </w:r>
          </w:p>
        </w:tc>
        <w:tc>
          <w:tcPr>
            <w:tcW w:w="11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PRSU Awards</w:t>
            </w:r>
          </w:p>
        </w:tc>
      </w:tr>
      <w:tr>
        <w:trPr>
          <w:trHeight w:val="162"/>
        </w:trPr>
        <w:tc>
          <w:tcPr>
            <w:tcW w:w="2960" w:type="dxa"/>
            <w:vAlign w:val="bottom"/>
            <w:shd w:val="clear" w:color="auto" w:fill="000000"/>
          </w:tcPr>
          <w:p>
            <w:pPr>
              <w:spacing w:after="0"/>
              <w:rPr>
                <w:sz w:val="14"/>
                <w:szCs w:val="14"/>
                <w:color w:val="auto"/>
              </w:rPr>
            </w:pPr>
          </w:p>
        </w:tc>
        <w:tc>
          <w:tcPr>
            <w:tcW w:w="26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RSU Awards</w:t>
            </w:r>
          </w:p>
        </w:tc>
        <w:tc>
          <w:tcPr>
            <w:tcW w:w="126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(grant date</w:t>
            </w:r>
          </w:p>
        </w:tc>
        <w:tc>
          <w:tcPr>
            <w:tcW w:w="14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(target number</w:t>
            </w:r>
          </w:p>
        </w:tc>
        <w:tc>
          <w:tcPr>
            <w:tcW w:w="11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(grant date</w:t>
            </w:r>
          </w:p>
        </w:tc>
      </w:tr>
      <w:tr>
        <w:trPr>
          <w:trHeight w:val="162"/>
        </w:trPr>
        <w:tc>
          <w:tcPr>
            <w:tcW w:w="2960" w:type="dxa"/>
            <w:vAlign w:val="bottom"/>
            <w:shd w:val="clear" w:color="auto" w:fill="000000"/>
          </w:tcPr>
          <w:p>
            <w:pPr>
              <w:spacing w:after="0"/>
              <w:rPr>
                <w:sz w:val="14"/>
                <w:szCs w:val="14"/>
                <w:color w:val="auto"/>
              </w:rPr>
            </w:pPr>
          </w:p>
        </w:tc>
        <w:tc>
          <w:tcPr>
            <w:tcW w:w="260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(number of units)</w:t>
            </w:r>
          </w:p>
        </w:tc>
        <w:tc>
          <w:tcPr>
            <w:tcW w:w="126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fair value)</w:t>
            </w:r>
          </w:p>
        </w:tc>
        <w:tc>
          <w:tcPr>
            <w:tcW w:w="140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of units)</w:t>
            </w:r>
          </w:p>
        </w:tc>
        <w:tc>
          <w:tcPr>
            <w:tcW w:w="11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fair value)</w:t>
            </w:r>
          </w:p>
        </w:tc>
      </w:tr>
      <w:tr>
        <w:trPr>
          <w:trHeight w:val="196"/>
        </w:trPr>
        <w:tc>
          <w:tcPr>
            <w:tcW w:w="29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260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r>
      <w:tr>
        <w:trPr>
          <w:trHeight w:val="110"/>
        </w:trPr>
        <w:tc>
          <w:tcPr>
            <w:tcW w:w="2960" w:type="dxa"/>
            <w:vAlign w:val="bottom"/>
            <w:shd w:val="clear" w:color="auto" w:fill="000000"/>
          </w:tcPr>
          <w:p>
            <w:pPr>
              <w:spacing w:after="0"/>
              <w:rPr>
                <w:sz w:val="9"/>
                <w:szCs w:val="9"/>
                <w:color w:val="auto"/>
              </w:rPr>
            </w:pPr>
          </w:p>
        </w:tc>
        <w:tc>
          <w:tcPr>
            <w:tcW w:w="2600" w:type="dxa"/>
            <w:vAlign w:val="bottom"/>
            <w:shd w:val="clear" w:color="auto" w:fill="000000"/>
          </w:tcPr>
          <w:p>
            <w:pPr>
              <w:spacing w:after="0"/>
              <w:rPr>
                <w:sz w:val="9"/>
                <w:szCs w:val="9"/>
                <w:color w:val="auto"/>
              </w:rPr>
            </w:pPr>
          </w:p>
        </w:tc>
        <w:tc>
          <w:tcPr>
            <w:tcW w:w="1260" w:type="dxa"/>
            <w:vAlign w:val="bottom"/>
            <w:shd w:val="clear" w:color="auto" w:fill="000000"/>
          </w:tcPr>
          <w:p>
            <w:pPr>
              <w:spacing w:after="0"/>
              <w:rPr>
                <w:sz w:val="9"/>
                <w:szCs w:val="9"/>
                <w:color w:val="auto"/>
              </w:rPr>
            </w:pPr>
          </w:p>
        </w:tc>
        <w:tc>
          <w:tcPr>
            <w:tcW w:w="1400" w:type="dxa"/>
            <w:vAlign w:val="bottom"/>
            <w:shd w:val="clear" w:color="auto" w:fill="000000"/>
          </w:tcPr>
          <w:p>
            <w:pPr>
              <w:spacing w:after="0"/>
              <w:rPr>
                <w:sz w:val="9"/>
                <w:szCs w:val="9"/>
                <w:color w:val="auto"/>
              </w:rPr>
            </w:pPr>
          </w:p>
        </w:tc>
        <w:tc>
          <w:tcPr>
            <w:tcW w:w="1180" w:type="dxa"/>
            <w:vAlign w:val="bottom"/>
            <w:shd w:val="clear" w:color="auto" w:fill="000000"/>
          </w:tcPr>
          <w:p>
            <w:pPr>
              <w:spacing w:after="0"/>
              <w:rPr>
                <w:sz w:val="9"/>
                <w:szCs w:val="9"/>
                <w:color w:val="auto"/>
              </w:rPr>
            </w:pPr>
          </w:p>
        </w:tc>
      </w:tr>
      <w:tr>
        <w:trPr>
          <w:trHeight w:val="322"/>
        </w:trPr>
        <w:tc>
          <w:tcPr>
            <w:tcW w:w="296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p>
        </w:tc>
        <w:tc>
          <w:tcPr>
            <w:tcW w:w="26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24"/>
        </w:trPr>
        <w:tc>
          <w:tcPr>
            <w:tcW w:w="2960" w:type="dxa"/>
            <w:vAlign w:val="bottom"/>
            <w:tcBorders>
              <w:bottom w:val="single" w:sz="8" w:color="999999"/>
            </w:tcBorders>
          </w:tcPr>
          <w:p>
            <w:pPr>
              <w:spacing w:after="0"/>
              <w:rPr>
                <w:sz w:val="10"/>
                <w:szCs w:val="10"/>
                <w:color w:val="auto"/>
              </w:rPr>
            </w:pPr>
          </w:p>
        </w:tc>
        <w:tc>
          <w:tcPr>
            <w:tcW w:w="260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1400" w:type="dxa"/>
            <w:vAlign w:val="bottom"/>
            <w:tcBorders>
              <w:bottom w:val="single" w:sz="8" w:color="999999"/>
            </w:tcBorders>
          </w:tcPr>
          <w:p>
            <w:pPr>
              <w:spacing w:after="0"/>
              <w:rPr>
                <w:sz w:val="10"/>
                <w:szCs w:val="10"/>
                <w:color w:val="auto"/>
              </w:rPr>
            </w:pPr>
          </w:p>
        </w:tc>
        <w:tc>
          <w:tcPr>
            <w:tcW w:w="1180" w:type="dxa"/>
            <w:vAlign w:val="bottom"/>
            <w:tcBorders>
              <w:bottom w:val="single" w:sz="8" w:color="999999"/>
            </w:tcBorders>
          </w:tcPr>
          <w:p>
            <w:pPr>
              <w:spacing w:after="0"/>
              <w:rPr>
                <w:sz w:val="10"/>
                <w:szCs w:val="10"/>
                <w:color w:val="auto"/>
              </w:rPr>
            </w:pPr>
          </w:p>
        </w:tc>
      </w:tr>
      <w:tr>
        <w:trPr>
          <w:trHeight w:val="329"/>
        </w:trPr>
        <w:tc>
          <w:tcPr>
            <w:tcW w:w="2960" w:type="dxa"/>
            <w:vAlign w:val="bottom"/>
          </w:tcPr>
          <w:p>
            <w:pPr>
              <w:ind w:left="80"/>
              <w:spacing w:after="0"/>
              <w:rPr>
                <w:sz w:val="20"/>
                <w:szCs w:val="20"/>
                <w:color w:val="auto"/>
              </w:rPr>
            </w:pPr>
            <w:r>
              <w:rPr>
                <w:rFonts w:ascii="Arial" w:cs="Arial" w:eastAsia="Arial" w:hAnsi="Arial"/>
                <w:sz w:val="14"/>
                <w:szCs w:val="14"/>
                <w:b w:val="1"/>
                <w:bCs w:val="1"/>
                <w:color w:val="40C0C0"/>
              </w:rPr>
              <w:t>Duncan Grazier</w:t>
            </w:r>
          </w:p>
        </w:tc>
        <w:tc>
          <w:tcPr>
            <w:tcW w:w="2600" w:type="dxa"/>
            <w:vAlign w:val="bottom"/>
          </w:tcPr>
          <w:p>
            <w:pPr>
              <w:jc w:val="right"/>
              <w:ind w:right="248"/>
              <w:spacing w:after="0"/>
              <w:rPr>
                <w:sz w:val="20"/>
                <w:szCs w:val="20"/>
                <w:color w:val="auto"/>
              </w:rPr>
            </w:pPr>
            <w:r>
              <w:rPr>
                <w:rFonts w:ascii="Arial" w:cs="Arial" w:eastAsia="Arial" w:hAnsi="Arial"/>
                <w:sz w:val="14"/>
                <w:szCs w:val="14"/>
                <w:color w:val="auto"/>
              </w:rPr>
              <w:t>692,968</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$914,718</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23"/>
        </w:trPr>
        <w:tc>
          <w:tcPr>
            <w:tcW w:w="2960" w:type="dxa"/>
            <w:vAlign w:val="bottom"/>
            <w:tcBorders>
              <w:bottom w:val="single" w:sz="8" w:color="999999"/>
            </w:tcBorders>
          </w:tcPr>
          <w:p>
            <w:pPr>
              <w:spacing w:after="0"/>
              <w:rPr>
                <w:sz w:val="10"/>
                <w:szCs w:val="10"/>
                <w:color w:val="auto"/>
              </w:rPr>
            </w:pPr>
          </w:p>
        </w:tc>
        <w:tc>
          <w:tcPr>
            <w:tcW w:w="260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1400" w:type="dxa"/>
            <w:vAlign w:val="bottom"/>
            <w:tcBorders>
              <w:bottom w:val="single" w:sz="8" w:color="999999"/>
            </w:tcBorders>
          </w:tcPr>
          <w:p>
            <w:pPr>
              <w:spacing w:after="0"/>
              <w:rPr>
                <w:sz w:val="10"/>
                <w:szCs w:val="10"/>
                <w:color w:val="auto"/>
              </w:rPr>
            </w:pPr>
          </w:p>
        </w:tc>
        <w:tc>
          <w:tcPr>
            <w:tcW w:w="1180" w:type="dxa"/>
            <w:vAlign w:val="bottom"/>
            <w:tcBorders>
              <w:bottom w:val="single" w:sz="8" w:color="999999"/>
            </w:tcBorders>
          </w:tcPr>
          <w:p>
            <w:pPr>
              <w:spacing w:after="0"/>
              <w:rPr>
                <w:sz w:val="10"/>
                <w:szCs w:val="10"/>
                <w:color w:val="auto"/>
              </w:rPr>
            </w:pPr>
          </w:p>
        </w:tc>
      </w:tr>
      <w:tr>
        <w:trPr>
          <w:trHeight w:val="329"/>
        </w:trPr>
        <w:tc>
          <w:tcPr>
            <w:tcW w:w="2960" w:type="dxa"/>
            <w:vAlign w:val="bottom"/>
          </w:tcPr>
          <w:p>
            <w:pPr>
              <w:ind w:left="80"/>
              <w:spacing w:after="0"/>
              <w:rPr>
                <w:sz w:val="20"/>
                <w:szCs w:val="20"/>
                <w:color w:val="auto"/>
              </w:rPr>
            </w:pPr>
            <w:r>
              <w:rPr>
                <w:rFonts w:ascii="Arial" w:cs="Arial" w:eastAsia="Arial" w:hAnsi="Arial"/>
                <w:sz w:val="14"/>
                <w:szCs w:val="14"/>
                <w:b w:val="1"/>
                <w:bCs w:val="1"/>
                <w:color w:val="40C0C0"/>
              </w:rPr>
              <w:t>Brian Camire</w:t>
            </w:r>
          </w:p>
        </w:tc>
        <w:tc>
          <w:tcPr>
            <w:tcW w:w="2600" w:type="dxa"/>
            <w:vAlign w:val="bottom"/>
          </w:tcPr>
          <w:p>
            <w:pPr>
              <w:jc w:val="right"/>
              <w:ind w:right="248"/>
              <w:spacing w:after="0"/>
              <w:rPr>
                <w:sz w:val="20"/>
                <w:szCs w:val="20"/>
                <w:color w:val="auto"/>
              </w:rPr>
            </w:pPr>
            <w:r>
              <w:rPr>
                <w:rFonts w:ascii="Arial" w:cs="Arial" w:eastAsia="Arial" w:hAnsi="Arial"/>
                <w:sz w:val="14"/>
                <w:szCs w:val="14"/>
                <w:color w:val="auto"/>
              </w:rPr>
              <w:t>655,468</w:t>
            </w: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$865,218</w:t>
            </w:r>
          </w:p>
        </w:tc>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10"/>
        </w:trPr>
        <w:tc>
          <w:tcPr>
            <w:tcW w:w="2960" w:type="dxa"/>
            <w:vAlign w:val="bottom"/>
            <w:tcBorders>
              <w:bottom w:val="single" w:sz="8" w:color="999999"/>
            </w:tcBorders>
          </w:tcPr>
          <w:p>
            <w:pPr>
              <w:spacing w:after="0"/>
              <w:rPr>
                <w:sz w:val="9"/>
                <w:szCs w:val="9"/>
                <w:color w:val="auto"/>
              </w:rPr>
            </w:pPr>
          </w:p>
        </w:tc>
        <w:tc>
          <w:tcPr>
            <w:tcW w:w="2600" w:type="dxa"/>
            <w:vAlign w:val="bottom"/>
            <w:tcBorders>
              <w:bottom w:val="single" w:sz="8" w:color="999999"/>
            </w:tcBorders>
          </w:tcPr>
          <w:p>
            <w:pPr>
              <w:spacing w:after="0"/>
              <w:rPr>
                <w:sz w:val="9"/>
                <w:szCs w:val="9"/>
                <w:color w:val="auto"/>
              </w:rPr>
            </w:pPr>
          </w:p>
        </w:tc>
        <w:tc>
          <w:tcPr>
            <w:tcW w:w="1260" w:type="dxa"/>
            <w:vAlign w:val="bottom"/>
            <w:tcBorders>
              <w:bottom w:val="single" w:sz="8" w:color="999999"/>
            </w:tcBorders>
          </w:tcPr>
          <w:p>
            <w:pPr>
              <w:spacing w:after="0"/>
              <w:rPr>
                <w:sz w:val="9"/>
                <w:szCs w:val="9"/>
                <w:color w:val="auto"/>
              </w:rPr>
            </w:pPr>
          </w:p>
        </w:tc>
        <w:tc>
          <w:tcPr>
            <w:tcW w:w="1400" w:type="dxa"/>
            <w:vAlign w:val="bottom"/>
            <w:tcBorders>
              <w:bottom w:val="single" w:sz="8" w:color="999999"/>
            </w:tcBorders>
          </w:tcPr>
          <w:p>
            <w:pPr>
              <w:spacing w:after="0"/>
              <w:rPr>
                <w:sz w:val="9"/>
                <w:szCs w:val="9"/>
                <w:color w:val="auto"/>
              </w:rPr>
            </w:pPr>
          </w:p>
        </w:tc>
        <w:tc>
          <w:tcPr>
            <w:tcW w:w="1180" w:type="dxa"/>
            <w:vAlign w:val="bottom"/>
            <w:tcBorders>
              <w:bottom w:val="single" w:sz="8" w:color="999999"/>
            </w:tcBorders>
          </w:tcPr>
          <w:p>
            <w:pPr>
              <w:spacing w:after="0"/>
              <w:rPr>
                <w:sz w:val="9"/>
                <w:szCs w:val="9"/>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RSU Awards</w:t>
      </w:r>
    </w:p>
    <w:p>
      <w:pPr>
        <w:spacing w:after="0" w:line="162"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titled ‘‘Director Compensation”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9664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PRSU Awards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12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number of PRSUs that vested was determined by our Compensation Committee on Thursday, May 23, 2024. Each eligible recipient must remain employed by us through the determination date for the PRSU award to vest.</w:t>
      </w:r>
    </w:p>
    <w:p>
      <w:pPr>
        <w:spacing w:after="0" w:line="10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124"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The equity awards vested to our Named Executive Officers during the performance period are set forth in the “Summary Compensation Table” below.</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and Welfare Benefits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Section 401(k) Plan</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37</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first 1% of such participant’s eligible compensation plus 50% of each participant’s elective deferrals of the next 2% to 6% of such participant’s eligible compensation, up to a maximum matching contribution of 3.5% of eligible compensation. The</w:t>
      </w:r>
    </w:p>
    <w:p>
      <w:pPr>
        <w:spacing w:after="0" w:line="1"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Section 401(k) Plan is intended to be qualified under Section 401(a) of the Code with the Section 401(k) Plan’s related trust intended to be tax exempt under Section 501(a) of the Code.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Perquisites and Other Personal Benefits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319"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Equity Award Grant Policy</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38</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Summary Compensation Table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2023, our Named Executive Officers were:</w:t>
      </w:r>
    </w:p>
    <w:p>
      <w:pPr>
        <w:spacing w:after="0" w:line="73" w:lineRule="exact"/>
        <w:rPr>
          <w:sz w:val="20"/>
          <w:szCs w:val="20"/>
          <w:color w:val="auto"/>
        </w:rPr>
      </w:pPr>
    </w:p>
    <w:p>
      <w:pPr>
        <w:ind w:left="600" w:hanging="28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Douglas Francis, our principal executive officer and Executive Chair;</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Brian Camire, our General Counsel and Secretary.</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Duncan Grazier, our Chief Technology Officer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1560" w:type="dxa"/>
            <w:vAlign w:val="bottom"/>
            <w:shd w:val="clear" w:color="auto" w:fill="000000"/>
          </w:tcPr>
          <w:p>
            <w:pPr>
              <w:spacing w:after="0"/>
              <w:rPr>
                <w:sz w:val="24"/>
                <w:szCs w:val="24"/>
                <w:color w:val="auto"/>
              </w:rPr>
            </w:pPr>
          </w:p>
        </w:tc>
        <w:tc>
          <w:tcPr>
            <w:tcW w:w="52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12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Change in</w:t>
            </w:r>
          </w:p>
        </w:tc>
        <w:tc>
          <w:tcPr>
            <w:tcW w:w="1200" w:type="dxa"/>
            <w:vAlign w:val="bottom"/>
            <w:shd w:val="clear" w:color="auto" w:fill="000000"/>
          </w:tcPr>
          <w:p>
            <w:pPr>
              <w:spacing w:after="0"/>
              <w:rPr>
                <w:sz w:val="24"/>
                <w:szCs w:val="24"/>
                <w:color w:val="auto"/>
              </w:rPr>
            </w:pPr>
          </w:p>
        </w:tc>
        <w:tc>
          <w:tcPr>
            <w:tcW w:w="7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2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pension</w:t>
            </w:r>
          </w:p>
        </w:tc>
        <w:tc>
          <w:tcPr>
            <w:tcW w:w="120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1200" w:type="dxa"/>
            <w:vAlign w:val="bottom"/>
            <w:vMerge w:val="restart"/>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value and</w:t>
            </w:r>
          </w:p>
        </w:tc>
        <w:tc>
          <w:tcPr>
            <w:tcW w:w="120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6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c>
          <w:tcPr>
            <w:tcW w:w="1200" w:type="dxa"/>
            <w:vAlign w:val="bottom"/>
            <w:vMerge w:val="continue"/>
            <w:shd w:val="clear" w:color="auto" w:fill="000000"/>
          </w:tcPr>
          <w:p>
            <w:pPr>
              <w:spacing w:after="0"/>
              <w:rPr>
                <w:sz w:val="12"/>
                <w:szCs w:val="12"/>
                <w:color w:val="auto"/>
              </w:rPr>
            </w:pPr>
          </w:p>
        </w:tc>
        <w:tc>
          <w:tcPr>
            <w:tcW w:w="1200" w:type="dxa"/>
            <w:vAlign w:val="bottom"/>
            <w:shd w:val="clear" w:color="auto" w:fill="000000"/>
          </w:tcPr>
          <w:p>
            <w:pPr>
              <w:jc w:val="right"/>
              <w:ind w:right="68"/>
              <w:spacing w:after="0" w:line="145" w:lineRule="exact"/>
              <w:rPr>
                <w:sz w:val="20"/>
                <w:szCs w:val="20"/>
                <w:color w:val="auto"/>
              </w:rPr>
            </w:pPr>
            <w:r>
              <w:rPr>
                <w:rFonts w:ascii="Arial" w:cs="Arial" w:eastAsia="Arial" w:hAnsi="Arial"/>
                <w:sz w:val="14"/>
                <w:szCs w:val="14"/>
                <w:b w:val="1"/>
                <w:bCs w:val="1"/>
                <w:color w:val="FFFFFF"/>
              </w:rPr>
              <w:t>nonqualified</w:t>
            </w:r>
          </w:p>
        </w:tc>
        <w:tc>
          <w:tcPr>
            <w:tcW w:w="120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1200" w:type="dxa"/>
            <w:vAlign w:val="bottom"/>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incentive</w:t>
            </w:r>
          </w:p>
        </w:tc>
        <w:tc>
          <w:tcPr>
            <w:tcW w:w="12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deferred</w:t>
            </w:r>
          </w:p>
        </w:tc>
        <w:tc>
          <w:tcPr>
            <w:tcW w:w="120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740" w:type="dxa"/>
            <w:vAlign w:val="bottom"/>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Stock</w:t>
            </w:r>
          </w:p>
        </w:tc>
        <w:tc>
          <w:tcPr>
            <w:tcW w:w="72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Option</w:t>
            </w:r>
          </w:p>
        </w:tc>
        <w:tc>
          <w:tcPr>
            <w:tcW w:w="1200" w:type="dxa"/>
            <w:vAlign w:val="bottom"/>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plan</w:t>
            </w:r>
          </w:p>
        </w:tc>
        <w:tc>
          <w:tcPr>
            <w:tcW w:w="12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0000"/>
          </w:tcPr>
          <w:p>
            <w:pPr>
              <w:ind w:left="480"/>
              <w:spacing w:after="0"/>
              <w:rPr>
                <w:sz w:val="20"/>
                <w:szCs w:val="20"/>
                <w:color w:val="auto"/>
              </w:rPr>
            </w:pPr>
            <w:r>
              <w:rPr>
                <w:rFonts w:ascii="Arial" w:cs="Arial" w:eastAsia="Arial" w:hAnsi="Arial"/>
                <w:sz w:val="14"/>
                <w:szCs w:val="14"/>
                <w:b w:val="1"/>
                <w:bCs w:val="1"/>
                <w:color w:val="FFFFFF"/>
              </w:rPr>
              <w:t>All other</w:t>
            </w:r>
          </w:p>
        </w:tc>
        <w:tc>
          <w:tcPr>
            <w:tcW w:w="7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 and Principal</w:t>
            </w:r>
          </w:p>
        </w:tc>
        <w:tc>
          <w:tcPr>
            <w:tcW w:w="520" w:type="dxa"/>
            <w:vAlign w:val="bottom"/>
            <w:shd w:val="clear" w:color="auto" w:fill="000000"/>
          </w:tcPr>
          <w:p>
            <w:pPr>
              <w:spacing w:after="0"/>
              <w:rPr>
                <w:sz w:val="14"/>
                <w:szCs w:val="14"/>
                <w:color w:val="auto"/>
              </w:rPr>
            </w:pPr>
          </w:p>
        </w:tc>
        <w:tc>
          <w:tcPr>
            <w:tcW w:w="740" w:type="dxa"/>
            <w:vAlign w:val="bottom"/>
            <w:shd w:val="clear" w:color="auto" w:fill="000000"/>
          </w:tcPr>
          <w:p>
            <w:pPr>
              <w:jc w:val="right"/>
              <w:ind w:right="88"/>
              <w:spacing w:after="0"/>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000000"/>
          </w:tcPr>
          <w:p>
            <w:pPr>
              <w:jc w:val="right"/>
              <w:ind w:right="90"/>
              <w:spacing w:after="0"/>
              <w:rPr>
                <w:sz w:val="20"/>
                <w:szCs w:val="20"/>
                <w:color w:val="auto"/>
              </w:rPr>
            </w:pPr>
            <w:r>
              <w:rPr>
                <w:rFonts w:ascii="Arial" w:cs="Arial" w:eastAsia="Arial" w:hAnsi="Arial"/>
                <w:sz w:val="14"/>
                <w:szCs w:val="14"/>
                <w:b w:val="1"/>
                <w:bCs w:val="1"/>
                <w:color w:val="FFFFFF"/>
              </w:rPr>
              <w:t>Bonus</w:t>
            </w:r>
          </w:p>
        </w:tc>
        <w:tc>
          <w:tcPr>
            <w:tcW w:w="740" w:type="dxa"/>
            <w:vAlign w:val="bottom"/>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awards</w:t>
            </w:r>
          </w:p>
        </w:tc>
        <w:tc>
          <w:tcPr>
            <w:tcW w:w="72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00000"/>
          </w:tcPr>
          <w:p>
            <w:pPr>
              <w:jc w:val="right"/>
              <w:ind w:right="30"/>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000000"/>
          </w:tcPr>
          <w:p>
            <w:pPr>
              <w:jc w:val="right"/>
              <w:ind w:right="68"/>
              <w:spacing w:after="0"/>
              <w:rPr>
                <w:sz w:val="20"/>
                <w:szCs w:val="20"/>
                <w:color w:val="auto"/>
              </w:rPr>
            </w:pPr>
            <w:r>
              <w:rPr>
                <w:rFonts w:ascii="Arial" w:cs="Arial" w:eastAsia="Arial" w:hAnsi="Arial"/>
                <w:sz w:val="14"/>
                <w:szCs w:val="14"/>
                <w:b w:val="1"/>
                <w:bCs w:val="1"/>
                <w:color w:val="FFFFFF"/>
              </w:rPr>
              <w:t>earnings</w:t>
            </w:r>
          </w:p>
        </w:tc>
        <w:tc>
          <w:tcPr>
            <w:tcW w:w="1200" w:type="dxa"/>
            <w:vAlign w:val="bottom"/>
            <w:shd w:val="clear" w:color="auto" w:fill="000000"/>
          </w:tcPr>
          <w:p>
            <w:pPr>
              <w:jc w:val="right"/>
              <w:ind w:right="29"/>
              <w:spacing w:after="0"/>
              <w:rPr>
                <w:sz w:val="20"/>
                <w:szCs w:val="20"/>
                <w:color w:val="auto"/>
              </w:rPr>
            </w:pPr>
            <w:r>
              <w:rPr>
                <w:rFonts w:ascii="Arial" w:cs="Arial" w:eastAsia="Arial" w:hAnsi="Arial"/>
                <w:sz w:val="14"/>
                <w:szCs w:val="14"/>
                <w:b w:val="1"/>
                <w:bCs w:val="1"/>
                <w:color w:val="FFFFFF"/>
              </w:rPr>
              <w:t>compensation</w:t>
            </w:r>
          </w:p>
        </w:tc>
        <w:tc>
          <w:tcPr>
            <w:tcW w:w="7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324"/>
        </w:trPr>
        <w:tc>
          <w:tcPr>
            <w:tcW w:w="15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Position</w:t>
            </w:r>
            <w:r>
              <w:rPr>
                <w:rFonts w:ascii="Arial" w:cs="Arial" w:eastAsia="Arial" w:hAnsi="Arial"/>
                <w:sz w:val="23"/>
                <w:szCs w:val="23"/>
                <w:b w:val="1"/>
                <w:bCs w:val="1"/>
                <w:color w:val="FFFFFF"/>
                <w:vertAlign w:val="superscript"/>
              </w:rPr>
              <w:t>(1)</w:t>
            </w:r>
          </w:p>
        </w:tc>
        <w:tc>
          <w:tcPr>
            <w:tcW w:w="52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Year</w:t>
            </w:r>
          </w:p>
        </w:tc>
        <w:tc>
          <w:tcPr>
            <w:tcW w:w="740" w:type="dxa"/>
            <w:vAlign w:val="bottom"/>
            <w:shd w:val="clear" w:color="auto" w:fill="000000"/>
          </w:tcPr>
          <w:p>
            <w:pPr>
              <w:jc w:val="right"/>
              <w:ind w:right="48"/>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0000"/>
          </w:tcPr>
          <w:p>
            <w:pPr>
              <w:jc w:val="right"/>
              <w:ind w:right="5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(2)</w:t>
            </w:r>
          </w:p>
        </w:tc>
        <w:tc>
          <w:tcPr>
            <w:tcW w:w="740" w:type="dxa"/>
            <w:vAlign w:val="bottom"/>
            <w:shd w:val="clear" w:color="auto" w:fill="000000"/>
          </w:tcPr>
          <w:p>
            <w:pPr>
              <w:jc w:val="right"/>
              <w:ind w:right="3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(3)</w:t>
            </w:r>
          </w:p>
        </w:tc>
        <w:tc>
          <w:tcPr>
            <w:tcW w:w="72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0000"/>
          </w:tcPr>
          <w:p>
            <w:pPr>
              <w:jc w:val="right"/>
              <w:ind w:right="3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(4)</w:t>
            </w:r>
          </w:p>
        </w:tc>
        <w:tc>
          <w:tcPr>
            <w:tcW w:w="12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0000"/>
          </w:tcPr>
          <w:p>
            <w:pPr>
              <w:jc w:val="right"/>
              <w:ind w:right="29"/>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(5)</w:t>
            </w:r>
          </w:p>
        </w:tc>
        <w:tc>
          <w:tcPr>
            <w:tcW w:w="7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16"/>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Douglas Francis,</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388,384</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700,000</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0</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Arial" w:cs="Arial" w:eastAsia="Arial" w:hAnsi="Arial"/>
                <w:sz w:val="14"/>
                <w:szCs w:val="14"/>
                <w:color w:val="auto"/>
              </w:rPr>
              <w:t>73,661</w:t>
            </w:r>
          </w:p>
        </w:tc>
        <w:tc>
          <w:tcPr>
            <w:tcW w:w="760" w:type="dxa"/>
            <w:vAlign w:val="bottom"/>
          </w:tcPr>
          <w:p>
            <w:pPr>
              <w:jc w:val="right"/>
              <w:spacing w:after="0"/>
              <w:rPr>
                <w:sz w:val="20"/>
                <w:szCs w:val="20"/>
                <w:color w:val="auto"/>
              </w:rPr>
            </w:pPr>
            <w:r>
              <w:rPr>
                <w:rFonts w:ascii="Arial" w:cs="Arial" w:eastAsia="Arial" w:hAnsi="Arial"/>
                <w:sz w:val="14"/>
                <w:szCs w:val="14"/>
                <w:color w:val="auto"/>
              </w:rPr>
              <w:t>1,162,045</w:t>
            </w:r>
          </w:p>
        </w:tc>
        <w:tc>
          <w:tcPr>
            <w:tcW w:w="0" w:type="dxa"/>
            <w:vAlign w:val="bottom"/>
          </w:tcPr>
          <w:p>
            <w:pPr>
              <w:spacing w:after="0"/>
              <w:rPr>
                <w:sz w:val="1"/>
                <w:szCs w:val="1"/>
                <w:color w:val="auto"/>
              </w:rPr>
            </w:pPr>
          </w:p>
        </w:tc>
      </w:tr>
      <w:tr>
        <w:trPr>
          <w:trHeight w:val="129"/>
        </w:trPr>
        <w:tc>
          <w:tcPr>
            <w:tcW w:w="1560" w:type="dxa"/>
            <w:vAlign w:val="bottom"/>
            <w:vMerge w:val="continue"/>
          </w:tcPr>
          <w:p>
            <w:pPr>
              <w:spacing w:after="0"/>
              <w:rPr>
                <w:sz w:val="11"/>
                <w:szCs w:val="11"/>
                <w:color w:val="auto"/>
              </w:rPr>
            </w:pPr>
          </w:p>
        </w:tc>
        <w:tc>
          <w:tcPr>
            <w:tcW w:w="520" w:type="dxa"/>
            <w:vAlign w:val="bottom"/>
            <w:tcBorders>
              <w:bottom w:val="single" w:sz="8" w:color="999999"/>
            </w:tcBorders>
          </w:tcPr>
          <w:p>
            <w:pPr>
              <w:spacing w:after="0"/>
              <w:rPr>
                <w:sz w:val="11"/>
                <w:szCs w:val="11"/>
                <w:color w:val="auto"/>
              </w:rPr>
            </w:pPr>
          </w:p>
        </w:tc>
        <w:tc>
          <w:tcPr>
            <w:tcW w:w="740" w:type="dxa"/>
            <w:vAlign w:val="bottom"/>
            <w:tcBorders>
              <w:bottom w:val="single" w:sz="8" w:color="999999"/>
            </w:tcBorders>
          </w:tcPr>
          <w:p>
            <w:pPr>
              <w:spacing w:after="0"/>
              <w:rPr>
                <w:sz w:val="11"/>
                <w:szCs w:val="11"/>
                <w:color w:val="auto"/>
              </w:rPr>
            </w:pPr>
          </w:p>
        </w:tc>
        <w:tc>
          <w:tcPr>
            <w:tcW w:w="760" w:type="dxa"/>
            <w:vAlign w:val="bottom"/>
            <w:tcBorders>
              <w:bottom w:val="single" w:sz="8" w:color="999999"/>
            </w:tcBorders>
          </w:tcPr>
          <w:p>
            <w:pPr>
              <w:spacing w:after="0"/>
              <w:rPr>
                <w:sz w:val="11"/>
                <w:szCs w:val="11"/>
                <w:color w:val="auto"/>
              </w:rPr>
            </w:pPr>
          </w:p>
        </w:tc>
        <w:tc>
          <w:tcPr>
            <w:tcW w:w="740" w:type="dxa"/>
            <w:vAlign w:val="bottom"/>
            <w:tcBorders>
              <w:bottom w:val="single" w:sz="8" w:color="999999"/>
            </w:tcBorders>
          </w:tcPr>
          <w:p>
            <w:pPr>
              <w:spacing w:after="0"/>
              <w:rPr>
                <w:sz w:val="11"/>
                <w:szCs w:val="11"/>
                <w:color w:val="auto"/>
              </w:rPr>
            </w:pPr>
          </w:p>
        </w:tc>
        <w:tc>
          <w:tcPr>
            <w:tcW w:w="720" w:type="dxa"/>
            <w:vAlign w:val="bottom"/>
            <w:tcBorders>
              <w:bottom w:val="single" w:sz="8" w:color="999999"/>
            </w:tcBorders>
          </w:tcPr>
          <w:p>
            <w:pPr>
              <w:spacing w:after="0"/>
              <w:rPr>
                <w:sz w:val="11"/>
                <w:szCs w:val="11"/>
                <w:color w:val="auto"/>
              </w:rPr>
            </w:pPr>
          </w:p>
        </w:tc>
        <w:tc>
          <w:tcPr>
            <w:tcW w:w="1200" w:type="dxa"/>
            <w:vAlign w:val="bottom"/>
            <w:tcBorders>
              <w:bottom w:val="single" w:sz="8" w:color="999999"/>
            </w:tcBorders>
          </w:tcPr>
          <w:p>
            <w:pPr>
              <w:spacing w:after="0"/>
              <w:rPr>
                <w:sz w:val="11"/>
                <w:szCs w:val="11"/>
                <w:color w:val="auto"/>
              </w:rPr>
            </w:pPr>
          </w:p>
        </w:tc>
        <w:tc>
          <w:tcPr>
            <w:tcW w:w="1200" w:type="dxa"/>
            <w:vAlign w:val="bottom"/>
            <w:tcBorders>
              <w:bottom w:val="single" w:sz="8" w:color="999999"/>
            </w:tcBorders>
          </w:tcPr>
          <w:p>
            <w:pPr>
              <w:spacing w:after="0"/>
              <w:rPr>
                <w:sz w:val="11"/>
                <w:szCs w:val="11"/>
                <w:color w:val="auto"/>
              </w:rPr>
            </w:pPr>
          </w:p>
        </w:tc>
        <w:tc>
          <w:tcPr>
            <w:tcW w:w="1200" w:type="dxa"/>
            <w:vAlign w:val="bottom"/>
            <w:tcBorders>
              <w:bottom w:val="single" w:sz="8" w:color="999999"/>
            </w:tcBorders>
          </w:tcPr>
          <w:p>
            <w:pPr>
              <w:spacing w:after="0"/>
              <w:rPr>
                <w:sz w:val="11"/>
                <w:szCs w:val="11"/>
                <w:color w:val="auto"/>
              </w:rPr>
            </w:pPr>
          </w:p>
        </w:tc>
        <w:tc>
          <w:tcPr>
            <w:tcW w:w="76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Executive Chair</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2022</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0</w:t>
            </w:r>
          </w:p>
        </w:tc>
        <w:tc>
          <w:tcPr>
            <w:tcW w:w="760" w:type="dxa"/>
            <w:vAlign w:val="bottom"/>
            <w:vMerge w:val="restart"/>
          </w:tcPr>
          <w:p>
            <w:pPr>
              <w:jc w:val="right"/>
              <w:ind w:right="70"/>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193,357</w:t>
            </w: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vMerge w:val="restart"/>
          </w:tcPr>
          <w:p>
            <w:pPr>
              <w:ind w:left="560"/>
              <w:spacing w:after="0"/>
              <w:rPr>
                <w:sz w:val="20"/>
                <w:szCs w:val="20"/>
                <w:color w:val="auto"/>
              </w:rPr>
            </w:pPr>
            <w:r>
              <w:rPr>
                <w:rFonts w:ascii="Arial" w:cs="Arial" w:eastAsia="Arial" w:hAnsi="Arial"/>
                <w:sz w:val="14"/>
                <w:szCs w:val="14"/>
                <w:color w:val="auto"/>
              </w:rPr>
              <w:t>69,701</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263,058</w:t>
            </w:r>
          </w:p>
        </w:tc>
        <w:tc>
          <w:tcPr>
            <w:tcW w:w="0" w:type="dxa"/>
            <w:vAlign w:val="bottom"/>
          </w:tcPr>
          <w:p>
            <w:pPr>
              <w:spacing w:after="0"/>
              <w:rPr>
                <w:sz w:val="1"/>
                <w:szCs w:val="1"/>
                <w:color w:val="auto"/>
              </w:rPr>
            </w:pPr>
          </w:p>
        </w:tc>
      </w:tr>
      <w:tr>
        <w:trPr>
          <w:trHeight w:val="147"/>
        </w:trPr>
        <w:tc>
          <w:tcPr>
            <w:tcW w:w="15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Brian Camire,</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410,000</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45,100</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865,218</w:t>
            </w:r>
          </w:p>
        </w:tc>
        <w:tc>
          <w:tcPr>
            <w:tcW w:w="72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136,325</w:t>
            </w:r>
          </w:p>
        </w:tc>
        <w:tc>
          <w:tcPr>
            <w:tcW w:w="120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Arial" w:cs="Arial" w:eastAsia="Arial" w:hAnsi="Arial"/>
                <w:sz w:val="14"/>
                <w:szCs w:val="14"/>
                <w:color w:val="auto"/>
              </w:rPr>
              <w:t>12,111</w:t>
            </w:r>
          </w:p>
        </w:tc>
        <w:tc>
          <w:tcPr>
            <w:tcW w:w="760" w:type="dxa"/>
            <w:vAlign w:val="bottom"/>
          </w:tcPr>
          <w:p>
            <w:pPr>
              <w:jc w:val="right"/>
              <w:spacing w:after="0"/>
              <w:rPr>
                <w:sz w:val="20"/>
                <w:szCs w:val="20"/>
                <w:color w:val="auto"/>
              </w:rPr>
            </w:pPr>
            <w:r>
              <w:rPr>
                <w:rFonts w:ascii="Arial" w:cs="Arial" w:eastAsia="Arial" w:hAnsi="Arial"/>
                <w:sz w:val="14"/>
                <w:szCs w:val="14"/>
                <w:color w:val="auto"/>
              </w:rPr>
              <w:t>1,468,754</w:t>
            </w:r>
          </w:p>
        </w:tc>
        <w:tc>
          <w:tcPr>
            <w:tcW w:w="0" w:type="dxa"/>
            <w:vAlign w:val="bottom"/>
          </w:tcPr>
          <w:p>
            <w:pPr>
              <w:spacing w:after="0"/>
              <w:rPr>
                <w:sz w:val="1"/>
                <w:szCs w:val="1"/>
                <w:color w:val="auto"/>
              </w:rPr>
            </w:pPr>
          </w:p>
        </w:tc>
      </w:tr>
      <w:tr>
        <w:trPr>
          <w:trHeight w:val="39"/>
        </w:trPr>
        <w:tc>
          <w:tcPr>
            <w:tcW w:w="15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General Counsel</w:t>
            </w:r>
          </w:p>
        </w:tc>
        <w:tc>
          <w:tcPr>
            <w:tcW w:w="5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and Secretary</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2022</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410,000</w:t>
            </w:r>
          </w:p>
        </w:tc>
        <w:tc>
          <w:tcPr>
            <w:tcW w:w="760" w:type="dxa"/>
            <w:vAlign w:val="bottom"/>
            <w:vMerge w:val="restart"/>
          </w:tcPr>
          <w:p>
            <w:pPr>
              <w:jc w:val="right"/>
              <w:ind w:right="70"/>
              <w:spacing w:after="0"/>
              <w:rPr>
                <w:sz w:val="20"/>
                <w:szCs w:val="20"/>
                <w:color w:val="auto"/>
              </w:rPr>
            </w:pPr>
            <w:r>
              <w:rPr>
                <w:rFonts w:ascii="Arial" w:cs="Arial" w:eastAsia="Arial" w:hAnsi="Arial"/>
                <w:sz w:val="14"/>
                <w:szCs w:val="14"/>
                <w:color w:val="auto"/>
              </w:rPr>
              <w:t>0</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vMerge w:val="restart"/>
          </w:tcPr>
          <w:p>
            <w:pPr>
              <w:jc w:val="right"/>
              <w:ind w:right="150"/>
              <w:spacing w:after="0"/>
              <w:rPr>
                <w:sz w:val="20"/>
                <w:szCs w:val="20"/>
                <w:color w:val="auto"/>
              </w:rPr>
            </w:pPr>
            <w:r>
              <w:rPr>
                <w:rFonts w:ascii="Arial" w:cs="Arial" w:eastAsia="Arial" w:hAnsi="Arial"/>
                <w:sz w:val="14"/>
                <w:szCs w:val="14"/>
                <w:color w:val="auto"/>
              </w:rPr>
              <w:t>11,531</w:t>
            </w: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color w:val="auto"/>
              </w:rPr>
              <w:t>0</w:t>
            </w:r>
          </w:p>
        </w:tc>
        <w:tc>
          <w:tcPr>
            <w:tcW w:w="1200" w:type="dxa"/>
            <w:vAlign w:val="bottom"/>
            <w:vMerge w:val="restart"/>
          </w:tcPr>
          <w:p>
            <w:pPr>
              <w:ind w:left="560"/>
              <w:spacing w:after="0"/>
              <w:rPr>
                <w:sz w:val="20"/>
                <w:szCs w:val="20"/>
                <w:color w:val="auto"/>
              </w:rPr>
            </w:pPr>
            <w:r>
              <w:rPr>
                <w:rFonts w:ascii="Arial" w:cs="Arial" w:eastAsia="Arial" w:hAnsi="Arial"/>
                <w:sz w:val="14"/>
                <w:szCs w:val="14"/>
                <w:color w:val="auto"/>
              </w:rPr>
              <w:t>13,384</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434,915</w:t>
            </w:r>
          </w:p>
        </w:tc>
        <w:tc>
          <w:tcPr>
            <w:tcW w:w="0" w:type="dxa"/>
            <w:vAlign w:val="bottom"/>
          </w:tcPr>
          <w:p>
            <w:pPr>
              <w:spacing w:after="0"/>
              <w:rPr>
                <w:sz w:val="1"/>
                <w:szCs w:val="1"/>
                <w:color w:val="auto"/>
              </w:rPr>
            </w:pPr>
          </w:p>
        </w:tc>
      </w:tr>
      <w:tr>
        <w:trPr>
          <w:trHeight w:val="75"/>
        </w:trPr>
        <w:tc>
          <w:tcPr>
            <w:tcW w:w="1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5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Duncan Grazier,</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391,779</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246,750​</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914,718</w:t>
            </w:r>
          </w:p>
        </w:tc>
        <w:tc>
          <w:tcPr>
            <w:tcW w:w="720" w:type="dxa"/>
            <w:vAlign w:val="bottom"/>
          </w:tcPr>
          <w:p>
            <w:pPr>
              <w:spacing w:after="0"/>
              <w:rPr>
                <w:sz w:val="24"/>
                <w:szCs w:val="24"/>
                <w:color w:val="auto"/>
              </w:rPr>
            </w:pPr>
          </w:p>
        </w:tc>
        <w:tc>
          <w:tcPr>
            <w:tcW w:w="1200" w:type="dxa"/>
            <w:vAlign w:val="bottom"/>
          </w:tcPr>
          <w:p>
            <w:pPr>
              <w:jc w:val="right"/>
              <w:ind w:right="130"/>
              <w:spacing w:after="0"/>
              <w:rPr>
                <w:sz w:val="20"/>
                <w:szCs w:val="20"/>
                <w:color w:val="auto"/>
              </w:rPr>
            </w:pPr>
            <w:r>
              <w:rPr>
                <w:rFonts w:ascii="Arial" w:cs="Arial" w:eastAsia="Arial" w:hAnsi="Arial"/>
                <w:sz w:val="14"/>
                <w:szCs w:val="14"/>
                <w:color w:val="auto"/>
              </w:rPr>
              <w:t>141,312</w:t>
            </w:r>
          </w:p>
        </w:tc>
        <w:tc>
          <w:tcPr>
            <w:tcW w:w="1200" w:type="dxa"/>
            <w:vAlign w:val="bottom"/>
          </w:tcPr>
          <w:p>
            <w:pPr>
              <w:spacing w:after="0"/>
              <w:rPr>
                <w:sz w:val="24"/>
                <w:szCs w:val="24"/>
                <w:color w:val="auto"/>
              </w:rPr>
            </w:pPr>
          </w:p>
        </w:tc>
        <w:tc>
          <w:tcPr>
            <w:tcW w:w="1200" w:type="dxa"/>
            <w:vAlign w:val="bottom"/>
          </w:tcPr>
          <w:p>
            <w:pPr>
              <w:ind w:left="560"/>
              <w:spacing w:after="0"/>
              <w:rPr>
                <w:sz w:val="20"/>
                <w:szCs w:val="20"/>
                <w:color w:val="auto"/>
              </w:rPr>
            </w:pPr>
            <w:r>
              <w:rPr>
                <w:rFonts w:ascii="Arial" w:cs="Arial" w:eastAsia="Arial" w:hAnsi="Arial"/>
                <w:sz w:val="14"/>
                <w:szCs w:val="14"/>
                <w:color w:val="auto"/>
              </w:rPr>
              <w:t>24,658</w:t>
            </w:r>
          </w:p>
        </w:tc>
        <w:tc>
          <w:tcPr>
            <w:tcW w:w="760" w:type="dxa"/>
            <w:vAlign w:val="bottom"/>
          </w:tcPr>
          <w:p>
            <w:pPr>
              <w:jc w:val="right"/>
              <w:spacing w:after="0"/>
              <w:rPr>
                <w:sz w:val="20"/>
                <w:szCs w:val="20"/>
                <w:color w:val="auto"/>
              </w:rPr>
            </w:pPr>
            <w:r>
              <w:rPr>
                <w:rFonts w:ascii="Arial" w:cs="Arial" w:eastAsia="Arial" w:hAnsi="Arial"/>
                <w:sz w:val="14"/>
                <w:szCs w:val="14"/>
                <w:color w:val="auto"/>
              </w:rPr>
              <w:t>1,719,217</w:t>
            </w:r>
          </w:p>
        </w:tc>
        <w:tc>
          <w:tcPr>
            <w:tcW w:w="0" w:type="dxa"/>
            <w:vAlign w:val="bottom"/>
          </w:tcPr>
          <w:p>
            <w:pPr>
              <w:spacing w:after="0"/>
              <w:rPr>
                <w:sz w:val="1"/>
                <w:szCs w:val="1"/>
                <w:color w:val="auto"/>
              </w:rPr>
            </w:pPr>
          </w:p>
        </w:tc>
      </w:tr>
      <w:tr>
        <w:trPr>
          <w:trHeight w:val="39"/>
        </w:trPr>
        <w:tc>
          <w:tcPr>
            <w:tcW w:w="15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0"/>
        </w:trPr>
        <w:tc>
          <w:tcPr>
            <w:tcW w:w="15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Chief Technology</w:t>
            </w:r>
          </w:p>
        </w:tc>
        <w:tc>
          <w:tcPr>
            <w:tcW w:w="5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1200" w:type="dxa"/>
            <w:vAlign w:val="bottom"/>
            <w:tcBorders>
              <w:bottom w:val="single" w:sz="8" w:color="999999"/>
            </w:tcBorders>
          </w:tcPr>
          <w:p>
            <w:pPr>
              <w:spacing w:after="0"/>
              <w:rPr>
                <w:sz w:val="7"/>
                <w:szCs w:val="7"/>
                <w:color w:val="auto"/>
              </w:rPr>
            </w:pPr>
          </w:p>
        </w:tc>
        <w:tc>
          <w:tcPr>
            <w:tcW w:w="7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560" w:type="dxa"/>
            <w:vAlign w:val="bottom"/>
          </w:tcPr>
          <w:p>
            <w:pPr>
              <w:ind w:left="80"/>
              <w:spacing w:after="0"/>
              <w:rPr>
                <w:sz w:val="20"/>
                <w:szCs w:val="20"/>
                <w:color w:val="auto"/>
              </w:rPr>
            </w:pPr>
            <w:r>
              <w:rPr>
                <w:rFonts w:ascii="Arial" w:cs="Arial" w:eastAsia="Arial" w:hAnsi="Arial"/>
                <w:sz w:val="14"/>
                <w:szCs w:val="14"/>
                <w:b w:val="1"/>
                <w:bCs w:val="1"/>
                <w:color w:val="auto"/>
              </w:rPr>
              <w:t>Officer</w:t>
            </w: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2022</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394,221</w:t>
            </w:r>
          </w:p>
        </w:tc>
        <w:tc>
          <w:tcPr>
            <w:tcW w:w="760" w:type="dxa"/>
            <w:vAlign w:val="bottom"/>
            <w:vMerge w:val="restart"/>
          </w:tcPr>
          <w:p>
            <w:pPr>
              <w:jc w:val="right"/>
              <w:ind w:right="70"/>
              <w:spacing w:after="0"/>
              <w:rPr>
                <w:sz w:val="20"/>
                <w:szCs w:val="20"/>
                <w:color w:val="auto"/>
              </w:rPr>
            </w:pPr>
            <w:r>
              <w:rPr>
                <w:rFonts w:ascii="Arial" w:cs="Arial" w:eastAsia="Arial" w:hAnsi="Arial"/>
                <w:sz w:val="14"/>
                <w:szCs w:val="14"/>
                <w:color w:val="auto"/>
              </w:rPr>
              <w:t>162,592</w:t>
            </w: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299,995</w:t>
            </w: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vMerge w:val="restart"/>
          </w:tcPr>
          <w:p>
            <w:pPr>
              <w:ind w:left="560"/>
              <w:spacing w:after="0"/>
              <w:rPr>
                <w:sz w:val="20"/>
                <w:szCs w:val="20"/>
                <w:color w:val="auto"/>
              </w:rPr>
            </w:pPr>
            <w:r>
              <w:rPr>
                <w:rFonts w:ascii="Arial" w:cs="Arial" w:eastAsia="Arial" w:hAnsi="Arial"/>
                <w:sz w:val="14"/>
                <w:szCs w:val="14"/>
                <w:color w:val="auto"/>
              </w:rPr>
              <w:t>10,504</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867,313</w:t>
            </w:r>
          </w:p>
        </w:tc>
        <w:tc>
          <w:tcPr>
            <w:tcW w:w="0" w:type="dxa"/>
            <w:vAlign w:val="bottom"/>
          </w:tcPr>
          <w:p>
            <w:pPr>
              <w:spacing w:after="0"/>
              <w:rPr>
                <w:sz w:val="1"/>
                <w:szCs w:val="1"/>
                <w:color w:val="auto"/>
              </w:rPr>
            </w:pPr>
          </w:p>
        </w:tc>
      </w:tr>
      <w:tr>
        <w:trPr>
          <w:trHeight w:val="75"/>
        </w:trPr>
        <w:tc>
          <w:tcPr>
            <w:tcW w:w="1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560" w:type="dxa"/>
            <w:vAlign w:val="bottom"/>
            <w:tcBorders>
              <w:bottom w:val="single" w:sz="8" w:color="auto"/>
            </w:tcBorders>
          </w:tcPr>
          <w:p>
            <w:pPr>
              <w:spacing w:after="0"/>
              <w:rPr>
                <w:sz w:val="10"/>
                <w:szCs w:val="10"/>
                <w:color w:val="auto"/>
              </w:rPr>
            </w:pPr>
          </w:p>
        </w:tc>
        <w:tc>
          <w:tcPr>
            <w:tcW w:w="520" w:type="dxa"/>
            <w:vAlign w:val="bottom"/>
            <w:tcBorders>
              <w:bottom w:val="single" w:sz="8" w:color="999999"/>
            </w:tcBorders>
          </w:tcPr>
          <w:p>
            <w:pPr>
              <w:spacing w:after="0"/>
              <w:rPr>
                <w:sz w:val="10"/>
                <w:szCs w:val="10"/>
                <w:color w:val="auto"/>
              </w:rPr>
            </w:pPr>
          </w:p>
        </w:tc>
        <w:tc>
          <w:tcPr>
            <w:tcW w:w="740" w:type="dxa"/>
            <w:vAlign w:val="bottom"/>
            <w:tcBorders>
              <w:bottom w:val="single" w:sz="8" w:color="999999"/>
            </w:tcBorders>
          </w:tcPr>
          <w:p>
            <w:pPr>
              <w:spacing w:after="0"/>
              <w:rPr>
                <w:sz w:val="10"/>
                <w:szCs w:val="10"/>
                <w:color w:val="auto"/>
              </w:rPr>
            </w:pPr>
          </w:p>
        </w:tc>
        <w:tc>
          <w:tcPr>
            <w:tcW w:w="760" w:type="dxa"/>
            <w:vAlign w:val="bottom"/>
            <w:tcBorders>
              <w:bottom w:val="single" w:sz="8" w:color="999999"/>
            </w:tcBorders>
          </w:tcPr>
          <w:p>
            <w:pPr>
              <w:spacing w:after="0"/>
              <w:rPr>
                <w:sz w:val="10"/>
                <w:szCs w:val="10"/>
                <w:color w:val="auto"/>
              </w:rPr>
            </w:pPr>
          </w:p>
        </w:tc>
        <w:tc>
          <w:tcPr>
            <w:tcW w:w="740" w:type="dxa"/>
            <w:vAlign w:val="bottom"/>
            <w:tcBorders>
              <w:bottom w:val="single" w:sz="8" w:color="999999"/>
            </w:tcBorders>
          </w:tcPr>
          <w:p>
            <w:pPr>
              <w:spacing w:after="0"/>
              <w:rPr>
                <w:sz w:val="10"/>
                <w:szCs w:val="10"/>
                <w:color w:val="auto"/>
              </w:rPr>
            </w:pPr>
          </w:p>
        </w:tc>
        <w:tc>
          <w:tcPr>
            <w:tcW w:w="720" w:type="dxa"/>
            <w:vAlign w:val="bottom"/>
            <w:tcBorders>
              <w:bottom w:val="single" w:sz="8" w:color="999999"/>
            </w:tcBorders>
          </w:tcPr>
          <w:p>
            <w:pPr>
              <w:spacing w:after="0"/>
              <w:rPr>
                <w:sz w:val="10"/>
                <w:szCs w:val="10"/>
                <w:color w:val="auto"/>
              </w:rPr>
            </w:pPr>
          </w:p>
        </w:tc>
        <w:tc>
          <w:tcPr>
            <w:tcW w:w="1200" w:type="dxa"/>
            <w:vAlign w:val="bottom"/>
            <w:tcBorders>
              <w:bottom w:val="single" w:sz="8" w:color="999999"/>
            </w:tcBorders>
          </w:tcPr>
          <w:p>
            <w:pPr>
              <w:spacing w:after="0"/>
              <w:rPr>
                <w:sz w:val="10"/>
                <w:szCs w:val="10"/>
                <w:color w:val="auto"/>
              </w:rPr>
            </w:pPr>
          </w:p>
        </w:tc>
        <w:tc>
          <w:tcPr>
            <w:tcW w:w="1200" w:type="dxa"/>
            <w:vAlign w:val="bottom"/>
            <w:tcBorders>
              <w:bottom w:val="single" w:sz="8" w:color="999999"/>
            </w:tcBorders>
          </w:tcPr>
          <w:p>
            <w:pPr>
              <w:spacing w:after="0"/>
              <w:rPr>
                <w:sz w:val="10"/>
                <w:szCs w:val="10"/>
                <w:color w:val="auto"/>
              </w:rPr>
            </w:pPr>
          </w:p>
        </w:tc>
        <w:tc>
          <w:tcPr>
            <w:tcW w:w="1200" w:type="dxa"/>
            <w:vAlign w:val="bottom"/>
            <w:tcBorders>
              <w:bottom w:val="single" w:sz="8" w:color="999999"/>
            </w:tcBorders>
          </w:tcPr>
          <w:p>
            <w:pPr>
              <w:spacing w:after="0"/>
              <w:rPr>
                <w:sz w:val="10"/>
                <w:szCs w:val="10"/>
                <w:color w:val="auto"/>
              </w:rPr>
            </w:pPr>
          </w:p>
        </w:tc>
        <w:tc>
          <w:tcPr>
            <w:tcW w:w="76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60" w:hanging="234"/>
        <w:spacing w:after="0" w:line="293" w:lineRule="auto"/>
        <w:tabs>
          <w:tab w:leader="none" w:pos="240"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Arial" w:cs="Arial" w:eastAsia="Arial" w:hAnsi="Arial"/>
          <w:sz w:val="12"/>
          <w:szCs w:val="12"/>
          <w:b w:val="1"/>
          <w:bCs w:val="1"/>
          <w:color w:val="auto"/>
        </w:rPr>
      </w:pPr>
    </w:p>
    <w:p>
      <w:pPr>
        <w:ind w:left="240" w:right="100" w:hanging="234"/>
        <w:spacing w:after="0" w:line="236" w:lineRule="auto"/>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represent performance-based, discretionary cash bonuses including a signing bonus of $700,000 for Mr. Francis and a retention bonus of $200,000 for Mr. Grazier and additional bonuses for Mr. Camire and Mr. Grazier of $45,100 and $46,750, respectively, to account for their individual contributions, as described under “—Cash Bonuses—Cash Bonus Payments” above.</w:t>
      </w:r>
    </w:p>
    <w:p>
      <w:pPr>
        <w:spacing w:after="0" w:line="31" w:lineRule="exact"/>
        <w:rPr>
          <w:rFonts w:ascii="Arial" w:cs="Arial" w:eastAsia="Arial" w:hAnsi="Arial"/>
          <w:sz w:val="13"/>
          <w:szCs w:val="13"/>
          <w:b w:val="1"/>
          <w:bCs w:val="1"/>
          <w:color w:val="auto"/>
        </w:rPr>
      </w:pPr>
    </w:p>
    <w:p>
      <w:pPr>
        <w:ind w:left="240" w:hanging="234"/>
        <w:spacing w:after="0" w:line="249" w:lineRule="auto"/>
        <w:tabs>
          <w:tab w:leader="none" w:pos="240"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Amounts reflect the grant date fair value of all time-based restricted stock unit (“RSU”) awards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stock awards, see “Outstanding Equity Awards at Fiscal Year-End” below. For information regarding assumptions underlying the value of equity awards, see Note 14 to our financial statements included in our Annual Report on Form 10-K for the year ended December 31, 2023.</w:t>
      </w:r>
    </w:p>
    <w:p>
      <w:pPr>
        <w:spacing w:after="0" w:line="26" w:lineRule="exact"/>
        <w:rPr>
          <w:rFonts w:ascii="Arial" w:cs="Arial" w:eastAsia="Arial" w:hAnsi="Arial"/>
          <w:sz w:val="12"/>
          <w:szCs w:val="12"/>
          <w:b w:val="1"/>
          <w:bCs w:val="1"/>
          <w:color w:val="auto"/>
        </w:rPr>
      </w:pPr>
    </w:p>
    <w:p>
      <w:pPr>
        <w:ind w:left="240" w:right="40" w:hanging="234"/>
        <w:spacing w:after="0" w:line="228" w:lineRule="auto"/>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45" w:lineRule="exact"/>
        <w:rPr>
          <w:rFonts w:ascii="Arial" w:cs="Arial" w:eastAsia="Arial" w:hAnsi="Arial"/>
          <w:sz w:val="13"/>
          <w:szCs w:val="13"/>
          <w:b w:val="1"/>
          <w:bCs w:val="1"/>
          <w:color w:val="auto"/>
        </w:rPr>
      </w:pPr>
    </w:p>
    <w:p>
      <w:pPr>
        <w:ind w:left="240" w:right="160" w:hanging="234"/>
        <w:spacing w:after="0" w:line="226" w:lineRule="auto"/>
        <w:tabs>
          <w:tab w:leader="none" w:pos="2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amounts include (i) group term life insurance premiums in excess of the broad-based benefit level of $280, $224 and $561 for 2023 for Messrs. Francis, Camire and Grazier, respectively and $0, $216, and $540 for 2022 for Messrs. Francis, Camire and Grazier, respectively; (ii) 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titled Director Compensation; and (iv) parental leave benefit of $13,106 in 2023 for Mr. Grazier.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59664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39</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Outstanding Equity Awards at Fiscal Year-End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certain information regarding outstanding equity awards for the Named Executive Officers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45085</wp:posOffset>
            </wp:positionV>
            <wp:extent cx="8890" cy="1543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54305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shd w:val="clear" w:color="auto" w:fill="808080"/>
          </w:tcPr>
          <w:p>
            <w:pPr>
              <w:spacing w:after="0"/>
              <w:rPr>
                <w:sz w:val="24"/>
                <w:szCs w:val="24"/>
                <w:color w:val="auto"/>
              </w:rPr>
            </w:pPr>
          </w:p>
        </w:tc>
        <w:tc>
          <w:tcPr>
            <w:tcW w:w="1800" w:type="dxa"/>
            <w:vAlign w:val="bottom"/>
            <w:gridSpan w:val="2"/>
            <w:shd w:val="clear" w:color="auto" w:fill="808080"/>
          </w:tcPr>
          <w:p>
            <w:pPr>
              <w:jc w:val="right"/>
              <w:ind w:right="155"/>
              <w:spacing w:after="0"/>
              <w:rPr>
                <w:sz w:val="20"/>
                <w:szCs w:val="20"/>
                <w:color w:val="auto"/>
              </w:rPr>
            </w:pPr>
            <w:r>
              <w:rPr>
                <w:rFonts w:ascii="Arial" w:cs="Arial" w:eastAsia="Arial" w:hAnsi="Arial"/>
                <w:sz w:val="13"/>
                <w:szCs w:val="13"/>
                <w:b w:val="1"/>
                <w:bCs w:val="1"/>
                <w:color w:val="FFFFFF"/>
              </w:rPr>
              <w:t>Option Awards</w:t>
            </w:r>
          </w:p>
        </w:tc>
        <w:tc>
          <w:tcPr>
            <w:tcW w:w="600" w:type="dxa"/>
            <w:vAlign w:val="bottom"/>
            <w:shd w:val="clear" w:color="auto" w:fill="808080"/>
          </w:tcPr>
          <w:p>
            <w:pPr>
              <w:spacing w:after="0"/>
              <w:rPr>
                <w:sz w:val="24"/>
                <w:szCs w:val="24"/>
                <w:color w:val="auto"/>
              </w:rPr>
            </w:pPr>
          </w:p>
        </w:tc>
        <w:tc>
          <w:tcPr>
            <w:tcW w:w="720" w:type="dxa"/>
            <w:vAlign w:val="bottom"/>
            <w:shd w:val="clear" w:color="auto" w:fill="808080"/>
          </w:tcPr>
          <w:p>
            <w:pPr>
              <w:spacing w:after="0"/>
              <w:rPr>
                <w:sz w:val="24"/>
                <w:szCs w:val="24"/>
                <w:color w:val="auto"/>
              </w:rPr>
            </w:pPr>
          </w:p>
        </w:tc>
        <w:tc>
          <w:tcPr>
            <w:tcW w:w="720" w:type="dxa"/>
            <w:vAlign w:val="bottom"/>
            <w:shd w:val="clear" w:color="auto" w:fill="808080"/>
          </w:tcPr>
          <w:p>
            <w:pPr>
              <w:spacing w:after="0"/>
              <w:rPr>
                <w:sz w:val="24"/>
                <w:szCs w:val="24"/>
                <w:color w:val="auto"/>
              </w:rPr>
            </w:pPr>
          </w:p>
        </w:tc>
        <w:tc>
          <w:tcPr>
            <w:tcW w:w="1660" w:type="dxa"/>
            <w:vAlign w:val="bottom"/>
            <w:gridSpan w:val="2"/>
            <w:shd w:val="clear" w:color="auto" w:fill="808080"/>
          </w:tcPr>
          <w:p>
            <w:pPr>
              <w:jc w:val="right"/>
              <w:ind w:right="257"/>
              <w:spacing w:after="0"/>
              <w:rPr>
                <w:sz w:val="20"/>
                <w:szCs w:val="20"/>
                <w:color w:val="auto"/>
              </w:rPr>
            </w:pPr>
            <w:r>
              <w:rPr>
                <w:rFonts w:ascii="Arial" w:cs="Arial" w:eastAsia="Arial" w:hAnsi="Arial"/>
                <w:sz w:val="13"/>
                <w:szCs w:val="13"/>
                <w:b w:val="1"/>
                <w:bCs w:val="1"/>
                <w:color w:val="FFFFFF"/>
              </w:rPr>
              <w:t>Stock Awards</w:t>
            </w:r>
          </w:p>
        </w:tc>
        <w:tc>
          <w:tcPr>
            <w:tcW w:w="860" w:type="dxa"/>
            <w:vAlign w:val="bottom"/>
            <w:shd w:val="clear" w:color="auto" w:fill="808080"/>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shd w:val="clear" w:color="auto" w:fill="808080"/>
          </w:tcPr>
          <w:p>
            <w:pPr>
              <w:spacing w:after="0"/>
              <w:rPr>
                <w:sz w:val="7"/>
                <w:szCs w:val="7"/>
                <w:color w:val="auto"/>
              </w:rPr>
            </w:pPr>
          </w:p>
        </w:tc>
        <w:tc>
          <w:tcPr>
            <w:tcW w:w="940" w:type="dxa"/>
            <w:vAlign w:val="bottom"/>
            <w:shd w:val="clear" w:color="auto" w:fill="808080"/>
          </w:tcPr>
          <w:p>
            <w:pPr>
              <w:spacing w:after="0"/>
              <w:rPr>
                <w:sz w:val="7"/>
                <w:szCs w:val="7"/>
                <w:color w:val="auto"/>
              </w:rPr>
            </w:pPr>
          </w:p>
        </w:tc>
        <w:tc>
          <w:tcPr>
            <w:tcW w:w="860" w:type="dxa"/>
            <w:vAlign w:val="bottom"/>
            <w:shd w:val="clear" w:color="auto" w:fill="808080"/>
          </w:tcPr>
          <w:p>
            <w:pPr>
              <w:spacing w:after="0"/>
              <w:rPr>
                <w:sz w:val="7"/>
                <w:szCs w:val="7"/>
                <w:color w:val="auto"/>
              </w:rPr>
            </w:pPr>
          </w:p>
        </w:tc>
        <w:tc>
          <w:tcPr>
            <w:tcW w:w="600" w:type="dxa"/>
            <w:vAlign w:val="bottom"/>
            <w:shd w:val="clear" w:color="auto" w:fill="808080"/>
          </w:tcPr>
          <w:p>
            <w:pPr>
              <w:spacing w:after="0"/>
              <w:rPr>
                <w:sz w:val="7"/>
                <w:szCs w:val="7"/>
                <w:color w:val="auto"/>
              </w:rPr>
            </w:pPr>
          </w:p>
        </w:tc>
        <w:tc>
          <w:tcPr>
            <w:tcW w:w="720" w:type="dxa"/>
            <w:vAlign w:val="bottom"/>
            <w:shd w:val="clear" w:color="auto" w:fill="808080"/>
          </w:tcPr>
          <w:p>
            <w:pPr>
              <w:spacing w:after="0"/>
              <w:rPr>
                <w:sz w:val="7"/>
                <w:szCs w:val="7"/>
                <w:color w:val="auto"/>
              </w:rPr>
            </w:pPr>
          </w:p>
        </w:tc>
        <w:tc>
          <w:tcPr>
            <w:tcW w:w="720" w:type="dxa"/>
            <w:vAlign w:val="bottom"/>
            <w:shd w:val="clear" w:color="auto" w:fill="808080"/>
          </w:tcPr>
          <w:p>
            <w:pPr>
              <w:spacing w:after="0"/>
              <w:rPr>
                <w:sz w:val="7"/>
                <w:szCs w:val="7"/>
                <w:color w:val="auto"/>
              </w:rPr>
            </w:pPr>
          </w:p>
        </w:tc>
        <w:tc>
          <w:tcPr>
            <w:tcW w:w="740" w:type="dxa"/>
            <w:vAlign w:val="bottom"/>
            <w:shd w:val="clear" w:color="auto" w:fill="808080"/>
          </w:tcPr>
          <w:p>
            <w:pPr>
              <w:spacing w:after="0"/>
              <w:rPr>
                <w:sz w:val="7"/>
                <w:szCs w:val="7"/>
                <w:color w:val="auto"/>
              </w:rPr>
            </w:pPr>
          </w:p>
        </w:tc>
        <w:tc>
          <w:tcPr>
            <w:tcW w:w="920" w:type="dxa"/>
            <w:vAlign w:val="bottom"/>
            <w:shd w:val="clear" w:color="auto" w:fill="808080"/>
          </w:tcPr>
          <w:p>
            <w:pPr>
              <w:spacing w:after="0"/>
              <w:rPr>
                <w:sz w:val="7"/>
                <w:szCs w:val="7"/>
                <w:color w:val="auto"/>
              </w:rPr>
            </w:pPr>
          </w:p>
        </w:tc>
        <w:tc>
          <w:tcPr>
            <w:tcW w:w="860" w:type="dxa"/>
            <w:vAlign w:val="bottom"/>
            <w:shd w:val="clear" w:color="auto" w:fill="808080"/>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0" w:type="dxa"/>
            <w:vAlign w:val="bottom"/>
            <w:shd w:val="clear" w:color="auto" w:fill="000000"/>
          </w:tcPr>
          <w:p>
            <w:pPr>
              <w:spacing w:after="0"/>
              <w:rPr>
                <w:sz w:val="19"/>
                <w:szCs w:val="19"/>
                <w:color w:val="auto"/>
              </w:rPr>
            </w:pPr>
          </w:p>
        </w:tc>
        <w:tc>
          <w:tcPr>
            <w:tcW w:w="820" w:type="dxa"/>
            <w:vAlign w:val="bottom"/>
            <w:shd w:val="clear" w:color="auto" w:fill="000000"/>
          </w:tcPr>
          <w:p>
            <w:pPr>
              <w:spacing w:after="0"/>
              <w:rPr>
                <w:sz w:val="19"/>
                <w:szCs w:val="19"/>
                <w:color w:val="auto"/>
              </w:rPr>
            </w:pPr>
          </w:p>
        </w:tc>
        <w:tc>
          <w:tcPr>
            <w:tcW w:w="540" w:type="dxa"/>
            <w:vAlign w:val="bottom"/>
            <w:shd w:val="clear" w:color="auto" w:fill="000000"/>
          </w:tcPr>
          <w:p>
            <w:pPr>
              <w:spacing w:after="0"/>
              <w:rPr>
                <w:sz w:val="19"/>
                <w:szCs w:val="19"/>
                <w:color w:val="auto"/>
              </w:rPr>
            </w:pPr>
          </w:p>
        </w:tc>
        <w:tc>
          <w:tcPr>
            <w:tcW w:w="840" w:type="dxa"/>
            <w:vAlign w:val="bottom"/>
            <w:shd w:val="clear" w:color="auto" w:fill="000000"/>
          </w:tcPr>
          <w:p>
            <w:pPr>
              <w:spacing w:after="0"/>
              <w:rPr>
                <w:sz w:val="19"/>
                <w:szCs w:val="19"/>
                <w:color w:val="auto"/>
              </w:rPr>
            </w:pPr>
          </w:p>
        </w:tc>
        <w:tc>
          <w:tcPr>
            <w:tcW w:w="940" w:type="dxa"/>
            <w:vAlign w:val="bottom"/>
            <w:shd w:val="clear" w:color="auto" w:fill="000000"/>
          </w:tcPr>
          <w:p>
            <w:pPr>
              <w:spacing w:after="0"/>
              <w:rPr>
                <w:sz w:val="19"/>
                <w:szCs w:val="19"/>
                <w:color w:val="auto"/>
              </w:rPr>
            </w:pPr>
          </w:p>
        </w:tc>
        <w:tc>
          <w:tcPr>
            <w:tcW w:w="860" w:type="dxa"/>
            <w:vAlign w:val="bottom"/>
            <w:shd w:val="clear" w:color="auto" w:fill="000000"/>
          </w:tcPr>
          <w:p>
            <w:pPr>
              <w:spacing w:after="0"/>
              <w:rPr>
                <w:sz w:val="19"/>
                <w:szCs w:val="19"/>
                <w:color w:val="auto"/>
              </w:rPr>
            </w:pPr>
          </w:p>
        </w:tc>
        <w:tc>
          <w:tcPr>
            <w:tcW w:w="600" w:type="dxa"/>
            <w:vAlign w:val="bottom"/>
            <w:shd w:val="clear" w:color="auto" w:fill="000000"/>
          </w:tcPr>
          <w:p>
            <w:pPr>
              <w:spacing w:after="0"/>
              <w:rPr>
                <w:sz w:val="19"/>
                <w:szCs w:val="19"/>
                <w:color w:val="auto"/>
              </w:rPr>
            </w:pPr>
          </w:p>
        </w:tc>
        <w:tc>
          <w:tcPr>
            <w:tcW w:w="720" w:type="dxa"/>
            <w:vAlign w:val="bottom"/>
            <w:shd w:val="clear" w:color="auto" w:fill="000000"/>
          </w:tcPr>
          <w:p>
            <w:pPr>
              <w:spacing w:after="0"/>
              <w:rPr>
                <w:sz w:val="19"/>
                <w:szCs w:val="19"/>
                <w:color w:val="auto"/>
              </w:rPr>
            </w:pPr>
          </w:p>
        </w:tc>
        <w:tc>
          <w:tcPr>
            <w:tcW w:w="720" w:type="dxa"/>
            <w:vAlign w:val="bottom"/>
            <w:shd w:val="clear" w:color="auto" w:fill="000000"/>
          </w:tcPr>
          <w:p>
            <w:pPr>
              <w:spacing w:after="0"/>
              <w:rPr>
                <w:sz w:val="19"/>
                <w:szCs w:val="19"/>
                <w:color w:val="auto"/>
              </w:rPr>
            </w:pPr>
          </w:p>
        </w:tc>
        <w:tc>
          <w:tcPr>
            <w:tcW w:w="7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8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6"/>
        </w:trPr>
        <w:tc>
          <w:tcPr>
            <w:tcW w:w="84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84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860" w:type="dxa"/>
            <w:vAlign w:val="bottom"/>
            <w:vMerge w:val="restart"/>
            <w:shd w:val="clear" w:color="auto" w:fill="000000"/>
          </w:tcPr>
          <w:p>
            <w:pPr>
              <w:jc w:val="right"/>
              <w:ind w:right="35"/>
              <w:spacing w:after="0"/>
              <w:rPr>
                <w:sz w:val="20"/>
                <w:szCs w:val="20"/>
                <w:color w:val="auto"/>
              </w:rPr>
            </w:pPr>
            <w:r>
              <w:rPr>
                <w:rFonts w:ascii="Arial" w:cs="Arial" w:eastAsia="Arial" w:hAnsi="Arial"/>
                <w:sz w:val="13"/>
                <w:szCs w:val="13"/>
                <w:b w:val="1"/>
                <w:bCs w:val="1"/>
                <w:color w:val="FFFFFF"/>
              </w:rPr>
              <w:t>Equity</w:t>
            </w:r>
          </w:p>
        </w:tc>
        <w:tc>
          <w:tcPr>
            <w:tcW w:w="60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920" w:type="dxa"/>
            <w:vAlign w:val="bottom"/>
            <w:shd w:val="clear" w:color="auto" w:fill="000000"/>
          </w:tcPr>
          <w:p>
            <w:pPr>
              <w:jc w:val="right"/>
              <w:ind w:right="37"/>
              <w:spacing w:after="0"/>
              <w:rPr>
                <w:sz w:val="20"/>
                <w:szCs w:val="20"/>
                <w:color w:val="auto"/>
              </w:rPr>
            </w:pPr>
            <w:r>
              <w:rPr>
                <w:rFonts w:ascii="Arial" w:cs="Arial" w:eastAsia="Arial" w:hAnsi="Arial"/>
                <w:sz w:val="13"/>
                <w:szCs w:val="13"/>
                <w:b w:val="1"/>
                <w:bCs w:val="1"/>
                <w:color w:val="FFFFFF"/>
              </w:rPr>
              <w:t>Equity</w:t>
            </w:r>
          </w:p>
        </w:tc>
        <w:tc>
          <w:tcPr>
            <w:tcW w:w="8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60" w:type="dxa"/>
            <w:vAlign w:val="bottom"/>
            <w:vMerge w:val="continue"/>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incentive</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incentive</w:t>
            </w: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plan awards:</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plan</w:t>
            </w: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vMerge w:val="restart"/>
            <w:shd w:val="clear" w:color="auto" w:fill="000000"/>
          </w:tcPr>
          <w:p>
            <w:pPr>
              <w:jc w:val="right"/>
              <w:ind w:right="35"/>
              <w:spacing w:after="0"/>
              <w:rPr>
                <w:sz w:val="20"/>
                <w:szCs w:val="20"/>
                <w:color w:val="auto"/>
              </w:rPr>
            </w:pPr>
            <w:r>
              <w:rPr>
                <w:rFonts w:ascii="Arial" w:cs="Arial" w:eastAsia="Arial" w:hAnsi="Arial"/>
                <w:sz w:val="13"/>
                <w:szCs w:val="13"/>
                <w:b w:val="1"/>
                <w:bCs w:val="1"/>
                <w:color w:val="FFFFFF"/>
              </w:rPr>
              <w:t>Number</w:t>
            </w:r>
          </w:p>
        </w:tc>
        <w:tc>
          <w:tcPr>
            <w:tcW w:w="740" w:type="dxa"/>
            <w:vAlign w:val="bottom"/>
            <w:vMerge w:val="restart"/>
            <w:shd w:val="clear" w:color="auto" w:fill="000000"/>
          </w:tcPr>
          <w:p>
            <w:pPr>
              <w:jc w:val="right"/>
              <w:ind w:right="16"/>
              <w:spacing w:after="0"/>
              <w:rPr>
                <w:sz w:val="20"/>
                <w:szCs w:val="20"/>
                <w:color w:val="auto"/>
              </w:rPr>
            </w:pPr>
            <w:r>
              <w:rPr>
                <w:rFonts w:ascii="Arial" w:cs="Arial" w:eastAsia="Arial" w:hAnsi="Arial"/>
                <w:sz w:val="13"/>
                <w:szCs w:val="13"/>
                <w:b w:val="1"/>
                <w:bCs w:val="1"/>
                <w:color w:val="FFFFFF"/>
              </w:rPr>
              <w:t>Market</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Number of</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vMerge w:val="restart"/>
            <w:shd w:val="clear" w:color="auto" w:fill="000000"/>
          </w:tcPr>
          <w:p>
            <w:pPr>
              <w:jc w:val="right"/>
              <w:ind w:right="15"/>
              <w:spacing w:after="0"/>
              <w:rPr>
                <w:sz w:val="20"/>
                <w:szCs w:val="20"/>
                <w:color w:val="auto"/>
              </w:rPr>
            </w:pPr>
            <w:r>
              <w:rPr>
                <w:rFonts w:ascii="Arial" w:cs="Arial" w:eastAsia="Arial" w:hAnsi="Arial"/>
                <w:sz w:val="13"/>
                <w:szCs w:val="13"/>
                <w:b w:val="1"/>
                <w:bCs w:val="1"/>
                <w:color w:val="FFFFFF"/>
              </w:rPr>
              <w:t>Number of</w:t>
            </w:r>
          </w:p>
        </w:tc>
        <w:tc>
          <w:tcPr>
            <w:tcW w:w="940" w:type="dxa"/>
            <w:vAlign w:val="bottom"/>
            <w:vMerge w:val="restart"/>
            <w:shd w:val="clear" w:color="auto" w:fill="000000"/>
          </w:tcPr>
          <w:p>
            <w:pPr>
              <w:jc w:val="right"/>
              <w:ind w:right="36"/>
              <w:spacing w:after="0"/>
              <w:rPr>
                <w:sz w:val="20"/>
                <w:szCs w:val="20"/>
                <w:color w:val="auto"/>
              </w:rPr>
            </w:pPr>
            <w:r>
              <w:rPr>
                <w:rFonts w:ascii="Arial" w:cs="Arial" w:eastAsia="Arial" w:hAnsi="Arial"/>
                <w:sz w:val="13"/>
                <w:szCs w:val="13"/>
                <w:b w:val="1"/>
                <w:bCs w:val="1"/>
                <w:color w:val="FFFFFF"/>
              </w:rPr>
              <w:t>Number of</w:t>
            </w: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awards:</w:t>
            </w: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vMerge w:val="continue"/>
            <w:shd w:val="clear" w:color="auto" w:fill="000000"/>
          </w:tcPr>
          <w:p>
            <w:pPr>
              <w:spacing w:after="0"/>
              <w:rPr>
                <w:sz w:val="11"/>
                <w:szCs w:val="11"/>
                <w:color w:val="auto"/>
              </w:rPr>
            </w:pPr>
          </w:p>
        </w:tc>
        <w:tc>
          <w:tcPr>
            <w:tcW w:w="740" w:type="dxa"/>
            <w:vAlign w:val="bottom"/>
            <w:vMerge w:val="continue"/>
            <w:shd w:val="clear" w:color="auto" w:fill="000000"/>
          </w:tcPr>
          <w:p>
            <w:pPr>
              <w:spacing w:after="0"/>
              <w:rPr>
                <w:sz w:val="11"/>
                <w:szCs w:val="11"/>
                <w:color w:val="auto"/>
              </w:rPr>
            </w:pP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unearned</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vMerge w:val="continue"/>
            <w:shd w:val="clear" w:color="auto" w:fill="000000"/>
          </w:tcPr>
          <w:p>
            <w:pPr>
              <w:spacing w:after="0"/>
              <w:rPr>
                <w:sz w:val="11"/>
                <w:szCs w:val="11"/>
                <w:color w:val="auto"/>
              </w:rPr>
            </w:pPr>
          </w:p>
        </w:tc>
        <w:tc>
          <w:tcPr>
            <w:tcW w:w="940" w:type="dxa"/>
            <w:vAlign w:val="bottom"/>
            <w:vMerge w:val="continue"/>
            <w:shd w:val="clear" w:color="auto" w:fill="000000"/>
          </w:tcPr>
          <w:p>
            <w:pPr>
              <w:spacing w:after="0"/>
              <w:rPr>
                <w:sz w:val="11"/>
                <w:szCs w:val="11"/>
                <w:color w:val="auto"/>
              </w:rPr>
            </w:pP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Number of</w:t>
            </w: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of shares</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value of</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shares,</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securities</w:t>
            </w:r>
          </w:p>
        </w:tc>
        <w:tc>
          <w:tcPr>
            <w:tcW w:w="940" w:type="dxa"/>
            <w:vAlign w:val="bottom"/>
            <w:shd w:val="clear" w:color="auto" w:fill="000000"/>
          </w:tcPr>
          <w:p>
            <w:pPr>
              <w:jc w:val="right"/>
              <w:ind w:right="36"/>
              <w:spacing w:after="0" w:line="135" w:lineRule="exact"/>
              <w:rPr>
                <w:sz w:val="20"/>
                <w:szCs w:val="20"/>
                <w:color w:val="auto"/>
              </w:rPr>
            </w:pPr>
            <w:r>
              <w:rPr>
                <w:rFonts w:ascii="Arial" w:cs="Arial" w:eastAsia="Arial" w:hAnsi="Arial"/>
                <w:sz w:val="13"/>
                <w:szCs w:val="13"/>
                <w:b w:val="1"/>
                <w:bCs w:val="1"/>
                <w:color w:val="FFFFFF"/>
              </w:rPr>
              <w:t>securities</w:t>
            </w: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securities</w:t>
            </w:r>
          </w:p>
        </w:tc>
        <w:tc>
          <w:tcPr>
            <w:tcW w:w="60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or units</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shares of</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units or</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shares,</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underlying</w:t>
            </w:r>
          </w:p>
        </w:tc>
        <w:tc>
          <w:tcPr>
            <w:tcW w:w="940" w:type="dxa"/>
            <w:vAlign w:val="bottom"/>
            <w:shd w:val="clear" w:color="auto" w:fill="000000"/>
          </w:tcPr>
          <w:p>
            <w:pPr>
              <w:jc w:val="right"/>
              <w:ind w:right="36"/>
              <w:spacing w:after="0" w:line="135" w:lineRule="exact"/>
              <w:rPr>
                <w:sz w:val="20"/>
                <w:szCs w:val="20"/>
                <w:color w:val="auto"/>
              </w:rPr>
            </w:pPr>
            <w:r>
              <w:rPr>
                <w:rFonts w:ascii="Arial" w:cs="Arial" w:eastAsia="Arial" w:hAnsi="Arial"/>
                <w:sz w:val="13"/>
                <w:szCs w:val="13"/>
                <w:b w:val="1"/>
                <w:bCs w:val="1"/>
                <w:color w:val="FFFFFF"/>
              </w:rPr>
              <w:t>underlying</w:t>
            </w: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underlying</w:t>
            </w:r>
          </w:p>
        </w:tc>
        <w:tc>
          <w:tcPr>
            <w:tcW w:w="600" w:type="dxa"/>
            <w:vAlign w:val="bottom"/>
            <w:vMerge w:val="restart"/>
            <w:shd w:val="clear" w:color="auto" w:fill="000000"/>
          </w:tcPr>
          <w:p>
            <w:pPr>
              <w:ind w:left="120"/>
              <w:spacing w:after="0"/>
              <w:rPr>
                <w:sz w:val="20"/>
                <w:szCs w:val="20"/>
                <w:color w:val="auto"/>
              </w:rPr>
            </w:pPr>
            <w:r>
              <w:rPr>
                <w:rFonts w:ascii="Arial" w:cs="Arial" w:eastAsia="Arial" w:hAnsi="Arial"/>
                <w:sz w:val="13"/>
                <w:szCs w:val="13"/>
                <w:b w:val="1"/>
                <w:bCs w:val="1"/>
                <w:color w:val="FFFFFF"/>
              </w:rPr>
              <w:t>Option</w:t>
            </w:r>
          </w:p>
        </w:tc>
        <w:tc>
          <w:tcPr>
            <w:tcW w:w="720" w:type="dxa"/>
            <w:vAlign w:val="bottom"/>
            <w:shd w:val="clear" w:color="auto" w:fill="000000"/>
          </w:tcPr>
          <w:p>
            <w:pPr>
              <w:spacing w:after="0"/>
              <w:rPr>
                <w:sz w:val="11"/>
                <w:szCs w:val="11"/>
                <w:color w:val="auto"/>
              </w:rPr>
            </w:pP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of stock</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units of</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other</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units or</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84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940" w:type="dxa"/>
            <w:vAlign w:val="bottom"/>
            <w:shd w:val="clear" w:color="auto" w:fill="000000"/>
          </w:tcPr>
          <w:p>
            <w:pPr>
              <w:jc w:val="right"/>
              <w:ind w:right="36"/>
              <w:spacing w:after="0" w:line="135" w:lineRule="exact"/>
              <w:rPr>
                <w:sz w:val="20"/>
                <w:szCs w:val="20"/>
                <w:color w:val="auto"/>
              </w:rPr>
            </w:pPr>
            <w:r>
              <w:rPr>
                <w:rFonts w:ascii="Arial" w:cs="Arial" w:eastAsia="Arial" w:hAnsi="Arial"/>
                <w:sz w:val="13"/>
                <w:szCs w:val="13"/>
                <w:b w:val="1"/>
                <w:bCs w:val="1"/>
                <w:color w:val="FFFFFF"/>
              </w:rPr>
              <w:t>unexercised</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unexercised</w:t>
            </w:r>
          </w:p>
        </w:tc>
        <w:tc>
          <w:tcPr>
            <w:tcW w:w="600" w:type="dxa"/>
            <w:vAlign w:val="bottom"/>
            <w:vMerge w:val="continue"/>
            <w:shd w:val="clear" w:color="auto" w:fill="000000"/>
          </w:tcPr>
          <w:p>
            <w:pPr>
              <w:spacing w:after="0"/>
              <w:rPr>
                <w:sz w:val="11"/>
                <w:szCs w:val="11"/>
                <w:color w:val="auto"/>
              </w:rPr>
            </w:pPr>
          </w:p>
        </w:tc>
        <w:tc>
          <w:tcPr>
            <w:tcW w:w="720" w:type="dxa"/>
            <w:vAlign w:val="bottom"/>
            <w:vMerge w:val="restart"/>
            <w:shd w:val="clear" w:color="auto" w:fill="000000"/>
          </w:tcPr>
          <w:p>
            <w:pPr>
              <w:jc w:val="right"/>
              <w:ind w:right="16"/>
              <w:spacing w:after="0"/>
              <w:rPr>
                <w:sz w:val="20"/>
                <w:szCs w:val="20"/>
                <w:color w:val="auto"/>
              </w:rPr>
            </w:pPr>
            <w:r>
              <w:rPr>
                <w:rFonts w:ascii="Arial" w:cs="Arial" w:eastAsia="Arial" w:hAnsi="Arial"/>
                <w:sz w:val="13"/>
                <w:szCs w:val="13"/>
                <w:b w:val="1"/>
                <w:bCs w:val="1"/>
                <w:color w:val="FFFFFF"/>
              </w:rPr>
              <w:t>Option</w:t>
            </w: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that</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stock that</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rights that</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other rights</w:t>
            </w:r>
          </w:p>
        </w:tc>
        <w:tc>
          <w:tcPr>
            <w:tcW w:w="0" w:type="dxa"/>
            <w:vAlign w:val="bottom"/>
          </w:tcPr>
          <w:p>
            <w:pPr>
              <w:spacing w:after="0"/>
              <w:rPr>
                <w:sz w:val="1"/>
                <w:szCs w:val="1"/>
                <w:color w:val="auto"/>
              </w:rPr>
            </w:pPr>
          </w:p>
        </w:tc>
      </w:tr>
      <w:tr>
        <w:trPr>
          <w:trHeight w:val="135"/>
        </w:trPr>
        <w:tc>
          <w:tcPr>
            <w:tcW w:w="84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54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FFFFF"/>
              </w:rPr>
              <w:t>Vesting</w:t>
            </w:r>
          </w:p>
        </w:tc>
        <w:tc>
          <w:tcPr>
            <w:tcW w:w="8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options</w:t>
            </w:r>
          </w:p>
        </w:tc>
        <w:tc>
          <w:tcPr>
            <w:tcW w:w="940" w:type="dxa"/>
            <w:vAlign w:val="bottom"/>
            <w:shd w:val="clear" w:color="auto" w:fill="000000"/>
          </w:tcPr>
          <w:p>
            <w:pPr>
              <w:jc w:val="right"/>
              <w:ind w:right="36"/>
              <w:spacing w:after="0" w:line="135" w:lineRule="exact"/>
              <w:rPr>
                <w:sz w:val="20"/>
                <w:szCs w:val="20"/>
                <w:color w:val="auto"/>
              </w:rPr>
            </w:pPr>
            <w:r>
              <w:rPr>
                <w:rFonts w:ascii="Arial" w:cs="Arial" w:eastAsia="Arial" w:hAnsi="Arial"/>
                <w:sz w:val="13"/>
                <w:szCs w:val="13"/>
                <w:b w:val="1"/>
                <w:bCs w:val="1"/>
                <w:color w:val="FFFFFF"/>
              </w:rPr>
              <w:t>options</w:t>
            </w: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unearned</w:t>
            </w:r>
          </w:p>
        </w:tc>
        <w:tc>
          <w:tcPr>
            <w:tcW w:w="60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exercise</w:t>
            </w:r>
          </w:p>
        </w:tc>
        <w:tc>
          <w:tcPr>
            <w:tcW w:w="720" w:type="dxa"/>
            <w:vAlign w:val="bottom"/>
            <w:vMerge w:val="continue"/>
            <w:shd w:val="clear" w:color="auto" w:fill="000000"/>
          </w:tcPr>
          <w:p>
            <w:pPr>
              <w:spacing w:after="0"/>
              <w:rPr>
                <w:sz w:val="11"/>
                <w:szCs w:val="11"/>
                <w:color w:val="auto"/>
              </w:rPr>
            </w:pP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have not</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have not</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have not</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that have</w:t>
            </w:r>
          </w:p>
        </w:tc>
        <w:tc>
          <w:tcPr>
            <w:tcW w:w="0" w:type="dxa"/>
            <w:vAlign w:val="bottom"/>
          </w:tcPr>
          <w:p>
            <w:pPr>
              <w:spacing w:after="0"/>
              <w:rPr>
                <w:sz w:val="1"/>
                <w:szCs w:val="1"/>
                <w:color w:val="auto"/>
              </w:rPr>
            </w:pPr>
          </w:p>
        </w:tc>
      </w:tr>
      <w:tr>
        <w:trPr>
          <w:trHeight w:val="135"/>
        </w:trPr>
        <w:tc>
          <w:tcPr>
            <w:tcW w:w="840" w:type="dxa"/>
            <w:vAlign w:val="bottom"/>
            <w:vMerge w:val="restart"/>
            <w:shd w:val="clear" w:color="auto" w:fill="000000"/>
          </w:tcPr>
          <w:p>
            <w:pPr>
              <w:ind w:left="80"/>
              <w:spacing w:after="0"/>
              <w:rPr>
                <w:sz w:val="20"/>
                <w:szCs w:val="20"/>
                <w:color w:val="auto"/>
              </w:rPr>
            </w:pPr>
            <w:r>
              <w:rPr>
                <w:rFonts w:ascii="Arial" w:cs="Arial" w:eastAsia="Arial" w:hAnsi="Arial"/>
                <w:sz w:val="13"/>
                <w:szCs w:val="13"/>
                <w:b w:val="1"/>
                <w:bCs w:val="1"/>
                <w:color w:val="FFFFFF"/>
              </w:rPr>
              <w:t>Name</w:t>
            </w:r>
          </w:p>
        </w:tc>
        <w:tc>
          <w:tcPr>
            <w:tcW w:w="8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FFFFF"/>
              </w:rPr>
              <w:t>Grant Date</w:t>
            </w:r>
          </w:p>
        </w:tc>
        <w:tc>
          <w:tcPr>
            <w:tcW w:w="540" w:type="dxa"/>
            <w:vAlign w:val="bottom"/>
            <w:vMerge w:val="continue"/>
            <w:shd w:val="clear" w:color="auto" w:fill="000000"/>
          </w:tcPr>
          <w:p>
            <w:pPr>
              <w:spacing w:after="0"/>
              <w:rPr>
                <w:sz w:val="11"/>
                <w:szCs w:val="11"/>
                <w:color w:val="auto"/>
              </w:rPr>
            </w:pPr>
          </w:p>
        </w:tc>
        <w:tc>
          <w:tcPr>
            <w:tcW w:w="840" w:type="dxa"/>
            <w:vAlign w:val="bottom"/>
            <w:shd w:val="clear" w:color="auto" w:fill="000000"/>
          </w:tcPr>
          <w:p>
            <w:pPr>
              <w:jc w:val="right"/>
              <w:ind w:right="15"/>
              <w:spacing w:after="0" w:line="135" w:lineRule="exact"/>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000000"/>
          </w:tcPr>
          <w:p>
            <w:pPr>
              <w:jc w:val="right"/>
              <w:ind w:right="36"/>
              <w:spacing w:after="0" w:line="135" w:lineRule="exact"/>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options</w:t>
            </w:r>
          </w:p>
        </w:tc>
        <w:tc>
          <w:tcPr>
            <w:tcW w:w="600" w:type="dxa"/>
            <w:vAlign w:val="bottom"/>
            <w:shd w:val="clear" w:color="auto" w:fill="000000"/>
          </w:tcPr>
          <w:p>
            <w:pPr>
              <w:ind w:left="220"/>
              <w:spacing w:after="0" w:line="135" w:lineRule="exact"/>
              <w:rPr>
                <w:sz w:val="20"/>
                <w:szCs w:val="20"/>
                <w:color w:val="auto"/>
              </w:rPr>
            </w:pPr>
            <w:r>
              <w:rPr>
                <w:rFonts w:ascii="Arial" w:cs="Arial" w:eastAsia="Arial" w:hAnsi="Arial"/>
                <w:sz w:val="13"/>
                <w:szCs w:val="13"/>
                <w:b w:val="1"/>
                <w:bCs w:val="1"/>
                <w:color w:val="FFFFFF"/>
              </w:rPr>
              <w:t>price</w:t>
            </w:r>
          </w:p>
        </w:tc>
        <w:tc>
          <w:tcPr>
            <w:tcW w:w="72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expiration</w:t>
            </w:r>
          </w:p>
        </w:tc>
        <w:tc>
          <w:tcPr>
            <w:tcW w:w="720" w:type="dxa"/>
            <w:vAlign w:val="bottom"/>
            <w:shd w:val="clear" w:color="auto" w:fill="000000"/>
          </w:tcPr>
          <w:p>
            <w:pPr>
              <w:jc w:val="right"/>
              <w:ind w:right="35"/>
              <w:spacing w:after="0" w:line="135" w:lineRule="exact"/>
              <w:rPr>
                <w:sz w:val="20"/>
                <w:szCs w:val="20"/>
                <w:color w:val="auto"/>
              </w:rPr>
            </w:pPr>
            <w:r>
              <w:rPr>
                <w:rFonts w:ascii="Arial" w:cs="Arial" w:eastAsia="Arial" w:hAnsi="Arial"/>
                <w:sz w:val="13"/>
                <w:szCs w:val="13"/>
                <w:b w:val="1"/>
                <w:bCs w:val="1"/>
                <w:color w:val="FFFFFF"/>
              </w:rPr>
              <w:t>vested</w:t>
            </w:r>
          </w:p>
        </w:tc>
        <w:tc>
          <w:tcPr>
            <w:tcW w:w="740" w:type="dxa"/>
            <w:vAlign w:val="bottom"/>
            <w:shd w:val="clear" w:color="auto" w:fill="000000"/>
          </w:tcPr>
          <w:p>
            <w:pPr>
              <w:jc w:val="right"/>
              <w:ind w:right="16"/>
              <w:spacing w:after="0" w:line="135" w:lineRule="exact"/>
              <w:rPr>
                <w:sz w:val="20"/>
                <w:szCs w:val="20"/>
                <w:color w:val="auto"/>
              </w:rPr>
            </w:pPr>
            <w:r>
              <w:rPr>
                <w:rFonts w:ascii="Arial" w:cs="Arial" w:eastAsia="Arial" w:hAnsi="Arial"/>
                <w:sz w:val="13"/>
                <w:szCs w:val="13"/>
                <w:b w:val="1"/>
                <w:bCs w:val="1"/>
                <w:color w:val="FFFFFF"/>
              </w:rPr>
              <w:t>vested</w:t>
            </w:r>
          </w:p>
        </w:tc>
        <w:tc>
          <w:tcPr>
            <w:tcW w:w="920" w:type="dxa"/>
            <w:vAlign w:val="bottom"/>
            <w:shd w:val="clear" w:color="auto" w:fill="000000"/>
          </w:tcPr>
          <w:p>
            <w:pPr>
              <w:jc w:val="right"/>
              <w:ind w:right="37"/>
              <w:spacing w:after="0" w:line="135" w:lineRule="exact"/>
              <w:rPr>
                <w:sz w:val="20"/>
                <w:szCs w:val="20"/>
                <w:color w:val="auto"/>
              </w:rPr>
            </w:pPr>
            <w:r>
              <w:rPr>
                <w:rFonts w:ascii="Arial" w:cs="Arial" w:eastAsia="Arial" w:hAnsi="Arial"/>
                <w:sz w:val="13"/>
                <w:szCs w:val="13"/>
                <w:b w:val="1"/>
                <w:bCs w:val="1"/>
                <w:color w:val="FFFFFF"/>
              </w:rPr>
              <w:t>vested</w:t>
            </w:r>
          </w:p>
        </w:tc>
        <w:tc>
          <w:tcPr>
            <w:tcW w:w="860" w:type="dxa"/>
            <w:vAlign w:val="bottom"/>
            <w:shd w:val="clear" w:color="auto" w:fill="000000"/>
          </w:tcPr>
          <w:p>
            <w:pPr>
              <w:jc w:val="right"/>
              <w:spacing w:after="0" w:line="135" w:lineRule="exact"/>
              <w:rPr>
                <w:sz w:val="20"/>
                <w:szCs w:val="20"/>
                <w:color w:val="auto"/>
              </w:rPr>
            </w:pPr>
            <w:r>
              <w:rPr>
                <w:rFonts w:ascii="Arial" w:cs="Arial" w:eastAsia="Arial" w:hAnsi="Arial"/>
                <w:sz w:val="13"/>
                <w:szCs w:val="13"/>
                <w:b w:val="1"/>
                <w:bCs w:val="1"/>
                <w:color w:val="FFFFFF"/>
              </w:rPr>
              <w:t>not vested</w:t>
            </w:r>
          </w:p>
        </w:tc>
        <w:tc>
          <w:tcPr>
            <w:tcW w:w="0" w:type="dxa"/>
            <w:vAlign w:val="bottom"/>
          </w:tcPr>
          <w:p>
            <w:pPr>
              <w:spacing w:after="0"/>
              <w:rPr>
                <w:sz w:val="1"/>
                <w:szCs w:val="1"/>
                <w:color w:val="auto"/>
              </w:rPr>
            </w:pPr>
          </w:p>
        </w:tc>
      </w:tr>
      <w:tr>
        <w:trPr>
          <w:trHeight w:val="270"/>
        </w:trPr>
        <w:tc>
          <w:tcPr>
            <w:tcW w:w="840" w:type="dxa"/>
            <w:vAlign w:val="bottom"/>
            <w:vMerge w:val="continue"/>
            <w:shd w:val="clear" w:color="auto" w:fill="000000"/>
          </w:tcPr>
          <w:p>
            <w:pPr>
              <w:spacing w:after="0"/>
              <w:rPr>
                <w:sz w:val="23"/>
                <w:szCs w:val="23"/>
                <w:color w:val="auto"/>
              </w:rPr>
            </w:pPr>
          </w:p>
        </w:tc>
        <w:tc>
          <w:tcPr>
            <w:tcW w:w="820" w:type="dxa"/>
            <w:vAlign w:val="bottom"/>
            <w:vMerge w:val="continue"/>
            <w:shd w:val="clear" w:color="auto" w:fill="000000"/>
          </w:tcPr>
          <w:p>
            <w:pPr>
              <w:spacing w:after="0"/>
              <w:rPr>
                <w:sz w:val="23"/>
                <w:szCs w:val="23"/>
                <w:color w:val="auto"/>
              </w:rPr>
            </w:pPr>
          </w:p>
        </w:tc>
        <w:tc>
          <w:tcPr>
            <w:tcW w:w="5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Date</w:t>
            </w:r>
          </w:p>
        </w:tc>
        <w:tc>
          <w:tcPr>
            <w:tcW w:w="8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exercisable</w:t>
            </w: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w w:val="99"/>
              </w:rPr>
              <w:t>unexercisable</w:t>
            </w:r>
          </w:p>
        </w:tc>
        <w:tc>
          <w:tcPr>
            <w:tcW w:w="8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6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date</w:t>
            </w:r>
          </w:p>
        </w:tc>
        <w:tc>
          <w:tcPr>
            <w:tcW w:w="7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00000"/>
          </w:tcPr>
          <w:p>
            <w:pPr>
              <w:jc w:val="right"/>
              <w:spacing w:after="0" w:line="270"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(1)</w:t>
            </w:r>
          </w:p>
        </w:tc>
        <w:tc>
          <w:tcPr>
            <w:tcW w:w="9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0000"/>
          </w:tcPr>
          <w:p>
            <w:pPr>
              <w:jc w:val="right"/>
              <w:spacing w:after="0" w:line="270"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0"/>
                <w:szCs w:val="10"/>
                <w:b w:val="1"/>
                <w:bCs w:val="1"/>
                <w:color w:val="FFFFFF"/>
              </w:rPr>
              <w:t>(1)</w:t>
            </w:r>
          </w:p>
        </w:tc>
        <w:tc>
          <w:tcPr>
            <w:tcW w:w="0" w:type="dxa"/>
            <w:vAlign w:val="bottom"/>
          </w:tcPr>
          <w:p>
            <w:pPr>
              <w:spacing w:after="0"/>
              <w:rPr>
                <w:sz w:val="1"/>
                <w:szCs w:val="1"/>
                <w:color w:val="auto"/>
              </w:rPr>
            </w:pPr>
          </w:p>
        </w:tc>
      </w:tr>
      <w:tr>
        <w:trPr>
          <w:trHeight w:val="194"/>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Douglas</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8/26/2021</w:t>
            </w:r>
          </w:p>
        </w:tc>
        <w:tc>
          <w:tcPr>
            <w:tcW w:w="540" w:type="dxa"/>
            <w:vAlign w:val="bottom"/>
          </w:tcPr>
          <w:p>
            <w:pPr>
              <w:jc w:val="right"/>
              <w:spacing w:after="0"/>
              <w:rPr>
                <w:sz w:val="20"/>
                <w:szCs w:val="20"/>
                <w:color w:val="auto"/>
              </w:rPr>
            </w:pPr>
            <w:r>
              <w:rPr>
                <w:rFonts w:ascii="Arial" w:cs="Arial" w:eastAsia="Arial" w:hAnsi="Arial"/>
                <w:sz w:val="10"/>
                <w:szCs w:val="10"/>
                <w:color w:val="auto"/>
              </w:rPr>
              <w:t>(2)</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3"/>
                <w:szCs w:val="13"/>
                <w:color w:val="auto"/>
              </w:rPr>
              <w:t>10,094</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7,271</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84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Francis</w:t>
            </w:r>
          </w:p>
        </w:tc>
        <w:tc>
          <w:tcPr>
            <w:tcW w:w="820" w:type="dxa"/>
            <w:vAlign w:val="bottom"/>
            <w:tcBorders>
              <w:bottom w:val="single" w:sz="8" w:color="999999"/>
            </w:tcBorders>
          </w:tcPr>
          <w:p>
            <w:pPr>
              <w:spacing w:after="0"/>
              <w:rPr>
                <w:sz w:val="5"/>
                <w:szCs w:val="5"/>
                <w:color w:val="auto"/>
              </w:rPr>
            </w:pPr>
          </w:p>
        </w:tc>
        <w:tc>
          <w:tcPr>
            <w:tcW w:w="540" w:type="dxa"/>
            <w:vAlign w:val="bottom"/>
            <w:tcBorders>
              <w:bottom w:val="single" w:sz="8" w:color="999999"/>
            </w:tcBorders>
          </w:tcPr>
          <w:p>
            <w:pPr>
              <w:spacing w:after="0"/>
              <w:rPr>
                <w:sz w:val="5"/>
                <w:szCs w:val="5"/>
                <w:color w:val="auto"/>
              </w:rPr>
            </w:pPr>
          </w:p>
        </w:tc>
        <w:tc>
          <w:tcPr>
            <w:tcW w:w="840" w:type="dxa"/>
            <w:vAlign w:val="bottom"/>
            <w:tcBorders>
              <w:bottom w:val="single" w:sz="8" w:color="999999"/>
            </w:tcBorders>
          </w:tcPr>
          <w:p>
            <w:pPr>
              <w:spacing w:after="0"/>
              <w:rPr>
                <w:sz w:val="5"/>
                <w:szCs w:val="5"/>
                <w:color w:val="auto"/>
              </w:rPr>
            </w:pPr>
          </w:p>
        </w:tc>
        <w:tc>
          <w:tcPr>
            <w:tcW w:w="940" w:type="dxa"/>
            <w:vAlign w:val="bottom"/>
            <w:tcBorders>
              <w:bottom w:val="single" w:sz="8" w:color="999999"/>
            </w:tcBorders>
          </w:tcPr>
          <w:p>
            <w:pPr>
              <w:spacing w:after="0"/>
              <w:rPr>
                <w:sz w:val="5"/>
                <w:szCs w:val="5"/>
                <w:color w:val="auto"/>
              </w:rPr>
            </w:pPr>
          </w:p>
        </w:tc>
        <w:tc>
          <w:tcPr>
            <w:tcW w:w="860" w:type="dxa"/>
            <w:vAlign w:val="bottom"/>
            <w:tcBorders>
              <w:bottom w:val="single" w:sz="8" w:color="999999"/>
            </w:tcBorders>
          </w:tcPr>
          <w:p>
            <w:pPr>
              <w:spacing w:after="0"/>
              <w:rPr>
                <w:sz w:val="5"/>
                <w:szCs w:val="5"/>
                <w:color w:val="auto"/>
              </w:rPr>
            </w:pPr>
          </w:p>
        </w:tc>
        <w:tc>
          <w:tcPr>
            <w:tcW w:w="60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720" w:type="dxa"/>
            <w:vAlign w:val="bottom"/>
            <w:tcBorders>
              <w:bottom w:val="single" w:sz="8" w:color="999999"/>
            </w:tcBorders>
          </w:tcPr>
          <w:p>
            <w:pPr>
              <w:spacing w:after="0"/>
              <w:rPr>
                <w:sz w:val="5"/>
                <w:szCs w:val="5"/>
                <w:color w:val="auto"/>
              </w:rPr>
            </w:pPr>
          </w:p>
        </w:tc>
        <w:tc>
          <w:tcPr>
            <w:tcW w:w="740" w:type="dxa"/>
            <w:vAlign w:val="bottom"/>
            <w:tcBorders>
              <w:bottom w:val="single" w:sz="8" w:color="999999"/>
            </w:tcBorders>
          </w:tcPr>
          <w:p>
            <w:pPr>
              <w:spacing w:after="0"/>
              <w:rPr>
                <w:sz w:val="5"/>
                <w:szCs w:val="5"/>
                <w:color w:val="auto"/>
              </w:rPr>
            </w:pPr>
          </w:p>
        </w:tc>
        <w:tc>
          <w:tcPr>
            <w:tcW w:w="920" w:type="dxa"/>
            <w:vAlign w:val="bottom"/>
            <w:tcBorders>
              <w:bottom w:val="single" w:sz="8" w:color="999999"/>
            </w:tcBorders>
          </w:tcPr>
          <w:p>
            <w:pPr>
              <w:spacing w:after="0"/>
              <w:rPr>
                <w:sz w:val="5"/>
                <w:szCs w:val="5"/>
                <w:color w:val="auto"/>
              </w:rPr>
            </w:pPr>
          </w:p>
        </w:tc>
        <w:tc>
          <w:tcPr>
            <w:tcW w:w="860" w:type="dxa"/>
            <w:vAlign w:val="bottom"/>
            <w:tcBorders>
              <w:bottom w:val="single" w:sz="8" w:color="999999"/>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4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40" w:type="dxa"/>
            <w:vAlign w:val="bottom"/>
          </w:tcPr>
          <w:p>
            <w:pPr>
              <w:spacing w:after="0"/>
              <w:rPr>
                <w:sz w:val="16"/>
                <w:szCs w:val="16"/>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3"/>
                <w:szCs w:val="13"/>
                <w:color w:val="auto"/>
              </w:rPr>
              <w:t>12/11/2021</w:t>
            </w:r>
          </w:p>
        </w:tc>
        <w:tc>
          <w:tcPr>
            <w:tcW w:w="540" w:type="dxa"/>
            <w:vAlign w:val="bottom"/>
          </w:tcPr>
          <w:p>
            <w:pPr>
              <w:jc w:val="right"/>
              <w:spacing w:after="0"/>
              <w:rPr>
                <w:sz w:val="20"/>
                <w:szCs w:val="20"/>
                <w:color w:val="auto"/>
              </w:rPr>
            </w:pPr>
            <w:r>
              <w:rPr>
                <w:rFonts w:ascii="Arial" w:cs="Arial" w:eastAsia="Arial" w:hAnsi="Arial"/>
                <w:sz w:val="10"/>
                <w:szCs w:val="10"/>
                <w:color w:val="auto"/>
              </w:rPr>
              <w:t>(8)</w:t>
            </w:r>
          </w:p>
        </w:tc>
        <w:tc>
          <w:tcPr>
            <w:tcW w:w="840" w:type="dxa"/>
            <w:vAlign w:val="bottom"/>
          </w:tcPr>
          <w:p>
            <w:pPr>
              <w:spacing w:after="0"/>
              <w:rPr>
                <w:sz w:val="16"/>
                <w:szCs w:val="16"/>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vMerge w:val="restart"/>
          </w:tcPr>
          <w:p>
            <w:pPr>
              <w:jc w:val="right"/>
              <w:ind w:right="117"/>
              <w:spacing w:after="0"/>
              <w:rPr>
                <w:sz w:val="20"/>
                <w:szCs w:val="20"/>
                <w:color w:val="auto"/>
              </w:rPr>
            </w:pPr>
            <w:r>
              <w:rPr>
                <w:rFonts w:ascii="Arial" w:cs="Arial" w:eastAsia="Arial" w:hAnsi="Arial"/>
                <w:sz w:val="13"/>
                <w:szCs w:val="13"/>
                <w:color w:val="auto"/>
              </w:rPr>
              <w:t>52,734</w:t>
            </w:r>
          </w:p>
        </w:tc>
        <w:tc>
          <w:tcPr>
            <w:tcW w:w="860" w:type="dxa"/>
            <w:vAlign w:val="bottom"/>
            <w:vMerge w:val="restart"/>
          </w:tcPr>
          <w:p>
            <w:pPr>
              <w:jc w:val="right"/>
              <w:ind w:right="57"/>
              <w:spacing w:after="0"/>
              <w:rPr>
                <w:sz w:val="20"/>
                <w:szCs w:val="20"/>
                <w:color w:val="auto"/>
              </w:rPr>
            </w:pPr>
            <w:r>
              <w:rPr>
                <w:rFonts w:ascii="Arial" w:cs="Arial" w:eastAsia="Arial" w:hAnsi="Arial"/>
                <w:sz w:val="13"/>
                <w:szCs w:val="13"/>
                <w:color w:val="auto"/>
              </w:rPr>
              <w:t>37,984</w:t>
            </w: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tcPr>
          <w:p>
            <w:pPr>
              <w:spacing w:after="0"/>
              <w:rPr>
                <w:sz w:val="8"/>
                <w:szCs w:val="8"/>
                <w:color w:val="auto"/>
              </w:rPr>
            </w:pP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3"/>
                <w:szCs w:val="13"/>
                <w:color w:val="auto"/>
              </w:rPr>
              <w:t>12/11/2021</w:t>
            </w:r>
          </w:p>
        </w:tc>
        <w:tc>
          <w:tcPr>
            <w:tcW w:w="540" w:type="dxa"/>
            <w:vAlign w:val="bottom"/>
          </w:tcPr>
          <w:p>
            <w:pPr>
              <w:jc w:val="right"/>
              <w:spacing w:after="0"/>
              <w:rPr>
                <w:sz w:val="20"/>
                <w:szCs w:val="20"/>
                <w:color w:val="auto"/>
              </w:rPr>
            </w:pPr>
            <w:r>
              <w:rPr>
                <w:rFonts w:ascii="Arial" w:cs="Arial" w:eastAsia="Arial" w:hAnsi="Arial"/>
                <w:sz w:val="10"/>
                <w:szCs w:val="10"/>
                <w:color w:val="auto"/>
              </w:rPr>
              <w:t>(6)</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3"/>
                <w:szCs w:val="13"/>
                <w:color w:val="auto"/>
              </w:rPr>
              <w:t>58,596</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42,207</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Brian</w:t>
            </w: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9/30/2023</w:t>
            </w:r>
          </w:p>
        </w:tc>
        <w:tc>
          <w:tcPr>
            <w:tcW w:w="540" w:type="dxa"/>
            <w:vAlign w:val="bottom"/>
          </w:tcPr>
          <w:p>
            <w:pPr>
              <w:jc w:val="right"/>
              <w:spacing w:after="0"/>
              <w:rPr>
                <w:sz w:val="20"/>
                <w:szCs w:val="20"/>
                <w:color w:val="auto"/>
              </w:rPr>
            </w:pPr>
            <w:r>
              <w:rPr>
                <w:rFonts w:ascii="Arial" w:cs="Arial" w:eastAsia="Arial" w:hAnsi="Arial"/>
                <w:sz w:val="10"/>
                <w:szCs w:val="10"/>
                <w:color w:val="auto"/>
              </w:rPr>
              <w:t>(7)</w:t>
            </w: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vMerge w:val="restart"/>
          </w:tcPr>
          <w:p>
            <w:pPr>
              <w:jc w:val="right"/>
              <w:ind w:right="95"/>
              <w:spacing w:after="0"/>
              <w:rPr>
                <w:sz w:val="20"/>
                <w:szCs w:val="20"/>
                <w:color w:val="auto"/>
              </w:rPr>
            </w:pPr>
            <w:r>
              <w:rPr>
                <w:rFonts w:ascii="Arial" w:cs="Arial" w:eastAsia="Arial" w:hAnsi="Arial"/>
                <w:sz w:val="13"/>
                <w:szCs w:val="13"/>
                <w:color w:val="auto"/>
              </w:rPr>
              <w:t>600,846</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432,789</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Camire</w:t>
            </w:r>
          </w:p>
        </w:tc>
        <w:tc>
          <w:tcPr>
            <w:tcW w:w="8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840" w:type="dxa"/>
            <w:vAlign w:val="bottom"/>
            <w:vMerge w:val="continue"/>
          </w:tcPr>
          <w:p>
            <w:pPr>
              <w:spacing w:after="0"/>
              <w:rPr>
                <w:sz w:val="7"/>
                <w:szCs w:val="7"/>
                <w:color w:val="auto"/>
              </w:rPr>
            </w:pPr>
          </w:p>
        </w:tc>
        <w:tc>
          <w:tcPr>
            <w:tcW w:w="820" w:type="dxa"/>
            <w:vAlign w:val="bottom"/>
            <w:tcBorders>
              <w:bottom w:val="single" w:sz="8" w:color="999999"/>
            </w:tcBorders>
          </w:tcPr>
          <w:p>
            <w:pPr>
              <w:spacing w:after="0"/>
              <w:rPr>
                <w:sz w:val="7"/>
                <w:szCs w:val="7"/>
                <w:color w:val="auto"/>
              </w:rPr>
            </w:pPr>
          </w:p>
        </w:tc>
        <w:tc>
          <w:tcPr>
            <w:tcW w:w="54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860" w:type="dxa"/>
            <w:vAlign w:val="bottom"/>
            <w:tcBorders>
              <w:bottom w:val="single" w:sz="8" w:color="999999"/>
            </w:tcBorders>
          </w:tcPr>
          <w:p>
            <w:pPr>
              <w:spacing w:after="0"/>
              <w:rPr>
                <w:sz w:val="7"/>
                <w:szCs w:val="7"/>
                <w:color w:val="auto"/>
              </w:rPr>
            </w:pPr>
          </w:p>
        </w:tc>
        <w:tc>
          <w:tcPr>
            <w:tcW w:w="60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8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840" w:type="dxa"/>
            <w:vAlign w:val="bottom"/>
          </w:tcPr>
          <w:p>
            <w:pPr>
              <w:spacing w:after="0"/>
              <w:rPr>
                <w:sz w:val="16"/>
                <w:szCs w:val="16"/>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12/8/2020</w:t>
            </w:r>
          </w:p>
        </w:tc>
        <w:tc>
          <w:tcPr>
            <w:tcW w:w="540" w:type="dxa"/>
            <w:vAlign w:val="bottom"/>
          </w:tcPr>
          <w:p>
            <w:pPr>
              <w:jc w:val="right"/>
              <w:spacing w:after="0"/>
              <w:rPr>
                <w:sz w:val="20"/>
                <w:szCs w:val="20"/>
                <w:color w:val="auto"/>
              </w:rPr>
            </w:pPr>
            <w:r>
              <w:rPr>
                <w:rFonts w:ascii="Arial" w:cs="Arial" w:eastAsia="Arial" w:hAnsi="Arial"/>
                <w:sz w:val="10"/>
                <w:szCs w:val="10"/>
                <w:color w:val="auto"/>
              </w:rPr>
              <w:t>(10)</w:t>
            </w:r>
          </w:p>
        </w:tc>
        <w:tc>
          <w:tcPr>
            <w:tcW w:w="840" w:type="dxa"/>
            <w:vAlign w:val="bottom"/>
            <w:vMerge w:val="restart"/>
          </w:tcPr>
          <w:p>
            <w:pPr>
              <w:jc w:val="right"/>
              <w:ind w:right="55"/>
              <w:spacing w:after="0"/>
              <w:rPr>
                <w:sz w:val="20"/>
                <w:szCs w:val="20"/>
                <w:color w:val="auto"/>
              </w:rPr>
            </w:pPr>
            <w:r>
              <w:rPr>
                <w:rFonts w:ascii="Arial" w:cs="Arial" w:eastAsia="Arial" w:hAnsi="Arial"/>
                <w:sz w:val="13"/>
                <w:szCs w:val="13"/>
                <w:color w:val="auto"/>
              </w:rPr>
              <w:t>185,933</w:t>
            </w:r>
          </w:p>
        </w:tc>
        <w:tc>
          <w:tcPr>
            <w:tcW w:w="940" w:type="dxa"/>
            <w:vAlign w:val="bottom"/>
            <w:vMerge w:val="restart"/>
          </w:tcPr>
          <w:p>
            <w:pPr>
              <w:jc w:val="right"/>
              <w:ind w:right="76"/>
              <w:spacing w:after="0"/>
              <w:rPr>
                <w:sz w:val="20"/>
                <w:szCs w:val="20"/>
                <w:color w:val="auto"/>
              </w:rPr>
            </w:pPr>
            <w:r>
              <w:rPr>
                <w:rFonts w:ascii="Arial" w:cs="Arial" w:eastAsia="Arial" w:hAnsi="Arial"/>
                <w:sz w:val="13"/>
                <w:szCs w:val="13"/>
                <w:color w:val="auto"/>
              </w:rPr>
              <w:t>61,976</w:t>
            </w:r>
          </w:p>
        </w:tc>
        <w:tc>
          <w:tcPr>
            <w:tcW w:w="8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10.00</w:t>
            </w: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tcPr>
          <w:p>
            <w:pPr>
              <w:spacing w:after="0"/>
              <w:rPr>
                <w:sz w:val="8"/>
                <w:szCs w:val="8"/>
                <w:color w:val="auto"/>
              </w:rPr>
            </w:pP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11/12/2019</w:t>
            </w:r>
          </w:p>
        </w:tc>
        <w:tc>
          <w:tcPr>
            <w:tcW w:w="540" w:type="dxa"/>
            <w:vAlign w:val="bottom"/>
          </w:tcPr>
          <w:p>
            <w:pPr>
              <w:spacing w:after="0"/>
              <w:rPr>
                <w:sz w:val="23"/>
                <w:szCs w:val="23"/>
                <w:color w:val="auto"/>
              </w:rPr>
            </w:pPr>
          </w:p>
        </w:tc>
        <w:tc>
          <w:tcPr>
            <w:tcW w:w="840" w:type="dxa"/>
            <w:vAlign w:val="bottom"/>
          </w:tcPr>
          <w:p>
            <w:pPr>
              <w:jc w:val="right"/>
              <w:ind w:right="55"/>
              <w:spacing w:after="0"/>
              <w:rPr>
                <w:sz w:val="20"/>
                <w:szCs w:val="20"/>
                <w:color w:val="auto"/>
              </w:rPr>
            </w:pPr>
            <w:r>
              <w:rPr>
                <w:rFonts w:ascii="Arial" w:cs="Arial" w:eastAsia="Arial" w:hAnsi="Arial"/>
                <w:sz w:val="13"/>
                <w:szCs w:val="13"/>
                <w:color w:val="auto"/>
              </w:rPr>
              <w:t>433,840</w:t>
            </w:r>
          </w:p>
        </w:tc>
        <w:tc>
          <w:tcPr>
            <w:tcW w:w="940" w:type="dxa"/>
            <w:vAlign w:val="bottom"/>
          </w:tcPr>
          <w:p>
            <w:pPr>
              <w:jc w:val="right"/>
              <w:ind w:right="76"/>
              <w:spacing w:after="0"/>
              <w:rPr>
                <w:sz w:val="20"/>
                <w:szCs w:val="20"/>
                <w:color w:val="auto"/>
              </w:rPr>
            </w:pPr>
            <w:r>
              <w:rPr>
                <w:rFonts w:ascii="Arial" w:cs="Arial" w:eastAsia="Arial" w:hAnsi="Arial"/>
                <w:sz w:val="13"/>
                <w:szCs w:val="13"/>
                <w:color w:val="auto"/>
              </w:rPr>
              <w:t>0</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tcPr>
          <w:p>
            <w:pPr>
              <w:ind w:left="220"/>
              <w:spacing w:after="0"/>
              <w:rPr>
                <w:sz w:val="20"/>
                <w:szCs w:val="20"/>
                <w:color w:val="auto"/>
              </w:rPr>
            </w:pPr>
            <w:r>
              <w:rPr>
                <w:rFonts w:ascii="Arial" w:cs="Arial" w:eastAsia="Arial" w:hAnsi="Arial"/>
                <w:sz w:val="13"/>
                <w:szCs w:val="13"/>
                <w:color w:val="auto"/>
              </w:rPr>
              <w:t>8.03</w:t>
            </w: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3/1/2022</w:t>
            </w:r>
          </w:p>
        </w:tc>
        <w:tc>
          <w:tcPr>
            <w:tcW w:w="540" w:type="dxa"/>
            <w:vAlign w:val="bottom"/>
          </w:tcPr>
          <w:p>
            <w:pPr>
              <w:jc w:val="right"/>
              <w:spacing w:after="0"/>
              <w:rPr>
                <w:sz w:val="20"/>
                <w:szCs w:val="20"/>
                <w:color w:val="auto"/>
              </w:rPr>
            </w:pPr>
            <w:r>
              <w:rPr>
                <w:rFonts w:ascii="Arial" w:cs="Arial" w:eastAsia="Arial" w:hAnsi="Arial"/>
                <w:sz w:val="10"/>
                <w:szCs w:val="10"/>
                <w:color w:val="auto"/>
              </w:rPr>
              <w:t>(4)</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3"/>
                <w:szCs w:val="13"/>
                <w:color w:val="auto"/>
              </w:rPr>
              <w:t>29,353</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21,143</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tcPr>
          <w:p>
            <w:pPr>
              <w:spacing w:after="0"/>
              <w:rPr>
                <w:sz w:val="8"/>
                <w:szCs w:val="8"/>
                <w:color w:val="auto"/>
              </w:rPr>
            </w:pP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9/30/2023</w:t>
            </w:r>
          </w:p>
        </w:tc>
        <w:tc>
          <w:tcPr>
            <w:tcW w:w="540" w:type="dxa"/>
            <w:vAlign w:val="bottom"/>
          </w:tcPr>
          <w:p>
            <w:pPr>
              <w:jc w:val="right"/>
              <w:spacing w:after="0"/>
              <w:rPr>
                <w:sz w:val="20"/>
                <w:szCs w:val="20"/>
                <w:color w:val="auto"/>
              </w:rPr>
            </w:pPr>
            <w:r>
              <w:rPr>
                <w:rFonts w:ascii="Arial" w:cs="Arial" w:eastAsia="Arial" w:hAnsi="Arial"/>
                <w:sz w:val="10"/>
                <w:szCs w:val="10"/>
                <w:color w:val="auto"/>
              </w:rPr>
              <w:t>(5)</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vMerge w:val="restart"/>
          </w:tcPr>
          <w:p>
            <w:pPr>
              <w:jc w:val="right"/>
              <w:ind w:right="95"/>
              <w:spacing w:after="0"/>
              <w:rPr>
                <w:sz w:val="20"/>
                <w:szCs w:val="20"/>
                <w:color w:val="auto"/>
              </w:rPr>
            </w:pPr>
            <w:r>
              <w:rPr>
                <w:rFonts w:ascii="Arial" w:cs="Arial" w:eastAsia="Arial" w:hAnsi="Arial"/>
                <w:sz w:val="13"/>
                <w:szCs w:val="13"/>
                <w:color w:val="auto"/>
              </w:rPr>
              <w:t>635,221</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457,550</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Duncan</w:t>
            </w: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40" w:type="dxa"/>
            <w:vAlign w:val="bottom"/>
            <w:vMerge w:val="continue"/>
          </w:tcPr>
          <w:p>
            <w:pPr>
              <w:spacing w:after="0"/>
              <w:rPr>
                <w:sz w:val="14"/>
                <w:szCs w:val="14"/>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8/30/2021</w:t>
            </w:r>
          </w:p>
        </w:tc>
        <w:tc>
          <w:tcPr>
            <w:tcW w:w="540" w:type="dxa"/>
            <w:vAlign w:val="bottom"/>
          </w:tcPr>
          <w:p>
            <w:pPr>
              <w:jc w:val="right"/>
              <w:spacing w:after="0"/>
              <w:rPr>
                <w:sz w:val="20"/>
                <w:szCs w:val="20"/>
                <w:color w:val="auto"/>
              </w:rPr>
            </w:pPr>
            <w:r>
              <w:rPr>
                <w:rFonts w:ascii="Arial" w:cs="Arial" w:eastAsia="Arial" w:hAnsi="Arial"/>
                <w:sz w:val="10"/>
                <w:szCs w:val="10"/>
                <w:color w:val="auto"/>
              </w:rPr>
              <w:t>(3)</w:t>
            </w: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4"/>
                <w:szCs w:val="14"/>
                <w:color w:val="auto"/>
              </w:rPr>
            </w:pPr>
          </w:p>
        </w:tc>
        <w:tc>
          <w:tcPr>
            <w:tcW w:w="720" w:type="dxa"/>
            <w:vAlign w:val="bottom"/>
            <w:vMerge w:val="restart"/>
          </w:tcPr>
          <w:p>
            <w:pPr>
              <w:jc w:val="right"/>
              <w:ind w:right="115"/>
              <w:spacing w:after="0"/>
              <w:rPr>
                <w:sz w:val="20"/>
                <w:szCs w:val="20"/>
                <w:color w:val="auto"/>
              </w:rPr>
            </w:pPr>
            <w:r>
              <w:rPr>
                <w:rFonts w:ascii="Arial" w:cs="Arial" w:eastAsia="Arial" w:hAnsi="Arial"/>
                <w:sz w:val="13"/>
                <w:szCs w:val="13"/>
                <w:color w:val="auto"/>
              </w:rPr>
              <w:t>35,553</w:t>
            </w:r>
          </w:p>
        </w:tc>
        <w:tc>
          <w:tcPr>
            <w:tcW w:w="740" w:type="dxa"/>
            <w:vAlign w:val="bottom"/>
            <w:vMerge w:val="restart"/>
          </w:tcPr>
          <w:p>
            <w:pPr>
              <w:jc w:val="right"/>
              <w:ind w:right="76"/>
              <w:spacing w:after="0"/>
              <w:rPr>
                <w:sz w:val="20"/>
                <w:szCs w:val="20"/>
                <w:color w:val="auto"/>
              </w:rPr>
            </w:pPr>
            <w:r>
              <w:rPr>
                <w:rFonts w:ascii="Arial" w:cs="Arial" w:eastAsia="Arial" w:hAnsi="Arial"/>
                <w:sz w:val="13"/>
                <w:szCs w:val="13"/>
                <w:color w:val="auto"/>
              </w:rPr>
              <w:t>25,609</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40C0C0"/>
              </w:rPr>
              <w:t>Grazier</w:t>
            </w:r>
          </w:p>
        </w:tc>
        <w:tc>
          <w:tcPr>
            <w:tcW w:w="8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840" w:type="dxa"/>
            <w:vAlign w:val="bottom"/>
            <w:vMerge w:val="continue"/>
          </w:tcPr>
          <w:p>
            <w:pPr>
              <w:spacing w:after="0"/>
              <w:rPr>
                <w:sz w:val="7"/>
                <w:szCs w:val="7"/>
                <w:color w:val="auto"/>
              </w:rPr>
            </w:pPr>
          </w:p>
        </w:tc>
        <w:tc>
          <w:tcPr>
            <w:tcW w:w="820" w:type="dxa"/>
            <w:vAlign w:val="bottom"/>
            <w:tcBorders>
              <w:bottom w:val="single" w:sz="8" w:color="999999"/>
            </w:tcBorders>
          </w:tcPr>
          <w:p>
            <w:pPr>
              <w:spacing w:after="0"/>
              <w:rPr>
                <w:sz w:val="7"/>
                <w:szCs w:val="7"/>
                <w:color w:val="auto"/>
              </w:rPr>
            </w:pPr>
          </w:p>
        </w:tc>
        <w:tc>
          <w:tcPr>
            <w:tcW w:w="540" w:type="dxa"/>
            <w:vAlign w:val="bottom"/>
            <w:tcBorders>
              <w:bottom w:val="single" w:sz="8" w:color="999999"/>
            </w:tcBorders>
          </w:tcPr>
          <w:p>
            <w:pPr>
              <w:spacing w:after="0"/>
              <w:rPr>
                <w:sz w:val="7"/>
                <w:szCs w:val="7"/>
                <w:color w:val="auto"/>
              </w:rPr>
            </w:pPr>
          </w:p>
        </w:tc>
        <w:tc>
          <w:tcPr>
            <w:tcW w:w="840" w:type="dxa"/>
            <w:vAlign w:val="bottom"/>
            <w:tcBorders>
              <w:bottom w:val="single" w:sz="8" w:color="999999"/>
            </w:tcBorders>
          </w:tcPr>
          <w:p>
            <w:pPr>
              <w:spacing w:after="0"/>
              <w:rPr>
                <w:sz w:val="7"/>
                <w:szCs w:val="7"/>
                <w:color w:val="auto"/>
              </w:rPr>
            </w:pPr>
          </w:p>
        </w:tc>
        <w:tc>
          <w:tcPr>
            <w:tcW w:w="940" w:type="dxa"/>
            <w:vAlign w:val="bottom"/>
            <w:tcBorders>
              <w:bottom w:val="single" w:sz="8" w:color="999999"/>
            </w:tcBorders>
          </w:tcPr>
          <w:p>
            <w:pPr>
              <w:spacing w:after="0"/>
              <w:rPr>
                <w:sz w:val="7"/>
                <w:szCs w:val="7"/>
                <w:color w:val="auto"/>
              </w:rPr>
            </w:pPr>
          </w:p>
        </w:tc>
        <w:tc>
          <w:tcPr>
            <w:tcW w:w="860" w:type="dxa"/>
            <w:vAlign w:val="bottom"/>
            <w:tcBorders>
              <w:bottom w:val="single" w:sz="8" w:color="999999"/>
            </w:tcBorders>
          </w:tcPr>
          <w:p>
            <w:pPr>
              <w:spacing w:after="0"/>
              <w:rPr>
                <w:sz w:val="7"/>
                <w:szCs w:val="7"/>
                <w:color w:val="auto"/>
              </w:rPr>
            </w:pPr>
          </w:p>
        </w:tc>
        <w:tc>
          <w:tcPr>
            <w:tcW w:w="60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20" w:type="dxa"/>
            <w:vAlign w:val="bottom"/>
            <w:tcBorders>
              <w:bottom w:val="single" w:sz="8" w:color="999999"/>
            </w:tcBorders>
          </w:tcPr>
          <w:p>
            <w:pPr>
              <w:spacing w:after="0"/>
              <w:rPr>
                <w:sz w:val="7"/>
                <w:szCs w:val="7"/>
                <w:color w:val="auto"/>
              </w:rPr>
            </w:pPr>
          </w:p>
        </w:tc>
        <w:tc>
          <w:tcPr>
            <w:tcW w:w="740" w:type="dxa"/>
            <w:vAlign w:val="bottom"/>
            <w:tcBorders>
              <w:bottom w:val="single" w:sz="8" w:color="999999"/>
            </w:tcBorders>
          </w:tcPr>
          <w:p>
            <w:pPr>
              <w:spacing w:after="0"/>
              <w:rPr>
                <w:sz w:val="7"/>
                <w:szCs w:val="7"/>
                <w:color w:val="auto"/>
              </w:rPr>
            </w:pPr>
          </w:p>
        </w:tc>
        <w:tc>
          <w:tcPr>
            <w:tcW w:w="920" w:type="dxa"/>
            <w:vAlign w:val="bottom"/>
            <w:tcBorders>
              <w:bottom w:val="single" w:sz="8" w:color="999999"/>
            </w:tcBorders>
          </w:tcPr>
          <w:p>
            <w:pPr>
              <w:spacing w:after="0"/>
              <w:rPr>
                <w:sz w:val="7"/>
                <w:szCs w:val="7"/>
                <w:color w:val="auto"/>
              </w:rPr>
            </w:pPr>
          </w:p>
        </w:tc>
        <w:tc>
          <w:tcPr>
            <w:tcW w:w="860" w:type="dxa"/>
            <w:vAlign w:val="bottom"/>
            <w:tcBorders>
              <w:bottom w:val="single" w:sz="8" w:color="999999"/>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12/8/2020</w:t>
            </w:r>
          </w:p>
        </w:tc>
        <w:tc>
          <w:tcPr>
            <w:tcW w:w="540" w:type="dxa"/>
            <w:vAlign w:val="bottom"/>
          </w:tcPr>
          <w:p>
            <w:pPr>
              <w:jc w:val="right"/>
              <w:spacing w:after="0"/>
              <w:rPr>
                <w:sz w:val="20"/>
                <w:szCs w:val="20"/>
                <w:color w:val="auto"/>
              </w:rPr>
            </w:pPr>
            <w:r>
              <w:rPr>
                <w:rFonts w:ascii="Arial" w:cs="Arial" w:eastAsia="Arial" w:hAnsi="Arial"/>
                <w:sz w:val="10"/>
                <w:szCs w:val="10"/>
                <w:color w:val="auto"/>
              </w:rPr>
              <w:t>(9)</w:t>
            </w:r>
          </w:p>
        </w:tc>
        <w:tc>
          <w:tcPr>
            <w:tcW w:w="840" w:type="dxa"/>
            <w:vAlign w:val="bottom"/>
            <w:vMerge w:val="restart"/>
          </w:tcPr>
          <w:p>
            <w:pPr>
              <w:jc w:val="right"/>
              <w:ind w:right="75"/>
              <w:spacing w:after="0"/>
              <w:rPr>
                <w:sz w:val="20"/>
                <w:szCs w:val="20"/>
                <w:color w:val="auto"/>
              </w:rPr>
            </w:pPr>
            <w:r>
              <w:rPr>
                <w:rFonts w:ascii="Arial" w:cs="Arial" w:eastAsia="Arial" w:hAnsi="Arial"/>
                <w:sz w:val="13"/>
                <w:szCs w:val="13"/>
                <w:color w:val="auto"/>
              </w:rPr>
              <w:t>46,482</w:t>
            </w:r>
          </w:p>
        </w:tc>
        <w:tc>
          <w:tcPr>
            <w:tcW w:w="940" w:type="dxa"/>
            <w:vAlign w:val="bottom"/>
            <w:vMerge w:val="restart"/>
          </w:tcPr>
          <w:p>
            <w:pPr>
              <w:jc w:val="right"/>
              <w:ind w:right="76"/>
              <w:spacing w:after="0"/>
              <w:rPr>
                <w:sz w:val="20"/>
                <w:szCs w:val="20"/>
                <w:color w:val="auto"/>
              </w:rPr>
            </w:pPr>
            <w:r>
              <w:rPr>
                <w:rFonts w:ascii="Arial" w:cs="Arial" w:eastAsia="Arial" w:hAnsi="Arial"/>
                <w:sz w:val="13"/>
                <w:szCs w:val="13"/>
                <w:color w:val="auto"/>
              </w:rPr>
              <w:t>15,495</w:t>
            </w:r>
          </w:p>
        </w:tc>
        <w:tc>
          <w:tcPr>
            <w:tcW w:w="86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rPr>
              <w:t>10.00</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40" w:type="dxa"/>
            <w:vAlign w:val="bottom"/>
          </w:tcPr>
          <w:p>
            <w:pPr>
              <w:spacing w:after="0"/>
              <w:rPr>
                <w:sz w:val="8"/>
                <w:szCs w:val="8"/>
                <w:color w:val="auto"/>
              </w:rPr>
            </w:pPr>
          </w:p>
        </w:tc>
        <w:tc>
          <w:tcPr>
            <w:tcW w:w="820" w:type="dxa"/>
            <w:vAlign w:val="bottom"/>
            <w:tcBorders>
              <w:bottom w:val="single" w:sz="8" w:color="999999"/>
            </w:tcBorders>
          </w:tcPr>
          <w:p>
            <w:pPr>
              <w:spacing w:after="0"/>
              <w:rPr>
                <w:sz w:val="8"/>
                <w:szCs w:val="8"/>
                <w:color w:val="auto"/>
              </w:rPr>
            </w:pPr>
          </w:p>
        </w:tc>
        <w:tc>
          <w:tcPr>
            <w:tcW w:w="540" w:type="dxa"/>
            <w:vAlign w:val="bottom"/>
            <w:tcBorders>
              <w:bottom w:val="single" w:sz="8" w:color="999999"/>
            </w:tcBorders>
          </w:tcPr>
          <w:p>
            <w:pPr>
              <w:spacing w:after="0"/>
              <w:rPr>
                <w:sz w:val="8"/>
                <w:szCs w:val="8"/>
                <w:color w:val="auto"/>
              </w:rPr>
            </w:pPr>
          </w:p>
        </w:tc>
        <w:tc>
          <w:tcPr>
            <w:tcW w:w="840" w:type="dxa"/>
            <w:vAlign w:val="bottom"/>
            <w:tcBorders>
              <w:bottom w:val="single" w:sz="8" w:color="999999"/>
            </w:tcBorders>
          </w:tcPr>
          <w:p>
            <w:pPr>
              <w:spacing w:after="0"/>
              <w:rPr>
                <w:sz w:val="8"/>
                <w:szCs w:val="8"/>
                <w:color w:val="auto"/>
              </w:rPr>
            </w:pPr>
          </w:p>
        </w:tc>
        <w:tc>
          <w:tcPr>
            <w:tcW w:w="94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60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20" w:type="dxa"/>
            <w:vAlign w:val="bottom"/>
            <w:tcBorders>
              <w:bottom w:val="single" w:sz="8" w:color="999999"/>
            </w:tcBorders>
          </w:tcPr>
          <w:p>
            <w:pPr>
              <w:spacing w:after="0"/>
              <w:rPr>
                <w:sz w:val="8"/>
                <w:szCs w:val="8"/>
                <w:color w:val="auto"/>
              </w:rPr>
            </w:pPr>
          </w:p>
        </w:tc>
        <w:tc>
          <w:tcPr>
            <w:tcW w:w="740" w:type="dxa"/>
            <w:vAlign w:val="bottom"/>
            <w:tcBorders>
              <w:bottom w:val="single" w:sz="8" w:color="999999"/>
            </w:tcBorders>
          </w:tcPr>
          <w:p>
            <w:pPr>
              <w:spacing w:after="0"/>
              <w:rPr>
                <w:sz w:val="8"/>
                <w:szCs w:val="8"/>
                <w:color w:val="auto"/>
              </w:rPr>
            </w:pPr>
          </w:p>
        </w:tc>
        <w:tc>
          <w:tcPr>
            <w:tcW w:w="920" w:type="dxa"/>
            <w:vAlign w:val="bottom"/>
            <w:tcBorders>
              <w:bottom w:val="single" w:sz="8" w:color="999999"/>
            </w:tcBorders>
          </w:tcPr>
          <w:p>
            <w:pPr>
              <w:spacing w:after="0"/>
              <w:rPr>
                <w:sz w:val="8"/>
                <w:szCs w:val="8"/>
                <w:color w:val="auto"/>
              </w:rPr>
            </w:pPr>
          </w:p>
        </w:tc>
        <w:tc>
          <w:tcPr>
            <w:tcW w:w="86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12/10/2019</w:t>
            </w:r>
          </w:p>
        </w:tc>
        <w:tc>
          <w:tcPr>
            <w:tcW w:w="540" w:type="dxa"/>
            <w:vAlign w:val="bottom"/>
          </w:tcPr>
          <w:p>
            <w:pPr>
              <w:spacing w:after="0"/>
              <w:rPr>
                <w:sz w:val="23"/>
                <w:szCs w:val="23"/>
                <w:color w:val="auto"/>
              </w:rPr>
            </w:pPr>
          </w:p>
        </w:tc>
        <w:tc>
          <w:tcPr>
            <w:tcW w:w="840" w:type="dxa"/>
            <w:vAlign w:val="bottom"/>
          </w:tcPr>
          <w:p>
            <w:pPr>
              <w:jc w:val="right"/>
              <w:ind w:right="75"/>
              <w:spacing w:after="0"/>
              <w:rPr>
                <w:sz w:val="20"/>
                <w:szCs w:val="20"/>
                <w:color w:val="auto"/>
              </w:rPr>
            </w:pPr>
            <w:r>
              <w:rPr>
                <w:rFonts w:ascii="Arial" w:cs="Arial" w:eastAsia="Arial" w:hAnsi="Arial"/>
                <w:sz w:val="13"/>
                <w:szCs w:val="13"/>
                <w:color w:val="auto"/>
              </w:rPr>
              <w:t>61,977</w:t>
            </w:r>
          </w:p>
        </w:tc>
        <w:tc>
          <w:tcPr>
            <w:tcW w:w="940" w:type="dxa"/>
            <w:vAlign w:val="bottom"/>
          </w:tcPr>
          <w:p>
            <w:pPr>
              <w:spacing w:after="0"/>
              <w:rPr>
                <w:sz w:val="23"/>
                <w:szCs w:val="23"/>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600" w:type="dxa"/>
            <w:vAlign w:val="bottom"/>
          </w:tcPr>
          <w:p>
            <w:pPr>
              <w:ind w:left="220"/>
              <w:spacing w:after="0"/>
              <w:rPr>
                <w:sz w:val="20"/>
                <w:szCs w:val="20"/>
                <w:color w:val="auto"/>
              </w:rPr>
            </w:pPr>
            <w:r>
              <w:rPr>
                <w:rFonts w:ascii="Arial" w:cs="Arial" w:eastAsia="Arial" w:hAnsi="Arial"/>
                <w:sz w:val="13"/>
                <w:szCs w:val="13"/>
                <w:color w:val="auto"/>
              </w:rPr>
              <w:t>8.03</w:t>
            </w: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8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market value is based on the closing price of our common stock as of December 31, 2023 of $0.7203 per share.</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remaining unvested RSU award vests on June 16, 2024, subject to continued service with us.</w:t>
      </w:r>
    </w:p>
    <w:p>
      <w:pPr>
        <w:spacing w:after="0" w:line="66" w:lineRule="exact"/>
        <w:rPr>
          <w:rFonts w:ascii="Arial" w:cs="Arial" w:eastAsia="Arial" w:hAnsi="Arial"/>
          <w:sz w:val="13"/>
          <w:szCs w:val="13"/>
          <w:b w:val="1"/>
          <w:bCs w:val="1"/>
          <w:color w:val="auto"/>
        </w:rPr>
      </w:pPr>
    </w:p>
    <w:p>
      <w:pPr>
        <w:ind w:left="240" w:hanging="234"/>
        <w:spacing w:after="0"/>
        <w:tabs>
          <w:tab w:leader="none" w:pos="24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seven equal quarterly installments beginning on February 15, 2024, subject to continued service with us.</w:t>
      </w:r>
    </w:p>
    <w:p>
      <w:pPr>
        <w:spacing w:after="0" w:line="64" w:lineRule="exact"/>
        <w:rPr>
          <w:rFonts w:ascii="Arial" w:cs="Arial" w:eastAsia="Arial" w:hAnsi="Arial"/>
          <w:sz w:val="12"/>
          <w:szCs w:val="12"/>
          <w:b w:val="1"/>
          <w:bCs w:val="1"/>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remaining unvested RSU award vests in nine equal quarterly installments beginning on February 15, 2024, subject to continued service with us.</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eleven equal quarterly installments beginning on February 15, 2024, subject to continued service with us.</w:t>
      </w:r>
    </w:p>
    <w:p>
      <w:pPr>
        <w:spacing w:after="0" w:line="78" w:lineRule="exact"/>
        <w:rPr>
          <w:rFonts w:ascii="Arial" w:cs="Arial" w:eastAsia="Arial" w:hAnsi="Arial"/>
          <w:sz w:val="12"/>
          <w:szCs w:val="12"/>
          <w:b w:val="1"/>
          <w:bCs w:val="1"/>
          <w:color w:val="auto"/>
        </w:rPr>
      </w:pPr>
    </w:p>
    <w:p>
      <w:pPr>
        <w:ind w:left="240" w:hanging="234"/>
        <w:spacing w:after="0"/>
        <w:tabs>
          <w:tab w:leader="none" w:pos="24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three equal quarterly installments beginning on February 15, 2024, subject to continued service with us.</w:t>
      </w:r>
    </w:p>
    <w:p>
      <w:pPr>
        <w:spacing w:after="0" w:line="64" w:lineRule="exact"/>
        <w:rPr>
          <w:rFonts w:ascii="Arial" w:cs="Arial" w:eastAsia="Arial" w:hAnsi="Arial"/>
          <w:sz w:val="12"/>
          <w:szCs w:val="12"/>
          <w:b w:val="1"/>
          <w:bCs w:val="1"/>
          <w:color w:val="auto"/>
        </w:rPr>
      </w:pPr>
    </w:p>
    <w:p>
      <w:pPr>
        <w:ind w:left="240" w:hanging="234"/>
        <w:spacing w:after="0"/>
        <w:tabs>
          <w:tab w:leader="none" w:pos="24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RSU award vests in eleven equal quarterly installments beginning on February 15, 2024, subject to continued service with us.</w:t>
      </w:r>
    </w:p>
    <w:p>
      <w:pPr>
        <w:spacing w:after="0" w:line="64" w:lineRule="exact"/>
        <w:rPr>
          <w:rFonts w:ascii="Arial" w:cs="Arial" w:eastAsia="Arial" w:hAnsi="Arial"/>
          <w:sz w:val="12"/>
          <w:szCs w:val="12"/>
          <w:b w:val="1"/>
          <w:bCs w:val="1"/>
          <w:color w:val="auto"/>
        </w:rPr>
      </w:pPr>
    </w:p>
    <w:p>
      <w:pPr>
        <w:ind w:left="240" w:right="260" w:hanging="234"/>
        <w:spacing w:after="0" w:line="236" w:lineRule="auto"/>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90% and Revenue CAGR Percentage deemed to equal 0%.</w:t>
      </w:r>
    </w:p>
    <w:p>
      <w:pPr>
        <w:spacing w:after="0" w:line="44" w:lineRule="exact"/>
        <w:rPr>
          <w:rFonts w:ascii="Arial" w:cs="Arial" w:eastAsia="Arial" w:hAnsi="Arial"/>
          <w:sz w:val="13"/>
          <w:szCs w:val="13"/>
          <w:b w:val="1"/>
          <w:bCs w:val="1"/>
          <w:color w:val="auto"/>
        </w:rPr>
      </w:pPr>
    </w:p>
    <w:p>
      <w:pPr>
        <w:ind w:left="240" w:hanging="234"/>
        <w:spacing w:after="0"/>
        <w:tabs>
          <w:tab w:leader="none" w:pos="240"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The remaining unvested Class P Unit award vests in four quarterly installments beginning on January 12, 2024, subject to continued service with us.</w:t>
      </w:r>
    </w:p>
    <w:p>
      <w:pPr>
        <w:spacing w:after="0" w:line="64" w:lineRule="exact"/>
        <w:rPr>
          <w:rFonts w:ascii="Arial" w:cs="Arial" w:eastAsia="Arial" w:hAnsi="Arial"/>
          <w:sz w:val="12"/>
          <w:szCs w:val="12"/>
          <w:b w:val="1"/>
          <w:bCs w:val="1"/>
          <w:color w:val="auto"/>
        </w:rPr>
      </w:pPr>
    </w:p>
    <w:p>
      <w:pPr>
        <w:ind w:left="240" w:hanging="234"/>
        <w:spacing w:after="0"/>
        <w:tabs>
          <w:tab w:leader="none" w:pos="24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The remaining unvested Class P Unit award vests in four quarterly installments beginning on March 8, 2024, subject to continued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40</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Narrative to Summary Compensation Table</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 Compensation Elements</w:t>
      </w:r>
      <w:r>
        <w:rPr>
          <w:rFonts w:ascii="Arial" w:cs="Arial" w:eastAsia="Arial" w:hAnsi="Arial"/>
          <w:sz w:val="16"/>
          <w:szCs w:val="16"/>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Employment Arrangements</w:t>
      </w:r>
    </w:p>
    <w:p>
      <w:pPr>
        <w:spacing w:after="0" w:line="22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Each of our Named Executive Officers have entered into an offer letter with Ghost Management Group, LLC, which provides for employment on an at-will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Douglas Francis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Mr. Francis entered into an offer of continued employment with Ghost Management Group, LLC, dated August 15, 2023, reflecting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 continued service as our Executive Chair. Pursuant to the terms of the offer letter, Mr. Francis’ annual base salary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$1,020,000, and he received a signing bonus of $700,000. Mr. Francis also is eligible to participate in the employee benefit plans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generally available to our employees and maintained by us.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Duncan Grazier</w:t>
      </w:r>
    </w:p>
    <w:p>
      <w:pPr>
        <w:spacing w:after="0" w:line="1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Grazier also is eligible to participate in the employee benefit plans generally available to our employees and maintained by us.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Brian Camire</w:t>
      </w:r>
    </w:p>
    <w:p>
      <w:pPr>
        <w:spacing w:after="0" w:line="16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Potential Payments Upon Termination or Change in Control</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102"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The Severance Plan provides for severance and change in control benefits to our Named Executive Officers upon a “change in control termination” or a “regular termination” (each, as described below). Upon a change in control termination, each of</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 (iv) 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080" w:type="dxa"/>
            <w:vAlign w:val="bottom"/>
            <w:shd w:val="clear" w:color="auto" w:fill="000000"/>
          </w:tcPr>
          <w:p>
            <w:pPr>
              <w:spacing w:after="0"/>
              <w:rPr>
                <w:sz w:val="24"/>
                <w:szCs w:val="24"/>
                <w:color w:val="auto"/>
              </w:rPr>
            </w:pPr>
          </w:p>
        </w:tc>
        <w:tc>
          <w:tcPr>
            <w:tcW w:w="3100" w:type="dxa"/>
            <w:vAlign w:val="bottom"/>
            <w:shd w:val="clear" w:color="auto" w:fill="000000"/>
          </w:tcPr>
          <w:p>
            <w:pPr>
              <w:spacing w:after="0"/>
              <w:rPr>
                <w:sz w:val="24"/>
                <w:szCs w:val="24"/>
                <w:color w:val="auto"/>
              </w:rPr>
            </w:pPr>
          </w:p>
        </w:tc>
        <w:tc>
          <w:tcPr>
            <w:tcW w:w="960" w:type="dxa"/>
            <w:vAlign w:val="bottom"/>
            <w:shd w:val="clear" w:color="auto" w:fill="000000"/>
          </w:tcPr>
          <w:p>
            <w:pPr>
              <w:spacing w:after="0"/>
              <w:rPr>
                <w:sz w:val="24"/>
                <w:szCs w:val="24"/>
                <w:color w:val="auto"/>
              </w:rPr>
            </w:pPr>
          </w:p>
        </w:tc>
        <w:tc>
          <w:tcPr>
            <w:tcW w:w="940" w:type="dxa"/>
            <w:vAlign w:val="bottom"/>
            <w:shd w:val="clear" w:color="auto" w:fill="000000"/>
          </w:tcPr>
          <w:p>
            <w:pPr>
              <w:spacing w:after="0"/>
              <w:rPr>
                <w:sz w:val="24"/>
                <w:szCs w:val="24"/>
                <w:color w:val="auto"/>
              </w:rPr>
            </w:pPr>
          </w:p>
        </w:tc>
        <w:tc>
          <w:tcPr>
            <w:tcW w:w="11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Continued</w:t>
            </w:r>
          </w:p>
        </w:tc>
        <w:tc>
          <w:tcPr>
            <w:tcW w:w="1300" w:type="dxa"/>
            <w:vAlign w:val="bottom"/>
            <w:shd w:val="clear" w:color="auto" w:fill="000000"/>
          </w:tcPr>
          <w:p>
            <w:pPr>
              <w:jc w:val="right"/>
              <w:ind w:right="170"/>
              <w:spacing w:after="0"/>
              <w:rPr>
                <w:sz w:val="20"/>
                <w:szCs w:val="20"/>
                <w:color w:val="auto"/>
              </w:rPr>
            </w:pPr>
            <w:r>
              <w:rPr>
                <w:rFonts w:ascii="Arial" w:cs="Arial" w:eastAsia="Arial" w:hAnsi="Arial"/>
                <w:sz w:val="14"/>
                <w:szCs w:val="14"/>
                <w:b w:val="1"/>
                <w:bCs w:val="1"/>
                <w:color w:val="FFFFFF"/>
              </w:rPr>
              <w:t>Equity</w:t>
            </w:r>
          </w:p>
        </w:tc>
        <w:tc>
          <w:tcPr>
            <w:tcW w:w="9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80" w:type="dxa"/>
            <w:vAlign w:val="bottom"/>
            <w:vMerge w:val="restart"/>
            <w:shd w:val="clear" w:color="auto" w:fill="000000"/>
          </w:tcPr>
          <w:p>
            <w:pPr>
              <w:ind w:left="8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3100" w:type="dxa"/>
            <w:vAlign w:val="bottom"/>
            <w:shd w:val="clear" w:color="auto" w:fill="000000"/>
          </w:tcPr>
          <w:p>
            <w:pPr>
              <w:spacing w:after="0"/>
              <w:rPr>
                <w:sz w:val="14"/>
                <w:szCs w:val="14"/>
                <w:color w:val="auto"/>
              </w:rPr>
            </w:pPr>
          </w:p>
        </w:tc>
        <w:tc>
          <w:tcPr>
            <w:tcW w:w="960" w:type="dxa"/>
            <w:vAlign w:val="bottom"/>
            <w:shd w:val="clear" w:color="auto" w:fill="000000"/>
          </w:tcPr>
          <w:p>
            <w:pPr>
              <w:jc w:val="right"/>
              <w:ind w:right="148"/>
              <w:spacing w:after="0"/>
              <w:rPr>
                <w:sz w:val="20"/>
                <w:szCs w:val="20"/>
                <w:color w:val="auto"/>
              </w:rPr>
            </w:pPr>
            <w:r>
              <w:rPr>
                <w:rFonts w:ascii="Arial" w:cs="Arial" w:eastAsia="Arial" w:hAnsi="Arial"/>
                <w:sz w:val="14"/>
                <w:szCs w:val="14"/>
                <w:b w:val="1"/>
                <w:bCs w:val="1"/>
                <w:color w:val="FFFFFF"/>
              </w:rPr>
              <w:t>Salary</w:t>
            </w:r>
          </w:p>
        </w:tc>
        <w:tc>
          <w:tcPr>
            <w:tcW w:w="940" w:type="dxa"/>
            <w:vAlign w:val="bottom"/>
            <w:shd w:val="clear" w:color="auto" w:fill="000000"/>
          </w:tcPr>
          <w:p>
            <w:pPr>
              <w:jc w:val="center"/>
              <w:spacing w:after="0"/>
              <w:rPr>
                <w:sz w:val="20"/>
                <w:szCs w:val="20"/>
                <w:color w:val="auto"/>
              </w:rPr>
            </w:pPr>
            <w:r>
              <w:rPr>
                <w:rFonts w:ascii="Arial" w:cs="Arial" w:eastAsia="Arial" w:hAnsi="Arial"/>
                <w:sz w:val="14"/>
                <w:szCs w:val="14"/>
                <w:b w:val="1"/>
                <w:bCs w:val="1"/>
                <w:color w:val="FFFFFF"/>
              </w:rPr>
              <w:t>Bonus</w:t>
            </w:r>
          </w:p>
        </w:tc>
        <w:tc>
          <w:tcPr>
            <w:tcW w:w="1120" w:type="dxa"/>
            <w:vAlign w:val="bottom"/>
            <w:shd w:val="clear" w:color="auto" w:fill="000000"/>
          </w:tcPr>
          <w:p>
            <w:pPr>
              <w:jc w:val="right"/>
              <w:ind w:right="168"/>
              <w:spacing w:after="0"/>
              <w:rPr>
                <w:sz w:val="20"/>
                <w:szCs w:val="20"/>
                <w:color w:val="auto"/>
              </w:rPr>
            </w:pPr>
            <w:r>
              <w:rPr>
                <w:rFonts w:ascii="Arial" w:cs="Arial" w:eastAsia="Arial" w:hAnsi="Arial"/>
                <w:sz w:val="14"/>
                <w:szCs w:val="14"/>
                <w:b w:val="1"/>
                <w:bCs w:val="1"/>
                <w:color w:val="FFFFFF"/>
              </w:rPr>
              <w:t>Benefits</w:t>
            </w:r>
          </w:p>
        </w:tc>
        <w:tc>
          <w:tcPr>
            <w:tcW w:w="1300" w:type="dxa"/>
            <w:vAlign w:val="bottom"/>
            <w:shd w:val="clear" w:color="auto" w:fill="000000"/>
          </w:tcPr>
          <w:p>
            <w:pPr>
              <w:jc w:val="right"/>
              <w:ind w:right="170"/>
              <w:spacing w:after="0"/>
              <w:rPr>
                <w:sz w:val="20"/>
                <w:szCs w:val="20"/>
                <w:color w:val="auto"/>
              </w:rPr>
            </w:pPr>
            <w:r>
              <w:rPr>
                <w:rFonts w:ascii="Arial" w:cs="Arial" w:eastAsia="Arial" w:hAnsi="Arial"/>
                <w:sz w:val="14"/>
                <w:szCs w:val="14"/>
                <w:b w:val="1"/>
                <w:bCs w:val="1"/>
                <w:color w:val="FFFFFF"/>
              </w:rPr>
              <w:t>Acceleration</w:t>
            </w:r>
          </w:p>
        </w:tc>
        <w:tc>
          <w:tcPr>
            <w:tcW w:w="9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324"/>
        </w:trPr>
        <w:tc>
          <w:tcPr>
            <w:tcW w:w="1080" w:type="dxa"/>
            <w:vAlign w:val="bottom"/>
            <w:vMerge w:val="continue"/>
            <w:shd w:val="clear" w:color="auto" w:fill="000000"/>
          </w:tcPr>
          <w:p>
            <w:pPr>
              <w:spacing w:after="0"/>
              <w:rPr>
                <w:sz w:val="24"/>
                <w:szCs w:val="24"/>
                <w:color w:val="auto"/>
              </w:rPr>
            </w:pPr>
          </w:p>
        </w:tc>
        <w:tc>
          <w:tcPr>
            <w:tcW w:w="3100" w:type="dxa"/>
            <w:vAlign w:val="bottom"/>
            <w:shd w:val="clear" w:color="auto" w:fill="000000"/>
          </w:tcPr>
          <w:p>
            <w:pPr>
              <w:ind w:left="200"/>
              <w:spacing w:after="0"/>
              <w:rPr>
                <w:sz w:val="20"/>
                <w:szCs w:val="20"/>
                <w:color w:val="auto"/>
              </w:rPr>
            </w:pPr>
            <w:r>
              <w:rPr>
                <w:rFonts w:ascii="Arial" w:cs="Arial" w:eastAsia="Arial" w:hAnsi="Arial"/>
                <w:sz w:val="14"/>
                <w:szCs w:val="14"/>
                <w:b w:val="1"/>
                <w:bCs w:val="1"/>
                <w:color w:val="FFFFFF"/>
              </w:rPr>
              <w:t>Triggering Event</w:t>
            </w:r>
          </w:p>
        </w:tc>
        <w:tc>
          <w:tcPr>
            <w:tcW w:w="960" w:type="dxa"/>
            <w:vAlign w:val="bottom"/>
            <w:shd w:val="clear" w:color="auto" w:fill="000000"/>
          </w:tcPr>
          <w:p>
            <w:pPr>
              <w:jc w:val="right"/>
              <w:ind w:right="10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000000"/>
          </w:tcPr>
          <w:p>
            <w:pPr>
              <w:jc w:val="right"/>
              <w:ind w:right="12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0000"/>
          </w:tcPr>
          <w:p>
            <w:pPr>
              <w:jc w:val="right"/>
              <w:ind w:right="13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(2)(3)</w:t>
            </w:r>
          </w:p>
        </w:tc>
        <w:tc>
          <w:tcPr>
            <w:tcW w:w="9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16"/>
        </w:trPr>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Duncan</w:t>
            </w:r>
          </w:p>
        </w:tc>
        <w:tc>
          <w:tcPr>
            <w:tcW w:w="3100" w:type="dxa"/>
            <w:vAlign w:val="bottom"/>
          </w:tcPr>
          <w:p>
            <w:pPr>
              <w:ind w:left="200"/>
              <w:spacing w:after="0"/>
              <w:rPr>
                <w:sz w:val="20"/>
                <w:szCs w:val="20"/>
                <w:color w:val="auto"/>
              </w:rPr>
            </w:pPr>
            <w:r>
              <w:rPr>
                <w:rFonts w:ascii="Arial" w:cs="Arial" w:eastAsia="Arial" w:hAnsi="Arial"/>
                <w:sz w:val="14"/>
                <w:szCs w:val="14"/>
                <w:color w:val="auto"/>
              </w:rPr>
              <w:t>Involuntary Termination (non-CIC)</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318,750</w:t>
            </w:r>
          </w:p>
        </w:tc>
        <w:tc>
          <w:tcPr>
            <w:tcW w:w="940" w:type="dxa"/>
            <w:vAlign w:val="bottom"/>
          </w:tcPr>
          <w:p>
            <w:pPr>
              <w:jc w:val="center"/>
              <w:spacing w:after="0"/>
              <w:rPr>
                <w:sz w:val="20"/>
                <w:szCs w:val="20"/>
                <w:color w:val="auto"/>
              </w:rPr>
            </w:pPr>
            <w:r>
              <w:rPr>
                <w:rFonts w:ascii="Arial" w:cs="Arial" w:eastAsia="Arial" w:hAnsi="Arial"/>
                <w:sz w:val="14"/>
                <w:szCs w:val="14"/>
                <w:color w:val="auto"/>
              </w:rPr>
              <w:t>159,375</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24,151</w:t>
            </w:r>
          </w:p>
        </w:tc>
        <w:tc>
          <w:tcPr>
            <w:tcW w:w="13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502,276</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3100" w:type="dxa"/>
            <w:vAlign w:val="bottom"/>
            <w:tcBorders>
              <w:bottom w:val="single" w:sz="8" w:color="999999"/>
            </w:tcBorders>
          </w:tcPr>
          <w:p>
            <w:pPr>
              <w:spacing w:after="0"/>
              <w:rPr>
                <w:sz w:val="11"/>
                <w:szCs w:val="11"/>
                <w:color w:val="auto"/>
              </w:rPr>
            </w:pPr>
          </w:p>
        </w:tc>
        <w:tc>
          <w:tcPr>
            <w:tcW w:w="960" w:type="dxa"/>
            <w:vAlign w:val="bottom"/>
            <w:tcBorders>
              <w:bottom w:val="single" w:sz="8" w:color="999999"/>
            </w:tcBorders>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120" w:type="dxa"/>
            <w:vAlign w:val="bottom"/>
            <w:tcBorders>
              <w:bottom w:val="single" w:sz="8" w:color="999999"/>
            </w:tcBorders>
          </w:tcPr>
          <w:p>
            <w:pPr>
              <w:spacing w:after="0"/>
              <w:rPr>
                <w:sz w:val="11"/>
                <w:szCs w:val="11"/>
                <w:color w:val="auto"/>
              </w:rPr>
            </w:pPr>
          </w:p>
        </w:tc>
        <w:tc>
          <w:tcPr>
            <w:tcW w:w="1300" w:type="dxa"/>
            <w:vAlign w:val="bottom"/>
            <w:tcBorders>
              <w:bottom w:val="single" w:sz="8" w:color="999999"/>
            </w:tcBorders>
          </w:tcPr>
          <w:p>
            <w:pPr>
              <w:spacing w:after="0"/>
              <w:rPr>
                <w:sz w:val="11"/>
                <w:szCs w:val="11"/>
                <w:color w:val="auto"/>
              </w:rPr>
            </w:pPr>
          </w:p>
        </w:tc>
        <w:tc>
          <w:tcPr>
            <w:tcW w:w="90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80"/>
              <w:spacing w:after="0"/>
              <w:rPr>
                <w:sz w:val="20"/>
                <w:szCs w:val="20"/>
                <w:color w:val="auto"/>
              </w:rPr>
            </w:pPr>
            <w:r>
              <w:rPr>
                <w:rFonts w:ascii="Arial" w:cs="Arial" w:eastAsia="Arial" w:hAnsi="Arial"/>
                <w:sz w:val="14"/>
                <w:szCs w:val="14"/>
                <w:b w:val="1"/>
                <w:bCs w:val="1"/>
                <w:color w:val="40C0C0"/>
              </w:rPr>
              <w:t>Grazier</w:t>
            </w:r>
          </w:p>
        </w:tc>
        <w:tc>
          <w:tcPr>
            <w:tcW w:w="3100" w:type="dxa"/>
            <w:vAlign w:val="bottom"/>
            <w:vMerge w:val="restart"/>
          </w:tcPr>
          <w:p>
            <w:pPr>
              <w:ind w:left="200"/>
              <w:spacing w:after="0"/>
              <w:rPr>
                <w:sz w:val="20"/>
                <w:szCs w:val="20"/>
                <w:color w:val="auto"/>
              </w:rPr>
            </w:pPr>
            <w:r>
              <w:rPr>
                <w:rFonts w:ascii="Arial" w:cs="Arial" w:eastAsia="Arial" w:hAnsi="Arial"/>
                <w:sz w:val="14"/>
                <w:szCs w:val="14"/>
                <w:color w:val="auto"/>
              </w:rPr>
              <w:t>Involuntary Termination during CIC period</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425,000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212,500</w:t>
            </w: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color w:val="auto"/>
              </w:rPr>
              <w:t>32,202</w:t>
            </w:r>
          </w:p>
        </w:tc>
        <w:tc>
          <w:tcPr>
            <w:tcW w:w="1300" w:type="dxa"/>
            <w:vAlign w:val="bottom"/>
            <w:vMerge w:val="restart"/>
          </w:tcPr>
          <w:p>
            <w:pPr>
              <w:jc w:val="right"/>
              <w:ind w:right="250"/>
              <w:spacing w:after="0"/>
              <w:rPr>
                <w:sz w:val="20"/>
                <w:szCs w:val="20"/>
                <w:color w:val="auto"/>
              </w:rPr>
            </w:pPr>
            <w:r>
              <w:rPr>
                <w:rFonts w:ascii="Arial" w:cs="Arial" w:eastAsia="Arial" w:hAnsi="Arial"/>
                <w:sz w:val="14"/>
                <w:szCs w:val="14"/>
                <w:color w:val="auto"/>
              </w:rPr>
              <w:t>504,301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1,174,003</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80" w:type="dxa"/>
            <w:vAlign w:val="bottom"/>
            <w:tcBorders>
              <w:bottom w:val="single" w:sz="8" w:color="999999"/>
            </w:tcBorders>
          </w:tcPr>
          <w:p>
            <w:pPr>
              <w:spacing w:after="0"/>
              <w:rPr>
                <w:sz w:val="11"/>
                <w:szCs w:val="11"/>
                <w:color w:val="auto"/>
              </w:rPr>
            </w:pPr>
          </w:p>
        </w:tc>
        <w:tc>
          <w:tcPr>
            <w:tcW w:w="3100" w:type="dxa"/>
            <w:vAlign w:val="bottom"/>
            <w:tcBorders>
              <w:bottom w:val="single" w:sz="8" w:color="999999"/>
            </w:tcBorders>
          </w:tcPr>
          <w:p>
            <w:pPr>
              <w:spacing w:after="0"/>
              <w:rPr>
                <w:sz w:val="11"/>
                <w:szCs w:val="11"/>
                <w:color w:val="auto"/>
              </w:rPr>
            </w:pPr>
          </w:p>
        </w:tc>
        <w:tc>
          <w:tcPr>
            <w:tcW w:w="960" w:type="dxa"/>
            <w:vAlign w:val="bottom"/>
            <w:tcBorders>
              <w:bottom w:val="single" w:sz="8" w:color="999999"/>
            </w:tcBorders>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120" w:type="dxa"/>
            <w:vAlign w:val="bottom"/>
            <w:tcBorders>
              <w:bottom w:val="single" w:sz="8" w:color="999999"/>
            </w:tcBorders>
          </w:tcPr>
          <w:p>
            <w:pPr>
              <w:spacing w:after="0"/>
              <w:rPr>
                <w:sz w:val="11"/>
                <w:szCs w:val="11"/>
                <w:color w:val="auto"/>
              </w:rPr>
            </w:pPr>
          </w:p>
        </w:tc>
        <w:tc>
          <w:tcPr>
            <w:tcW w:w="1300" w:type="dxa"/>
            <w:vAlign w:val="bottom"/>
            <w:tcBorders>
              <w:bottom w:val="single" w:sz="8" w:color="999999"/>
            </w:tcBorders>
          </w:tcPr>
          <w:p>
            <w:pPr>
              <w:spacing w:after="0"/>
              <w:rPr>
                <w:sz w:val="11"/>
                <w:szCs w:val="11"/>
                <w:color w:val="auto"/>
              </w:rPr>
            </w:pPr>
          </w:p>
        </w:tc>
        <w:tc>
          <w:tcPr>
            <w:tcW w:w="90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1080" w:type="dxa"/>
            <w:vAlign w:val="bottom"/>
            <w:vMerge w:val="restart"/>
          </w:tcPr>
          <w:p>
            <w:pPr>
              <w:ind w:left="80"/>
              <w:spacing w:after="0"/>
              <w:rPr>
                <w:sz w:val="20"/>
                <w:szCs w:val="20"/>
                <w:color w:val="auto"/>
              </w:rPr>
            </w:pPr>
            <w:r>
              <w:rPr>
                <w:rFonts w:ascii="Arial" w:cs="Arial" w:eastAsia="Arial" w:hAnsi="Arial"/>
                <w:sz w:val="14"/>
                <w:szCs w:val="14"/>
                <w:b w:val="1"/>
                <w:bCs w:val="1"/>
                <w:color w:val="40C0C0"/>
              </w:rPr>
              <w:t>Brian</w:t>
            </w:r>
          </w:p>
        </w:tc>
        <w:tc>
          <w:tcPr>
            <w:tcW w:w="3100" w:type="dxa"/>
            <w:vAlign w:val="bottom"/>
          </w:tcPr>
          <w:p>
            <w:pPr>
              <w:ind w:left="200"/>
              <w:spacing w:after="0"/>
              <w:rPr>
                <w:sz w:val="20"/>
                <w:szCs w:val="20"/>
                <w:color w:val="auto"/>
              </w:rPr>
            </w:pPr>
            <w:r>
              <w:rPr>
                <w:rFonts w:ascii="Arial" w:cs="Arial" w:eastAsia="Arial" w:hAnsi="Arial"/>
                <w:sz w:val="14"/>
                <w:szCs w:val="14"/>
                <w:color w:val="auto"/>
              </w:rPr>
              <w:t>Involuntary Termination (non-CIC)</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307,500</w:t>
            </w:r>
          </w:p>
        </w:tc>
        <w:tc>
          <w:tcPr>
            <w:tcW w:w="940" w:type="dxa"/>
            <w:vAlign w:val="bottom"/>
          </w:tcPr>
          <w:p>
            <w:pPr>
              <w:jc w:val="center"/>
              <w:spacing w:after="0"/>
              <w:rPr>
                <w:sz w:val="20"/>
                <w:szCs w:val="20"/>
                <w:color w:val="auto"/>
              </w:rPr>
            </w:pPr>
            <w:r>
              <w:rPr>
                <w:rFonts w:ascii="Arial" w:cs="Arial" w:eastAsia="Arial" w:hAnsi="Arial"/>
                <w:sz w:val="14"/>
                <w:szCs w:val="14"/>
                <w:color w:val="auto"/>
              </w:rPr>
              <w:t>153,750</w:t>
            </w:r>
          </w:p>
        </w:tc>
        <w:tc>
          <w:tcPr>
            <w:tcW w:w="1120" w:type="dxa"/>
            <w:vAlign w:val="bottom"/>
          </w:tcPr>
          <w:p>
            <w:pPr>
              <w:jc w:val="right"/>
              <w:ind w:right="208"/>
              <w:spacing w:after="0"/>
              <w:rPr>
                <w:sz w:val="20"/>
                <w:szCs w:val="20"/>
                <w:color w:val="auto"/>
              </w:rPr>
            </w:pPr>
            <w:r>
              <w:rPr>
                <w:rFonts w:ascii="Arial" w:cs="Arial" w:eastAsia="Arial" w:hAnsi="Arial"/>
                <w:sz w:val="14"/>
                <w:szCs w:val="14"/>
                <w:color w:val="auto"/>
              </w:rPr>
              <w:t>16,841</w:t>
            </w:r>
          </w:p>
        </w:tc>
        <w:tc>
          <w:tcPr>
            <w:tcW w:w="13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478,091</w:t>
            </w: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3100" w:type="dxa"/>
            <w:vAlign w:val="bottom"/>
            <w:tcBorders>
              <w:bottom w:val="single" w:sz="8" w:color="999999"/>
            </w:tcBorders>
          </w:tcPr>
          <w:p>
            <w:pPr>
              <w:spacing w:after="0"/>
              <w:rPr>
                <w:sz w:val="11"/>
                <w:szCs w:val="11"/>
                <w:color w:val="auto"/>
              </w:rPr>
            </w:pPr>
          </w:p>
        </w:tc>
        <w:tc>
          <w:tcPr>
            <w:tcW w:w="960" w:type="dxa"/>
            <w:vAlign w:val="bottom"/>
            <w:tcBorders>
              <w:bottom w:val="single" w:sz="8" w:color="999999"/>
            </w:tcBorders>
          </w:tcPr>
          <w:p>
            <w:pPr>
              <w:spacing w:after="0"/>
              <w:rPr>
                <w:sz w:val="11"/>
                <w:szCs w:val="11"/>
                <w:color w:val="auto"/>
              </w:rPr>
            </w:pPr>
          </w:p>
        </w:tc>
        <w:tc>
          <w:tcPr>
            <w:tcW w:w="940" w:type="dxa"/>
            <w:vAlign w:val="bottom"/>
            <w:tcBorders>
              <w:bottom w:val="single" w:sz="8" w:color="999999"/>
            </w:tcBorders>
          </w:tcPr>
          <w:p>
            <w:pPr>
              <w:spacing w:after="0"/>
              <w:rPr>
                <w:sz w:val="11"/>
                <w:szCs w:val="11"/>
                <w:color w:val="auto"/>
              </w:rPr>
            </w:pPr>
          </w:p>
        </w:tc>
        <w:tc>
          <w:tcPr>
            <w:tcW w:w="1120" w:type="dxa"/>
            <w:vAlign w:val="bottom"/>
            <w:tcBorders>
              <w:bottom w:val="single" w:sz="8" w:color="999999"/>
            </w:tcBorders>
          </w:tcPr>
          <w:p>
            <w:pPr>
              <w:spacing w:after="0"/>
              <w:rPr>
                <w:sz w:val="11"/>
                <w:szCs w:val="11"/>
                <w:color w:val="auto"/>
              </w:rPr>
            </w:pPr>
          </w:p>
        </w:tc>
        <w:tc>
          <w:tcPr>
            <w:tcW w:w="1300" w:type="dxa"/>
            <w:vAlign w:val="bottom"/>
            <w:tcBorders>
              <w:bottom w:val="single" w:sz="8" w:color="999999"/>
            </w:tcBorders>
          </w:tcPr>
          <w:p>
            <w:pPr>
              <w:spacing w:after="0"/>
              <w:rPr>
                <w:sz w:val="11"/>
                <w:szCs w:val="11"/>
                <w:color w:val="auto"/>
              </w:rPr>
            </w:pPr>
          </w:p>
        </w:tc>
        <w:tc>
          <w:tcPr>
            <w:tcW w:w="900" w:type="dxa"/>
            <w:vAlign w:val="bottom"/>
            <w:tcBorders>
              <w:bottom w:val="single" w:sz="8" w:color="999999"/>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80"/>
              <w:spacing w:after="0"/>
              <w:rPr>
                <w:sz w:val="20"/>
                <w:szCs w:val="20"/>
                <w:color w:val="auto"/>
              </w:rPr>
            </w:pPr>
            <w:r>
              <w:rPr>
                <w:rFonts w:ascii="Arial" w:cs="Arial" w:eastAsia="Arial" w:hAnsi="Arial"/>
                <w:sz w:val="14"/>
                <w:szCs w:val="14"/>
                <w:b w:val="1"/>
                <w:bCs w:val="1"/>
                <w:color w:val="40C0C0"/>
              </w:rPr>
              <w:t>Camire</w:t>
            </w:r>
          </w:p>
        </w:tc>
        <w:tc>
          <w:tcPr>
            <w:tcW w:w="3100" w:type="dxa"/>
            <w:vAlign w:val="bottom"/>
            <w:vMerge w:val="restart"/>
          </w:tcPr>
          <w:p>
            <w:pPr>
              <w:ind w:left="200"/>
              <w:spacing w:after="0"/>
              <w:rPr>
                <w:sz w:val="20"/>
                <w:szCs w:val="20"/>
                <w:color w:val="auto"/>
              </w:rPr>
            </w:pPr>
            <w:r>
              <w:rPr>
                <w:rFonts w:ascii="Arial" w:cs="Arial" w:eastAsia="Arial" w:hAnsi="Arial"/>
                <w:sz w:val="14"/>
                <w:szCs w:val="14"/>
                <w:color w:val="auto"/>
              </w:rPr>
              <w:t>Involuntary Termination during CIC period</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410,000</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205,000</w:t>
            </w: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color w:val="auto"/>
              </w:rPr>
              <w:t>22,454</w:t>
            </w:r>
          </w:p>
        </w:tc>
        <w:tc>
          <w:tcPr>
            <w:tcW w:w="1300" w:type="dxa"/>
            <w:vAlign w:val="bottom"/>
            <w:vMerge w:val="restart"/>
          </w:tcPr>
          <w:p>
            <w:pPr>
              <w:jc w:val="right"/>
              <w:ind w:right="250"/>
              <w:spacing w:after="0"/>
              <w:rPr>
                <w:sz w:val="20"/>
                <w:szCs w:val="20"/>
                <w:color w:val="auto"/>
              </w:rPr>
            </w:pPr>
            <w:r>
              <w:rPr>
                <w:rFonts w:ascii="Arial" w:cs="Arial" w:eastAsia="Arial" w:hAnsi="Arial"/>
                <w:sz w:val="14"/>
                <w:szCs w:val="14"/>
                <w:color w:val="auto"/>
              </w:rPr>
              <w:t>474,996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1,112,450</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080" w:type="dxa"/>
            <w:vAlign w:val="bottom"/>
            <w:tcBorders>
              <w:bottom w:val="single" w:sz="8" w:color="999999"/>
            </w:tcBorders>
          </w:tcPr>
          <w:p>
            <w:pPr>
              <w:spacing w:after="0"/>
              <w:rPr>
                <w:sz w:val="10"/>
                <w:szCs w:val="10"/>
                <w:color w:val="auto"/>
              </w:rPr>
            </w:pPr>
          </w:p>
        </w:tc>
        <w:tc>
          <w:tcPr>
            <w:tcW w:w="3100" w:type="dxa"/>
            <w:vAlign w:val="bottom"/>
            <w:tcBorders>
              <w:bottom w:val="single" w:sz="8" w:color="999999"/>
            </w:tcBorders>
          </w:tcPr>
          <w:p>
            <w:pPr>
              <w:spacing w:after="0"/>
              <w:rPr>
                <w:sz w:val="10"/>
                <w:szCs w:val="10"/>
                <w:color w:val="auto"/>
              </w:rPr>
            </w:pPr>
          </w:p>
        </w:tc>
        <w:tc>
          <w:tcPr>
            <w:tcW w:w="960" w:type="dxa"/>
            <w:vAlign w:val="bottom"/>
            <w:tcBorders>
              <w:bottom w:val="single" w:sz="8" w:color="999999"/>
            </w:tcBorders>
          </w:tcPr>
          <w:p>
            <w:pPr>
              <w:spacing w:after="0"/>
              <w:rPr>
                <w:sz w:val="10"/>
                <w:szCs w:val="10"/>
                <w:color w:val="auto"/>
              </w:rPr>
            </w:pPr>
          </w:p>
        </w:tc>
        <w:tc>
          <w:tcPr>
            <w:tcW w:w="94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1300" w:type="dxa"/>
            <w:vAlign w:val="bottom"/>
            <w:tcBorders>
              <w:bottom w:val="single" w:sz="8" w:color="999999"/>
            </w:tcBorders>
          </w:tcPr>
          <w:p>
            <w:pPr>
              <w:spacing w:after="0"/>
              <w:rPr>
                <w:sz w:val="10"/>
                <w:szCs w:val="10"/>
                <w:color w:val="auto"/>
              </w:rPr>
            </w:pPr>
          </w:p>
        </w:tc>
        <w:tc>
          <w:tcPr>
            <w:tcW w:w="90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hanging="234"/>
        <w:spacing w:after="0"/>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Excludes Mr. Francis, who was not a participant in the Severance Plan as of December 31, 2023.</w:t>
      </w:r>
    </w:p>
    <w:p>
      <w:pPr>
        <w:spacing w:after="0" w:line="66" w:lineRule="exact"/>
        <w:rPr>
          <w:rFonts w:ascii="Arial" w:cs="Arial" w:eastAsia="Arial" w:hAnsi="Arial"/>
          <w:sz w:val="13"/>
          <w:szCs w:val="13"/>
          <w:b w:val="1"/>
          <w:bCs w:val="1"/>
          <w:color w:val="auto"/>
        </w:rPr>
      </w:pPr>
    </w:p>
    <w:p>
      <w:pPr>
        <w:ind w:left="240" w:hanging="234"/>
        <w:spacing w:after="0"/>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The market value of equity acceleration is calculated based on the closing price of our common stock as of December 31, 2023 of $0.7203 per share.</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The remaining unvested RSU award vests on June 16, 2024, subject to continued service with us.</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Pension Benefits</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during 2023 other than the 401(k) Plan.</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Clawback Policy</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2023, we adopted our Incentive Compensation Recoupment Policy in compliance with requirements under the Dodd Frank Wall Street Reform and Consumer Protection Act and related Nasdaq listing rules.</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Director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Non-Employee Director Compensation</w:t>
      </w:r>
    </w:p>
    <w:p>
      <w:pPr>
        <w:spacing w:after="0" w:line="221"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59664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Non-Employee Director Compensation Policy was amended in 2023 with changes effective on 1/1/2023. The Non-Employee Director Compensation Policy that was effective for 2023 consisted of the following elements: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7400" w:type="dxa"/>
            <w:vAlign w:val="bottom"/>
            <w:shd w:val="clear" w:color="auto" w:fill="000000"/>
          </w:tcPr>
          <w:p>
            <w:pPr>
              <w:spacing w:after="0"/>
              <w:rPr>
                <w:sz w:val="24"/>
                <w:szCs w:val="24"/>
                <w:color w:val="auto"/>
              </w:rPr>
            </w:pPr>
          </w:p>
        </w:tc>
        <w:tc>
          <w:tcPr>
            <w:tcW w:w="20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Amount</w:t>
            </w:r>
          </w:p>
        </w:tc>
      </w:tr>
      <w:tr>
        <w:trPr>
          <w:trHeight w:val="196"/>
        </w:trPr>
        <w:tc>
          <w:tcPr>
            <w:tcW w:w="740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Description of Non-Employee Director Compensation</w:t>
            </w:r>
          </w:p>
        </w:tc>
        <w:tc>
          <w:tcPr>
            <w:tcW w:w="20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r>
      <w:tr>
        <w:trPr>
          <w:trHeight w:val="110"/>
        </w:trPr>
        <w:tc>
          <w:tcPr>
            <w:tcW w:w="7400" w:type="dxa"/>
            <w:vAlign w:val="bottom"/>
            <w:shd w:val="clear" w:color="auto" w:fill="000000"/>
          </w:tcPr>
          <w:p>
            <w:pPr>
              <w:spacing w:after="0"/>
              <w:rPr>
                <w:sz w:val="9"/>
                <w:szCs w:val="9"/>
                <w:color w:val="auto"/>
              </w:rPr>
            </w:pPr>
          </w:p>
        </w:tc>
        <w:tc>
          <w:tcPr>
            <w:tcW w:w="2000" w:type="dxa"/>
            <w:vAlign w:val="bottom"/>
            <w:shd w:val="clear" w:color="auto" w:fill="000000"/>
          </w:tcPr>
          <w:p>
            <w:pPr>
              <w:spacing w:after="0"/>
              <w:rPr>
                <w:sz w:val="9"/>
                <w:szCs w:val="9"/>
                <w:color w:val="auto"/>
              </w:rPr>
            </w:pPr>
          </w:p>
        </w:tc>
      </w:tr>
      <w:tr>
        <w:trPr>
          <w:trHeight w:val="450"/>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Annual Retainer for Board Membership</w:t>
            </w:r>
            <w:r>
              <w:rPr>
                <w:rFonts w:ascii="Arial" w:cs="Arial" w:eastAsia="Arial" w:hAnsi="Arial"/>
                <w:sz w:val="23"/>
                <w:szCs w:val="23"/>
                <w:b w:val="1"/>
                <w:bCs w:val="1"/>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23"/>
        </w:trPr>
        <w:tc>
          <w:tcPr>
            <w:tcW w:w="7400" w:type="dxa"/>
            <w:vAlign w:val="bottom"/>
            <w:tcBorders>
              <w:bottom w:val="single" w:sz="8" w:color="999999"/>
            </w:tcBorders>
          </w:tcPr>
          <w:p>
            <w:pPr>
              <w:spacing w:after="0" w:line="20" w:lineRule="exact"/>
              <w:rPr>
                <w:sz w:val="1"/>
                <w:szCs w:val="1"/>
                <w:color w:val="auto"/>
              </w:rPr>
            </w:pPr>
          </w:p>
        </w:tc>
        <w:tc>
          <w:tcPr>
            <w:tcW w:w="2000" w:type="dxa"/>
            <w:vAlign w:val="bottom"/>
            <w:tcBorders>
              <w:bottom w:val="single" w:sz="8" w:color="999999"/>
            </w:tcBorders>
          </w:tcPr>
          <w:p>
            <w:pPr>
              <w:spacing w:after="0" w:line="20" w:lineRule="exact"/>
              <w:rPr>
                <w:sz w:val="1"/>
                <w:szCs w:val="1"/>
                <w:color w:val="auto"/>
              </w:rPr>
            </w:pPr>
          </w:p>
        </w:tc>
      </w:tr>
      <w:tr>
        <w:trPr>
          <w:trHeight w:val="457"/>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New Director Grant of RSUs for New Non-Employee Directors</w:t>
            </w:r>
            <w:r>
              <w:rPr>
                <w:rFonts w:ascii="Arial" w:cs="Arial" w:eastAsia="Arial" w:hAnsi="Arial"/>
                <w:sz w:val="23"/>
                <w:szCs w:val="23"/>
                <w:b w:val="1"/>
                <w:bCs w:val="1"/>
                <w:color w:val="auto"/>
                <w:vertAlign w:val="superscript"/>
              </w:rPr>
              <w:t>(3)(4)</w:t>
            </w:r>
          </w:p>
        </w:tc>
        <w:tc>
          <w:tcPr>
            <w:tcW w:w="200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23"/>
        </w:trPr>
        <w:tc>
          <w:tcPr>
            <w:tcW w:w="7400" w:type="dxa"/>
            <w:vAlign w:val="bottom"/>
            <w:tcBorders>
              <w:bottom w:val="single" w:sz="8" w:color="999999"/>
            </w:tcBorders>
          </w:tcPr>
          <w:p>
            <w:pPr>
              <w:spacing w:after="0" w:line="20" w:lineRule="exact"/>
              <w:rPr>
                <w:sz w:val="1"/>
                <w:szCs w:val="1"/>
                <w:color w:val="auto"/>
              </w:rPr>
            </w:pPr>
          </w:p>
        </w:tc>
        <w:tc>
          <w:tcPr>
            <w:tcW w:w="2000" w:type="dxa"/>
            <w:vAlign w:val="bottom"/>
            <w:tcBorders>
              <w:bottom w:val="single" w:sz="8" w:color="999999"/>
            </w:tcBorders>
          </w:tcPr>
          <w:p>
            <w:pPr>
              <w:spacing w:after="0" w:line="20" w:lineRule="exact"/>
              <w:rPr>
                <w:sz w:val="1"/>
                <w:szCs w:val="1"/>
                <w:color w:val="auto"/>
              </w:rPr>
            </w:pPr>
          </w:p>
        </w:tc>
      </w:tr>
      <w:tr>
        <w:trPr>
          <w:trHeight w:val="457"/>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Initial Term Grants for Existing Non-Employee Directors</w:t>
            </w:r>
            <w:r>
              <w:rPr>
                <w:rFonts w:ascii="Arial" w:cs="Arial" w:eastAsia="Arial" w:hAnsi="Arial"/>
                <w:sz w:val="23"/>
                <w:szCs w:val="23"/>
                <w:b w:val="1"/>
                <w:bCs w:val="1"/>
                <w:color w:val="auto"/>
                <w:vertAlign w:val="superscript"/>
              </w:rPr>
              <w:t>(4)(5)</w:t>
            </w:r>
          </w:p>
        </w:tc>
        <w:tc>
          <w:tcPr>
            <w:tcW w:w="200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23"/>
        </w:trPr>
        <w:tc>
          <w:tcPr>
            <w:tcW w:w="7400" w:type="dxa"/>
            <w:vAlign w:val="bottom"/>
            <w:tcBorders>
              <w:bottom w:val="single" w:sz="8" w:color="999999"/>
            </w:tcBorders>
          </w:tcPr>
          <w:p>
            <w:pPr>
              <w:spacing w:after="0" w:line="20" w:lineRule="exact"/>
              <w:rPr>
                <w:sz w:val="1"/>
                <w:szCs w:val="1"/>
                <w:color w:val="auto"/>
              </w:rPr>
            </w:pPr>
          </w:p>
        </w:tc>
        <w:tc>
          <w:tcPr>
            <w:tcW w:w="2000" w:type="dxa"/>
            <w:vAlign w:val="bottom"/>
            <w:tcBorders>
              <w:bottom w:val="single" w:sz="8" w:color="999999"/>
            </w:tcBorders>
          </w:tcPr>
          <w:p>
            <w:pPr>
              <w:spacing w:after="0" w:line="20" w:lineRule="exact"/>
              <w:rPr>
                <w:sz w:val="1"/>
                <w:szCs w:val="1"/>
                <w:color w:val="auto"/>
              </w:rPr>
            </w:pPr>
          </w:p>
        </w:tc>
      </w:tr>
      <w:tr>
        <w:trPr>
          <w:trHeight w:val="457"/>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Annual RSU Grant for All Non-Employee Directors</w:t>
            </w:r>
            <w:r>
              <w:rPr>
                <w:rFonts w:ascii="Arial" w:cs="Arial" w:eastAsia="Arial" w:hAnsi="Arial"/>
                <w:sz w:val="23"/>
                <w:szCs w:val="23"/>
                <w:b w:val="1"/>
                <w:bCs w:val="1"/>
                <w:color w:val="auto"/>
                <w:vertAlign w:val="superscript"/>
              </w:rPr>
              <w:t>(5)(6)</w:t>
            </w:r>
          </w:p>
        </w:tc>
        <w:tc>
          <w:tcPr>
            <w:tcW w:w="2000" w:type="dxa"/>
            <w:vAlign w:val="bottom"/>
          </w:tcPr>
          <w:p>
            <w:pPr>
              <w:jc w:val="right"/>
              <w:spacing w:after="0"/>
              <w:rPr>
                <w:sz w:val="20"/>
                <w:szCs w:val="20"/>
                <w:color w:val="auto"/>
              </w:rPr>
            </w:pPr>
            <w:r>
              <w:rPr>
                <w:rFonts w:ascii="Arial" w:cs="Arial" w:eastAsia="Arial" w:hAnsi="Arial"/>
                <w:sz w:val="14"/>
                <w:szCs w:val="14"/>
                <w:color w:val="auto"/>
              </w:rPr>
              <w:t>200,000</w:t>
            </w:r>
          </w:p>
        </w:tc>
      </w:tr>
      <w:tr>
        <w:trPr>
          <w:trHeight w:val="23"/>
        </w:trPr>
        <w:tc>
          <w:tcPr>
            <w:tcW w:w="7400" w:type="dxa"/>
            <w:vAlign w:val="bottom"/>
            <w:tcBorders>
              <w:bottom w:val="single" w:sz="8" w:color="999999"/>
            </w:tcBorders>
          </w:tcPr>
          <w:p>
            <w:pPr>
              <w:spacing w:after="0" w:line="20" w:lineRule="exact"/>
              <w:rPr>
                <w:sz w:val="1"/>
                <w:szCs w:val="1"/>
                <w:color w:val="auto"/>
              </w:rPr>
            </w:pPr>
          </w:p>
        </w:tc>
        <w:tc>
          <w:tcPr>
            <w:tcW w:w="2000" w:type="dxa"/>
            <w:vAlign w:val="bottom"/>
            <w:tcBorders>
              <w:bottom w:val="single" w:sz="8" w:color="999999"/>
            </w:tcBorders>
          </w:tcPr>
          <w:p>
            <w:pPr>
              <w:spacing w:after="0" w:line="20" w:lineRule="exact"/>
              <w:rPr>
                <w:sz w:val="1"/>
                <w:szCs w:val="1"/>
                <w:color w:val="auto"/>
              </w:rPr>
            </w:pPr>
          </w:p>
        </w:tc>
      </w:tr>
      <w:tr>
        <w:trPr>
          <w:trHeight w:val="329"/>
        </w:trPr>
        <w:tc>
          <w:tcPr>
            <w:tcW w:w="7400" w:type="dxa"/>
            <w:vAlign w:val="bottom"/>
          </w:tcPr>
          <w:p>
            <w:pPr>
              <w:ind w:left="80"/>
              <w:spacing w:after="0"/>
              <w:rPr>
                <w:sz w:val="20"/>
                <w:szCs w:val="20"/>
                <w:color w:val="auto"/>
              </w:rPr>
            </w:pPr>
            <w:r>
              <w:rPr>
                <w:rFonts w:ascii="Arial" w:cs="Arial" w:eastAsia="Arial" w:hAnsi="Arial"/>
                <w:sz w:val="14"/>
                <w:szCs w:val="14"/>
                <w:b w:val="1"/>
                <w:bCs w:val="1"/>
                <w:color w:val="auto"/>
              </w:rPr>
              <w:t>Committee Additional Cash Retainer</w:t>
            </w:r>
          </w:p>
        </w:tc>
        <w:tc>
          <w:tcPr>
            <w:tcW w:w="2000" w:type="dxa"/>
            <w:vAlign w:val="bottom"/>
          </w:tcPr>
          <w:p>
            <w:pPr>
              <w:spacing w:after="0"/>
              <w:rPr>
                <w:sz w:val="24"/>
                <w:szCs w:val="24"/>
                <w:color w:val="auto"/>
              </w:rPr>
            </w:pPr>
          </w:p>
        </w:tc>
      </w:tr>
      <w:tr>
        <w:trPr>
          <w:trHeight w:val="124"/>
        </w:trPr>
        <w:tc>
          <w:tcPr>
            <w:tcW w:w="7400" w:type="dxa"/>
            <w:vAlign w:val="bottom"/>
            <w:tcBorders>
              <w:bottom w:val="single" w:sz="8" w:color="999999"/>
            </w:tcBorders>
          </w:tcPr>
          <w:p>
            <w:pPr>
              <w:spacing w:after="0"/>
              <w:rPr>
                <w:sz w:val="10"/>
                <w:szCs w:val="10"/>
                <w:color w:val="auto"/>
              </w:rPr>
            </w:pPr>
          </w:p>
        </w:tc>
        <w:tc>
          <w:tcPr>
            <w:tcW w:w="2000" w:type="dxa"/>
            <w:vAlign w:val="bottom"/>
            <w:tcBorders>
              <w:bottom w:val="single" w:sz="8" w:color="999999"/>
            </w:tcBorders>
          </w:tcPr>
          <w:p>
            <w:pPr>
              <w:spacing w:after="0"/>
              <w:rPr>
                <w:sz w:val="10"/>
                <w:szCs w:val="10"/>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Audit Committee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Audit Committee member (other than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Compensation Committee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Compensation Committee member (other than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Nominating and Corporate Governance Committee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Nominating and Corporate Governance Committee member (other than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Technology Committee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Technology Committee member (other than Chairperson)</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7,500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Additional Annual Retainer for Chairperson of the Board (if a Non-Employee Director)</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60,000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51"/>
        </w:trPr>
        <w:tc>
          <w:tcPr>
            <w:tcW w:w="7400" w:type="dxa"/>
            <w:vAlign w:val="bottom"/>
          </w:tcPr>
          <w:p>
            <w:pPr>
              <w:ind w:left="260"/>
              <w:spacing w:after="0"/>
              <w:rPr>
                <w:sz w:val="20"/>
                <w:szCs w:val="20"/>
                <w:color w:val="auto"/>
              </w:rPr>
            </w:pPr>
            <w:r>
              <w:rPr>
                <w:rFonts w:ascii="Arial" w:cs="Arial" w:eastAsia="Arial" w:hAnsi="Arial"/>
                <w:sz w:val="14"/>
                <w:szCs w:val="14"/>
                <w:color w:val="auto"/>
              </w:rPr>
              <w:t>Additional Annual Retainer for Lead Independent Director</w:t>
            </w:r>
            <w:r>
              <w:rPr>
                <w:rFonts w:ascii="Arial" w:cs="Arial" w:eastAsia="Arial" w:hAnsi="Arial"/>
                <w:sz w:val="23"/>
                <w:szCs w:val="23"/>
                <w:color w:val="auto"/>
                <w:vertAlign w:val="superscript"/>
              </w:rPr>
              <w:t>(1)(2)</w:t>
            </w:r>
          </w:p>
        </w:tc>
        <w:tc>
          <w:tcPr>
            <w:tcW w:w="200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29"/>
        </w:trPr>
        <w:tc>
          <w:tcPr>
            <w:tcW w:w="7400" w:type="dxa"/>
            <w:vAlign w:val="bottom"/>
            <w:tcBorders>
              <w:bottom w:val="single" w:sz="8" w:color="999999"/>
            </w:tcBorders>
          </w:tcPr>
          <w:p>
            <w:pPr>
              <w:spacing w:after="0"/>
              <w:rPr>
                <w:sz w:val="2"/>
                <w:szCs w:val="2"/>
                <w:color w:val="auto"/>
              </w:rPr>
            </w:pPr>
          </w:p>
        </w:tc>
        <w:tc>
          <w:tcPr>
            <w:tcW w:w="2000" w:type="dxa"/>
            <w:vAlign w:val="bottom"/>
            <w:tcBorders>
              <w:bottom w:val="single" w:sz="8" w:color="999999"/>
            </w:tcBorders>
          </w:tcPr>
          <w:p>
            <w:pPr>
              <w:spacing w:after="0"/>
              <w:rPr>
                <w:sz w:val="2"/>
                <w:szCs w:val="2"/>
                <w:color w:val="auto"/>
              </w:rPr>
            </w:pPr>
          </w:p>
        </w:tc>
      </w:tr>
      <w:tr>
        <w:trPr>
          <w:trHeight w:val="460"/>
        </w:trPr>
        <w:tc>
          <w:tcPr>
            <w:tcW w:w="74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Additional Meeting Fees for each Director</w:t>
            </w:r>
            <w:r>
              <w:rPr>
                <w:rFonts w:ascii="Arial" w:cs="Arial" w:eastAsia="Arial" w:hAnsi="Arial"/>
                <w:sz w:val="23"/>
                <w:szCs w:val="23"/>
                <w:color w:val="auto"/>
                <w:vertAlign w:val="superscript"/>
              </w:rPr>
              <w:t>(7)</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bl>
    <w:p>
      <w:pPr>
        <w:spacing w:after="0" w:line="198" w:lineRule="exact"/>
        <w:rPr>
          <w:sz w:val="20"/>
          <w:szCs w:val="20"/>
          <w:color w:val="auto"/>
        </w:rPr>
      </w:pPr>
    </w:p>
    <w:p>
      <w:pPr>
        <w:ind w:left="240" w:hanging="234"/>
        <w:spacing w:after="0"/>
        <w:tabs>
          <w:tab w:leader="none" w:pos="24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Vested upon payment and paid in arrears on the last business day of each fiscal quarter in which the Non-Employee Director’s service occurred.</w:t>
      </w:r>
    </w:p>
    <w:p>
      <w:pPr>
        <w:spacing w:after="0" w:line="66" w:lineRule="exact"/>
        <w:rPr>
          <w:rFonts w:ascii="Arial" w:cs="Arial" w:eastAsia="Arial" w:hAnsi="Arial"/>
          <w:sz w:val="13"/>
          <w:szCs w:val="13"/>
          <w:b w:val="1"/>
          <w:bCs w:val="1"/>
          <w:color w:val="auto"/>
        </w:rPr>
      </w:pPr>
    </w:p>
    <w:p>
      <w:pPr>
        <w:ind w:left="240" w:right="140" w:hanging="234"/>
        <w:spacing w:after="0" w:line="236" w:lineRule="auto"/>
        <w:tabs>
          <w:tab w:leader="none" w:pos="24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31" w:lineRule="exact"/>
        <w:rPr>
          <w:rFonts w:ascii="Arial" w:cs="Arial" w:eastAsia="Arial" w:hAnsi="Arial"/>
          <w:sz w:val="13"/>
          <w:szCs w:val="13"/>
          <w:b w:val="1"/>
          <w:bCs w:val="1"/>
          <w:color w:val="auto"/>
        </w:rPr>
      </w:pPr>
    </w:p>
    <w:p>
      <w:pPr>
        <w:ind w:left="240" w:right="20" w:hanging="234"/>
        <w:spacing w:after="0" w:line="225" w:lineRule="auto"/>
        <w:tabs>
          <w:tab w:leader="none" w:pos="24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31" w:lineRule="exact"/>
        <w:rPr>
          <w:rFonts w:ascii="Arial" w:cs="Arial" w:eastAsia="Arial" w:hAnsi="Arial"/>
          <w:sz w:val="13"/>
          <w:szCs w:val="13"/>
          <w:b w:val="1"/>
          <w:bCs w:val="1"/>
          <w:color w:val="auto"/>
        </w:rPr>
      </w:pPr>
    </w:p>
    <w:p>
      <w:pPr>
        <w:ind w:left="240" w:right="40" w:hanging="234"/>
        <w:spacing w:after="0" w:line="223" w:lineRule="auto"/>
        <w:tabs>
          <w:tab w:leader="none" w:pos="24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59664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43</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240" w:right="20" w:hanging="234"/>
        <w:spacing w:after="0" w:line="228" w:lineRule="auto"/>
        <w:tabs>
          <w:tab w:leader="none" w:pos="24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32" w:lineRule="exact"/>
        <w:rPr>
          <w:rFonts w:ascii="Arial" w:cs="Arial" w:eastAsia="Arial" w:hAnsi="Arial"/>
          <w:sz w:val="13"/>
          <w:szCs w:val="13"/>
          <w:b w:val="1"/>
          <w:bCs w:val="1"/>
          <w:color w:val="auto"/>
        </w:rPr>
      </w:pPr>
    </w:p>
    <w:p>
      <w:pPr>
        <w:ind w:left="240" w:right="180" w:hanging="234"/>
        <w:spacing w:after="0" w:line="236" w:lineRule="auto"/>
        <w:tabs>
          <w:tab w:leader="none" w:pos="24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31" w:lineRule="exact"/>
        <w:rPr>
          <w:rFonts w:ascii="Arial" w:cs="Arial" w:eastAsia="Arial" w:hAnsi="Arial"/>
          <w:sz w:val="13"/>
          <w:szCs w:val="13"/>
          <w:b w:val="1"/>
          <w:bCs w:val="1"/>
          <w:color w:val="auto"/>
        </w:rPr>
      </w:pPr>
    </w:p>
    <w:p>
      <w:pPr>
        <w:ind w:left="240" w:right="260" w:hanging="234"/>
        <w:spacing w:after="0" w:line="231" w:lineRule="auto"/>
        <w:tabs>
          <w:tab w:leader="none" w:pos="24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13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2240" w:type="dxa"/>
            <w:vAlign w:val="bottom"/>
            <w:shd w:val="clear" w:color="auto" w:fill="000000"/>
          </w:tcPr>
          <w:p>
            <w:pPr>
              <w:spacing w:after="0"/>
              <w:rPr>
                <w:sz w:val="24"/>
                <w:szCs w:val="24"/>
                <w:color w:val="auto"/>
              </w:rPr>
            </w:pPr>
          </w:p>
        </w:tc>
        <w:tc>
          <w:tcPr>
            <w:tcW w:w="2020" w:type="dxa"/>
            <w:vAlign w:val="bottom"/>
            <w:shd w:val="clear" w:color="auto" w:fill="000000"/>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Non-equity</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Nonqualified</w:t>
            </w:r>
          </w:p>
        </w:tc>
        <w:tc>
          <w:tcPr>
            <w:tcW w:w="1080" w:type="dxa"/>
            <w:vAlign w:val="bottom"/>
            <w:shd w:val="clear" w:color="auto" w:fill="000000"/>
          </w:tcPr>
          <w:p>
            <w:pPr>
              <w:spacing w:after="0"/>
              <w:rPr>
                <w:sz w:val="24"/>
                <w:szCs w:val="24"/>
                <w:color w:val="auto"/>
              </w:rPr>
            </w:pPr>
          </w:p>
        </w:tc>
        <w:tc>
          <w:tcPr>
            <w:tcW w:w="58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000000"/>
          </w:tcPr>
          <w:p>
            <w:pPr>
              <w:spacing w:after="0"/>
              <w:rPr>
                <w:sz w:val="14"/>
                <w:szCs w:val="14"/>
                <w:color w:val="auto"/>
              </w:rPr>
            </w:pPr>
          </w:p>
        </w:tc>
        <w:tc>
          <w:tcPr>
            <w:tcW w:w="2020" w:type="dxa"/>
            <w:vAlign w:val="bottom"/>
            <w:shd w:val="clear" w:color="auto" w:fill="000000"/>
          </w:tcPr>
          <w:p>
            <w:pPr>
              <w:spacing w:after="0"/>
              <w:rPr>
                <w:sz w:val="14"/>
                <w:szCs w:val="14"/>
                <w:color w:val="auto"/>
              </w:rPr>
            </w:pPr>
          </w:p>
        </w:tc>
        <w:tc>
          <w:tcPr>
            <w:tcW w:w="680" w:type="dxa"/>
            <w:vAlign w:val="bottom"/>
            <w:vMerge w:val="restart"/>
            <w:shd w:val="clear" w:color="auto" w:fill="000000"/>
          </w:tcPr>
          <w:p>
            <w:pPr>
              <w:jc w:val="right"/>
              <w:ind w:right="29"/>
              <w:spacing w:after="0"/>
              <w:rPr>
                <w:sz w:val="20"/>
                <w:szCs w:val="20"/>
                <w:color w:val="auto"/>
              </w:rPr>
            </w:pPr>
            <w:r>
              <w:rPr>
                <w:rFonts w:ascii="Arial" w:cs="Arial" w:eastAsia="Arial" w:hAnsi="Arial"/>
                <w:sz w:val="14"/>
                <w:szCs w:val="14"/>
                <w:b w:val="1"/>
                <w:bCs w:val="1"/>
                <w:color w:val="FFFFFF"/>
              </w:rPr>
              <w:t>Stock​</w:t>
            </w:r>
          </w:p>
        </w:tc>
        <w:tc>
          <w:tcPr>
            <w:tcW w:w="600" w:type="dxa"/>
            <w:vAlign w:val="bottom"/>
            <w:shd w:val="clear" w:color="auto" w:fill="000000"/>
          </w:tcPr>
          <w:p>
            <w:pPr>
              <w:spacing w:after="0"/>
              <w:rPr>
                <w:sz w:val="14"/>
                <w:szCs w:val="14"/>
                <w:color w:val="auto"/>
              </w:rPr>
            </w:pP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incentive</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deferred</w:t>
            </w:r>
          </w:p>
        </w:tc>
        <w:tc>
          <w:tcPr>
            <w:tcW w:w="1080" w:type="dxa"/>
            <w:vAlign w:val="bottom"/>
            <w:vMerge w:val="restart"/>
            <w:shd w:val="clear" w:color="auto" w:fill="000000"/>
          </w:tcPr>
          <w:p>
            <w:pPr>
              <w:ind w:left="380"/>
              <w:spacing w:after="0"/>
              <w:rPr>
                <w:sz w:val="20"/>
                <w:szCs w:val="20"/>
                <w:color w:val="auto"/>
              </w:rPr>
            </w:pPr>
            <w:r>
              <w:rPr>
                <w:rFonts w:ascii="Arial" w:cs="Arial" w:eastAsia="Arial" w:hAnsi="Arial"/>
                <w:sz w:val="14"/>
                <w:szCs w:val="14"/>
                <w:b w:val="1"/>
                <w:bCs w:val="1"/>
                <w:color w:val="FFFFFF"/>
              </w:rPr>
              <w:t>All​ Other</w:t>
            </w:r>
          </w:p>
        </w:tc>
        <w:tc>
          <w:tcPr>
            <w:tcW w:w="5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000000"/>
          </w:tcPr>
          <w:p>
            <w:pPr>
              <w:spacing w:after="0"/>
              <w:rPr>
                <w:sz w:val="12"/>
                <w:szCs w:val="12"/>
                <w:color w:val="auto"/>
              </w:rPr>
            </w:pPr>
          </w:p>
        </w:tc>
        <w:tc>
          <w:tcPr>
            <w:tcW w:w="2020" w:type="dxa"/>
            <w:vAlign w:val="bottom"/>
            <w:shd w:val="clear" w:color="auto" w:fill="000000"/>
          </w:tcPr>
          <w:p>
            <w:pPr>
              <w:jc w:val="right"/>
              <w:ind w:right="28"/>
              <w:spacing w:after="0" w:line="145" w:lineRule="exact"/>
              <w:rPr>
                <w:sz w:val="20"/>
                <w:szCs w:val="20"/>
                <w:color w:val="auto"/>
              </w:rPr>
            </w:pPr>
            <w:r>
              <w:rPr>
                <w:rFonts w:ascii="Arial" w:cs="Arial" w:eastAsia="Arial" w:hAnsi="Arial"/>
                <w:sz w:val="14"/>
                <w:szCs w:val="14"/>
                <w:b w:val="1"/>
                <w:bCs w:val="1"/>
                <w:color w:val="FFFFFF"/>
              </w:rPr>
              <w:t>Fees Earned or</w:t>
            </w:r>
          </w:p>
        </w:tc>
        <w:tc>
          <w:tcPr>
            <w:tcW w:w="680" w:type="dxa"/>
            <w:vAlign w:val="bottom"/>
            <w:vMerge w:val="continue"/>
            <w:shd w:val="clear" w:color="auto" w:fill="000000"/>
          </w:tcPr>
          <w:p>
            <w:pPr>
              <w:spacing w:after="0"/>
              <w:rPr>
                <w:sz w:val="12"/>
                <w:szCs w:val="12"/>
                <w:color w:val="auto"/>
              </w:rPr>
            </w:pPr>
          </w:p>
        </w:tc>
        <w:tc>
          <w:tcPr>
            <w:tcW w:w="600" w:type="dxa"/>
            <w:vAlign w:val="bottom"/>
            <w:shd w:val="clear" w:color="auto" w:fill="000000"/>
          </w:tcPr>
          <w:p>
            <w:pPr>
              <w:jc w:val="right"/>
              <w:spacing w:after="0" w:line="145" w:lineRule="exact"/>
              <w:rPr>
                <w:sz w:val="20"/>
                <w:szCs w:val="20"/>
                <w:color w:val="auto"/>
              </w:rPr>
            </w:pPr>
            <w:r>
              <w:rPr>
                <w:rFonts w:ascii="Arial" w:cs="Arial" w:eastAsia="Arial" w:hAnsi="Arial"/>
                <w:sz w:val="14"/>
                <w:szCs w:val="14"/>
                <w:b w:val="1"/>
                <w:bCs w:val="1"/>
                <w:color w:val="FFFFFF"/>
              </w:rPr>
              <w:t>Option</w:t>
            </w:r>
          </w:p>
        </w:tc>
        <w:tc>
          <w:tcPr>
            <w:tcW w:w="1100" w:type="dxa"/>
            <w:vAlign w:val="bottom"/>
            <w:shd w:val="clear" w:color="auto" w:fill="000000"/>
          </w:tcPr>
          <w:p>
            <w:pPr>
              <w:jc w:val="right"/>
              <w:ind w:right="28"/>
              <w:spacing w:after="0" w:line="145" w:lineRule="exact"/>
              <w:rPr>
                <w:sz w:val="20"/>
                <w:szCs w:val="20"/>
                <w:color w:val="auto"/>
              </w:rPr>
            </w:pPr>
            <w:r>
              <w:rPr>
                <w:rFonts w:ascii="Arial" w:cs="Arial" w:eastAsia="Arial" w:hAnsi="Arial"/>
                <w:sz w:val="14"/>
                <w:szCs w:val="14"/>
                <w:b w:val="1"/>
                <w:bCs w:val="1"/>
                <w:color w:val="FFFFFF"/>
              </w:rPr>
              <w:t>plan</w:t>
            </w:r>
          </w:p>
        </w:tc>
        <w:tc>
          <w:tcPr>
            <w:tcW w:w="1100" w:type="dxa"/>
            <w:vAlign w:val="bottom"/>
            <w:shd w:val="clear" w:color="auto" w:fill="000000"/>
          </w:tcPr>
          <w:p>
            <w:pPr>
              <w:ind w:left="60"/>
              <w:spacing w:after="0" w:line="145" w:lineRule="exact"/>
              <w:rPr>
                <w:sz w:val="20"/>
                <w:szCs w:val="20"/>
                <w:color w:val="auto"/>
              </w:rPr>
            </w:pPr>
            <w:r>
              <w:rPr>
                <w:rFonts w:ascii="Arial" w:cs="Arial" w:eastAsia="Arial" w:hAnsi="Arial"/>
                <w:sz w:val="14"/>
                <w:szCs w:val="14"/>
                <w:b w:val="1"/>
                <w:bCs w:val="1"/>
                <w:color w:val="FFFFFF"/>
              </w:rPr>
              <w:t>compensation</w:t>
            </w:r>
          </w:p>
        </w:tc>
        <w:tc>
          <w:tcPr>
            <w:tcW w:w="1080" w:type="dxa"/>
            <w:vAlign w:val="bottom"/>
            <w:vMerge w:val="continue"/>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000000"/>
          </w:tcPr>
          <w:p>
            <w:pPr>
              <w:spacing w:after="0"/>
              <w:rPr>
                <w:sz w:val="14"/>
                <w:szCs w:val="14"/>
                <w:color w:val="auto"/>
              </w:rPr>
            </w:pPr>
          </w:p>
        </w:tc>
        <w:tc>
          <w:tcPr>
            <w:tcW w:w="202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Paid in Cash</w:t>
            </w:r>
          </w:p>
        </w:tc>
        <w:tc>
          <w:tcPr>
            <w:tcW w:w="680" w:type="dxa"/>
            <w:vAlign w:val="bottom"/>
            <w:shd w:val="clear" w:color="auto" w:fill="000000"/>
          </w:tcPr>
          <w:p>
            <w:pPr>
              <w:jc w:val="right"/>
              <w:ind w:right="29"/>
              <w:spacing w:after="0"/>
              <w:rPr>
                <w:sz w:val="20"/>
                <w:szCs w:val="20"/>
                <w:color w:val="auto"/>
              </w:rPr>
            </w:pPr>
            <w:r>
              <w:rPr>
                <w:rFonts w:ascii="Arial" w:cs="Arial" w:eastAsia="Arial" w:hAnsi="Arial"/>
                <w:sz w:val="14"/>
                <w:szCs w:val="14"/>
                <w:b w:val="1"/>
                <w:bCs w:val="1"/>
                <w:color w:val="FFFFFF"/>
              </w:rPr>
              <w:t>Awards</w:t>
            </w:r>
          </w:p>
        </w:tc>
        <w:tc>
          <w:tcPr>
            <w:tcW w:w="6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awards</w:t>
            </w:r>
          </w:p>
        </w:tc>
        <w:tc>
          <w:tcPr>
            <w:tcW w:w="11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compensation</w:t>
            </w:r>
          </w:p>
        </w:tc>
        <w:tc>
          <w:tcPr>
            <w:tcW w:w="1100" w:type="dxa"/>
            <w:vAlign w:val="bottom"/>
            <w:shd w:val="clear" w:color="auto" w:fill="000000"/>
          </w:tcPr>
          <w:p>
            <w:pPr>
              <w:jc w:val="right"/>
              <w:ind w:right="28"/>
              <w:spacing w:after="0"/>
              <w:rPr>
                <w:sz w:val="20"/>
                <w:szCs w:val="20"/>
                <w:color w:val="auto"/>
              </w:rPr>
            </w:pPr>
            <w:r>
              <w:rPr>
                <w:rFonts w:ascii="Arial" w:cs="Arial" w:eastAsia="Arial" w:hAnsi="Arial"/>
                <w:sz w:val="14"/>
                <w:szCs w:val="14"/>
                <w:b w:val="1"/>
                <w:bCs w:val="1"/>
                <w:color w:val="FFFFFF"/>
              </w:rPr>
              <w:t>earnings</w:t>
            </w:r>
          </w:p>
        </w:tc>
        <w:tc>
          <w:tcPr>
            <w:tcW w:w="10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compensation</w:t>
            </w:r>
          </w:p>
        </w:tc>
        <w:tc>
          <w:tcPr>
            <w:tcW w:w="5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324"/>
        </w:trPr>
        <w:tc>
          <w:tcPr>
            <w:tcW w:w="224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w:t>
            </w:r>
          </w:p>
        </w:tc>
        <w:tc>
          <w:tcPr>
            <w:tcW w:w="202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0000"/>
          </w:tcPr>
          <w:p>
            <w:pPr>
              <w:jc w:val="right"/>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(1)(2)</w:t>
            </w:r>
          </w:p>
        </w:tc>
        <w:tc>
          <w:tcPr>
            <w:tcW w:w="6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0000"/>
          </w:tcPr>
          <w:p>
            <w:pPr>
              <w:ind w:left="860"/>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0000"/>
          </w:tcPr>
          <w:p>
            <w:pPr>
              <w:jc w:val="right"/>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(4)</w:t>
            </w:r>
          </w:p>
        </w:tc>
        <w:tc>
          <w:tcPr>
            <w:tcW w:w="5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22"/>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Tony Aquila</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65,000</w:t>
            </w:r>
          </w:p>
        </w:tc>
        <w:tc>
          <w:tcPr>
            <w:tcW w:w="680" w:type="dxa"/>
            <w:vAlign w:val="bottom"/>
          </w:tcPr>
          <w:p>
            <w:pPr>
              <w:ind w:left="60"/>
              <w:spacing w:after="0"/>
              <w:rPr>
                <w:sz w:val="20"/>
                <w:szCs w:val="20"/>
                <w:color w:val="auto"/>
              </w:rPr>
            </w:pPr>
            <w:r>
              <w:rPr>
                <w:rFonts w:ascii="Arial" w:cs="Arial" w:eastAsia="Arial" w:hAnsi="Arial"/>
                <w:sz w:val="14"/>
                <w:szCs w:val="14"/>
                <w:color w:val="auto"/>
              </w:rPr>
              <w:t>600,364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35,297​</w:t>
            </w:r>
          </w:p>
        </w:tc>
        <w:tc>
          <w:tcPr>
            <w:tcW w:w="580" w:type="dxa"/>
            <w:vAlign w:val="bottom"/>
          </w:tcPr>
          <w:p>
            <w:pPr>
              <w:jc w:val="right"/>
              <w:spacing w:after="0"/>
              <w:rPr>
                <w:sz w:val="20"/>
                <w:szCs w:val="20"/>
                <w:color w:val="auto"/>
              </w:rPr>
            </w:pPr>
            <w:r>
              <w:rPr>
                <w:rFonts w:ascii="Arial" w:cs="Arial" w:eastAsia="Arial" w:hAnsi="Arial"/>
                <w:sz w:val="14"/>
                <w:szCs w:val="14"/>
                <w:color w:val="auto"/>
              </w:rPr>
              <w:t>700,661</w:t>
            </w:r>
          </w:p>
        </w:tc>
        <w:tc>
          <w:tcPr>
            <w:tcW w:w="0" w:type="dxa"/>
            <w:vAlign w:val="bottom"/>
          </w:tcPr>
          <w:p>
            <w:pPr>
              <w:spacing w:after="0"/>
              <w:rPr>
                <w:sz w:val="1"/>
                <w:szCs w:val="1"/>
                <w:color w:val="auto"/>
              </w:rPr>
            </w:pPr>
          </w:p>
        </w:tc>
      </w:tr>
      <w:tr>
        <w:trPr>
          <w:trHeight w:val="124"/>
        </w:trPr>
        <w:tc>
          <w:tcPr>
            <w:tcW w:w="2240" w:type="dxa"/>
            <w:vAlign w:val="bottom"/>
            <w:tcBorders>
              <w:bottom w:val="single" w:sz="8" w:color="999999"/>
            </w:tcBorders>
          </w:tcPr>
          <w:p>
            <w:pPr>
              <w:spacing w:after="0"/>
              <w:rPr>
                <w:sz w:val="10"/>
                <w:szCs w:val="10"/>
                <w:color w:val="auto"/>
              </w:rPr>
            </w:pPr>
          </w:p>
        </w:tc>
        <w:tc>
          <w:tcPr>
            <w:tcW w:w="202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5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Anthony Bay</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122,500</w:t>
            </w:r>
          </w:p>
        </w:tc>
        <w:tc>
          <w:tcPr>
            <w:tcW w:w="680" w:type="dxa"/>
            <w:vAlign w:val="bottom"/>
          </w:tcPr>
          <w:p>
            <w:pPr>
              <w:ind w:left="60"/>
              <w:spacing w:after="0"/>
              <w:rPr>
                <w:sz w:val="20"/>
                <w:szCs w:val="20"/>
                <w:color w:val="auto"/>
              </w:rPr>
            </w:pPr>
            <w:r>
              <w:rPr>
                <w:rFonts w:ascii="Arial" w:cs="Arial" w:eastAsia="Arial" w:hAnsi="Arial"/>
                <w:sz w:val="14"/>
                <w:szCs w:val="14"/>
                <w:color w:val="auto"/>
              </w:rPr>
              <w:t>394,114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8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516,614</w:t>
            </w:r>
          </w:p>
        </w:tc>
        <w:tc>
          <w:tcPr>
            <w:tcW w:w="0" w:type="dxa"/>
            <w:vAlign w:val="bottom"/>
          </w:tcPr>
          <w:p>
            <w:pPr>
              <w:spacing w:after="0"/>
              <w:rPr>
                <w:sz w:val="1"/>
                <w:szCs w:val="1"/>
                <w:color w:val="auto"/>
              </w:rPr>
            </w:pPr>
          </w:p>
        </w:tc>
      </w:tr>
      <w:tr>
        <w:trPr>
          <w:trHeight w:val="124"/>
        </w:trPr>
        <w:tc>
          <w:tcPr>
            <w:tcW w:w="2240" w:type="dxa"/>
            <w:vAlign w:val="bottom"/>
            <w:tcBorders>
              <w:bottom w:val="single" w:sz="8" w:color="999999"/>
            </w:tcBorders>
          </w:tcPr>
          <w:p>
            <w:pPr>
              <w:spacing w:after="0"/>
              <w:rPr>
                <w:sz w:val="10"/>
                <w:szCs w:val="10"/>
                <w:color w:val="auto"/>
              </w:rPr>
            </w:pPr>
          </w:p>
        </w:tc>
        <w:tc>
          <w:tcPr>
            <w:tcW w:w="202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5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(5)</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37,768</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30,905​</w:t>
            </w:r>
          </w:p>
        </w:tc>
        <w:tc>
          <w:tcPr>
            <w:tcW w:w="580" w:type="dxa"/>
            <w:vAlign w:val="bottom"/>
          </w:tcPr>
          <w:p>
            <w:pPr>
              <w:jc w:val="right"/>
              <w:spacing w:after="0"/>
              <w:rPr>
                <w:sz w:val="20"/>
                <w:szCs w:val="20"/>
                <w:color w:val="auto"/>
              </w:rPr>
            </w:pPr>
            <w:r>
              <w:rPr>
                <w:rFonts w:ascii="Arial" w:cs="Arial" w:eastAsia="Arial" w:hAnsi="Arial"/>
                <w:sz w:val="14"/>
                <w:szCs w:val="14"/>
                <w:color w:val="auto"/>
              </w:rPr>
              <w:t>68,673</w:t>
            </w:r>
          </w:p>
        </w:tc>
        <w:tc>
          <w:tcPr>
            <w:tcW w:w="0" w:type="dxa"/>
            <w:vAlign w:val="bottom"/>
          </w:tcPr>
          <w:p>
            <w:pPr>
              <w:spacing w:after="0"/>
              <w:rPr>
                <w:sz w:val="1"/>
                <w:szCs w:val="1"/>
                <w:color w:val="auto"/>
              </w:rPr>
            </w:pPr>
          </w:p>
        </w:tc>
      </w:tr>
      <w:tr>
        <w:trPr>
          <w:trHeight w:val="23"/>
        </w:trPr>
        <w:tc>
          <w:tcPr>
            <w:tcW w:w="2240" w:type="dxa"/>
            <w:vAlign w:val="bottom"/>
            <w:tcBorders>
              <w:bottom w:val="single" w:sz="8" w:color="999999"/>
            </w:tcBorders>
          </w:tcPr>
          <w:p>
            <w:pPr>
              <w:spacing w:after="0" w:line="20" w:lineRule="exact"/>
              <w:rPr>
                <w:sz w:val="1"/>
                <w:szCs w:val="1"/>
                <w:color w:val="auto"/>
              </w:rPr>
            </w:pPr>
          </w:p>
        </w:tc>
        <w:tc>
          <w:tcPr>
            <w:tcW w:w="202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tcPr>
          <w:p>
            <w:pPr>
              <w:spacing w:after="0" w:line="20" w:lineRule="exact"/>
              <w:rPr>
                <w:sz w:val="1"/>
                <w:szCs w:val="1"/>
                <w:color w:val="auto"/>
              </w:rPr>
            </w:pPr>
          </w:p>
        </w:tc>
        <w:tc>
          <w:tcPr>
            <w:tcW w:w="58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Brenda Freeman</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183,000</w:t>
            </w:r>
          </w:p>
        </w:tc>
        <w:tc>
          <w:tcPr>
            <w:tcW w:w="680" w:type="dxa"/>
            <w:vAlign w:val="bottom"/>
          </w:tcPr>
          <w:p>
            <w:pPr>
              <w:ind w:left="60"/>
              <w:spacing w:after="0"/>
              <w:rPr>
                <w:sz w:val="20"/>
                <w:szCs w:val="20"/>
                <w:color w:val="auto"/>
              </w:rPr>
            </w:pPr>
            <w:r>
              <w:rPr>
                <w:rFonts w:ascii="Arial" w:cs="Arial" w:eastAsia="Arial" w:hAnsi="Arial"/>
                <w:sz w:val="14"/>
                <w:szCs w:val="14"/>
                <w:color w:val="auto"/>
              </w:rPr>
              <w:t>500,363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26,775​</w:t>
            </w:r>
          </w:p>
        </w:tc>
        <w:tc>
          <w:tcPr>
            <w:tcW w:w="580" w:type="dxa"/>
            <w:vAlign w:val="bottom"/>
          </w:tcPr>
          <w:p>
            <w:pPr>
              <w:jc w:val="right"/>
              <w:spacing w:after="0"/>
              <w:rPr>
                <w:sz w:val="20"/>
                <w:szCs w:val="20"/>
                <w:color w:val="auto"/>
              </w:rPr>
            </w:pPr>
            <w:r>
              <w:rPr>
                <w:rFonts w:ascii="Arial" w:cs="Arial" w:eastAsia="Arial" w:hAnsi="Arial"/>
                <w:sz w:val="14"/>
                <w:szCs w:val="14"/>
                <w:color w:val="auto"/>
              </w:rPr>
              <w:t>710,138</w:t>
            </w:r>
          </w:p>
        </w:tc>
        <w:tc>
          <w:tcPr>
            <w:tcW w:w="0" w:type="dxa"/>
            <w:vAlign w:val="bottom"/>
          </w:tcPr>
          <w:p>
            <w:pPr>
              <w:spacing w:after="0"/>
              <w:rPr>
                <w:sz w:val="1"/>
                <w:szCs w:val="1"/>
                <w:color w:val="auto"/>
              </w:rPr>
            </w:pPr>
          </w:p>
        </w:tc>
      </w:tr>
      <w:tr>
        <w:trPr>
          <w:trHeight w:val="124"/>
        </w:trPr>
        <w:tc>
          <w:tcPr>
            <w:tcW w:w="2240" w:type="dxa"/>
            <w:vAlign w:val="bottom"/>
            <w:tcBorders>
              <w:bottom w:val="single" w:sz="8" w:color="999999"/>
            </w:tcBorders>
          </w:tcPr>
          <w:p>
            <w:pPr>
              <w:spacing w:after="0"/>
              <w:rPr>
                <w:sz w:val="10"/>
                <w:szCs w:val="10"/>
                <w:color w:val="auto"/>
              </w:rPr>
            </w:pPr>
          </w:p>
        </w:tc>
        <w:tc>
          <w:tcPr>
            <w:tcW w:w="202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5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Olga Gonzalez</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120,000</w:t>
            </w:r>
          </w:p>
        </w:tc>
        <w:tc>
          <w:tcPr>
            <w:tcW w:w="680" w:type="dxa"/>
            <w:vAlign w:val="bottom"/>
          </w:tcPr>
          <w:p>
            <w:pPr>
              <w:ind w:left="60"/>
              <w:spacing w:after="0"/>
              <w:rPr>
                <w:sz w:val="20"/>
                <w:szCs w:val="20"/>
                <w:color w:val="auto"/>
              </w:rPr>
            </w:pPr>
            <w:r>
              <w:rPr>
                <w:rFonts w:ascii="Arial" w:cs="Arial" w:eastAsia="Arial" w:hAnsi="Arial"/>
                <w:sz w:val="14"/>
                <w:szCs w:val="14"/>
                <w:color w:val="auto"/>
              </w:rPr>
              <w:t>500,363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27,073​</w:t>
            </w:r>
          </w:p>
        </w:tc>
        <w:tc>
          <w:tcPr>
            <w:tcW w:w="580" w:type="dxa"/>
            <w:vAlign w:val="bottom"/>
          </w:tcPr>
          <w:p>
            <w:pPr>
              <w:jc w:val="right"/>
              <w:spacing w:after="0"/>
              <w:rPr>
                <w:sz w:val="20"/>
                <w:szCs w:val="20"/>
                <w:color w:val="auto"/>
              </w:rPr>
            </w:pPr>
            <w:r>
              <w:rPr>
                <w:rFonts w:ascii="Arial" w:cs="Arial" w:eastAsia="Arial" w:hAnsi="Arial"/>
                <w:sz w:val="14"/>
                <w:szCs w:val="14"/>
                <w:color w:val="auto"/>
              </w:rPr>
              <w:t>647,436</w:t>
            </w:r>
          </w:p>
        </w:tc>
        <w:tc>
          <w:tcPr>
            <w:tcW w:w="0" w:type="dxa"/>
            <w:vAlign w:val="bottom"/>
          </w:tcPr>
          <w:p>
            <w:pPr>
              <w:spacing w:after="0"/>
              <w:rPr>
                <w:sz w:val="1"/>
                <w:szCs w:val="1"/>
                <w:color w:val="auto"/>
              </w:rPr>
            </w:pPr>
          </w:p>
        </w:tc>
      </w:tr>
      <w:tr>
        <w:trPr>
          <w:trHeight w:val="124"/>
        </w:trPr>
        <w:tc>
          <w:tcPr>
            <w:tcW w:w="2240" w:type="dxa"/>
            <w:vAlign w:val="bottom"/>
            <w:tcBorders>
              <w:bottom w:val="single" w:sz="8" w:color="999999"/>
            </w:tcBorders>
          </w:tcPr>
          <w:p>
            <w:pPr>
              <w:spacing w:after="0"/>
              <w:rPr>
                <w:sz w:val="10"/>
                <w:szCs w:val="10"/>
                <w:color w:val="auto"/>
              </w:rPr>
            </w:pPr>
          </w:p>
        </w:tc>
        <w:tc>
          <w:tcPr>
            <w:tcW w:w="202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5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Scott Gordon</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97,500</w:t>
            </w:r>
          </w:p>
        </w:tc>
        <w:tc>
          <w:tcPr>
            <w:tcW w:w="680" w:type="dxa"/>
            <w:vAlign w:val="bottom"/>
          </w:tcPr>
          <w:p>
            <w:pPr>
              <w:ind w:left="60"/>
              <w:spacing w:after="0"/>
              <w:rPr>
                <w:sz w:val="20"/>
                <w:szCs w:val="20"/>
                <w:color w:val="auto"/>
              </w:rPr>
            </w:pPr>
            <w:r>
              <w:rPr>
                <w:rFonts w:ascii="Arial" w:cs="Arial" w:eastAsia="Arial" w:hAnsi="Arial"/>
                <w:sz w:val="14"/>
                <w:szCs w:val="14"/>
                <w:color w:val="auto"/>
              </w:rPr>
              <w:t>187,864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37,964​</w:t>
            </w:r>
          </w:p>
        </w:tc>
        <w:tc>
          <w:tcPr>
            <w:tcW w:w="580" w:type="dxa"/>
            <w:vAlign w:val="bottom"/>
          </w:tcPr>
          <w:p>
            <w:pPr>
              <w:jc w:val="right"/>
              <w:spacing w:after="0"/>
              <w:rPr>
                <w:sz w:val="20"/>
                <w:szCs w:val="20"/>
                <w:color w:val="auto"/>
              </w:rPr>
            </w:pPr>
            <w:r>
              <w:rPr>
                <w:rFonts w:ascii="Arial" w:cs="Arial" w:eastAsia="Arial" w:hAnsi="Arial"/>
                <w:sz w:val="14"/>
                <w:szCs w:val="14"/>
                <w:color w:val="auto"/>
              </w:rPr>
              <w:t>323,328</w:t>
            </w:r>
          </w:p>
        </w:tc>
        <w:tc>
          <w:tcPr>
            <w:tcW w:w="0" w:type="dxa"/>
            <w:vAlign w:val="bottom"/>
          </w:tcPr>
          <w:p>
            <w:pPr>
              <w:spacing w:after="0"/>
              <w:rPr>
                <w:sz w:val="1"/>
                <w:szCs w:val="1"/>
                <w:color w:val="auto"/>
              </w:rPr>
            </w:pPr>
          </w:p>
        </w:tc>
      </w:tr>
      <w:tr>
        <w:trPr>
          <w:trHeight w:val="124"/>
        </w:trPr>
        <w:tc>
          <w:tcPr>
            <w:tcW w:w="2240" w:type="dxa"/>
            <w:vAlign w:val="bottom"/>
            <w:tcBorders>
              <w:bottom w:val="single" w:sz="8" w:color="999999"/>
            </w:tcBorders>
          </w:tcPr>
          <w:p>
            <w:pPr>
              <w:spacing w:after="0"/>
              <w:rPr>
                <w:sz w:val="10"/>
                <w:szCs w:val="10"/>
                <w:color w:val="auto"/>
              </w:rPr>
            </w:pPr>
          </w:p>
        </w:tc>
        <w:tc>
          <w:tcPr>
            <w:tcW w:w="2020" w:type="dxa"/>
            <w:vAlign w:val="bottom"/>
            <w:tcBorders>
              <w:bottom w:val="single" w:sz="8" w:color="999999"/>
            </w:tcBorders>
          </w:tcPr>
          <w:p>
            <w:pPr>
              <w:spacing w:after="0"/>
              <w:rPr>
                <w:sz w:val="10"/>
                <w:szCs w:val="10"/>
                <w:color w:val="auto"/>
              </w:rPr>
            </w:pPr>
          </w:p>
        </w:tc>
        <w:tc>
          <w:tcPr>
            <w:tcW w:w="680" w:type="dxa"/>
            <w:vAlign w:val="bottom"/>
            <w:tcBorders>
              <w:bottom w:val="single" w:sz="8" w:color="999999"/>
            </w:tcBorders>
          </w:tcPr>
          <w:p>
            <w:pPr>
              <w:spacing w:after="0"/>
              <w:rPr>
                <w:sz w:val="10"/>
                <w:szCs w:val="10"/>
                <w:color w:val="auto"/>
              </w:rPr>
            </w:pPr>
          </w:p>
        </w:tc>
        <w:tc>
          <w:tcPr>
            <w:tcW w:w="6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5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457"/>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Justin Hartfield</w:t>
            </w:r>
            <w:r>
              <w:rPr>
                <w:rFonts w:ascii="Arial" w:cs="Arial" w:eastAsia="Arial" w:hAnsi="Arial"/>
                <w:sz w:val="23"/>
                <w:szCs w:val="23"/>
                <w:b w:val="1"/>
                <w:bCs w:val="1"/>
                <w:color w:val="40C0C0"/>
                <w:vertAlign w:val="superscript"/>
              </w:rPr>
              <w:t>(3)</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35,000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33,684​</w:t>
            </w:r>
          </w:p>
        </w:tc>
        <w:tc>
          <w:tcPr>
            <w:tcW w:w="580" w:type="dxa"/>
            <w:vAlign w:val="bottom"/>
          </w:tcPr>
          <w:p>
            <w:pPr>
              <w:jc w:val="right"/>
              <w:spacing w:after="0"/>
              <w:rPr>
                <w:sz w:val="20"/>
                <w:szCs w:val="20"/>
                <w:color w:val="auto"/>
              </w:rPr>
            </w:pPr>
            <w:r>
              <w:rPr>
                <w:rFonts w:ascii="Arial" w:cs="Arial" w:eastAsia="Arial" w:hAnsi="Arial"/>
                <w:sz w:val="14"/>
                <w:szCs w:val="14"/>
                <w:color w:val="auto"/>
              </w:rPr>
              <w:t>68,684</w:t>
            </w:r>
          </w:p>
        </w:tc>
        <w:tc>
          <w:tcPr>
            <w:tcW w:w="0" w:type="dxa"/>
            <w:vAlign w:val="bottom"/>
          </w:tcPr>
          <w:p>
            <w:pPr>
              <w:spacing w:after="0"/>
              <w:rPr>
                <w:sz w:val="1"/>
                <w:szCs w:val="1"/>
                <w:color w:val="auto"/>
              </w:rPr>
            </w:pPr>
          </w:p>
        </w:tc>
      </w:tr>
      <w:tr>
        <w:trPr>
          <w:trHeight w:val="23"/>
        </w:trPr>
        <w:tc>
          <w:tcPr>
            <w:tcW w:w="2240" w:type="dxa"/>
            <w:vAlign w:val="bottom"/>
            <w:tcBorders>
              <w:bottom w:val="single" w:sz="8" w:color="999999"/>
            </w:tcBorders>
          </w:tcPr>
          <w:p>
            <w:pPr>
              <w:spacing w:after="0" w:line="20" w:lineRule="exact"/>
              <w:rPr>
                <w:sz w:val="1"/>
                <w:szCs w:val="1"/>
                <w:color w:val="auto"/>
              </w:rPr>
            </w:pPr>
          </w:p>
        </w:tc>
        <w:tc>
          <w:tcPr>
            <w:tcW w:w="202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c>
          <w:tcPr>
            <w:tcW w:w="1100" w:type="dxa"/>
            <w:vAlign w:val="bottom"/>
            <w:tcBorders>
              <w:bottom w:val="single" w:sz="8" w:color="999999"/>
            </w:tcBorders>
          </w:tcPr>
          <w:p>
            <w:pPr>
              <w:spacing w:after="0" w:line="20" w:lineRule="exact"/>
              <w:rPr>
                <w:sz w:val="1"/>
                <w:szCs w:val="1"/>
                <w:color w:val="auto"/>
              </w:rPr>
            </w:pPr>
          </w:p>
        </w:tc>
        <w:tc>
          <w:tcPr>
            <w:tcW w:w="1080" w:type="dxa"/>
            <w:vAlign w:val="bottom"/>
            <w:tcBorders>
              <w:bottom w:val="single" w:sz="8" w:color="999999"/>
            </w:tcBorders>
          </w:tcPr>
          <w:p>
            <w:pPr>
              <w:spacing w:after="0" w:line="20" w:lineRule="exact"/>
              <w:rPr>
                <w:sz w:val="1"/>
                <w:szCs w:val="1"/>
                <w:color w:val="auto"/>
              </w:rPr>
            </w:pPr>
          </w:p>
        </w:tc>
        <w:tc>
          <w:tcPr>
            <w:tcW w:w="58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2240" w:type="dxa"/>
            <w:vAlign w:val="bottom"/>
          </w:tcPr>
          <w:p>
            <w:pPr>
              <w:ind w:left="80"/>
              <w:spacing w:after="0"/>
              <w:rPr>
                <w:sz w:val="20"/>
                <w:szCs w:val="20"/>
                <w:color w:val="auto"/>
              </w:rPr>
            </w:pPr>
            <w:r>
              <w:rPr>
                <w:rFonts w:ascii="Arial" w:cs="Arial" w:eastAsia="Arial" w:hAnsi="Arial"/>
                <w:sz w:val="14"/>
                <w:szCs w:val="14"/>
                <w:b w:val="1"/>
                <w:bCs w:val="1"/>
                <w:color w:val="40C0C0"/>
              </w:rPr>
              <w:t>Fiona Tan</w:t>
            </w:r>
          </w:p>
        </w:tc>
        <w:tc>
          <w:tcPr>
            <w:tcW w:w="2020" w:type="dxa"/>
            <w:vAlign w:val="bottom"/>
          </w:tcPr>
          <w:p>
            <w:pPr>
              <w:jc w:val="right"/>
              <w:ind w:right="128"/>
              <w:spacing w:after="0"/>
              <w:rPr>
                <w:sz w:val="20"/>
                <w:szCs w:val="20"/>
                <w:color w:val="auto"/>
              </w:rPr>
            </w:pPr>
            <w:r>
              <w:rPr>
                <w:rFonts w:ascii="Arial" w:cs="Arial" w:eastAsia="Arial" w:hAnsi="Arial"/>
                <w:sz w:val="14"/>
                <w:szCs w:val="14"/>
                <w:color w:val="auto"/>
              </w:rPr>
              <w:t>122,000</w:t>
            </w:r>
          </w:p>
        </w:tc>
        <w:tc>
          <w:tcPr>
            <w:tcW w:w="680" w:type="dxa"/>
            <w:vAlign w:val="bottom"/>
          </w:tcPr>
          <w:p>
            <w:pPr>
              <w:ind w:left="60"/>
              <w:spacing w:after="0"/>
              <w:rPr>
                <w:sz w:val="20"/>
                <w:szCs w:val="20"/>
                <w:color w:val="auto"/>
              </w:rPr>
            </w:pPr>
            <w:r>
              <w:rPr>
                <w:rFonts w:ascii="Arial" w:cs="Arial" w:eastAsia="Arial" w:hAnsi="Arial"/>
                <w:sz w:val="14"/>
                <w:szCs w:val="14"/>
                <w:color w:val="auto"/>
              </w:rPr>
              <w:t>394,114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100" w:type="dxa"/>
            <w:vAlign w:val="bottom"/>
          </w:tcPr>
          <w:p>
            <w:pPr>
              <w:ind w:left="840"/>
              <w:spacing w:after="0"/>
              <w:rPr>
                <w:sz w:val="20"/>
                <w:szCs w:val="20"/>
                <w:color w:val="auto"/>
              </w:rPr>
            </w:pPr>
            <w:r>
              <w:rPr>
                <w:rFonts w:ascii="Arial" w:cs="Arial" w:eastAsia="Arial" w:hAnsi="Arial"/>
                <w:sz w:val="14"/>
                <w:szCs w:val="14"/>
                <w:color w:val="auto"/>
              </w:rPr>
              <w:t>—</w:t>
            </w:r>
          </w:p>
        </w:tc>
        <w:tc>
          <w:tcPr>
            <w:tcW w:w="1080" w:type="dxa"/>
            <w:vAlign w:val="bottom"/>
          </w:tcPr>
          <w:p>
            <w:pPr>
              <w:ind w:left="500"/>
              <w:spacing w:after="0"/>
              <w:rPr>
                <w:sz w:val="20"/>
                <w:szCs w:val="20"/>
                <w:color w:val="auto"/>
              </w:rPr>
            </w:pPr>
            <w:r>
              <w:rPr>
                <w:rFonts w:ascii="Arial" w:cs="Arial" w:eastAsia="Arial" w:hAnsi="Arial"/>
                <w:sz w:val="14"/>
                <w:szCs w:val="14"/>
                <w:color w:val="auto"/>
              </w:rPr>
              <w:t>36,550​</w:t>
            </w:r>
          </w:p>
        </w:tc>
        <w:tc>
          <w:tcPr>
            <w:tcW w:w="580" w:type="dxa"/>
            <w:vAlign w:val="bottom"/>
          </w:tcPr>
          <w:p>
            <w:pPr>
              <w:jc w:val="right"/>
              <w:spacing w:after="0"/>
              <w:rPr>
                <w:sz w:val="20"/>
                <w:szCs w:val="20"/>
                <w:color w:val="auto"/>
              </w:rPr>
            </w:pPr>
            <w:r>
              <w:rPr>
                <w:rFonts w:ascii="Arial" w:cs="Arial" w:eastAsia="Arial" w:hAnsi="Arial"/>
                <w:sz w:val="14"/>
                <w:szCs w:val="14"/>
                <w:color w:val="auto"/>
              </w:rPr>
              <w:t>552,664</w:t>
            </w:r>
          </w:p>
        </w:tc>
        <w:tc>
          <w:tcPr>
            <w:tcW w:w="0" w:type="dxa"/>
            <w:vAlign w:val="bottom"/>
          </w:tcPr>
          <w:p>
            <w:pPr>
              <w:spacing w:after="0"/>
              <w:rPr>
                <w:sz w:val="1"/>
                <w:szCs w:val="1"/>
                <w:color w:val="auto"/>
              </w:rPr>
            </w:pPr>
          </w:p>
        </w:tc>
      </w:tr>
      <w:tr>
        <w:trPr>
          <w:trHeight w:val="110"/>
        </w:trPr>
        <w:tc>
          <w:tcPr>
            <w:tcW w:w="2240" w:type="dxa"/>
            <w:vAlign w:val="bottom"/>
            <w:tcBorders>
              <w:bottom w:val="single" w:sz="8" w:color="999999"/>
            </w:tcBorders>
          </w:tcPr>
          <w:p>
            <w:pPr>
              <w:spacing w:after="0"/>
              <w:rPr>
                <w:sz w:val="9"/>
                <w:szCs w:val="9"/>
                <w:color w:val="auto"/>
              </w:rPr>
            </w:pPr>
          </w:p>
        </w:tc>
        <w:tc>
          <w:tcPr>
            <w:tcW w:w="2020" w:type="dxa"/>
            <w:vAlign w:val="bottom"/>
            <w:tcBorders>
              <w:bottom w:val="single" w:sz="8" w:color="999999"/>
            </w:tcBorders>
          </w:tcPr>
          <w:p>
            <w:pPr>
              <w:spacing w:after="0"/>
              <w:rPr>
                <w:sz w:val="9"/>
                <w:szCs w:val="9"/>
                <w:color w:val="auto"/>
              </w:rPr>
            </w:pPr>
          </w:p>
        </w:tc>
        <w:tc>
          <w:tcPr>
            <w:tcW w:w="680" w:type="dxa"/>
            <w:vAlign w:val="bottom"/>
            <w:tcBorders>
              <w:bottom w:val="single" w:sz="8" w:color="999999"/>
            </w:tcBorders>
          </w:tcPr>
          <w:p>
            <w:pPr>
              <w:spacing w:after="0"/>
              <w:rPr>
                <w:sz w:val="9"/>
                <w:szCs w:val="9"/>
                <w:color w:val="auto"/>
              </w:rPr>
            </w:pPr>
          </w:p>
        </w:tc>
        <w:tc>
          <w:tcPr>
            <w:tcW w:w="600" w:type="dxa"/>
            <w:vAlign w:val="bottom"/>
            <w:tcBorders>
              <w:bottom w:val="single" w:sz="8" w:color="999999"/>
            </w:tcBorders>
          </w:tcPr>
          <w:p>
            <w:pPr>
              <w:spacing w:after="0"/>
              <w:rPr>
                <w:sz w:val="9"/>
                <w:szCs w:val="9"/>
                <w:color w:val="auto"/>
              </w:rPr>
            </w:pPr>
          </w:p>
        </w:tc>
        <w:tc>
          <w:tcPr>
            <w:tcW w:w="1100" w:type="dxa"/>
            <w:vAlign w:val="bottom"/>
            <w:tcBorders>
              <w:bottom w:val="single" w:sz="8" w:color="999999"/>
            </w:tcBorders>
          </w:tcPr>
          <w:p>
            <w:pPr>
              <w:spacing w:after="0"/>
              <w:rPr>
                <w:sz w:val="9"/>
                <w:szCs w:val="9"/>
                <w:color w:val="auto"/>
              </w:rPr>
            </w:pPr>
          </w:p>
        </w:tc>
        <w:tc>
          <w:tcPr>
            <w:tcW w:w="1100" w:type="dxa"/>
            <w:vAlign w:val="bottom"/>
            <w:tcBorders>
              <w:bottom w:val="single" w:sz="8" w:color="999999"/>
            </w:tcBorders>
          </w:tcPr>
          <w:p>
            <w:pPr>
              <w:spacing w:after="0"/>
              <w:rPr>
                <w:sz w:val="9"/>
                <w:szCs w:val="9"/>
                <w:color w:val="auto"/>
              </w:rPr>
            </w:pPr>
          </w:p>
        </w:tc>
        <w:tc>
          <w:tcPr>
            <w:tcW w:w="1080" w:type="dxa"/>
            <w:vAlign w:val="bottom"/>
            <w:tcBorders>
              <w:bottom w:val="single" w:sz="8" w:color="999999"/>
            </w:tcBorders>
          </w:tcPr>
          <w:p>
            <w:pPr>
              <w:spacing w:after="0"/>
              <w:rPr>
                <w:sz w:val="9"/>
                <w:szCs w:val="9"/>
                <w:color w:val="auto"/>
              </w:rPr>
            </w:pPr>
          </w:p>
        </w:tc>
        <w:tc>
          <w:tcPr>
            <w:tcW w:w="580" w:type="dxa"/>
            <w:vAlign w:val="bottom"/>
            <w:tcBorders>
              <w:bottom w:val="single" w:sz="8" w:color="99999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right="280" w:hanging="234"/>
        <w:spacing w:after="0" w:line="252" w:lineRule="auto"/>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table shows, for each named individual, the aggregate shares under stock awards and the aggregate shares underlying option awards held by that individual as of December 31, 2023.</w:t>
      </w:r>
    </w:p>
    <w:p>
      <w:pPr>
        <w:spacing w:after="0" w:line="23" w:lineRule="exact"/>
        <w:rPr>
          <w:rFonts w:ascii="Arial" w:cs="Arial" w:eastAsia="Arial" w:hAnsi="Arial"/>
          <w:sz w:val="13"/>
          <w:szCs w:val="13"/>
          <w:b w:val="1"/>
          <w:bCs w:val="1"/>
          <w:color w:val="auto"/>
        </w:rPr>
      </w:pPr>
    </w:p>
    <w:p>
      <w:pPr>
        <w:ind w:left="240" w:right="40" w:hanging="234"/>
        <w:spacing w:after="0" w:line="228" w:lineRule="auto"/>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financial statements included in our Annual Report on Form 10-K for the year ended December 31, 2023.</w:t>
      </w:r>
    </w:p>
    <w:p>
      <w:pPr>
        <w:spacing w:after="0" w:line="45" w:lineRule="exact"/>
        <w:rPr>
          <w:rFonts w:ascii="Arial" w:cs="Arial" w:eastAsia="Arial" w:hAnsi="Arial"/>
          <w:sz w:val="13"/>
          <w:szCs w:val="13"/>
          <w:b w:val="1"/>
          <w:bCs w:val="1"/>
          <w:color w:val="auto"/>
        </w:rPr>
      </w:pPr>
    </w:p>
    <w:p>
      <w:pPr>
        <w:ind w:left="240" w:hanging="234"/>
        <w:spacing w:after="0"/>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Mr. Hartfield resigned as a member of the Board and forfeited $187,864 of stock awards on August 9, 2023.</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Amounts include payments made to non-employee directors due to unanticipated tax obligations owed in connection with their 2022 service.</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was a Non-Employee Director until he was named an executive officer on April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59664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4660" w:type="dxa"/>
            <w:vAlign w:val="bottom"/>
            <w:shd w:val="clear" w:color="auto" w:fill="000000"/>
          </w:tcPr>
          <w:p>
            <w:pPr>
              <w:spacing w:after="0"/>
              <w:rPr>
                <w:sz w:val="24"/>
                <w:szCs w:val="24"/>
                <w:color w:val="auto"/>
              </w:rPr>
            </w:pPr>
          </w:p>
        </w:tc>
        <w:tc>
          <w:tcPr>
            <w:tcW w:w="47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Aggregate Stock</w:t>
            </w:r>
          </w:p>
        </w:tc>
      </w:tr>
      <w:tr>
        <w:trPr>
          <w:trHeight w:val="162"/>
        </w:trPr>
        <w:tc>
          <w:tcPr>
            <w:tcW w:w="4660" w:type="dxa"/>
            <w:vAlign w:val="bottom"/>
            <w:shd w:val="clear" w:color="auto" w:fill="000000"/>
          </w:tcPr>
          <w:p>
            <w:pPr>
              <w:spacing w:after="0"/>
              <w:rPr>
                <w:sz w:val="14"/>
                <w:szCs w:val="14"/>
                <w:color w:val="auto"/>
              </w:rPr>
            </w:pPr>
          </w:p>
        </w:tc>
        <w:tc>
          <w:tcPr>
            <w:tcW w:w="47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Awards Outstanding</w:t>
            </w:r>
          </w:p>
        </w:tc>
      </w:tr>
      <w:tr>
        <w:trPr>
          <w:trHeight w:val="162"/>
        </w:trPr>
        <w:tc>
          <w:tcPr>
            <w:tcW w:w="4660" w:type="dxa"/>
            <w:vAlign w:val="bottom"/>
            <w:shd w:val="clear" w:color="auto" w:fill="000000"/>
          </w:tcPr>
          <w:p>
            <w:pPr>
              <w:spacing w:after="0"/>
              <w:rPr>
                <w:sz w:val="14"/>
                <w:szCs w:val="14"/>
                <w:color w:val="auto"/>
              </w:rPr>
            </w:pPr>
          </w:p>
        </w:tc>
        <w:tc>
          <w:tcPr>
            <w:tcW w:w="47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as of December 31,</w:t>
            </w:r>
          </w:p>
        </w:tc>
      </w:tr>
      <w:tr>
        <w:trPr>
          <w:trHeight w:val="196"/>
        </w:trPr>
        <w:tc>
          <w:tcPr>
            <w:tcW w:w="4660" w:type="dxa"/>
            <w:vAlign w:val="bottom"/>
            <w:shd w:val="clear" w:color="auto" w:fill="000000"/>
          </w:tcPr>
          <w:p>
            <w:pPr>
              <w:ind w:left="80"/>
              <w:spacing w:after="0"/>
              <w:rPr>
                <w:sz w:val="20"/>
                <w:szCs w:val="20"/>
                <w:color w:val="auto"/>
              </w:rPr>
            </w:pPr>
            <w:r>
              <w:rPr>
                <w:rFonts w:ascii="Arial" w:cs="Arial" w:eastAsia="Arial" w:hAnsi="Arial"/>
                <w:sz w:val="14"/>
                <w:szCs w:val="14"/>
                <w:b w:val="1"/>
                <w:bCs w:val="1"/>
                <w:color w:val="FFFFFF"/>
              </w:rPr>
              <w:t>Name</w:t>
            </w:r>
          </w:p>
        </w:tc>
        <w:tc>
          <w:tcPr>
            <w:tcW w:w="474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2023</w:t>
            </w:r>
          </w:p>
        </w:tc>
      </w:tr>
      <w:tr>
        <w:trPr>
          <w:trHeight w:val="110"/>
        </w:trPr>
        <w:tc>
          <w:tcPr>
            <w:tcW w:w="4660" w:type="dxa"/>
            <w:vAlign w:val="bottom"/>
            <w:shd w:val="clear" w:color="auto" w:fill="000000"/>
          </w:tcPr>
          <w:p>
            <w:pPr>
              <w:spacing w:after="0"/>
              <w:rPr>
                <w:sz w:val="9"/>
                <w:szCs w:val="9"/>
                <w:color w:val="auto"/>
              </w:rPr>
            </w:pPr>
          </w:p>
        </w:tc>
        <w:tc>
          <w:tcPr>
            <w:tcW w:w="4740" w:type="dxa"/>
            <w:vAlign w:val="bottom"/>
            <w:shd w:val="clear" w:color="auto" w:fill="000000"/>
          </w:tcPr>
          <w:p>
            <w:pPr>
              <w:spacing w:after="0"/>
              <w:rPr>
                <w:sz w:val="9"/>
                <w:szCs w:val="9"/>
                <w:color w:val="auto"/>
              </w:rPr>
            </w:pPr>
          </w:p>
        </w:tc>
      </w:tr>
      <w:tr>
        <w:trPr>
          <w:trHeight w:val="322"/>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Tony Aquila</w:t>
            </w:r>
          </w:p>
        </w:tc>
        <w:tc>
          <w:tcPr>
            <w:tcW w:w="4740" w:type="dxa"/>
            <w:vAlign w:val="bottom"/>
          </w:tcPr>
          <w:p>
            <w:pPr>
              <w:jc w:val="right"/>
              <w:spacing w:after="0"/>
              <w:rPr>
                <w:sz w:val="20"/>
                <w:szCs w:val="20"/>
                <w:color w:val="auto"/>
              </w:rPr>
            </w:pPr>
            <w:r>
              <w:rPr>
                <w:rFonts w:ascii="Arial" w:cs="Arial" w:eastAsia="Arial" w:hAnsi="Arial"/>
                <w:sz w:val="14"/>
                <w:szCs w:val="14"/>
                <w:color w:val="auto"/>
              </w:rPr>
              <w:t>548,582</w:t>
            </w:r>
          </w:p>
        </w:tc>
      </w:tr>
      <w:tr>
        <w:trPr>
          <w:trHeight w:val="124"/>
        </w:trPr>
        <w:tc>
          <w:tcPr>
            <w:tcW w:w="4660" w:type="dxa"/>
            <w:vAlign w:val="bottom"/>
            <w:tcBorders>
              <w:bottom w:val="single" w:sz="8" w:color="999999"/>
            </w:tcBorders>
          </w:tcPr>
          <w:p>
            <w:pPr>
              <w:spacing w:after="0"/>
              <w:rPr>
                <w:sz w:val="10"/>
                <w:szCs w:val="10"/>
                <w:color w:val="auto"/>
              </w:rPr>
            </w:pPr>
          </w:p>
        </w:tc>
        <w:tc>
          <w:tcPr>
            <w:tcW w:w="4740" w:type="dxa"/>
            <w:vAlign w:val="bottom"/>
            <w:tcBorders>
              <w:bottom w:val="single" w:sz="8" w:color="999999"/>
            </w:tcBorders>
          </w:tcPr>
          <w:p>
            <w:pPr>
              <w:spacing w:after="0"/>
              <w:rPr>
                <w:sz w:val="10"/>
                <w:szCs w:val="10"/>
                <w:color w:val="auto"/>
              </w:rPr>
            </w:pPr>
          </w:p>
        </w:tc>
      </w:tr>
      <w:tr>
        <w:trPr>
          <w:trHeight w:val="329"/>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Anthony Bay</w:t>
            </w:r>
          </w:p>
        </w:tc>
        <w:tc>
          <w:tcPr>
            <w:tcW w:w="4740" w:type="dxa"/>
            <w:vAlign w:val="bottom"/>
          </w:tcPr>
          <w:p>
            <w:pPr>
              <w:jc w:val="right"/>
              <w:spacing w:after="0"/>
              <w:rPr>
                <w:sz w:val="20"/>
                <w:szCs w:val="20"/>
                <w:color w:val="auto"/>
              </w:rPr>
            </w:pPr>
            <w:r>
              <w:rPr>
                <w:rFonts w:ascii="Arial" w:cs="Arial" w:eastAsia="Arial" w:hAnsi="Arial"/>
                <w:sz w:val="14"/>
                <w:szCs w:val="14"/>
                <w:color w:val="auto"/>
              </w:rPr>
              <w:t>432,743</w:t>
            </w:r>
          </w:p>
        </w:tc>
      </w:tr>
      <w:tr>
        <w:trPr>
          <w:trHeight w:val="123"/>
        </w:trPr>
        <w:tc>
          <w:tcPr>
            <w:tcW w:w="4660" w:type="dxa"/>
            <w:vAlign w:val="bottom"/>
            <w:tcBorders>
              <w:bottom w:val="single" w:sz="8" w:color="999999"/>
            </w:tcBorders>
          </w:tcPr>
          <w:p>
            <w:pPr>
              <w:spacing w:after="0"/>
              <w:rPr>
                <w:sz w:val="10"/>
                <w:szCs w:val="10"/>
                <w:color w:val="auto"/>
              </w:rPr>
            </w:pPr>
          </w:p>
        </w:tc>
        <w:tc>
          <w:tcPr>
            <w:tcW w:w="4740" w:type="dxa"/>
            <w:vAlign w:val="bottom"/>
            <w:tcBorders>
              <w:bottom w:val="single" w:sz="8" w:color="999999"/>
            </w:tcBorders>
          </w:tcPr>
          <w:p>
            <w:pPr>
              <w:spacing w:after="0"/>
              <w:rPr>
                <w:sz w:val="10"/>
                <w:szCs w:val="10"/>
                <w:color w:val="auto"/>
              </w:rPr>
            </w:pPr>
          </w:p>
        </w:tc>
      </w:tr>
      <w:tr>
        <w:trPr>
          <w:trHeight w:val="457"/>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Douglas Francis</w:t>
            </w:r>
            <w:r>
              <w:rPr>
                <w:rFonts w:ascii="Arial" w:cs="Arial" w:eastAsia="Arial" w:hAnsi="Arial"/>
                <w:sz w:val="23"/>
                <w:szCs w:val="23"/>
                <w:b w:val="1"/>
                <w:bCs w:val="1"/>
                <w:color w:val="40C0C0"/>
                <w:vertAlign w:val="superscript"/>
              </w:rPr>
              <w:t>(2)</w:t>
            </w:r>
          </w:p>
        </w:tc>
        <w:tc>
          <w:tcPr>
            <w:tcW w:w="4740" w:type="dxa"/>
            <w:vAlign w:val="bottom"/>
          </w:tcPr>
          <w:p>
            <w:pPr>
              <w:jc w:val="right"/>
              <w:spacing w:after="0"/>
              <w:rPr>
                <w:sz w:val="20"/>
                <w:szCs w:val="20"/>
                <w:color w:val="auto"/>
              </w:rPr>
            </w:pPr>
            <w:r>
              <w:rPr>
                <w:rFonts w:ascii="Arial" w:cs="Arial" w:eastAsia="Arial" w:hAnsi="Arial"/>
                <w:sz w:val="14"/>
                <w:szCs w:val="14"/>
                <w:color w:val="auto"/>
              </w:rPr>
              <w:t>10,094</w:t>
            </w:r>
          </w:p>
        </w:tc>
      </w:tr>
      <w:tr>
        <w:trPr>
          <w:trHeight w:val="23"/>
        </w:trPr>
        <w:tc>
          <w:tcPr>
            <w:tcW w:w="4660" w:type="dxa"/>
            <w:vAlign w:val="bottom"/>
            <w:tcBorders>
              <w:bottom w:val="single" w:sz="8" w:color="999999"/>
            </w:tcBorders>
          </w:tcPr>
          <w:p>
            <w:pPr>
              <w:spacing w:after="0" w:line="20" w:lineRule="exact"/>
              <w:rPr>
                <w:sz w:val="1"/>
                <w:szCs w:val="1"/>
                <w:color w:val="auto"/>
              </w:rPr>
            </w:pPr>
          </w:p>
        </w:tc>
        <w:tc>
          <w:tcPr>
            <w:tcW w:w="4740" w:type="dxa"/>
            <w:vAlign w:val="bottom"/>
            <w:tcBorders>
              <w:bottom w:val="single" w:sz="8" w:color="999999"/>
            </w:tcBorders>
          </w:tcPr>
          <w:p>
            <w:pPr>
              <w:spacing w:after="0" w:line="20" w:lineRule="exact"/>
              <w:rPr>
                <w:sz w:val="1"/>
                <w:szCs w:val="1"/>
                <w:color w:val="auto"/>
              </w:rPr>
            </w:pPr>
          </w:p>
        </w:tc>
      </w:tr>
      <w:tr>
        <w:trPr>
          <w:trHeight w:val="329"/>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Brenda Freeman</w:t>
            </w:r>
          </w:p>
        </w:tc>
        <w:tc>
          <w:tcPr>
            <w:tcW w:w="4740" w:type="dxa"/>
            <w:vAlign w:val="bottom"/>
          </w:tcPr>
          <w:p>
            <w:pPr>
              <w:jc w:val="right"/>
              <w:spacing w:after="0"/>
              <w:rPr>
                <w:sz w:val="20"/>
                <w:szCs w:val="20"/>
                <w:color w:val="auto"/>
              </w:rPr>
            </w:pPr>
            <w:r>
              <w:rPr>
                <w:rFonts w:ascii="Arial" w:cs="Arial" w:eastAsia="Arial" w:hAnsi="Arial"/>
                <w:sz w:val="14"/>
                <w:szCs w:val="14"/>
                <w:color w:val="auto"/>
              </w:rPr>
              <w:t>472,824</w:t>
            </w:r>
          </w:p>
        </w:tc>
      </w:tr>
      <w:tr>
        <w:trPr>
          <w:trHeight w:val="124"/>
        </w:trPr>
        <w:tc>
          <w:tcPr>
            <w:tcW w:w="4660" w:type="dxa"/>
            <w:vAlign w:val="bottom"/>
            <w:tcBorders>
              <w:bottom w:val="single" w:sz="8" w:color="999999"/>
            </w:tcBorders>
          </w:tcPr>
          <w:p>
            <w:pPr>
              <w:spacing w:after="0"/>
              <w:rPr>
                <w:sz w:val="10"/>
                <w:szCs w:val="10"/>
                <w:color w:val="auto"/>
              </w:rPr>
            </w:pPr>
          </w:p>
        </w:tc>
        <w:tc>
          <w:tcPr>
            <w:tcW w:w="4740" w:type="dxa"/>
            <w:vAlign w:val="bottom"/>
            <w:tcBorders>
              <w:bottom w:val="single" w:sz="8" w:color="999999"/>
            </w:tcBorders>
          </w:tcPr>
          <w:p>
            <w:pPr>
              <w:spacing w:after="0"/>
              <w:rPr>
                <w:sz w:val="10"/>
                <w:szCs w:val="10"/>
                <w:color w:val="auto"/>
              </w:rPr>
            </w:pPr>
          </w:p>
        </w:tc>
      </w:tr>
      <w:tr>
        <w:trPr>
          <w:trHeight w:val="329"/>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Olga Gonzalez</w:t>
            </w:r>
          </w:p>
        </w:tc>
        <w:tc>
          <w:tcPr>
            <w:tcW w:w="4740" w:type="dxa"/>
            <w:vAlign w:val="bottom"/>
          </w:tcPr>
          <w:p>
            <w:pPr>
              <w:jc w:val="right"/>
              <w:spacing w:after="0"/>
              <w:rPr>
                <w:sz w:val="20"/>
                <w:szCs w:val="20"/>
                <w:color w:val="auto"/>
              </w:rPr>
            </w:pPr>
            <w:r>
              <w:rPr>
                <w:rFonts w:ascii="Arial" w:cs="Arial" w:eastAsia="Arial" w:hAnsi="Arial"/>
                <w:sz w:val="14"/>
                <w:szCs w:val="14"/>
                <w:color w:val="auto"/>
              </w:rPr>
              <w:t>472,824</w:t>
            </w:r>
          </w:p>
        </w:tc>
      </w:tr>
      <w:tr>
        <w:trPr>
          <w:trHeight w:val="124"/>
        </w:trPr>
        <w:tc>
          <w:tcPr>
            <w:tcW w:w="4660" w:type="dxa"/>
            <w:vAlign w:val="bottom"/>
            <w:tcBorders>
              <w:bottom w:val="single" w:sz="8" w:color="999999"/>
            </w:tcBorders>
          </w:tcPr>
          <w:p>
            <w:pPr>
              <w:spacing w:after="0"/>
              <w:rPr>
                <w:sz w:val="10"/>
                <w:szCs w:val="10"/>
                <w:color w:val="auto"/>
              </w:rPr>
            </w:pPr>
          </w:p>
        </w:tc>
        <w:tc>
          <w:tcPr>
            <w:tcW w:w="4740" w:type="dxa"/>
            <w:vAlign w:val="bottom"/>
            <w:tcBorders>
              <w:bottom w:val="single" w:sz="8" w:color="999999"/>
            </w:tcBorders>
          </w:tcPr>
          <w:p>
            <w:pPr>
              <w:spacing w:after="0"/>
              <w:rPr>
                <w:sz w:val="10"/>
                <w:szCs w:val="10"/>
                <w:color w:val="auto"/>
              </w:rPr>
            </w:pPr>
          </w:p>
        </w:tc>
      </w:tr>
      <w:tr>
        <w:trPr>
          <w:trHeight w:val="329"/>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Scott Gordon</w:t>
            </w:r>
          </w:p>
        </w:tc>
        <w:tc>
          <w:tcPr>
            <w:tcW w:w="4740" w:type="dxa"/>
            <w:vAlign w:val="bottom"/>
          </w:tcPr>
          <w:p>
            <w:pPr>
              <w:jc w:val="right"/>
              <w:spacing w:after="0"/>
              <w:rPr>
                <w:sz w:val="20"/>
                <w:szCs w:val="20"/>
                <w:color w:val="auto"/>
              </w:rPr>
            </w:pPr>
            <w:r>
              <w:rPr>
                <w:rFonts w:ascii="Arial" w:cs="Arial" w:eastAsia="Arial" w:hAnsi="Arial"/>
                <w:sz w:val="14"/>
                <w:szCs w:val="14"/>
                <w:color w:val="auto"/>
              </w:rPr>
              <w:t>236,082</w:t>
            </w:r>
          </w:p>
        </w:tc>
      </w:tr>
      <w:tr>
        <w:trPr>
          <w:trHeight w:val="124"/>
        </w:trPr>
        <w:tc>
          <w:tcPr>
            <w:tcW w:w="4660" w:type="dxa"/>
            <w:vAlign w:val="bottom"/>
            <w:tcBorders>
              <w:bottom w:val="single" w:sz="8" w:color="999999"/>
            </w:tcBorders>
          </w:tcPr>
          <w:p>
            <w:pPr>
              <w:spacing w:after="0"/>
              <w:rPr>
                <w:sz w:val="10"/>
                <w:szCs w:val="10"/>
                <w:color w:val="auto"/>
              </w:rPr>
            </w:pPr>
          </w:p>
        </w:tc>
        <w:tc>
          <w:tcPr>
            <w:tcW w:w="4740" w:type="dxa"/>
            <w:vAlign w:val="bottom"/>
            <w:tcBorders>
              <w:bottom w:val="single" w:sz="8" w:color="999999"/>
            </w:tcBorders>
          </w:tcPr>
          <w:p>
            <w:pPr>
              <w:spacing w:after="0"/>
              <w:rPr>
                <w:sz w:val="10"/>
                <w:szCs w:val="10"/>
                <w:color w:val="auto"/>
              </w:rPr>
            </w:pPr>
          </w:p>
        </w:tc>
      </w:tr>
      <w:tr>
        <w:trPr>
          <w:trHeight w:val="457"/>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Justin Hartfield</w:t>
            </w:r>
            <w:r>
              <w:rPr>
                <w:rFonts w:ascii="Arial" w:cs="Arial" w:eastAsia="Arial" w:hAnsi="Arial"/>
                <w:sz w:val="23"/>
                <w:szCs w:val="23"/>
                <w:b w:val="1"/>
                <w:bCs w:val="1"/>
                <w:color w:val="40C0C0"/>
                <w:vertAlign w:val="superscript"/>
              </w:rPr>
              <w:t>(1)</w:t>
            </w:r>
          </w:p>
        </w:tc>
        <w:tc>
          <w:tcPr>
            <w:tcW w:w="474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3"/>
        </w:trPr>
        <w:tc>
          <w:tcPr>
            <w:tcW w:w="4660" w:type="dxa"/>
            <w:vAlign w:val="bottom"/>
            <w:tcBorders>
              <w:bottom w:val="single" w:sz="8" w:color="999999"/>
            </w:tcBorders>
          </w:tcPr>
          <w:p>
            <w:pPr>
              <w:spacing w:after="0" w:line="20" w:lineRule="exact"/>
              <w:rPr>
                <w:sz w:val="1"/>
                <w:szCs w:val="1"/>
                <w:color w:val="auto"/>
              </w:rPr>
            </w:pPr>
          </w:p>
        </w:tc>
        <w:tc>
          <w:tcPr>
            <w:tcW w:w="4740" w:type="dxa"/>
            <w:vAlign w:val="bottom"/>
            <w:tcBorders>
              <w:bottom w:val="single" w:sz="8" w:color="999999"/>
            </w:tcBorders>
          </w:tcPr>
          <w:p>
            <w:pPr>
              <w:spacing w:after="0" w:line="20" w:lineRule="exact"/>
              <w:rPr>
                <w:sz w:val="1"/>
                <w:szCs w:val="1"/>
                <w:color w:val="auto"/>
              </w:rPr>
            </w:pPr>
          </w:p>
        </w:tc>
      </w:tr>
      <w:tr>
        <w:trPr>
          <w:trHeight w:val="329"/>
        </w:trPr>
        <w:tc>
          <w:tcPr>
            <w:tcW w:w="4660" w:type="dxa"/>
            <w:vAlign w:val="bottom"/>
          </w:tcPr>
          <w:p>
            <w:pPr>
              <w:ind w:left="80"/>
              <w:spacing w:after="0"/>
              <w:rPr>
                <w:sz w:val="20"/>
                <w:szCs w:val="20"/>
                <w:color w:val="auto"/>
              </w:rPr>
            </w:pPr>
            <w:r>
              <w:rPr>
                <w:rFonts w:ascii="Arial" w:cs="Arial" w:eastAsia="Arial" w:hAnsi="Arial"/>
                <w:sz w:val="14"/>
                <w:szCs w:val="14"/>
                <w:b w:val="1"/>
                <w:bCs w:val="1"/>
                <w:color w:val="40C0C0"/>
              </w:rPr>
              <w:t>Fiona Tan</w:t>
            </w:r>
          </w:p>
        </w:tc>
        <w:tc>
          <w:tcPr>
            <w:tcW w:w="4740" w:type="dxa"/>
            <w:vAlign w:val="bottom"/>
          </w:tcPr>
          <w:p>
            <w:pPr>
              <w:jc w:val="right"/>
              <w:spacing w:after="0"/>
              <w:rPr>
                <w:sz w:val="20"/>
                <w:szCs w:val="20"/>
                <w:color w:val="auto"/>
              </w:rPr>
            </w:pPr>
            <w:r>
              <w:rPr>
                <w:rFonts w:ascii="Arial" w:cs="Arial" w:eastAsia="Arial" w:hAnsi="Arial"/>
                <w:sz w:val="14"/>
                <w:szCs w:val="14"/>
                <w:color w:val="auto"/>
              </w:rPr>
              <w:t>392,332</w:t>
            </w:r>
          </w:p>
        </w:tc>
      </w:tr>
      <w:tr>
        <w:trPr>
          <w:trHeight w:val="110"/>
        </w:trPr>
        <w:tc>
          <w:tcPr>
            <w:tcW w:w="4660" w:type="dxa"/>
            <w:vAlign w:val="bottom"/>
            <w:tcBorders>
              <w:bottom w:val="single" w:sz="8" w:color="auto"/>
            </w:tcBorders>
          </w:tcPr>
          <w:p>
            <w:pPr>
              <w:spacing w:after="0"/>
              <w:rPr>
                <w:sz w:val="9"/>
                <w:szCs w:val="9"/>
                <w:color w:val="auto"/>
              </w:rPr>
            </w:pPr>
          </w:p>
        </w:tc>
        <w:tc>
          <w:tcPr>
            <w:tcW w:w="474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ind w:left="240" w:hanging="234"/>
        <w:spacing w:after="0"/>
        <w:tabs>
          <w:tab w:leader="none" w:pos="24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Mr. Hartfield resigned as a member of the Board on August 9, 2023.</w:t>
      </w:r>
    </w:p>
    <w:p>
      <w:pPr>
        <w:spacing w:after="0" w:line="53" w:lineRule="exact"/>
        <w:rPr>
          <w:rFonts w:ascii="Arial" w:cs="Arial" w:eastAsia="Arial" w:hAnsi="Arial"/>
          <w:sz w:val="13"/>
          <w:szCs w:val="13"/>
          <w:b w:val="1"/>
          <w:bCs w:val="1"/>
          <w:color w:val="auto"/>
        </w:rPr>
      </w:pPr>
    </w:p>
    <w:p>
      <w:pPr>
        <w:ind w:left="240" w:hanging="234"/>
        <w:spacing w:after="0"/>
        <w:tabs>
          <w:tab w:leader="none" w:pos="24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Mr. Francis was a Non-Employee Director until he was named an executive officer on April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139065</wp:posOffset>
            </wp:positionV>
            <wp:extent cx="59664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Pay Versus Performance</w:t>
      </w:r>
    </w:p>
    <w:p>
      <w:pPr>
        <w:spacing w:after="0" w:line="24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required by Section 953(a) of the Dodd-Frank Act and Item 402(v) of Regulation S-K, we are providing the following information about the relationship between executive compensation actually paid and certain financial performance of the Company. Also as required by the SEC, this section compares compensation actually paid to various measures used to gauge performance at the Company. Accordingly, the table below includes the following “Company-Selected Measure” as defined in Item 402(v) of Regulation S-K: Revenue.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Pay Versus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gridSpan w:val="2"/>
            <w:shd w:val="clear" w:color="auto" w:fill="808080"/>
          </w:tcPr>
          <w:p>
            <w:pPr>
              <w:jc w:val="right"/>
              <w:ind w:right="374"/>
              <w:spacing w:after="0"/>
              <w:rPr>
                <w:sz w:val="20"/>
                <w:szCs w:val="20"/>
                <w:color w:val="auto"/>
              </w:rPr>
            </w:pPr>
            <w:r>
              <w:rPr>
                <w:rFonts w:ascii="Arial" w:cs="Arial" w:eastAsia="Arial" w:hAnsi="Arial"/>
                <w:sz w:val="13"/>
                <w:szCs w:val="13"/>
                <w:b w:val="1"/>
                <w:bCs w:val="1"/>
                <w:color w:val="FFFFFF"/>
              </w:rPr>
              <w:t>Value of Initial Fixed</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20" w:type="dxa"/>
            <w:vAlign w:val="bottom"/>
            <w:gridSpan w:val="2"/>
            <w:shd w:val="clear" w:color="auto" w:fill="808080"/>
          </w:tcPr>
          <w:p>
            <w:pPr>
              <w:jc w:val="right"/>
              <w:ind w:right="134"/>
              <w:spacing w:after="0"/>
              <w:rPr>
                <w:sz w:val="20"/>
                <w:szCs w:val="20"/>
                <w:color w:val="auto"/>
              </w:rPr>
            </w:pPr>
            <w:r>
              <w:rPr>
                <w:rFonts w:ascii="Arial" w:cs="Arial" w:eastAsia="Arial" w:hAnsi="Arial"/>
                <w:sz w:val="13"/>
                <w:szCs w:val="13"/>
                <w:b w:val="1"/>
                <w:bCs w:val="1"/>
                <w:color w:val="FFFFFF"/>
              </w:rPr>
              <w:t>$100 Investment Based On:</w:t>
            </w:r>
          </w:p>
        </w:tc>
        <w:tc>
          <w:tcPr>
            <w:tcW w:w="0" w:type="dxa"/>
            <w:vAlign w:val="bottom"/>
          </w:tcPr>
          <w:p>
            <w:pPr>
              <w:spacing w:after="0"/>
              <w:rPr>
                <w:sz w:val="1"/>
                <w:szCs w:val="1"/>
                <w:color w:val="auto"/>
              </w:rPr>
            </w:pPr>
          </w:p>
        </w:tc>
      </w:tr>
      <w:tr>
        <w:trPr>
          <w:trHeight w:val="116"/>
        </w:trPr>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shd w:val="clear" w:color="auto" w:fill="808080"/>
          </w:tcPr>
          <w:p>
            <w:pPr>
              <w:spacing w:after="0"/>
              <w:rPr>
                <w:sz w:val="10"/>
                <w:szCs w:val="10"/>
                <w:color w:val="auto"/>
              </w:rPr>
            </w:pPr>
          </w:p>
        </w:tc>
        <w:tc>
          <w:tcPr>
            <w:tcW w:w="980" w:type="dxa"/>
            <w:vAlign w:val="bottom"/>
            <w:shd w:val="clear" w:color="auto" w:fill="808080"/>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000000"/>
          </w:tcPr>
          <w:p>
            <w:pPr>
              <w:spacing w:after="0"/>
              <w:rPr>
                <w:sz w:val="21"/>
                <w:szCs w:val="21"/>
                <w:color w:val="auto"/>
              </w:rPr>
            </w:pPr>
          </w:p>
        </w:tc>
        <w:tc>
          <w:tcPr>
            <w:tcW w:w="1100" w:type="dxa"/>
            <w:vAlign w:val="bottom"/>
            <w:shd w:val="clear" w:color="auto" w:fill="000000"/>
          </w:tcPr>
          <w:p>
            <w:pPr>
              <w:spacing w:after="0"/>
              <w:rPr>
                <w:sz w:val="21"/>
                <w:szCs w:val="21"/>
                <w:color w:val="auto"/>
              </w:rPr>
            </w:pPr>
          </w:p>
        </w:tc>
        <w:tc>
          <w:tcPr>
            <w:tcW w:w="1120" w:type="dxa"/>
            <w:vAlign w:val="bottom"/>
            <w:shd w:val="clear" w:color="auto" w:fill="000000"/>
          </w:tcPr>
          <w:p>
            <w:pPr>
              <w:spacing w:after="0"/>
              <w:rPr>
                <w:sz w:val="21"/>
                <w:szCs w:val="21"/>
                <w:color w:val="auto"/>
              </w:rPr>
            </w:pPr>
          </w:p>
        </w:tc>
        <w:tc>
          <w:tcPr>
            <w:tcW w:w="1180" w:type="dxa"/>
            <w:vAlign w:val="bottom"/>
            <w:shd w:val="clear" w:color="auto" w:fill="000000"/>
          </w:tcPr>
          <w:p>
            <w:pPr>
              <w:spacing w:after="0"/>
              <w:rPr>
                <w:sz w:val="21"/>
                <w:szCs w:val="21"/>
                <w:color w:val="auto"/>
              </w:rPr>
            </w:pPr>
          </w:p>
        </w:tc>
        <w:tc>
          <w:tcPr>
            <w:tcW w:w="1080" w:type="dxa"/>
            <w:vAlign w:val="bottom"/>
            <w:shd w:val="clear" w:color="auto" w:fill="000000"/>
          </w:tcPr>
          <w:p>
            <w:pPr>
              <w:spacing w:after="0"/>
              <w:rPr>
                <w:sz w:val="21"/>
                <w:szCs w:val="21"/>
                <w:color w:val="auto"/>
              </w:rPr>
            </w:pPr>
          </w:p>
        </w:tc>
        <w:tc>
          <w:tcPr>
            <w:tcW w:w="1100" w:type="dxa"/>
            <w:vAlign w:val="bottom"/>
            <w:shd w:val="clear" w:color="auto" w:fill="000000"/>
          </w:tcPr>
          <w:p>
            <w:pPr>
              <w:jc w:val="right"/>
              <w:ind w:right="95"/>
              <w:spacing w:after="0"/>
              <w:rPr>
                <w:sz w:val="20"/>
                <w:szCs w:val="20"/>
                <w:color w:val="auto"/>
              </w:rPr>
            </w:pPr>
            <w:r>
              <w:rPr>
                <w:rFonts w:ascii="Arial" w:cs="Arial" w:eastAsia="Arial" w:hAnsi="Arial"/>
                <w:sz w:val="13"/>
                <w:szCs w:val="13"/>
                <w:b w:val="1"/>
                <w:bCs w:val="1"/>
                <w:color w:val="FFFFFF"/>
              </w:rPr>
              <w:t>Average</w:t>
            </w:r>
          </w:p>
        </w:tc>
        <w:tc>
          <w:tcPr>
            <w:tcW w:w="1160" w:type="dxa"/>
            <w:vAlign w:val="bottom"/>
            <w:vMerge w:val="restart"/>
            <w:shd w:val="clear" w:color="auto" w:fill="000000"/>
          </w:tcPr>
          <w:p>
            <w:pPr>
              <w:jc w:val="right"/>
              <w:ind w:right="75"/>
              <w:spacing w:after="0"/>
              <w:rPr>
                <w:sz w:val="20"/>
                <w:szCs w:val="20"/>
                <w:color w:val="auto"/>
              </w:rPr>
            </w:pPr>
            <w:r>
              <w:rPr>
                <w:rFonts w:ascii="Arial" w:cs="Arial" w:eastAsia="Arial" w:hAnsi="Arial"/>
                <w:sz w:val="13"/>
                <w:szCs w:val="13"/>
                <w:b w:val="1"/>
                <w:bCs w:val="1"/>
                <w:color w:val="FFFFFF"/>
              </w:rPr>
              <w:t>Average</w:t>
            </w:r>
          </w:p>
        </w:tc>
        <w:tc>
          <w:tcPr>
            <w:tcW w:w="1040" w:type="dxa"/>
            <w:vAlign w:val="bottom"/>
            <w:shd w:val="clear" w:color="auto" w:fill="000000"/>
          </w:tcPr>
          <w:p>
            <w:pPr>
              <w:spacing w:after="0"/>
              <w:rPr>
                <w:sz w:val="21"/>
                <w:szCs w:val="21"/>
                <w:color w:val="auto"/>
              </w:rPr>
            </w:pPr>
          </w:p>
        </w:tc>
        <w:tc>
          <w:tcPr>
            <w:tcW w:w="98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000000"/>
          </w:tcPr>
          <w:p>
            <w:pPr>
              <w:spacing w:after="0"/>
              <w:rPr>
                <w:sz w:val="11"/>
                <w:szCs w:val="11"/>
                <w:color w:val="auto"/>
              </w:rPr>
            </w:pPr>
          </w:p>
        </w:tc>
        <w:tc>
          <w:tcPr>
            <w:tcW w:w="1100" w:type="dxa"/>
            <w:vAlign w:val="bottom"/>
            <w:vMerge w:val="restart"/>
            <w:shd w:val="clear" w:color="auto" w:fill="000000"/>
          </w:tcPr>
          <w:p>
            <w:pPr>
              <w:jc w:val="right"/>
              <w:ind w:right="74"/>
              <w:spacing w:after="0"/>
              <w:rPr>
                <w:sz w:val="20"/>
                <w:szCs w:val="20"/>
                <w:color w:val="auto"/>
              </w:rPr>
            </w:pPr>
            <w:r>
              <w:rPr>
                <w:rFonts w:ascii="Arial" w:cs="Arial" w:eastAsia="Arial" w:hAnsi="Arial"/>
                <w:sz w:val="13"/>
                <w:szCs w:val="13"/>
                <w:b w:val="1"/>
                <w:bCs w:val="1"/>
                <w:color w:val="FFFFFF"/>
              </w:rPr>
              <w:t>Summary</w:t>
            </w:r>
          </w:p>
        </w:tc>
        <w:tc>
          <w:tcPr>
            <w:tcW w:w="112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Summary</w:t>
            </w:r>
          </w:p>
        </w:tc>
        <w:tc>
          <w:tcPr>
            <w:tcW w:w="118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1100" w:type="dxa"/>
            <w:vAlign w:val="bottom"/>
            <w:shd w:val="clear" w:color="auto" w:fill="000000"/>
          </w:tcPr>
          <w:p>
            <w:pPr>
              <w:jc w:val="right"/>
              <w:ind w:right="95"/>
              <w:spacing w:after="0" w:line="135" w:lineRule="exact"/>
              <w:rPr>
                <w:sz w:val="20"/>
                <w:szCs w:val="20"/>
                <w:color w:val="auto"/>
              </w:rPr>
            </w:pPr>
            <w:r>
              <w:rPr>
                <w:rFonts w:ascii="Arial" w:cs="Arial" w:eastAsia="Arial" w:hAnsi="Arial"/>
                <w:sz w:val="13"/>
                <w:szCs w:val="13"/>
                <w:b w:val="1"/>
                <w:bCs w:val="1"/>
                <w:color w:val="FFFFFF"/>
              </w:rPr>
              <w:t>Summary</w:t>
            </w:r>
          </w:p>
        </w:tc>
        <w:tc>
          <w:tcPr>
            <w:tcW w:w="1160" w:type="dxa"/>
            <w:vAlign w:val="bottom"/>
            <w:vMerge w:val="continue"/>
            <w:shd w:val="clear" w:color="auto" w:fill="000000"/>
          </w:tcPr>
          <w:p>
            <w:pPr>
              <w:spacing w:after="0"/>
              <w:rPr>
                <w:sz w:val="11"/>
                <w:szCs w:val="11"/>
                <w:color w:val="auto"/>
              </w:rPr>
            </w:pPr>
          </w:p>
        </w:tc>
        <w:tc>
          <w:tcPr>
            <w:tcW w:w="104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000000"/>
          </w:tcPr>
          <w:p>
            <w:pPr>
              <w:spacing w:after="0"/>
              <w:rPr>
                <w:sz w:val="11"/>
                <w:szCs w:val="11"/>
                <w:color w:val="auto"/>
              </w:rPr>
            </w:pPr>
          </w:p>
        </w:tc>
        <w:tc>
          <w:tcPr>
            <w:tcW w:w="1100" w:type="dxa"/>
            <w:vAlign w:val="bottom"/>
            <w:vMerge w:val="continue"/>
            <w:shd w:val="clear" w:color="auto" w:fill="000000"/>
          </w:tcPr>
          <w:p>
            <w:pPr>
              <w:spacing w:after="0"/>
              <w:rPr>
                <w:sz w:val="11"/>
                <w:szCs w:val="11"/>
                <w:color w:val="auto"/>
              </w:rPr>
            </w:pPr>
          </w:p>
        </w:tc>
        <w:tc>
          <w:tcPr>
            <w:tcW w:w="1120" w:type="dxa"/>
            <w:vAlign w:val="bottom"/>
            <w:vMerge w:val="continue"/>
            <w:shd w:val="clear" w:color="auto" w:fill="000000"/>
          </w:tcPr>
          <w:p>
            <w:pPr>
              <w:spacing w:after="0"/>
              <w:rPr>
                <w:sz w:val="11"/>
                <w:szCs w:val="11"/>
                <w:color w:val="auto"/>
              </w:rPr>
            </w:pPr>
          </w:p>
        </w:tc>
        <w:tc>
          <w:tcPr>
            <w:tcW w:w="118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Compensation</w:t>
            </w:r>
          </w:p>
        </w:tc>
        <w:tc>
          <w:tcPr>
            <w:tcW w:w="1080" w:type="dxa"/>
            <w:vAlign w:val="bottom"/>
            <w:vMerge w:val="restart"/>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Compensation</w:t>
            </w:r>
          </w:p>
        </w:tc>
        <w:tc>
          <w:tcPr>
            <w:tcW w:w="1100" w:type="dxa"/>
            <w:vAlign w:val="bottom"/>
            <w:shd w:val="clear" w:color="auto" w:fill="000000"/>
          </w:tcPr>
          <w:p>
            <w:pPr>
              <w:jc w:val="right"/>
              <w:ind w:right="55"/>
              <w:spacing w:after="0" w:line="135" w:lineRule="exact"/>
              <w:rPr>
                <w:sz w:val="20"/>
                <w:szCs w:val="20"/>
                <w:color w:val="auto"/>
              </w:rPr>
            </w:pPr>
            <w:r>
              <w:rPr>
                <w:rFonts w:ascii="Arial" w:cs="Arial" w:eastAsia="Arial" w:hAnsi="Arial"/>
                <w:sz w:val="13"/>
                <w:szCs w:val="13"/>
                <w:b w:val="1"/>
                <w:bCs w:val="1"/>
                <w:color w:val="FFFFFF"/>
              </w:rPr>
              <w:t>Compensation</w:t>
            </w:r>
          </w:p>
        </w:tc>
        <w:tc>
          <w:tcPr>
            <w:tcW w:w="1160" w:type="dxa"/>
            <w:vAlign w:val="bottom"/>
            <w:shd w:val="clear" w:color="auto" w:fill="000000"/>
          </w:tcPr>
          <w:p>
            <w:pPr>
              <w:jc w:val="right"/>
              <w:ind w:right="75"/>
              <w:spacing w:after="0" w:line="135" w:lineRule="exact"/>
              <w:rPr>
                <w:sz w:val="20"/>
                <w:szCs w:val="20"/>
                <w:color w:val="auto"/>
              </w:rPr>
            </w:pPr>
            <w:r>
              <w:rPr>
                <w:rFonts w:ascii="Arial" w:cs="Arial" w:eastAsia="Arial" w:hAnsi="Arial"/>
                <w:sz w:val="13"/>
                <w:szCs w:val="13"/>
                <w:b w:val="1"/>
                <w:bCs w:val="1"/>
                <w:color w:val="FFFFFF"/>
              </w:rPr>
              <w:t>Compensation</w:t>
            </w:r>
          </w:p>
        </w:tc>
        <w:tc>
          <w:tcPr>
            <w:tcW w:w="1040" w:type="dxa"/>
            <w:vAlign w:val="bottom"/>
            <w:shd w:val="clear" w:color="auto" w:fill="000000"/>
          </w:tcPr>
          <w:p>
            <w:pPr>
              <w:spacing w:after="0"/>
              <w:rPr>
                <w:sz w:val="11"/>
                <w:szCs w:val="11"/>
                <w:color w:val="auto"/>
              </w:rPr>
            </w:pPr>
          </w:p>
        </w:tc>
        <w:tc>
          <w:tcPr>
            <w:tcW w:w="980" w:type="dxa"/>
            <w:vAlign w:val="bottom"/>
            <w:vMerge w:val="restart"/>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Net</w:t>
            </w:r>
          </w:p>
        </w:tc>
        <w:tc>
          <w:tcPr>
            <w:tcW w:w="0" w:type="dxa"/>
            <w:vAlign w:val="bottom"/>
          </w:tcPr>
          <w:p>
            <w:pPr>
              <w:spacing w:after="0"/>
              <w:rPr>
                <w:sz w:val="1"/>
                <w:szCs w:val="1"/>
                <w:color w:val="auto"/>
              </w:rPr>
            </w:pPr>
          </w:p>
        </w:tc>
      </w:tr>
      <w:tr>
        <w:trPr>
          <w:trHeight w:val="135"/>
        </w:trPr>
        <w:tc>
          <w:tcPr>
            <w:tcW w:w="520" w:type="dxa"/>
            <w:vAlign w:val="bottom"/>
            <w:shd w:val="clear" w:color="auto" w:fill="000000"/>
          </w:tcPr>
          <w:p>
            <w:pPr>
              <w:spacing w:after="0"/>
              <w:rPr>
                <w:sz w:val="11"/>
                <w:szCs w:val="11"/>
                <w:color w:val="auto"/>
              </w:rPr>
            </w:pPr>
          </w:p>
        </w:tc>
        <w:tc>
          <w:tcPr>
            <w:tcW w:w="1100" w:type="dxa"/>
            <w:vAlign w:val="bottom"/>
            <w:shd w:val="clear" w:color="auto" w:fill="000000"/>
          </w:tcPr>
          <w:p>
            <w:pPr>
              <w:jc w:val="right"/>
              <w:ind w:right="34"/>
              <w:spacing w:after="0" w:line="135"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shd w:val="clear" w:color="auto" w:fill="000000"/>
          </w:tcPr>
          <w:p>
            <w:pPr>
              <w:jc w:val="right"/>
              <w:ind w:right="54"/>
              <w:spacing w:after="0" w:line="135" w:lineRule="exact"/>
              <w:rPr>
                <w:sz w:val="20"/>
                <w:szCs w:val="20"/>
                <w:color w:val="auto"/>
              </w:rPr>
            </w:pPr>
            <w:r>
              <w:rPr>
                <w:rFonts w:ascii="Arial" w:cs="Arial" w:eastAsia="Arial" w:hAnsi="Arial"/>
                <w:sz w:val="13"/>
                <w:szCs w:val="13"/>
                <w:b w:val="1"/>
                <w:bCs w:val="1"/>
                <w:color w:val="FFFFFF"/>
              </w:rPr>
              <w:t>Compensation</w:t>
            </w:r>
          </w:p>
        </w:tc>
        <w:tc>
          <w:tcPr>
            <w:tcW w:w="1180" w:type="dxa"/>
            <w:vAlign w:val="bottom"/>
            <w:vMerge w:val="continue"/>
            <w:shd w:val="clear" w:color="auto" w:fill="000000"/>
          </w:tcPr>
          <w:p>
            <w:pPr>
              <w:spacing w:after="0"/>
              <w:rPr>
                <w:sz w:val="11"/>
                <w:szCs w:val="11"/>
                <w:color w:val="auto"/>
              </w:rPr>
            </w:pPr>
          </w:p>
        </w:tc>
        <w:tc>
          <w:tcPr>
            <w:tcW w:w="1080" w:type="dxa"/>
            <w:vAlign w:val="bottom"/>
            <w:vMerge w:val="continue"/>
            <w:shd w:val="clear" w:color="auto" w:fill="000000"/>
          </w:tcPr>
          <w:p>
            <w:pPr>
              <w:spacing w:after="0"/>
              <w:rPr>
                <w:sz w:val="11"/>
                <w:szCs w:val="11"/>
                <w:color w:val="auto"/>
              </w:rPr>
            </w:pPr>
          </w:p>
        </w:tc>
        <w:tc>
          <w:tcPr>
            <w:tcW w:w="1100" w:type="dxa"/>
            <w:vAlign w:val="bottom"/>
            <w:shd w:val="clear" w:color="auto" w:fill="000000"/>
          </w:tcPr>
          <w:p>
            <w:pPr>
              <w:jc w:val="right"/>
              <w:ind w:right="95"/>
              <w:spacing w:after="0" w:line="135" w:lineRule="exact"/>
              <w:rPr>
                <w:sz w:val="20"/>
                <w:szCs w:val="20"/>
                <w:color w:val="auto"/>
              </w:rPr>
            </w:pPr>
            <w:r>
              <w:rPr>
                <w:rFonts w:ascii="Arial" w:cs="Arial" w:eastAsia="Arial" w:hAnsi="Arial"/>
                <w:sz w:val="13"/>
                <w:szCs w:val="13"/>
                <w:b w:val="1"/>
                <w:bCs w:val="1"/>
                <w:color w:val="FFFFFF"/>
              </w:rPr>
              <w:t>Table</w:t>
            </w:r>
          </w:p>
        </w:tc>
        <w:tc>
          <w:tcPr>
            <w:tcW w:w="1160" w:type="dxa"/>
            <w:vAlign w:val="bottom"/>
            <w:shd w:val="clear" w:color="auto" w:fill="000000"/>
          </w:tcPr>
          <w:p>
            <w:pPr>
              <w:jc w:val="right"/>
              <w:ind w:right="75"/>
              <w:spacing w:after="0" w:line="135" w:lineRule="exact"/>
              <w:rPr>
                <w:sz w:val="20"/>
                <w:szCs w:val="20"/>
                <w:color w:val="auto"/>
              </w:rPr>
            </w:pPr>
            <w:r>
              <w:rPr>
                <w:rFonts w:ascii="Arial" w:cs="Arial" w:eastAsia="Arial" w:hAnsi="Arial"/>
                <w:sz w:val="13"/>
                <w:szCs w:val="13"/>
                <w:b w:val="1"/>
                <w:bCs w:val="1"/>
                <w:color w:val="FFFFFF"/>
              </w:rPr>
              <w:t>Actually</w:t>
            </w:r>
          </w:p>
        </w:tc>
        <w:tc>
          <w:tcPr>
            <w:tcW w:w="1040" w:type="dxa"/>
            <w:vAlign w:val="bottom"/>
            <w:vMerge w:val="restart"/>
            <w:shd w:val="clear" w:color="auto" w:fill="000000"/>
          </w:tcPr>
          <w:p>
            <w:pPr>
              <w:jc w:val="right"/>
              <w:ind w:right="114"/>
              <w:spacing w:after="0"/>
              <w:rPr>
                <w:sz w:val="20"/>
                <w:szCs w:val="20"/>
                <w:color w:val="auto"/>
              </w:rPr>
            </w:pPr>
            <w:r>
              <w:rPr>
                <w:rFonts w:ascii="Arial" w:cs="Arial" w:eastAsia="Arial" w:hAnsi="Arial"/>
                <w:sz w:val="13"/>
                <w:szCs w:val="13"/>
                <w:b w:val="1"/>
                <w:bCs w:val="1"/>
                <w:color w:val="FFFFFF"/>
              </w:rPr>
              <w:t>Total</w:t>
            </w:r>
          </w:p>
        </w:tc>
        <w:tc>
          <w:tcPr>
            <w:tcW w:w="98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shd w:val="clear" w:color="auto" w:fill="000000"/>
          </w:tcPr>
          <w:p>
            <w:pPr>
              <w:spacing w:after="0"/>
              <w:rPr>
                <w:sz w:val="11"/>
                <w:szCs w:val="11"/>
                <w:color w:val="auto"/>
              </w:rPr>
            </w:pPr>
          </w:p>
        </w:tc>
        <w:tc>
          <w:tcPr>
            <w:tcW w:w="1100" w:type="dxa"/>
            <w:vAlign w:val="bottom"/>
            <w:shd w:val="clear" w:color="auto" w:fill="000000"/>
          </w:tcPr>
          <w:p>
            <w:pPr>
              <w:jc w:val="right"/>
              <w:ind w:right="74"/>
              <w:spacing w:after="0" w:line="135" w:lineRule="exact"/>
              <w:rPr>
                <w:sz w:val="20"/>
                <w:szCs w:val="20"/>
                <w:color w:val="auto"/>
              </w:rPr>
            </w:pPr>
            <w:r>
              <w:rPr>
                <w:rFonts w:ascii="Arial" w:cs="Arial" w:eastAsia="Arial" w:hAnsi="Arial"/>
                <w:sz w:val="13"/>
                <w:szCs w:val="13"/>
                <w:b w:val="1"/>
                <w:bCs w:val="1"/>
                <w:color w:val="FFFFFF"/>
              </w:rPr>
              <w:t>Table</w:t>
            </w:r>
          </w:p>
        </w:tc>
        <w:tc>
          <w:tcPr>
            <w:tcW w:w="112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Table</w:t>
            </w:r>
          </w:p>
        </w:tc>
        <w:tc>
          <w:tcPr>
            <w:tcW w:w="118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Actually</w:t>
            </w:r>
          </w:p>
        </w:tc>
        <w:tc>
          <w:tcPr>
            <w:tcW w:w="108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Actually</w:t>
            </w:r>
          </w:p>
        </w:tc>
        <w:tc>
          <w:tcPr>
            <w:tcW w:w="1100" w:type="dxa"/>
            <w:vAlign w:val="bottom"/>
            <w:shd w:val="clear" w:color="auto" w:fill="000000"/>
          </w:tcPr>
          <w:p>
            <w:pPr>
              <w:jc w:val="right"/>
              <w:ind w:right="95"/>
              <w:spacing w:after="0" w:line="135" w:lineRule="exact"/>
              <w:rPr>
                <w:sz w:val="20"/>
                <w:szCs w:val="20"/>
                <w:color w:val="auto"/>
              </w:rPr>
            </w:pPr>
            <w:r>
              <w:rPr>
                <w:rFonts w:ascii="Arial" w:cs="Arial" w:eastAsia="Arial" w:hAnsi="Arial"/>
                <w:sz w:val="13"/>
                <w:szCs w:val="13"/>
                <w:b w:val="1"/>
                <w:bCs w:val="1"/>
                <w:color w:val="FFFFFF"/>
              </w:rPr>
              <w:t>Total for</w:t>
            </w:r>
          </w:p>
        </w:tc>
        <w:tc>
          <w:tcPr>
            <w:tcW w:w="1160" w:type="dxa"/>
            <w:vAlign w:val="bottom"/>
            <w:shd w:val="clear" w:color="auto" w:fill="000000"/>
          </w:tcPr>
          <w:p>
            <w:pPr>
              <w:jc w:val="right"/>
              <w:ind w:right="75"/>
              <w:spacing w:after="0" w:line="135" w:lineRule="exact"/>
              <w:rPr>
                <w:sz w:val="20"/>
                <w:szCs w:val="20"/>
                <w:color w:val="auto"/>
              </w:rPr>
            </w:pPr>
            <w:r>
              <w:rPr>
                <w:rFonts w:ascii="Arial" w:cs="Arial" w:eastAsia="Arial" w:hAnsi="Arial"/>
                <w:sz w:val="13"/>
                <w:szCs w:val="13"/>
                <w:b w:val="1"/>
                <w:bCs w:val="1"/>
                <w:color w:val="FFFFFF"/>
              </w:rPr>
              <w:t>Paid to</w:t>
            </w:r>
          </w:p>
        </w:tc>
        <w:tc>
          <w:tcPr>
            <w:tcW w:w="1040" w:type="dxa"/>
            <w:vAlign w:val="bottom"/>
            <w:vMerge w:val="continue"/>
            <w:shd w:val="clear" w:color="auto" w:fill="000000"/>
          </w:tcPr>
          <w:p>
            <w:pPr>
              <w:spacing w:after="0"/>
              <w:rPr>
                <w:sz w:val="11"/>
                <w:szCs w:val="11"/>
                <w:color w:val="auto"/>
              </w:rPr>
            </w:pPr>
          </w:p>
        </w:tc>
        <w:tc>
          <w:tcPr>
            <w:tcW w:w="980" w:type="dxa"/>
            <w:vAlign w:val="bottom"/>
            <w:shd w:val="clear" w:color="auto" w:fill="000000"/>
          </w:tcPr>
          <w:p>
            <w:pPr>
              <w:jc w:val="right"/>
              <w:ind w:right="94"/>
              <w:spacing w:after="0" w:line="135" w:lineRule="exact"/>
              <w:rPr>
                <w:sz w:val="20"/>
                <w:szCs w:val="20"/>
                <w:color w:val="auto"/>
              </w:rPr>
            </w:pPr>
            <w:r>
              <w:rPr>
                <w:rFonts w:ascii="Arial" w:cs="Arial" w:eastAsia="Arial" w:hAnsi="Arial"/>
                <w:sz w:val="13"/>
                <w:szCs w:val="13"/>
                <w:b w:val="1"/>
                <w:bCs w:val="1"/>
                <w:color w:val="FFFFFF"/>
              </w:rPr>
              <w:t>(Loss)</w:t>
            </w:r>
          </w:p>
        </w:tc>
        <w:tc>
          <w:tcPr>
            <w:tcW w:w="0" w:type="dxa"/>
            <w:vAlign w:val="bottom"/>
          </w:tcPr>
          <w:p>
            <w:pPr>
              <w:spacing w:after="0"/>
              <w:rPr>
                <w:sz w:val="1"/>
                <w:szCs w:val="1"/>
                <w:color w:val="auto"/>
              </w:rPr>
            </w:pPr>
          </w:p>
        </w:tc>
      </w:tr>
      <w:tr>
        <w:trPr>
          <w:trHeight w:val="143"/>
        </w:trPr>
        <w:tc>
          <w:tcPr>
            <w:tcW w:w="520" w:type="dxa"/>
            <w:vAlign w:val="bottom"/>
            <w:shd w:val="clear" w:color="auto" w:fill="000000"/>
          </w:tcPr>
          <w:p>
            <w:pPr>
              <w:spacing w:after="0"/>
              <w:rPr>
                <w:sz w:val="12"/>
                <w:szCs w:val="12"/>
                <w:color w:val="auto"/>
              </w:rPr>
            </w:pPr>
          </w:p>
        </w:tc>
        <w:tc>
          <w:tcPr>
            <w:tcW w:w="1100" w:type="dxa"/>
            <w:vAlign w:val="bottom"/>
            <w:shd w:val="clear" w:color="auto" w:fill="000000"/>
          </w:tcPr>
          <w:p>
            <w:pPr>
              <w:jc w:val="right"/>
              <w:ind w:right="74"/>
              <w:spacing w:after="0" w:line="143" w:lineRule="exact"/>
              <w:rPr>
                <w:sz w:val="20"/>
                <w:szCs w:val="20"/>
                <w:color w:val="auto"/>
              </w:rPr>
            </w:pPr>
            <w:r>
              <w:rPr>
                <w:rFonts w:ascii="Arial" w:cs="Arial" w:eastAsia="Arial" w:hAnsi="Arial"/>
                <w:sz w:val="13"/>
                <w:szCs w:val="13"/>
                <w:b w:val="1"/>
                <w:bCs w:val="1"/>
                <w:color w:val="FFFFFF"/>
              </w:rPr>
              <w:t>Total for</w:t>
            </w:r>
          </w:p>
        </w:tc>
        <w:tc>
          <w:tcPr>
            <w:tcW w:w="112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Total for</w:t>
            </w:r>
          </w:p>
        </w:tc>
        <w:tc>
          <w:tcPr>
            <w:tcW w:w="118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Paid to</w:t>
            </w:r>
          </w:p>
        </w:tc>
        <w:tc>
          <w:tcPr>
            <w:tcW w:w="108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Paid to</w:t>
            </w:r>
          </w:p>
        </w:tc>
        <w:tc>
          <w:tcPr>
            <w:tcW w:w="1100" w:type="dxa"/>
            <w:vAlign w:val="bottom"/>
            <w:shd w:val="clear" w:color="auto" w:fill="000000"/>
          </w:tcPr>
          <w:p>
            <w:pPr>
              <w:jc w:val="right"/>
              <w:ind w:right="95"/>
              <w:spacing w:after="0" w:line="143" w:lineRule="exact"/>
              <w:rPr>
                <w:sz w:val="20"/>
                <w:szCs w:val="20"/>
                <w:color w:val="auto"/>
              </w:rPr>
            </w:pPr>
            <w:r>
              <w:rPr>
                <w:rFonts w:ascii="Arial" w:cs="Arial" w:eastAsia="Arial" w:hAnsi="Arial"/>
                <w:sz w:val="13"/>
                <w:szCs w:val="13"/>
                <w:b w:val="1"/>
                <w:bCs w:val="1"/>
                <w:color w:val="FFFFFF"/>
              </w:rPr>
              <w:t>Non-PEO</w:t>
            </w:r>
          </w:p>
        </w:tc>
        <w:tc>
          <w:tcPr>
            <w:tcW w:w="1160" w:type="dxa"/>
            <w:vAlign w:val="bottom"/>
            <w:shd w:val="clear" w:color="auto" w:fill="000000"/>
          </w:tcPr>
          <w:p>
            <w:pPr>
              <w:jc w:val="right"/>
              <w:ind w:right="75"/>
              <w:spacing w:after="0" w:line="143" w:lineRule="exact"/>
              <w:rPr>
                <w:sz w:val="20"/>
                <w:szCs w:val="20"/>
                <w:color w:val="auto"/>
              </w:rPr>
            </w:pPr>
            <w:r>
              <w:rPr>
                <w:rFonts w:ascii="Arial" w:cs="Arial" w:eastAsia="Arial" w:hAnsi="Arial"/>
                <w:sz w:val="13"/>
                <w:szCs w:val="13"/>
                <w:b w:val="1"/>
                <w:bCs w:val="1"/>
                <w:color w:val="FFFFFF"/>
              </w:rPr>
              <w:t>Non-PEO</w:t>
            </w:r>
          </w:p>
        </w:tc>
        <w:tc>
          <w:tcPr>
            <w:tcW w:w="1040" w:type="dxa"/>
            <w:vAlign w:val="bottom"/>
            <w:shd w:val="clear" w:color="auto" w:fill="000000"/>
          </w:tcPr>
          <w:p>
            <w:pPr>
              <w:jc w:val="right"/>
              <w:ind w:right="114"/>
              <w:spacing w:after="0" w:line="143" w:lineRule="exact"/>
              <w:rPr>
                <w:sz w:val="20"/>
                <w:szCs w:val="20"/>
                <w:color w:val="auto"/>
              </w:rPr>
            </w:pPr>
            <w:r>
              <w:rPr>
                <w:rFonts w:ascii="Arial" w:cs="Arial" w:eastAsia="Arial" w:hAnsi="Arial"/>
                <w:sz w:val="13"/>
                <w:szCs w:val="13"/>
                <w:b w:val="1"/>
                <w:bCs w:val="1"/>
                <w:color w:val="FFFFFF"/>
              </w:rPr>
              <w:t>Shareholder</w:t>
            </w:r>
          </w:p>
        </w:tc>
        <w:tc>
          <w:tcPr>
            <w:tcW w:w="980" w:type="dxa"/>
            <w:vAlign w:val="bottom"/>
            <w:shd w:val="clear" w:color="auto" w:fill="000000"/>
          </w:tcPr>
          <w:p>
            <w:pPr>
              <w:jc w:val="right"/>
              <w:ind w:right="94"/>
              <w:spacing w:after="0" w:line="143" w:lineRule="exact"/>
              <w:rPr>
                <w:sz w:val="20"/>
                <w:szCs w:val="20"/>
                <w:color w:val="auto"/>
              </w:rPr>
            </w:pPr>
            <w:r>
              <w:rPr>
                <w:rFonts w:ascii="Arial" w:cs="Arial" w:eastAsia="Arial" w:hAnsi="Arial"/>
                <w:sz w:val="13"/>
                <w:szCs w:val="13"/>
                <w:b w:val="1"/>
                <w:bCs w:val="1"/>
                <w:color w:val="FFFFFF"/>
              </w:rPr>
              <w:t>Income</w:t>
            </w:r>
          </w:p>
        </w:tc>
        <w:tc>
          <w:tcPr>
            <w:tcW w:w="0" w:type="dxa"/>
            <w:vAlign w:val="bottom"/>
          </w:tcPr>
          <w:p>
            <w:pPr>
              <w:spacing w:after="0"/>
              <w:rPr>
                <w:sz w:val="1"/>
                <w:szCs w:val="1"/>
                <w:color w:val="auto"/>
              </w:rPr>
            </w:pPr>
          </w:p>
        </w:tc>
      </w:tr>
      <w:tr>
        <w:trPr>
          <w:trHeight w:val="168"/>
        </w:trPr>
        <w:tc>
          <w:tcPr>
            <w:tcW w:w="520" w:type="dxa"/>
            <w:vAlign w:val="bottom"/>
            <w:vMerge w:val="restart"/>
            <w:shd w:val="clear" w:color="auto" w:fill="000000"/>
          </w:tcPr>
          <w:p>
            <w:pPr>
              <w:ind w:left="80"/>
              <w:spacing w:after="0"/>
              <w:rPr>
                <w:sz w:val="20"/>
                <w:szCs w:val="20"/>
                <w:color w:val="auto"/>
              </w:rPr>
            </w:pPr>
            <w:r>
              <w:rPr>
                <w:rFonts w:ascii="Arial" w:cs="Arial" w:eastAsia="Arial" w:hAnsi="Arial"/>
                <w:sz w:val="13"/>
                <w:szCs w:val="13"/>
                <w:b w:val="1"/>
                <w:bCs w:val="1"/>
                <w:color w:val="FFFFFF"/>
              </w:rPr>
              <w:t>Year</w:t>
            </w:r>
          </w:p>
        </w:tc>
        <w:tc>
          <w:tcPr>
            <w:tcW w:w="1100" w:type="dxa"/>
            <w:vAlign w:val="bottom"/>
            <w:shd w:val="clear" w:color="auto" w:fill="000000"/>
          </w:tcPr>
          <w:p>
            <w:pPr>
              <w:jc w:val="right"/>
              <w:ind w:right="74"/>
              <w:spacing w:after="0" w:line="168" w:lineRule="exact"/>
              <w:rPr>
                <w:sz w:val="20"/>
                <w:szCs w:val="20"/>
                <w:color w:val="auto"/>
              </w:rPr>
            </w:pPr>
            <w:r>
              <w:rPr>
                <w:rFonts w:ascii="Arial" w:cs="Arial" w:eastAsia="Arial" w:hAnsi="Arial"/>
                <w:sz w:val="12"/>
                <w:szCs w:val="12"/>
                <w:b w:val="1"/>
                <w:bCs w:val="1"/>
                <w:color w:val="FFFFFF"/>
              </w:rPr>
              <w:t>Mr. Francis</w:t>
            </w:r>
            <w:r>
              <w:rPr>
                <w:rFonts w:ascii="Arial" w:cs="Arial" w:eastAsia="Arial" w:hAnsi="Arial"/>
                <w:sz w:val="19"/>
                <w:szCs w:val="19"/>
                <w:b w:val="1"/>
                <w:bCs w:val="1"/>
                <w:color w:val="FFFFFF"/>
                <w:vertAlign w:val="superscript"/>
              </w:rPr>
              <w:t>(1)</w:t>
            </w:r>
          </w:p>
        </w:tc>
        <w:tc>
          <w:tcPr>
            <w:tcW w:w="112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Mr. Beals</w:t>
            </w:r>
            <w:r>
              <w:rPr>
                <w:rFonts w:ascii="Arial" w:cs="Arial" w:eastAsia="Arial" w:hAnsi="Arial"/>
                <w:sz w:val="19"/>
                <w:szCs w:val="19"/>
                <w:b w:val="1"/>
                <w:bCs w:val="1"/>
                <w:color w:val="FFFFFF"/>
                <w:vertAlign w:val="superscript"/>
              </w:rPr>
              <w:t>(1)</w:t>
            </w:r>
          </w:p>
        </w:tc>
        <w:tc>
          <w:tcPr>
            <w:tcW w:w="118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Mr. Francis</w:t>
            </w:r>
            <w:r>
              <w:rPr>
                <w:rFonts w:ascii="Arial" w:cs="Arial" w:eastAsia="Arial" w:hAnsi="Arial"/>
                <w:sz w:val="19"/>
                <w:szCs w:val="19"/>
                <w:b w:val="1"/>
                <w:bCs w:val="1"/>
                <w:color w:val="FFFFFF"/>
                <w:vertAlign w:val="superscript"/>
              </w:rPr>
              <w:t>(2)</w:t>
            </w:r>
          </w:p>
        </w:tc>
        <w:tc>
          <w:tcPr>
            <w:tcW w:w="108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Mr. Beals</w:t>
            </w:r>
            <w:r>
              <w:rPr>
                <w:rFonts w:ascii="Arial" w:cs="Arial" w:eastAsia="Arial" w:hAnsi="Arial"/>
                <w:sz w:val="19"/>
                <w:szCs w:val="19"/>
                <w:b w:val="1"/>
                <w:bCs w:val="1"/>
                <w:color w:val="FFFFFF"/>
                <w:vertAlign w:val="superscript"/>
              </w:rPr>
              <w:t>(2)</w:t>
            </w:r>
          </w:p>
        </w:tc>
        <w:tc>
          <w:tcPr>
            <w:tcW w:w="1100" w:type="dxa"/>
            <w:vAlign w:val="bottom"/>
            <w:shd w:val="clear" w:color="auto" w:fill="000000"/>
          </w:tcPr>
          <w:p>
            <w:pPr>
              <w:jc w:val="right"/>
              <w:ind w:right="95"/>
              <w:spacing w:after="0" w:line="168" w:lineRule="exact"/>
              <w:rPr>
                <w:sz w:val="20"/>
                <w:szCs w:val="20"/>
                <w:color w:val="auto"/>
              </w:rPr>
            </w:pPr>
            <w:r>
              <w:rPr>
                <w:rFonts w:ascii="Arial" w:cs="Arial" w:eastAsia="Arial" w:hAnsi="Arial"/>
                <w:sz w:val="12"/>
                <w:szCs w:val="12"/>
                <w:b w:val="1"/>
                <w:bCs w:val="1"/>
                <w:color w:val="FFFFFF"/>
              </w:rPr>
              <w:t>NEOs</w:t>
            </w:r>
            <w:r>
              <w:rPr>
                <w:rFonts w:ascii="Arial" w:cs="Arial" w:eastAsia="Arial" w:hAnsi="Arial"/>
                <w:sz w:val="19"/>
                <w:szCs w:val="19"/>
                <w:b w:val="1"/>
                <w:bCs w:val="1"/>
                <w:color w:val="FFFFFF"/>
                <w:vertAlign w:val="superscript"/>
              </w:rPr>
              <w:t>(3)</w:t>
            </w:r>
          </w:p>
        </w:tc>
        <w:tc>
          <w:tcPr>
            <w:tcW w:w="1160" w:type="dxa"/>
            <w:vAlign w:val="bottom"/>
            <w:shd w:val="clear" w:color="auto" w:fill="000000"/>
          </w:tcPr>
          <w:p>
            <w:pPr>
              <w:jc w:val="right"/>
              <w:ind w:right="75"/>
              <w:spacing w:after="0" w:line="168" w:lineRule="exact"/>
              <w:rPr>
                <w:sz w:val="20"/>
                <w:szCs w:val="20"/>
                <w:color w:val="auto"/>
              </w:rPr>
            </w:pPr>
            <w:r>
              <w:rPr>
                <w:rFonts w:ascii="Arial" w:cs="Arial" w:eastAsia="Arial" w:hAnsi="Arial"/>
                <w:sz w:val="12"/>
                <w:szCs w:val="12"/>
                <w:b w:val="1"/>
                <w:bCs w:val="1"/>
                <w:color w:val="FFFFFF"/>
              </w:rPr>
              <w:t>NEOs</w:t>
            </w:r>
            <w:r>
              <w:rPr>
                <w:rFonts w:ascii="Arial" w:cs="Arial" w:eastAsia="Arial" w:hAnsi="Arial"/>
                <w:sz w:val="19"/>
                <w:szCs w:val="19"/>
                <w:b w:val="1"/>
                <w:bCs w:val="1"/>
                <w:color w:val="FFFFFF"/>
                <w:vertAlign w:val="superscript"/>
              </w:rPr>
              <w:t>(4)</w:t>
            </w:r>
          </w:p>
        </w:tc>
        <w:tc>
          <w:tcPr>
            <w:tcW w:w="1040" w:type="dxa"/>
            <w:vAlign w:val="bottom"/>
            <w:shd w:val="clear" w:color="auto" w:fill="000000"/>
          </w:tcPr>
          <w:p>
            <w:pPr>
              <w:jc w:val="right"/>
              <w:ind w:right="114"/>
              <w:spacing w:after="0" w:line="168" w:lineRule="exact"/>
              <w:rPr>
                <w:sz w:val="20"/>
                <w:szCs w:val="20"/>
                <w:color w:val="auto"/>
              </w:rPr>
            </w:pPr>
            <w:r>
              <w:rPr>
                <w:rFonts w:ascii="Arial" w:cs="Arial" w:eastAsia="Arial" w:hAnsi="Arial"/>
                <w:sz w:val="12"/>
                <w:szCs w:val="12"/>
                <w:b w:val="1"/>
                <w:bCs w:val="1"/>
                <w:color w:val="FFFFFF"/>
              </w:rPr>
              <w:t>Return</w:t>
            </w:r>
            <w:r>
              <w:rPr>
                <w:rFonts w:ascii="Arial" w:cs="Arial" w:eastAsia="Arial" w:hAnsi="Arial"/>
                <w:sz w:val="19"/>
                <w:szCs w:val="19"/>
                <w:b w:val="1"/>
                <w:bCs w:val="1"/>
                <w:color w:val="FFFFFF"/>
                <w:vertAlign w:val="superscript"/>
              </w:rPr>
              <w:t>(5)</w:t>
            </w:r>
          </w:p>
        </w:tc>
        <w:tc>
          <w:tcPr>
            <w:tcW w:w="980" w:type="dxa"/>
            <w:vAlign w:val="bottom"/>
            <w:shd w:val="clear" w:color="auto" w:fill="000000"/>
          </w:tcPr>
          <w:p>
            <w:pPr>
              <w:jc w:val="right"/>
              <w:ind w:right="94"/>
              <w:spacing w:after="0" w:line="168" w:lineRule="exact"/>
              <w:rPr>
                <w:sz w:val="20"/>
                <w:szCs w:val="20"/>
                <w:color w:val="auto"/>
              </w:rPr>
            </w:pPr>
            <w:r>
              <w:rPr>
                <w:rFonts w:ascii="Arial" w:cs="Arial" w:eastAsia="Arial" w:hAnsi="Arial"/>
                <w:sz w:val="12"/>
                <w:szCs w:val="12"/>
                <w:b w:val="1"/>
                <w:bCs w:val="1"/>
                <w:color w:val="FFFFFF"/>
              </w:rPr>
              <w:t>(millions)</w:t>
            </w:r>
            <w:r>
              <w:rPr>
                <w:rFonts w:ascii="Arial" w:cs="Arial" w:eastAsia="Arial" w:hAnsi="Arial"/>
                <w:sz w:val="19"/>
                <w:szCs w:val="19"/>
                <w:b w:val="1"/>
                <w:bCs w:val="1"/>
                <w:color w:val="FFFFFF"/>
                <w:vertAlign w:val="superscript"/>
              </w:rPr>
              <w:t>(6)</w:t>
            </w:r>
          </w:p>
        </w:tc>
        <w:tc>
          <w:tcPr>
            <w:tcW w:w="0" w:type="dxa"/>
            <w:vAlign w:val="bottom"/>
          </w:tcPr>
          <w:p>
            <w:pPr>
              <w:spacing w:after="0"/>
              <w:rPr>
                <w:sz w:val="1"/>
                <w:szCs w:val="1"/>
                <w:color w:val="auto"/>
              </w:rPr>
            </w:pPr>
          </w:p>
        </w:tc>
      </w:tr>
      <w:tr>
        <w:trPr>
          <w:trHeight w:val="172"/>
        </w:trPr>
        <w:tc>
          <w:tcPr>
            <w:tcW w:w="520" w:type="dxa"/>
            <w:vAlign w:val="bottom"/>
            <w:vMerge w:val="continue"/>
            <w:shd w:val="clear" w:color="auto" w:fill="000000"/>
          </w:tcPr>
          <w:p>
            <w:pPr>
              <w:spacing w:after="0"/>
              <w:rPr>
                <w:sz w:val="14"/>
                <w:szCs w:val="14"/>
                <w:color w:val="auto"/>
              </w:rPr>
            </w:pPr>
          </w:p>
        </w:tc>
        <w:tc>
          <w:tcPr>
            <w:tcW w:w="1100" w:type="dxa"/>
            <w:vAlign w:val="bottom"/>
            <w:shd w:val="clear" w:color="auto" w:fill="000000"/>
          </w:tcPr>
          <w:p>
            <w:pPr>
              <w:jc w:val="right"/>
              <w:ind w:right="34"/>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w:t>
            </w:r>
          </w:p>
        </w:tc>
        <w:tc>
          <w:tcPr>
            <w:tcW w:w="1180" w:type="dxa"/>
            <w:vAlign w:val="bottom"/>
            <w:shd w:val="clear" w:color="auto" w:fill="000000"/>
          </w:tcPr>
          <w:p>
            <w:pPr>
              <w:jc w:val="right"/>
              <w:ind w:right="34"/>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000000"/>
          </w:tcPr>
          <w:p>
            <w:pPr>
              <w:jc w:val="right"/>
              <w:ind w:right="14"/>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00000"/>
          </w:tcPr>
          <w:p>
            <w:pPr>
              <w:jc w:val="right"/>
              <w:ind w:right="55"/>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00000"/>
          </w:tcPr>
          <w:p>
            <w:pPr>
              <w:jc w:val="right"/>
              <w:ind w:right="55"/>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00000"/>
          </w:tcPr>
          <w:p>
            <w:pPr>
              <w:jc w:val="right"/>
              <w:ind w:right="94"/>
              <w:spacing w:after="0"/>
              <w:rPr>
                <w:sz w:val="20"/>
                <w:szCs w:val="20"/>
                <w:color w:val="auto"/>
              </w:rPr>
            </w:pPr>
            <w:r>
              <w:rPr>
                <w:rFonts w:ascii="Arial" w:cs="Arial" w:eastAsia="Arial" w:hAnsi="Arial"/>
                <w:sz w:val="13"/>
                <w:szCs w:val="13"/>
                <w:b w:val="1"/>
                <w:bCs w:val="1"/>
                <w:color w:val="FFFFFF"/>
              </w:rPr>
              <w:t>($)</w:t>
            </w:r>
          </w:p>
        </w:tc>
        <w:tc>
          <w:tcPr>
            <w:tcW w:w="980" w:type="dxa"/>
            <w:vAlign w:val="bottom"/>
            <w:shd w:val="clear" w:color="auto" w:fill="000000"/>
          </w:tcPr>
          <w:p>
            <w:pPr>
              <w:jc w:val="right"/>
              <w:ind w:right="54"/>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16"/>
        </w:trPr>
        <w:tc>
          <w:tcPr>
            <w:tcW w:w="52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c>
          <w:tcPr>
            <w:tcW w:w="1120" w:type="dxa"/>
            <w:vAlign w:val="bottom"/>
            <w:shd w:val="clear" w:color="auto" w:fill="000000"/>
          </w:tcPr>
          <w:p>
            <w:pPr>
              <w:spacing w:after="0"/>
              <w:rPr>
                <w:sz w:val="10"/>
                <w:szCs w:val="10"/>
                <w:color w:val="auto"/>
              </w:rPr>
            </w:pPr>
          </w:p>
        </w:tc>
        <w:tc>
          <w:tcPr>
            <w:tcW w:w="118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c>
          <w:tcPr>
            <w:tcW w:w="1160" w:type="dxa"/>
            <w:vAlign w:val="bottom"/>
            <w:shd w:val="clear" w:color="auto" w:fill="000000"/>
          </w:tcPr>
          <w:p>
            <w:pPr>
              <w:spacing w:after="0"/>
              <w:rPr>
                <w:sz w:val="10"/>
                <w:szCs w:val="10"/>
                <w:color w:val="auto"/>
              </w:rPr>
            </w:pPr>
          </w:p>
        </w:tc>
        <w:tc>
          <w:tcPr>
            <w:tcW w:w="10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520" w:type="dxa"/>
            <w:vAlign w:val="bottom"/>
          </w:tcPr>
          <w:p>
            <w:pPr>
              <w:ind w:left="80"/>
              <w:spacing w:after="0"/>
              <w:rPr>
                <w:sz w:val="20"/>
                <w:szCs w:val="20"/>
                <w:color w:val="auto"/>
              </w:rPr>
            </w:pPr>
            <w:r>
              <w:rPr>
                <w:rFonts w:ascii="Arial" w:cs="Arial" w:eastAsia="Arial" w:hAnsi="Arial"/>
                <w:sz w:val="14"/>
                <w:szCs w:val="14"/>
                <w:b w:val="1"/>
                <w:bCs w:val="1"/>
                <w:color w:val="40C0C0"/>
              </w:rPr>
              <w:t>2023</w:t>
            </w:r>
          </w:p>
        </w:tc>
        <w:tc>
          <w:tcPr>
            <w:tcW w:w="1100" w:type="dxa"/>
            <w:vAlign w:val="bottom"/>
          </w:tcPr>
          <w:p>
            <w:pPr>
              <w:jc w:val="right"/>
              <w:ind w:right="114"/>
              <w:spacing w:after="0"/>
              <w:rPr>
                <w:sz w:val="20"/>
                <w:szCs w:val="20"/>
                <w:color w:val="auto"/>
              </w:rPr>
            </w:pPr>
            <w:r>
              <w:rPr>
                <w:rFonts w:ascii="Arial" w:cs="Arial" w:eastAsia="Arial" w:hAnsi="Arial"/>
                <w:sz w:val="14"/>
                <w:szCs w:val="14"/>
                <w:color w:val="auto"/>
              </w:rPr>
              <w:t>1,162,045</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N/A</w:t>
            </w:r>
          </w:p>
        </w:tc>
        <w:tc>
          <w:tcPr>
            <w:tcW w:w="1180" w:type="dxa"/>
            <w:vAlign w:val="bottom"/>
          </w:tcPr>
          <w:p>
            <w:pPr>
              <w:jc w:val="right"/>
              <w:ind w:right="74"/>
              <w:spacing w:after="0"/>
              <w:rPr>
                <w:sz w:val="20"/>
                <w:szCs w:val="20"/>
                <w:color w:val="auto"/>
              </w:rPr>
            </w:pPr>
            <w:r>
              <w:rPr>
                <w:rFonts w:ascii="Arial" w:cs="Arial" w:eastAsia="Arial" w:hAnsi="Arial"/>
                <w:sz w:val="14"/>
                <w:szCs w:val="14"/>
                <w:color w:val="auto"/>
              </w:rPr>
              <w:t>1,153,035</w:t>
            </w:r>
            <w:r>
              <w:rPr>
                <w:rFonts w:ascii="Arial" w:cs="Arial" w:eastAsia="Arial" w:hAnsi="Arial"/>
                <w:sz w:val="23"/>
                <w:szCs w:val="23"/>
                <w:color w:val="auto"/>
                <w:vertAlign w:val="superscript"/>
              </w:rPr>
              <w:t>(7)</w:t>
            </w:r>
          </w:p>
        </w:tc>
        <w:tc>
          <w:tcPr>
            <w:tcW w:w="1080" w:type="dxa"/>
            <w:vAlign w:val="bottom"/>
          </w:tcPr>
          <w:p>
            <w:pPr>
              <w:jc w:val="right"/>
              <w:ind w:right="154"/>
              <w:spacing w:after="0"/>
              <w:rPr>
                <w:sz w:val="20"/>
                <w:szCs w:val="20"/>
                <w:color w:val="auto"/>
              </w:rPr>
            </w:pPr>
            <w:r>
              <w:rPr>
                <w:rFonts w:ascii="Arial" w:cs="Arial" w:eastAsia="Arial" w:hAnsi="Arial"/>
                <w:sz w:val="14"/>
                <w:szCs w:val="14"/>
                <w:color w:val="auto"/>
              </w:rPr>
              <w:t>N/A</w:t>
            </w:r>
          </w:p>
        </w:tc>
        <w:tc>
          <w:tcPr>
            <w:tcW w:w="1100" w:type="dxa"/>
            <w:vAlign w:val="bottom"/>
          </w:tcPr>
          <w:p>
            <w:pPr>
              <w:jc w:val="right"/>
              <w:ind w:right="135"/>
              <w:spacing w:after="0"/>
              <w:rPr>
                <w:sz w:val="20"/>
                <w:szCs w:val="20"/>
                <w:color w:val="auto"/>
              </w:rPr>
            </w:pPr>
            <w:r>
              <w:rPr>
                <w:rFonts w:ascii="Arial" w:cs="Arial" w:eastAsia="Arial" w:hAnsi="Arial"/>
                <w:sz w:val="14"/>
                <w:szCs w:val="14"/>
                <w:color w:val="auto"/>
              </w:rPr>
              <w:t>1,593,985</w:t>
            </w:r>
          </w:p>
        </w:tc>
        <w:tc>
          <w:tcPr>
            <w:tcW w:w="1160" w:type="dxa"/>
            <w:vAlign w:val="bottom"/>
          </w:tcPr>
          <w:p>
            <w:pPr>
              <w:jc w:val="right"/>
              <w:ind w:right="75"/>
              <w:spacing w:after="0"/>
              <w:rPr>
                <w:sz w:val="20"/>
                <w:szCs w:val="20"/>
                <w:color w:val="auto"/>
              </w:rPr>
            </w:pPr>
            <w:r>
              <w:rPr>
                <w:rFonts w:ascii="Arial" w:cs="Arial" w:eastAsia="Arial" w:hAnsi="Arial"/>
                <w:sz w:val="14"/>
                <w:szCs w:val="14"/>
                <w:color w:val="auto"/>
              </w:rPr>
              <w:t>1,186,043</w:t>
            </w:r>
            <w:r>
              <w:rPr>
                <w:rFonts w:ascii="Arial" w:cs="Arial" w:eastAsia="Arial" w:hAnsi="Arial"/>
                <w:sz w:val="23"/>
                <w:szCs w:val="23"/>
                <w:color w:val="auto"/>
                <w:vertAlign w:val="superscript"/>
              </w:rPr>
              <w:t>(7)</w:t>
            </w:r>
          </w:p>
        </w:tc>
        <w:tc>
          <w:tcPr>
            <w:tcW w:w="1040" w:type="dxa"/>
            <w:vAlign w:val="bottom"/>
          </w:tcPr>
          <w:p>
            <w:pPr>
              <w:jc w:val="right"/>
              <w:ind w:right="94"/>
              <w:spacing w:after="0"/>
              <w:rPr>
                <w:sz w:val="20"/>
                <w:szCs w:val="20"/>
                <w:color w:val="auto"/>
              </w:rPr>
            </w:pPr>
            <w:r>
              <w:rPr>
                <w:rFonts w:ascii="Arial" w:cs="Arial" w:eastAsia="Arial" w:hAnsi="Arial"/>
                <w:sz w:val="14"/>
                <w:szCs w:val="14"/>
                <w:color w:val="auto"/>
              </w:rPr>
              <w:t>$​3.50</w:t>
            </w:r>
          </w:p>
        </w:tc>
        <w:tc>
          <w:tcPr>
            <w:tcW w:w="980" w:type="dxa"/>
            <w:vAlign w:val="bottom"/>
          </w:tcPr>
          <w:p>
            <w:pPr>
              <w:jc w:val="right"/>
              <w:ind w:right="74"/>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9"/>
        </w:trPr>
        <w:tc>
          <w:tcPr>
            <w:tcW w:w="520" w:type="dxa"/>
            <w:vAlign w:val="bottom"/>
            <w:tcBorders>
              <w:bottom w:val="single" w:sz="8" w:color="999999"/>
            </w:tcBorders>
          </w:tcPr>
          <w:p>
            <w:pPr>
              <w:spacing w:after="0"/>
              <w:rPr>
                <w:sz w:val="2"/>
                <w:szCs w:val="2"/>
                <w:color w:val="auto"/>
              </w:rPr>
            </w:pPr>
          </w:p>
        </w:tc>
        <w:tc>
          <w:tcPr>
            <w:tcW w:w="110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1080" w:type="dxa"/>
            <w:vAlign w:val="bottom"/>
            <w:tcBorders>
              <w:bottom w:val="single" w:sz="8" w:color="999999"/>
            </w:tcBorders>
          </w:tcPr>
          <w:p>
            <w:pPr>
              <w:spacing w:after="0"/>
              <w:rPr>
                <w:sz w:val="2"/>
                <w:szCs w:val="2"/>
                <w:color w:val="auto"/>
              </w:rPr>
            </w:pPr>
          </w:p>
        </w:tc>
        <w:tc>
          <w:tcPr>
            <w:tcW w:w="1100" w:type="dxa"/>
            <w:vAlign w:val="bottom"/>
            <w:tcBorders>
              <w:bottom w:val="single" w:sz="8" w:color="999999"/>
            </w:tcBorders>
          </w:tcPr>
          <w:p>
            <w:pPr>
              <w:spacing w:after="0"/>
              <w:rPr>
                <w:sz w:val="2"/>
                <w:szCs w:val="2"/>
                <w:color w:val="auto"/>
              </w:rPr>
            </w:pPr>
          </w:p>
        </w:tc>
        <w:tc>
          <w:tcPr>
            <w:tcW w:w="1160" w:type="dxa"/>
            <w:vAlign w:val="bottom"/>
            <w:tcBorders>
              <w:bottom w:val="single" w:sz="8" w:color="999999"/>
            </w:tcBorders>
          </w:tcPr>
          <w:p>
            <w:pPr>
              <w:spacing w:after="0"/>
              <w:rPr>
                <w:sz w:val="2"/>
                <w:szCs w:val="2"/>
                <w:color w:val="auto"/>
              </w:rPr>
            </w:pPr>
          </w:p>
        </w:tc>
        <w:tc>
          <w:tcPr>
            <w:tcW w:w="1040" w:type="dxa"/>
            <w:vAlign w:val="bottom"/>
            <w:tcBorders>
              <w:bottom w:val="single" w:sz="8" w:color="999999"/>
            </w:tcBorders>
          </w:tcPr>
          <w:p>
            <w:pPr>
              <w:spacing w:after="0"/>
              <w:rPr>
                <w:sz w:val="2"/>
                <w:szCs w:val="2"/>
                <w:color w:val="auto"/>
              </w:rPr>
            </w:pPr>
          </w:p>
        </w:tc>
        <w:tc>
          <w:tcPr>
            <w:tcW w:w="98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520" w:type="dxa"/>
            <w:vAlign w:val="bottom"/>
          </w:tcPr>
          <w:p>
            <w:pPr>
              <w:ind w:left="80"/>
              <w:spacing w:after="0"/>
              <w:rPr>
                <w:sz w:val="20"/>
                <w:szCs w:val="20"/>
                <w:color w:val="auto"/>
              </w:rPr>
            </w:pPr>
            <w:r>
              <w:rPr>
                <w:rFonts w:ascii="Arial" w:cs="Arial" w:eastAsia="Arial" w:hAnsi="Arial"/>
                <w:sz w:val="14"/>
                <w:szCs w:val="14"/>
                <w:b w:val="1"/>
                <w:bCs w:val="1"/>
                <w:color w:val="40C0C0"/>
              </w:rPr>
              <w:t>2022</w:t>
            </w:r>
          </w:p>
        </w:tc>
        <w:tc>
          <w:tcPr>
            <w:tcW w:w="1100" w:type="dxa"/>
            <w:vAlign w:val="bottom"/>
          </w:tcPr>
          <w:p>
            <w:pPr>
              <w:jc w:val="right"/>
              <w:ind w:right="114"/>
              <w:spacing w:after="0"/>
              <w:rPr>
                <w:sz w:val="20"/>
                <w:szCs w:val="20"/>
                <w:color w:val="auto"/>
              </w:rPr>
            </w:pPr>
            <w:r>
              <w:rPr>
                <w:rFonts w:ascii="Arial" w:cs="Arial" w:eastAsia="Arial" w:hAnsi="Arial"/>
                <w:sz w:val="14"/>
                <w:szCs w:val="14"/>
                <w:color w:val="auto"/>
              </w:rPr>
              <w:t>263,058</w:t>
            </w:r>
          </w:p>
        </w:tc>
        <w:tc>
          <w:tcPr>
            <w:tcW w:w="1120" w:type="dxa"/>
            <w:vAlign w:val="bottom"/>
          </w:tcPr>
          <w:p>
            <w:pPr>
              <w:jc w:val="right"/>
              <w:ind w:right="134"/>
              <w:spacing w:after="0"/>
              <w:rPr>
                <w:sz w:val="20"/>
                <w:szCs w:val="20"/>
                <w:color w:val="auto"/>
              </w:rPr>
            </w:pPr>
            <w:r>
              <w:rPr>
                <w:rFonts w:ascii="Arial" w:cs="Arial" w:eastAsia="Arial" w:hAnsi="Arial"/>
                <w:sz w:val="14"/>
                <w:szCs w:val="14"/>
                <w:color w:val="auto"/>
              </w:rPr>
              <w:t>2,136,675</w:t>
            </w:r>
          </w:p>
        </w:tc>
        <w:tc>
          <w:tcPr>
            <w:tcW w:w="1180" w:type="dxa"/>
            <w:vAlign w:val="bottom"/>
          </w:tcPr>
          <w:p>
            <w:pPr>
              <w:jc w:val="right"/>
              <w:ind w:right="174"/>
              <w:spacing w:after="0"/>
              <w:rPr>
                <w:sz w:val="20"/>
                <w:szCs w:val="20"/>
                <w:color w:val="auto"/>
              </w:rPr>
            </w:pPr>
            <w:r>
              <w:rPr>
                <w:rFonts w:ascii="Arial" w:cs="Arial" w:eastAsia="Arial" w:hAnsi="Arial"/>
                <w:sz w:val="14"/>
                <w:szCs w:val="14"/>
                <w:color w:val="auto"/>
              </w:rPr>
              <w:t>(2,043)</w:t>
            </w:r>
          </w:p>
        </w:tc>
        <w:tc>
          <w:tcPr>
            <w:tcW w:w="1080" w:type="dxa"/>
            <w:vAlign w:val="bottom"/>
          </w:tcPr>
          <w:p>
            <w:pPr>
              <w:jc w:val="right"/>
              <w:ind w:right="74"/>
              <w:spacing w:after="0"/>
              <w:rPr>
                <w:sz w:val="20"/>
                <w:szCs w:val="20"/>
                <w:color w:val="auto"/>
              </w:rPr>
            </w:pPr>
            <w:r>
              <w:rPr>
                <w:rFonts w:ascii="Arial" w:cs="Arial" w:eastAsia="Arial" w:hAnsi="Arial"/>
                <w:sz w:val="14"/>
                <w:szCs w:val="14"/>
                <w:color w:val="auto"/>
              </w:rPr>
              <w:t>(4,133,509)</w:t>
            </w:r>
          </w:p>
        </w:tc>
        <w:tc>
          <w:tcPr>
            <w:tcW w:w="1100" w:type="dxa"/>
            <w:vAlign w:val="bottom"/>
          </w:tcPr>
          <w:p>
            <w:pPr>
              <w:jc w:val="right"/>
              <w:ind w:right="155"/>
              <w:spacing w:after="0"/>
              <w:rPr>
                <w:sz w:val="20"/>
                <w:szCs w:val="20"/>
                <w:color w:val="auto"/>
              </w:rPr>
            </w:pPr>
            <w:r>
              <w:rPr>
                <w:rFonts w:ascii="Arial" w:cs="Arial" w:eastAsia="Arial" w:hAnsi="Arial"/>
                <w:sz w:val="14"/>
                <w:szCs w:val="14"/>
                <w:color w:val="auto"/>
              </w:rPr>
              <w:t>743,179</w:t>
            </w:r>
          </w:p>
        </w:tc>
        <w:tc>
          <w:tcPr>
            <w:tcW w:w="1160" w:type="dxa"/>
            <w:vAlign w:val="bottom"/>
          </w:tcPr>
          <w:p>
            <w:pPr>
              <w:jc w:val="right"/>
              <w:ind w:right="155"/>
              <w:spacing w:after="0"/>
              <w:rPr>
                <w:sz w:val="20"/>
                <w:szCs w:val="20"/>
                <w:color w:val="auto"/>
              </w:rPr>
            </w:pPr>
            <w:r>
              <w:rPr>
                <w:rFonts w:ascii="Arial" w:cs="Arial" w:eastAsia="Arial" w:hAnsi="Arial"/>
                <w:sz w:val="14"/>
                <w:szCs w:val="14"/>
                <w:color w:val="auto"/>
              </w:rPr>
              <w:t>(3,158,242)</w:t>
            </w:r>
          </w:p>
        </w:tc>
        <w:tc>
          <w:tcPr>
            <w:tcW w:w="1040" w:type="dxa"/>
            <w:vAlign w:val="bottom"/>
          </w:tcPr>
          <w:p>
            <w:pPr>
              <w:jc w:val="right"/>
              <w:ind w:right="94"/>
              <w:spacing w:after="0"/>
              <w:rPr>
                <w:sz w:val="20"/>
                <w:szCs w:val="20"/>
                <w:color w:val="auto"/>
              </w:rPr>
            </w:pPr>
            <w:r>
              <w:rPr>
                <w:rFonts w:ascii="Arial" w:cs="Arial" w:eastAsia="Arial" w:hAnsi="Arial"/>
                <w:sz w:val="14"/>
                <w:szCs w:val="14"/>
                <w:color w:val="auto"/>
              </w:rPr>
              <w:t>$​4.91</w:t>
            </w:r>
          </w:p>
        </w:tc>
        <w:tc>
          <w:tcPr>
            <w:tcW w:w="980" w:type="dxa"/>
            <w:vAlign w:val="bottom"/>
          </w:tcPr>
          <w:p>
            <w:pPr>
              <w:jc w:val="right"/>
              <w:ind w:right="74"/>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23"/>
        </w:trPr>
        <w:tc>
          <w:tcPr>
            <w:tcW w:w="52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20" w:type="dxa"/>
            <w:vAlign w:val="bottom"/>
            <w:tcBorders>
              <w:bottom w:val="single" w:sz="8" w:color="999999"/>
            </w:tcBorders>
          </w:tcPr>
          <w:p>
            <w:pPr>
              <w:spacing w:after="0"/>
              <w:rPr>
                <w:sz w:val="10"/>
                <w:szCs w:val="10"/>
                <w:color w:val="auto"/>
              </w:rPr>
            </w:pPr>
          </w:p>
        </w:tc>
        <w:tc>
          <w:tcPr>
            <w:tcW w:w="1180" w:type="dxa"/>
            <w:vAlign w:val="bottom"/>
            <w:tcBorders>
              <w:bottom w:val="single" w:sz="8" w:color="999999"/>
            </w:tcBorders>
          </w:tcPr>
          <w:p>
            <w:pPr>
              <w:spacing w:after="0"/>
              <w:rPr>
                <w:sz w:val="10"/>
                <w:szCs w:val="10"/>
                <w:color w:val="auto"/>
              </w:rPr>
            </w:pPr>
          </w:p>
        </w:tc>
        <w:tc>
          <w:tcPr>
            <w:tcW w:w="1080" w:type="dxa"/>
            <w:vAlign w:val="bottom"/>
            <w:tcBorders>
              <w:bottom w:val="single" w:sz="8" w:color="999999"/>
            </w:tcBorders>
          </w:tcPr>
          <w:p>
            <w:pPr>
              <w:spacing w:after="0"/>
              <w:rPr>
                <w:sz w:val="10"/>
                <w:szCs w:val="10"/>
                <w:color w:val="auto"/>
              </w:rPr>
            </w:pPr>
          </w:p>
        </w:tc>
        <w:tc>
          <w:tcPr>
            <w:tcW w:w="1100" w:type="dxa"/>
            <w:vAlign w:val="bottom"/>
            <w:tcBorders>
              <w:bottom w:val="single" w:sz="8" w:color="999999"/>
            </w:tcBorders>
          </w:tcPr>
          <w:p>
            <w:pPr>
              <w:spacing w:after="0"/>
              <w:rPr>
                <w:sz w:val="10"/>
                <w:szCs w:val="10"/>
                <w:color w:val="auto"/>
              </w:rPr>
            </w:pPr>
          </w:p>
        </w:tc>
        <w:tc>
          <w:tcPr>
            <w:tcW w:w="1160" w:type="dxa"/>
            <w:vAlign w:val="bottom"/>
            <w:tcBorders>
              <w:bottom w:val="single" w:sz="8" w:color="999999"/>
            </w:tcBorders>
          </w:tcPr>
          <w:p>
            <w:pPr>
              <w:spacing w:after="0"/>
              <w:rPr>
                <w:sz w:val="10"/>
                <w:szCs w:val="10"/>
                <w:color w:val="auto"/>
              </w:rPr>
            </w:pPr>
          </w:p>
        </w:tc>
        <w:tc>
          <w:tcPr>
            <w:tcW w:w="1040" w:type="dxa"/>
            <w:vAlign w:val="bottom"/>
            <w:tcBorders>
              <w:bottom w:val="single" w:sz="8" w:color="999999"/>
            </w:tcBorders>
          </w:tcPr>
          <w:p>
            <w:pPr>
              <w:spacing w:after="0"/>
              <w:rPr>
                <w:sz w:val="10"/>
                <w:szCs w:val="10"/>
                <w:color w:val="auto"/>
              </w:rPr>
            </w:pPr>
          </w:p>
        </w:tc>
        <w:tc>
          <w:tcPr>
            <w:tcW w:w="980" w:type="dxa"/>
            <w:vAlign w:val="bottom"/>
            <w:tcBorders>
              <w:bottom w:val="single" w:sz="8" w:color="999999"/>
            </w:tcBorders>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520" w:type="dxa"/>
            <w:vAlign w:val="bottom"/>
          </w:tcPr>
          <w:p>
            <w:pPr>
              <w:ind w:left="80"/>
              <w:spacing w:after="0"/>
              <w:rPr>
                <w:sz w:val="20"/>
                <w:szCs w:val="20"/>
                <w:color w:val="auto"/>
              </w:rPr>
            </w:pPr>
            <w:r>
              <w:rPr>
                <w:rFonts w:ascii="Arial" w:cs="Arial" w:eastAsia="Arial" w:hAnsi="Arial"/>
                <w:sz w:val="14"/>
                <w:szCs w:val="14"/>
                <w:b w:val="1"/>
                <w:bCs w:val="1"/>
                <w:color w:val="40C0C0"/>
              </w:rPr>
              <w:t>2021</w:t>
            </w:r>
          </w:p>
        </w:tc>
        <w:tc>
          <w:tcPr>
            <w:tcW w:w="1100" w:type="dxa"/>
            <w:vAlign w:val="bottom"/>
          </w:tcPr>
          <w:p>
            <w:pPr>
              <w:jc w:val="right"/>
              <w:ind w:right="154"/>
              <w:spacing w:after="0"/>
              <w:rPr>
                <w:sz w:val="20"/>
                <w:szCs w:val="20"/>
                <w:color w:val="auto"/>
              </w:rPr>
            </w:pPr>
            <w:r>
              <w:rPr>
                <w:rFonts w:ascii="Arial" w:cs="Arial" w:eastAsia="Arial" w:hAnsi="Arial"/>
                <w:sz w:val="14"/>
                <w:szCs w:val="14"/>
                <w:color w:val="auto"/>
              </w:rPr>
              <w:t>N/A</w:t>
            </w:r>
          </w:p>
        </w:tc>
        <w:tc>
          <w:tcPr>
            <w:tcW w:w="1120" w:type="dxa"/>
            <w:vAlign w:val="bottom"/>
          </w:tcPr>
          <w:p>
            <w:pPr>
              <w:jc w:val="right"/>
              <w:ind w:right="134"/>
              <w:spacing w:after="0"/>
              <w:rPr>
                <w:sz w:val="20"/>
                <w:szCs w:val="20"/>
                <w:color w:val="auto"/>
              </w:rPr>
            </w:pPr>
            <w:r>
              <w:rPr>
                <w:rFonts w:ascii="Arial" w:cs="Arial" w:eastAsia="Arial" w:hAnsi="Arial"/>
                <w:sz w:val="14"/>
                <w:szCs w:val="14"/>
                <w:color w:val="auto"/>
              </w:rPr>
              <w:t>10,614,467</w:t>
            </w:r>
          </w:p>
        </w:tc>
        <w:tc>
          <w:tcPr>
            <w:tcW w:w="1180" w:type="dxa"/>
            <w:vAlign w:val="bottom"/>
          </w:tcPr>
          <w:p>
            <w:pPr>
              <w:jc w:val="right"/>
              <w:ind w:right="254"/>
              <w:spacing w:after="0"/>
              <w:rPr>
                <w:sz w:val="20"/>
                <w:szCs w:val="20"/>
                <w:color w:val="auto"/>
              </w:rPr>
            </w:pPr>
            <w:r>
              <w:rPr>
                <w:rFonts w:ascii="Arial" w:cs="Arial" w:eastAsia="Arial" w:hAnsi="Arial"/>
                <w:sz w:val="14"/>
                <w:szCs w:val="14"/>
                <w:color w:val="auto"/>
              </w:rPr>
              <w:t>N/A</w:t>
            </w:r>
          </w:p>
        </w:tc>
        <w:tc>
          <w:tcPr>
            <w:tcW w:w="1080" w:type="dxa"/>
            <w:vAlign w:val="bottom"/>
          </w:tcPr>
          <w:p>
            <w:pPr>
              <w:jc w:val="right"/>
              <w:ind w:right="134"/>
              <w:spacing w:after="0"/>
              <w:rPr>
                <w:sz w:val="20"/>
                <w:szCs w:val="20"/>
                <w:color w:val="auto"/>
              </w:rPr>
            </w:pPr>
            <w:r>
              <w:rPr>
                <w:rFonts w:ascii="Arial" w:cs="Arial" w:eastAsia="Arial" w:hAnsi="Arial"/>
                <w:sz w:val="14"/>
                <w:szCs w:val="14"/>
                <w:color w:val="auto"/>
              </w:rPr>
              <w:t>9,985,561</w:t>
            </w:r>
          </w:p>
        </w:tc>
        <w:tc>
          <w:tcPr>
            <w:tcW w:w="1100" w:type="dxa"/>
            <w:vAlign w:val="bottom"/>
          </w:tcPr>
          <w:p>
            <w:pPr>
              <w:jc w:val="right"/>
              <w:ind w:right="135"/>
              <w:spacing w:after="0"/>
              <w:rPr>
                <w:sz w:val="20"/>
                <w:szCs w:val="20"/>
                <w:color w:val="auto"/>
              </w:rPr>
            </w:pPr>
            <w:r>
              <w:rPr>
                <w:rFonts w:ascii="Arial" w:cs="Arial" w:eastAsia="Arial" w:hAnsi="Arial"/>
                <w:sz w:val="14"/>
                <w:szCs w:val="14"/>
                <w:color w:val="auto"/>
              </w:rPr>
              <w:t>6,099,502</w:t>
            </w:r>
          </w:p>
        </w:tc>
        <w:tc>
          <w:tcPr>
            <w:tcW w:w="1160" w:type="dxa"/>
            <w:vAlign w:val="bottom"/>
          </w:tcPr>
          <w:p>
            <w:pPr>
              <w:jc w:val="right"/>
              <w:ind w:right="215"/>
              <w:spacing w:after="0"/>
              <w:rPr>
                <w:sz w:val="20"/>
                <w:szCs w:val="20"/>
                <w:color w:val="auto"/>
              </w:rPr>
            </w:pPr>
            <w:r>
              <w:rPr>
                <w:rFonts w:ascii="Arial" w:cs="Arial" w:eastAsia="Arial" w:hAnsi="Arial"/>
                <w:sz w:val="14"/>
                <w:szCs w:val="14"/>
                <w:color w:val="auto"/>
              </w:rPr>
              <w:t>678,800</w:t>
            </w:r>
          </w:p>
        </w:tc>
        <w:tc>
          <w:tcPr>
            <w:tcW w:w="1040" w:type="dxa"/>
            <w:vAlign w:val="bottom"/>
          </w:tcPr>
          <w:p>
            <w:pPr>
              <w:jc w:val="right"/>
              <w:ind w:right="94"/>
              <w:spacing w:after="0"/>
              <w:rPr>
                <w:sz w:val="20"/>
                <w:szCs w:val="20"/>
                <w:color w:val="auto"/>
              </w:rPr>
            </w:pPr>
            <w:r>
              <w:rPr>
                <w:rFonts w:ascii="Arial" w:cs="Arial" w:eastAsia="Arial" w:hAnsi="Arial"/>
                <w:sz w:val="14"/>
                <w:szCs w:val="14"/>
                <w:color w:val="auto"/>
              </w:rPr>
              <w:t>$29.10</w:t>
            </w:r>
          </w:p>
        </w:tc>
        <w:tc>
          <w:tcPr>
            <w:tcW w:w="980" w:type="dxa"/>
            <w:vAlign w:val="bottom"/>
          </w:tcPr>
          <w:p>
            <w:pPr>
              <w:jc w:val="right"/>
              <w:ind w:right="114"/>
              <w:spacing w:after="0"/>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10"/>
        </w:trPr>
        <w:tc>
          <w:tcPr>
            <w:tcW w:w="5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40" w:right="120" w:hanging="234"/>
        <w:spacing w:after="0" w:line="264" w:lineRule="auto"/>
        <w:tabs>
          <w:tab w:leader="none" w:pos="24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reported are total compensation reported for Messrs. Francis (our Executive Chair and Principal Executive Officer since November 7, 2022) and Beals (our former Chief Executive Officer and former Principal Executive Officer from January 1, 2021 through November 7, 2022) for each corresponding year in the “Total” column of the Summary Compensation Table. Refer to “Executive Compensation—Summary Compensation Table.</w:t>
      </w:r>
    </w:p>
    <w:p>
      <w:pPr>
        <w:spacing w:after="0" w:line="17" w:lineRule="exact"/>
        <w:rPr>
          <w:rFonts w:ascii="Arial" w:cs="Arial" w:eastAsia="Arial" w:hAnsi="Arial"/>
          <w:sz w:val="12"/>
          <w:szCs w:val="12"/>
          <w:b w:val="1"/>
          <w:bCs w:val="1"/>
          <w:color w:val="auto"/>
        </w:rPr>
      </w:pPr>
    </w:p>
    <w:p>
      <w:pPr>
        <w:ind w:left="240" w:right="400" w:hanging="234"/>
        <w:spacing w:after="0" w:line="236" w:lineRule="auto"/>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represent “compensation actually paid” to Messrs. Francis and Beals as computed in accordance with Item 402(v) of Regulation S-K. The dollar amounts do not reflect the actual amount of compensation earned by or paid to Messrs. Francis and Beals during the applicable year adjusted in accordance with the requirements of Item 402(v) of Regulation S-K.</w:t>
      </w:r>
    </w:p>
    <w:p>
      <w:pPr>
        <w:spacing w:after="0" w:line="31" w:lineRule="exact"/>
        <w:rPr>
          <w:rFonts w:ascii="Arial" w:cs="Arial" w:eastAsia="Arial" w:hAnsi="Arial"/>
          <w:sz w:val="13"/>
          <w:szCs w:val="13"/>
          <w:b w:val="1"/>
          <w:bCs w:val="1"/>
          <w:color w:val="auto"/>
        </w:rPr>
      </w:pPr>
    </w:p>
    <w:p>
      <w:pPr>
        <w:ind w:left="240" w:hanging="234"/>
        <w:spacing w:after="0" w:line="228" w:lineRule="auto"/>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The dollar amounts reported represent the average of the amounts reported for the NEOs as a group (excluding our PEO) in the “Total” column of the Summary Compensation Table in each applicable year. The NEOs (excluding our PEO) included for purposes of calculating the average amounts in each applicable year are as follows: (i) for 2023, Brian Camire, General Counsel and Duncan Grazier, Chief Technology Officer; and (ii) for 2022, Arden Lee, Chief Financial Officer; Messrs. Camire and Grazier; Juanjo Feijoo, former Chief Operating Officer and Justin Dean, former Chief Technology Officer and Chief Information Officer; and (iii) for 2021, Messrs. Lee, Camire, Dean and Feijoo.</w:t>
      </w:r>
    </w:p>
    <w:p>
      <w:pPr>
        <w:spacing w:after="0" w:line="45" w:lineRule="exact"/>
        <w:rPr>
          <w:rFonts w:ascii="Arial" w:cs="Arial" w:eastAsia="Arial" w:hAnsi="Arial"/>
          <w:sz w:val="13"/>
          <w:szCs w:val="13"/>
          <w:b w:val="1"/>
          <w:bCs w:val="1"/>
          <w:color w:val="auto"/>
        </w:rPr>
      </w:pPr>
    </w:p>
    <w:p>
      <w:pPr>
        <w:ind w:left="240" w:right="20" w:hanging="234"/>
        <w:spacing w:after="0" w:line="264" w:lineRule="auto"/>
        <w:tabs>
          <w:tab w:leader="none" w:pos="24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reported represent the average amount of “compensation actually paid” to the NEOs as a group (excluding our PEO), as computed in accordance with Item 402(v) of Regulation S-K. The dollar amounts do not reflect the actual average amount of compensation earned by or paid to the NEOs as a group (excluding our PEO) during the applicable year adjusted in accordance with the requirements of Item 402(v) of Regulation S-K.</w:t>
      </w:r>
    </w:p>
    <w:p>
      <w:pPr>
        <w:spacing w:after="0" w:line="17" w:lineRule="exact"/>
        <w:rPr>
          <w:rFonts w:ascii="Arial" w:cs="Arial" w:eastAsia="Arial" w:hAnsi="Arial"/>
          <w:sz w:val="12"/>
          <w:szCs w:val="12"/>
          <w:b w:val="1"/>
          <w:bCs w:val="1"/>
          <w:color w:val="auto"/>
        </w:rPr>
      </w:pPr>
    </w:p>
    <w:p>
      <w:pPr>
        <w:ind w:left="240" w:right="60" w:hanging="234"/>
        <w:spacing w:after="0" w:line="231" w:lineRule="auto"/>
        <w:tabs>
          <w:tab w:leader="none" w:pos="24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We use the Closing Date of the Business Combination as the “measurement point” for purposes of calculating TSR.</w:t>
      </w:r>
    </w:p>
    <w:p>
      <w:pPr>
        <w:spacing w:after="0" w:line="31" w:lineRule="exact"/>
        <w:rPr>
          <w:rFonts w:ascii="Arial" w:cs="Arial" w:eastAsia="Arial" w:hAnsi="Arial"/>
          <w:sz w:val="13"/>
          <w:szCs w:val="13"/>
          <w:b w:val="1"/>
          <w:bCs w:val="1"/>
          <w:color w:val="auto"/>
        </w:rPr>
      </w:pPr>
    </w:p>
    <w:p>
      <w:pPr>
        <w:ind w:left="240" w:hanging="234"/>
        <w:spacing w:after="0"/>
        <w:tabs>
          <w:tab w:leader="none" w:pos="24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The dollar amounts for Net (Loss) Income reported represent the amount reflected in the Company’s audited financial statements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59664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40" w:right="920" w:hanging="234"/>
        <w:spacing w:after="0" w:line="236" w:lineRule="auto"/>
        <w:tabs>
          <w:tab w:leader="none" w:pos="104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For fiscal year 2023, the compensation actually paid to our PEO and the average compensation actually paid to the Non-PEO NEOs reflect the following adjustments made to the total compensation amounts reported in the Summary Compensation Table for fiscal year 2023, computed in accordance with Item 402(v) of Regulation S-K: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shd w:val="clear" w:color="auto" w:fill="000000"/>
          </w:tcPr>
          <w:p>
            <w:pPr>
              <w:spacing w:after="0"/>
              <w:rPr>
                <w:sz w:val="24"/>
                <w:szCs w:val="24"/>
                <w:color w:val="auto"/>
              </w:rPr>
            </w:pPr>
          </w:p>
        </w:tc>
        <w:tc>
          <w:tcPr>
            <w:tcW w:w="600" w:type="dxa"/>
            <w:vAlign w:val="bottom"/>
            <w:shd w:val="clear" w:color="auto" w:fill="000000"/>
          </w:tcPr>
          <w:p>
            <w:pPr>
              <w:spacing w:after="0"/>
              <w:rPr>
                <w:sz w:val="24"/>
                <w:szCs w:val="24"/>
                <w:color w:val="auto"/>
              </w:rPr>
            </w:pPr>
          </w:p>
        </w:tc>
        <w:tc>
          <w:tcPr>
            <w:tcW w:w="2040" w:type="dxa"/>
            <w:vAlign w:val="bottom"/>
            <w:shd w:val="clear" w:color="auto" w:fill="000000"/>
          </w:tcPr>
          <w:p>
            <w:pPr>
              <w:spacing w:after="0"/>
              <w:rPr>
                <w:sz w:val="24"/>
                <w:szCs w:val="24"/>
                <w:color w:val="auto"/>
              </w:rPr>
            </w:pPr>
          </w:p>
        </w:tc>
        <w:tc>
          <w:tcPr>
            <w:tcW w:w="320" w:type="dxa"/>
            <w:vAlign w:val="bottom"/>
            <w:shd w:val="clear" w:color="auto" w:fill="000000"/>
          </w:tcPr>
          <w:p>
            <w:pPr>
              <w:spacing w:after="0"/>
              <w:rPr>
                <w:sz w:val="24"/>
                <w:szCs w:val="24"/>
                <w:color w:val="auto"/>
              </w:rPr>
            </w:pPr>
          </w:p>
        </w:tc>
        <w:tc>
          <w:tcPr>
            <w:tcW w:w="9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Mr. Francis</w:t>
            </w:r>
          </w:p>
        </w:tc>
        <w:tc>
          <w:tcPr>
            <w:tcW w:w="8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700" w:type="dxa"/>
            <w:vAlign w:val="bottom"/>
            <w:gridSpan w:val="2"/>
            <w:shd w:val="clear" w:color="auto" w:fill="000000"/>
          </w:tcPr>
          <w:p>
            <w:pPr>
              <w:jc w:val="right"/>
              <w:ind w:right="40"/>
              <w:spacing w:after="0"/>
              <w:rPr>
                <w:sz w:val="20"/>
                <w:szCs w:val="20"/>
                <w:color w:val="auto"/>
              </w:rPr>
            </w:pPr>
            <w:r>
              <w:rPr>
                <w:rFonts w:ascii="Arial" w:cs="Arial" w:eastAsia="Arial" w:hAnsi="Arial"/>
                <w:sz w:val="14"/>
                <w:szCs w:val="14"/>
                <w:b w:val="1"/>
                <w:bCs w:val="1"/>
                <w:color w:val="FFFFFF"/>
              </w:rPr>
              <w:t>Non​-PEO</w:t>
            </w:r>
          </w:p>
        </w:tc>
        <w:tc>
          <w:tcPr>
            <w:tcW w:w="56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2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2040" w:type="dxa"/>
            <w:vAlign w:val="bottom"/>
            <w:shd w:val="clear" w:color="auto" w:fill="000000"/>
          </w:tcPr>
          <w:p>
            <w:pPr>
              <w:spacing w:after="0"/>
              <w:rPr>
                <w:sz w:val="14"/>
                <w:szCs w:val="14"/>
                <w:color w:val="auto"/>
              </w:rPr>
            </w:pPr>
          </w:p>
        </w:tc>
        <w:tc>
          <w:tcPr>
            <w:tcW w:w="320" w:type="dxa"/>
            <w:vAlign w:val="bottom"/>
            <w:shd w:val="clear" w:color="auto" w:fill="000000"/>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gridSpan w:val="2"/>
            <w:shd w:val="clear" w:color="auto" w:fill="000000"/>
          </w:tcPr>
          <w:p>
            <w:pPr>
              <w:jc w:val="right"/>
              <w:ind w:right="2"/>
              <w:spacing w:after="0"/>
              <w:rPr>
                <w:sz w:val="20"/>
                <w:szCs w:val="20"/>
                <w:color w:val="auto"/>
              </w:rPr>
            </w:pPr>
            <w:r>
              <w:rPr>
                <w:rFonts w:ascii="Arial" w:cs="Arial" w:eastAsia="Arial" w:hAnsi="Arial"/>
                <w:sz w:val="14"/>
                <w:szCs w:val="14"/>
                <w:b w:val="1"/>
                <w:bCs w:val="1"/>
                <w:color w:val="FFFFFF"/>
              </w:rPr>
              <w:t xml:space="preserve">(PEO) </w:t>
            </w:r>
            <w:r>
              <w:rPr>
                <w:rFonts w:ascii="Times New Roman" w:cs="Times New Roman" w:eastAsia="Times New Roman" w:hAnsi="Times New Roman"/>
                <w:sz w:val="3"/>
                <w:szCs w:val="3"/>
                <w:color w:val="000000"/>
              </w:rPr>
              <w:t>​   ​</w:t>
            </w:r>
          </w:p>
        </w:tc>
        <w:tc>
          <w:tcPr>
            <w:tcW w:w="1160" w:type="dxa"/>
            <w:vAlign w:val="bottom"/>
            <w:gridSpan w:val="3"/>
            <w:shd w:val="clear" w:color="auto" w:fill="000000"/>
          </w:tcPr>
          <w:p>
            <w:pPr>
              <w:jc w:val="right"/>
              <w:ind w:right="40"/>
              <w:spacing w:after="0"/>
              <w:rPr>
                <w:sz w:val="20"/>
                <w:szCs w:val="20"/>
                <w:color w:val="auto"/>
              </w:rPr>
            </w:pPr>
            <w:r>
              <w:rPr>
                <w:rFonts w:ascii="Arial" w:cs="Arial" w:eastAsia="Arial" w:hAnsi="Arial"/>
                <w:sz w:val="14"/>
                <w:szCs w:val="14"/>
                <w:b w:val="1"/>
                <w:bCs w:val="1"/>
                <w:color w:val="FFFFFF"/>
              </w:rPr>
              <w:t>NEOs (Average)</w:t>
            </w:r>
          </w:p>
        </w:tc>
        <w:tc>
          <w:tcPr>
            <w:tcW w:w="56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shd w:val="clear" w:color="auto" w:fill="000000"/>
          </w:tcPr>
          <w:p>
            <w:pPr>
              <w:ind w:left="60"/>
              <w:spacing w:after="0"/>
              <w:rPr>
                <w:sz w:val="20"/>
                <w:szCs w:val="20"/>
                <w:color w:val="auto"/>
              </w:rPr>
            </w:pPr>
            <w:r>
              <w:rPr>
                <w:rFonts w:ascii="Arial" w:cs="Arial" w:eastAsia="Arial" w:hAnsi="Arial"/>
                <w:sz w:val="14"/>
                <w:szCs w:val="14"/>
                <w:b w:val="1"/>
                <w:bCs w:val="1"/>
                <w:color w:val="FFFFFF"/>
              </w:rPr>
              <w:t>Fiscal Year</w:t>
            </w:r>
          </w:p>
        </w:tc>
        <w:tc>
          <w:tcPr>
            <w:tcW w:w="600" w:type="dxa"/>
            <w:vAlign w:val="bottom"/>
            <w:shd w:val="clear" w:color="auto" w:fill="000000"/>
          </w:tcPr>
          <w:p>
            <w:pPr>
              <w:spacing w:after="0"/>
              <w:rPr>
                <w:sz w:val="17"/>
                <w:szCs w:val="17"/>
                <w:color w:val="auto"/>
              </w:rPr>
            </w:pPr>
          </w:p>
        </w:tc>
        <w:tc>
          <w:tcPr>
            <w:tcW w:w="2040" w:type="dxa"/>
            <w:vAlign w:val="bottom"/>
            <w:shd w:val="clear" w:color="auto" w:fill="000000"/>
          </w:tcPr>
          <w:p>
            <w:pPr>
              <w:spacing w:after="0"/>
              <w:rPr>
                <w:sz w:val="17"/>
                <w:szCs w:val="17"/>
                <w:color w:val="auto"/>
              </w:rPr>
            </w:pPr>
          </w:p>
        </w:tc>
        <w:tc>
          <w:tcPr>
            <w:tcW w:w="320" w:type="dxa"/>
            <w:vAlign w:val="bottom"/>
            <w:shd w:val="clear" w:color="auto" w:fill="000000"/>
          </w:tcPr>
          <w:p>
            <w:pPr>
              <w:spacing w:after="0"/>
              <w:rPr>
                <w:sz w:val="17"/>
                <w:szCs w:val="17"/>
                <w:color w:val="auto"/>
              </w:rPr>
            </w:pPr>
          </w:p>
        </w:tc>
        <w:tc>
          <w:tcPr>
            <w:tcW w:w="98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2023</w:t>
            </w:r>
          </w:p>
        </w:tc>
        <w:tc>
          <w:tcPr>
            <w:tcW w:w="80" w:type="dxa"/>
            <w:vAlign w:val="bottom"/>
            <w:shd w:val="clear" w:color="auto" w:fill="000000"/>
          </w:tcPr>
          <w:p>
            <w:pPr>
              <w:spacing w:after="0"/>
              <w:rPr>
                <w:sz w:val="17"/>
                <w:szCs w:val="17"/>
                <w:color w:val="auto"/>
              </w:rPr>
            </w:pPr>
          </w:p>
        </w:tc>
        <w:tc>
          <w:tcPr>
            <w:tcW w:w="460" w:type="dxa"/>
            <w:vAlign w:val="bottom"/>
            <w:shd w:val="clear" w:color="auto" w:fill="000000"/>
          </w:tcPr>
          <w:p>
            <w:pPr>
              <w:spacing w:after="0"/>
              <w:rPr>
                <w:sz w:val="17"/>
                <w:szCs w:val="17"/>
                <w:color w:val="auto"/>
              </w:rPr>
            </w:pPr>
          </w:p>
        </w:tc>
        <w:tc>
          <w:tcPr>
            <w:tcW w:w="700" w:type="dxa"/>
            <w:vAlign w:val="bottom"/>
            <w:gridSpan w:val="2"/>
            <w:shd w:val="clear" w:color="auto" w:fill="000000"/>
          </w:tcPr>
          <w:p>
            <w:pPr>
              <w:jc w:val="right"/>
              <w:spacing w:after="0"/>
              <w:rPr>
                <w:sz w:val="20"/>
                <w:szCs w:val="20"/>
                <w:color w:val="auto"/>
              </w:rPr>
            </w:pPr>
            <w:r>
              <w:rPr>
                <w:rFonts w:ascii="Arial" w:cs="Arial" w:eastAsia="Arial" w:hAnsi="Arial"/>
                <w:sz w:val="14"/>
                <w:szCs w:val="14"/>
                <w:b w:val="1"/>
                <w:bCs w:val="1"/>
                <w:color w:val="FFFFFF"/>
              </w:rPr>
              <w:t>2023</w:t>
            </w:r>
          </w:p>
        </w:tc>
        <w:tc>
          <w:tcPr>
            <w:tcW w:w="560" w:type="dxa"/>
            <w:vAlign w:val="bottom"/>
          </w:tcPr>
          <w:p>
            <w:pPr>
              <w:spacing w:after="0"/>
              <w:rPr>
                <w:sz w:val="17"/>
                <w:szCs w:val="17"/>
                <w:color w:val="auto"/>
              </w:rPr>
            </w:pPr>
          </w:p>
        </w:tc>
      </w:tr>
      <w:tr>
        <w:trPr>
          <w:trHeight w:val="110"/>
        </w:trPr>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20" w:type="dxa"/>
            <w:vAlign w:val="bottom"/>
            <w:shd w:val="clear" w:color="auto" w:fill="000000"/>
          </w:tcPr>
          <w:p>
            <w:pPr>
              <w:spacing w:after="0"/>
              <w:rPr>
                <w:sz w:val="9"/>
                <w:szCs w:val="9"/>
                <w:color w:val="auto"/>
              </w:rPr>
            </w:pPr>
          </w:p>
        </w:tc>
        <w:tc>
          <w:tcPr>
            <w:tcW w:w="600" w:type="dxa"/>
            <w:vAlign w:val="bottom"/>
            <w:shd w:val="clear" w:color="auto" w:fill="000000"/>
          </w:tcPr>
          <w:p>
            <w:pPr>
              <w:spacing w:after="0"/>
              <w:rPr>
                <w:sz w:val="9"/>
                <w:szCs w:val="9"/>
                <w:color w:val="auto"/>
              </w:rPr>
            </w:pPr>
          </w:p>
        </w:tc>
        <w:tc>
          <w:tcPr>
            <w:tcW w:w="2040" w:type="dxa"/>
            <w:vAlign w:val="bottom"/>
            <w:shd w:val="clear" w:color="auto" w:fill="000000"/>
          </w:tcPr>
          <w:p>
            <w:pPr>
              <w:spacing w:after="0"/>
              <w:rPr>
                <w:sz w:val="9"/>
                <w:szCs w:val="9"/>
                <w:color w:val="auto"/>
              </w:rPr>
            </w:pPr>
          </w:p>
        </w:tc>
        <w:tc>
          <w:tcPr>
            <w:tcW w:w="320" w:type="dxa"/>
            <w:vAlign w:val="bottom"/>
            <w:shd w:val="clear" w:color="auto" w:fill="000000"/>
          </w:tcPr>
          <w:p>
            <w:pPr>
              <w:spacing w:after="0"/>
              <w:rPr>
                <w:sz w:val="9"/>
                <w:szCs w:val="9"/>
                <w:color w:val="auto"/>
              </w:rPr>
            </w:pPr>
          </w:p>
        </w:tc>
        <w:tc>
          <w:tcPr>
            <w:tcW w:w="9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900" w:type="dxa"/>
            <w:vAlign w:val="bottom"/>
            <w:gridSpan w:val="2"/>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560" w:type="dxa"/>
            <w:vAlign w:val="bottom"/>
          </w:tcPr>
          <w:p>
            <w:pPr>
              <w:spacing w:after="0"/>
              <w:rPr>
                <w:sz w:val="9"/>
                <w:szCs w:val="9"/>
                <w:color w:val="auto"/>
              </w:rPr>
            </w:pPr>
          </w:p>
        </w:tc>
      </w:tr>
      <w:tr>
        <w:trPr>
          <w:trHeight w:val="32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4"/>
                <w:szCs w:val="14"/>
                <w:b w:val="1"/>
                <w:bCs w:val="1"/>
                <w:color w:val="40C0C0"/>
              </w:rPr>
              <w:t>Summary Compensation Table total</w:t>
            </w: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1,162,045</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1,593,985​</w:t>
            </w:r>
          </w:p>
        </w:tc>
        <w:tc>
          <w:tcPr>
            <w:tcW w:w="56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20" w:type="dxa"/>
            <w:vAlign w:val="bottom"/>
            <w:tcBorders>
              <w:bottom w:val="single" w:sz="8" w:color="999999"/>
            </w:tcBorders>
            <w:gridSpan w:val="2"/>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320" w:type="dxa"/>
            <w:vAlign w:val="bottom"/>
            <w:tcBorders>
              <w:bottom w:val="single" w:sz="8" w:color="999999"/>
            </w:tcBorders>
          </w:tcPr>
          <w:p>
            <w:pPr>
              <w:spacing w:after="0"/>
              <w:rPr>
                <w:sz w:val="10"/>
                <w:szCs w:val="10"/>
                <w:color w:val="auto"/>
              </w:rPr>
            </w:pPr>
          </w:p>
        </w:tc>
        <w:tc>
          <w:tcPr>
            <w:tcW w:w="980" w:type="dxa"/>
            <w:vAlign w:val="bottom"/>
            <w:tcBorders>
              <w:bottom w:val="single" w:sz="8" w:color="999999"/>
            </w:tcBorders>
          </w:tcPr>
          <w:p>
            <w:pPr>
              <w:spacing w:after="0"/>
              <w:rPr>
                <w:sz w:val="10"/>
                <w:szCs w:val="10"/>
                <w:color w:val="auto"/>
              </w:rPr>
            </w:pPr>
          </w:p>
        </w:tc>
        <w:tc>
          <w:tcPr>
            <w:tcW w:w="80" w:type="dxa"/>
            <w:vAlign w:val="bottom"/>
            <w:tcBorders>
              <w:bottom w:val="single" w:sz="8" w:color="999999"/>
            </w:tcBorders>
          </w:tcPr>
          <w:p>
            <w:pPr>
              <w:spacing w:after="0"/>
              <w:rPr>
                <w:sz w:val="10"/>
                <w:szCs w:val="10"/>
                <w:color w:val="auto"/>
              </w:rPr>
            </w:pPr>
          </w:p>
        </w:tc>
        <w:tc>
          <w:tcPr>
            <w:tcW w:w="460" w:type="dxa"/>
            <w:vAlign w:val="bottom"/>
            <w:tcBorders>
              <w:bottom w:val="single" w:sz="8" w:color="999999"/>
            </w:tcBorders>
          </w:tcPr>
          <w:p>
            <w:pPr>
              <w:spacing w:after="0"/>
              <w:rPr>
                <w:sz w:val="10"/>
                <w:szCs w:val="10"/>
                <w:color w:val="auto"/>
              </w:rPr>
            </w:pPr>
          </w:p>
        </w:tc>
        <w:tc>
          <w:tcPr>
            <w:tcW w:w="440" w:type="dxa"/>
            <w:vAlign w:val="bottom"/>
            <w:tcBorders>
              <w:bottom w:val="single" w:sz="8" w:color="999999"/>
            </w:tcBorders>
          </w:tcPr>
          <w:p>
            <w:pPr>
              <w:spacing w:after="0"/>
              <w:rPr>
                <w:sz w:val="10"/>
                <w:szCs w:val="10"/>
                <w:color w:val="auto"/>
              </w:rPr>
            </w:pPr>
          </w:p>
        </w:tc>
        <w:tc>
          <w:tcPr>
            <w:tcW w:w="260" w:type="dxa"/>
            <w:vAlign w:val="bottom"/>
            <w:tcBorders>
              <w:bottom w:val="single" w:sz="8" w:color="999999"/>
            </w:tcBorders>
          </w:tcPr>
          <w:p>
            <w:pPr>
              <w:spacing w:after="0"/>
              <w:rPr>
                <w:sz w:val="10"/>
                <w:szCs w:val="10"/>
                <w:color w:val="auto"/>
              </w:rPr>
            </w:pPr>
          </w:p>
        </w:tc>
        <w:tc>
          <w:tcPr>
            <w:tcW w:w="560" w:type="dxa"/>
            <w:vAlign w:val="bottom"/>
          </w:tcPr>
          <w:p>
            <w:pPr>
              <w:spacing w:after="0"/>
              <w:rPr>
                <w:sz w:val="10"/>
                <w:szCs w:val="10"/>
                <w:color w:val="auto"/>
              </w:rPr>
            </w:pPr>
          </w:p>
        </w:tc>
      </w:tr>
      <w:tr>
        <w:trPr>
          <w:trHeight w:val="457"/>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20" w:type="dxa"/>
            <w:vAlign w:val="bottom"/>
            <w:gridSpan w:val="2"/>
          </w:tcPr>
          <w:p>
            <w:pPr>
              <w:ind w:left="60"/>
              <w:spacing w:after="0"/>
              <w:rPr>
                <w:sz w:val="20"/>
                <w:szCs w:val="20"/>
                <w:color w:val="auto"/>
              </w:rPr>
            </w:pPr>
            <w:r>
              <w:rPr>
                <w:rFonts w:ascii="Arial" w:cs="Arial" w:eastAsia="Arial" w:hAnsi="Arial"/>
                <w:sz w:val="14"/>
                <w:szCs w:val="14"/>
                <w:b w:val="1"/>
                <w:bCs w:val="1"/>
                <w:color w:val="40C0C0"/>
              </w:rPr>
              <w:t>Less: Grant Date Fair Value of Stock Awards Granted in Fiscal Year</w:t>
            </w:r>
            <w:r>
              <w:rPr>
                <w:rFonts w:ascii="Arial" w:cs="Arial" w:eastAsia="Arial" w:hAnsi="Arial"/>
                <w:sz w:val="23"/>
                <w:szCs w:val="23"/>
                <w:b w:val="1"/>
                <w:bCs w:val="1"/>
                <w:color w:val="40C0C0"/>
                <w:vertAlign w:val="superscript"/>
              </w:rPr>
              <w:t>(a)</w:t>
            </w:r>
          </w:p>
        </w:tc>
        <w:tc>
          <w:tcPr>
            <w:tcW w:w="20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(889,968)</w:t>
            </w:r>
          </w:p>
        </w:tc>
        <w:tc>
          <w:tcPr>
            <w:tcW w:w="560" w:type="dxa"/>
            <w:vAlign w:val="bottom"/>
          </w:tcPr>
          <w:p>
            <w:pPr>
              <w:spacing w:after="0"/>
              <w:rPr>
                <w:sz w:val="24"/>
                <w:szCs w:val="24"/>
                <w:color w:val="auto"/>
              </w:rPr>
            </w:pPr>
          </w:p>
        </w:tc>
      </w:tr>
      <w:tr>
        <w:trPr>
          <w:trHeight w:val="23"/>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tcBorders>
              <w:bottom w:val="single" w:sz="8" w:color="999999"/>
            </w:tcBorders>
            <w:gridSpan w:val="3"/>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9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900" w:type="dxa"/>
            <w:vAlign w:val="bottom"/>
            <w:tcBorders>
              <w:bottom w:val="single" w:sz="8" w:color="999999"/>
            </w:tcBorders>
            <w:gridSpan w:val="2"/>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7"/>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gridSpan w:val="3"/>
          </w:tcPr>
          <w:p>
            <w:pPr>
              <w:ind w:left="60"/>
              <w:spacing w:after="0"/>
              <w:rPr>
                <w:sz w:val="20"/>
                <w:szCs w:val="20"/>
                <w:color w:val="auto"/>
              </w:rPr>
            </w:pPr>
            <w:r>
              <w:rPr>
                <w:rFonts w:ascii="Arial" w:cs="Arial" w:eastAsia="Arial" w:hAnsi="Arial"/>
                <w:sz w:val="14"/>
                <w:szCs w:val="14"/>
                <w:b w:val="1"/>
                <w:bCs w:val="1"/>
                <w:color w:val="40C0C0"/>
              </w:rPr>
              <w:t>± Fair Value at Fiscal Year-End of Outstanding Unvested Stock Awards Granted in Fiscal Year</w:t>
            </w:r>
            <w:r>
              <w:rPr>
                <w:rFonts w:ascii="Arial" w:cs="Arial" w:eastAsia="Arial" w:hAnsi="Arial"/>
                <w:sz w:val="23"/>
                <w:szCs w:val="23"/>
                <w:b w:val="1"/>
                <w:bCs w:val="1"/>
                <w:color w:val="40C0C0"/>
                <w:vertAlign w:val="superscript"/>
              </w:rPr>
              <w:t>(b)(i)</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 445,170</w:t>
            </w:r>
          </w:p>
        </w:tc>
        <w:tc>
          <w:tcPr>
            <w:tcW w:w="560" w:type="dxa"/>
            <w:vAlign w:val="bottom"/>
          </w:tcPr>
          <w:p>
            <w:pPr>
              <w:spacing w:after="0"/>
              <w:rPr>
                <w:sz w:val="24"/>
                <w:szCs w:val="24"/>
                <w:color w:val="auto"/>
              </w:rPr>
            </w:pPr>
          </w:p>
        </w:tc>
      </w:tr>
      <w:tr>
        <w:trPr>
          <w:trHeight w:val="23"/>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tcBorders>
              <w:bottom w:val="single" w:sz="8" w:color="999999"/>
            </w:tcBorders>
            <w:gridSpan w:val="3"/>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gridSpan w:val="2"/>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c>
          <w:tcPr>
            <w:tcW w:w="440" w:type="dxa"/>
            <w:vAlign w:val="bottom"/>
            <w:tcBorders>
              <w:bottom w:val="single" w:sz="8" w:color="999999"/>
            </w:tcBorders>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7"/>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gridSpan w:val="3"/>
          </w:tcPr>
          <w:p>
            <w:pPr>
              <w:ind w:left="60"/>
              <w:spacing w:after="0"/>
              <w:rPr>
                <w:sz w:val="20"/>
                <w:szCs w:val="20"/>
                <w:color w:val="auto"/>
              </w:rPr>
            </w:pPr>
            <w:r>
              <w:rPr>
                <w:rFonts w:ascii="Arial" w:cs="Arial" w:eastAsia="Arial" w:hAnsi="Arial"/>
                <w:sz w:val="14"/>
                <w:szCs w:val="14"/>
                <w:b w:val="1"/>
                <w:bCs w:val="1"/>
                <w:color w:val="40C0C0"/>
              </w:rPr>
              <w:t>± Change in Fair Value of Outstanding Unvested Stock Awards Granted in Prior Fiscal Years</w:t>
            </w:r>
            <w:r>
              <w:rPr>
                <w:rFonts w:ascii="Arial" w:cs="Arial" w:eastAsia="Arial" w:hAnsi="Arial"/>
                <w:sz w:val="23"/>
                <w:szCs w:val="23"/>
                <w:b w:val="1"/>
                <w:bCs w:val="1"/>
                <w:color w:val="40C0C0"/>
                <w:vertAlign w:val="superscript"/>
              </w:rPr>
              <w:t>(b)(ii)</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 xml:space="preserve">(2,924) </w:t>
            </w:r>
            <w:r>
              <w:rPr>
                <w:rFonts w:ascii="Times New Roman" w:cs="Times New Roman" w:eastAsia="Times New Roman" w:hAnsi="Times New Roman"/>
                <w:sz w:val="3"/>
                <w:szCs w:val="3"/>
                <w:color w:val="auto"/>
              </w:rPr>
              <w:t>​   ​</w:t>
            </w:r>
          </w:p>
        </w:tc>
        <w:tc>
          <w:tcPr>
            <w:tcW w:w="46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(18,760)</w:t>
            </w:r>
          </w:p>
        </w:tc>
        <w:tc>
          <w:tcPr>
            <w:tcW w:w="560" w:type="dxa"/>
            <w:vAlign w:val="bottom"/>
          </w:tcPr>
          <w:p>
            <w:pPr>
              <w:spacing w:after="0"/>
              <w:rPr>
                <w:sz w:val="24"/>
                <w:szCs w:val="24"/>
                <w:color w:val="auto"/>
              </w:rPr>
            </w:pPr>
          </w:p>
        </w:tc>
      </w:tr>
      <w:tr>
        <w:trPr>
          <w:trHeight w:val="23"/>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tcBorders>
              <w:bottom w:val="single" w:sz="8" w:color="999999"/>
            </w:tcBorders>
            <w:gridSpan w:val="3"/>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9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c>
          <w:tcPr>
            <w:tcW w:w="440" w:type="dxa"/>
            <w:vAlign w:val="bottom"/>
            <w:tcBorders>
              <w:bottom w:val="single" w:sz="8" w:color="999999"/>
            </w:tcBorders>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7"/>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gridSpan w:val="3"/>
          </w:tcPr>
          <w:p>
            <w:pPr>
              <w:ind w:left="60"/>
              <w:spacing w:after="0"/>
              <w:rPr>
                <w:sz w:val="20"/>
                <w:szCs w:val="20"/>
                <w:color w:val="auto"/>
              </w:rPr>
            </w:pPr>
            <w:r>
              <w:rPr>
                <w:rFonts w:ascii="Arial" w:cs="Arial" w:eastAsia="Arial" w:hAnsi="Arial"/>
                <w:sz w:val="14"/>
                <w:szCs w:val="14"/>
                <w:b w:val="1"/>
                <w:bCs w:val="1"/>
                <w:color w:val="40C0C0"/>
              </w:rPr>
              <w:t>± Fair Value at Vesting of Stock Awards Granted in Fiscal Year That Vested During Fiscal Year</w:t>
            </w:r>
            <w:r>
              <w:rPr>
                <w:rFonts w:ascii="Arial" w:cs="Arial" w:eastAsia="Arial" w:hAnsi="Arial"/>
                <w:sz w:val="23"/>
                <w:szCs w:val="23"/>
                <w:b w:val="1"/>
                <w:bCs w:val="1"/>
                <w:color w:val="40C0C0"/>
                <w:vertAlign w:val="superscript"/>
              </w:rPr>
              <w:t>(b)(iii)</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52,847</w:t>
            </w:r>
          </w:p>
        </w:tc>
        <w:tc>
          <w:tcPr>
            <w:tcW w:w="560" w:type="dxa"/>
            <w:vAlign w:val="bottom"/>
          </w:tcPr>
          <w:p>
            <w:pPr>
              <w:spacing w:after="0"/>
              <w:rPr>
                <w:sz w:val="24"/>
                <w:szCs w:val="24"/>
                <w:color w:val="auto"/>
              </w:rPr>
            </w:pPr>
          </w:p>
        </w:tc>
      </w:tr>
      <w:tr>
        <w:trPr>
          <w:trHeight w:val="23"/>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60" w:type="dxa"/>
            <w:vAlign w:val="bottom"/>
            <w:tcBorders>
              <w:bottom w:val="single" w:sz="8" w:color="999999"/>
            </w:tcBorders>
            <w:gridSpan w:val="3"/>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gridSpan w:val="2"/>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c>
          <w:tcPr>
            <w:tcW w:w="440" w:type="dxa"/>
            <w:vAlign w:val="bottom"/>
            <w:tcBorders>
              <w:bottom w:val="single" w:sz="8" w:color="999999"/>
            </w:tcBorders>
          </w:tcPr>
          <w:p>
            <w:pPr>
              <w:spacing w:after="0" w:line="20" w:lineRule="exact"/>
              <w:rPr>
                <w:sz w:val="1"/>
                <w:szCs w:val="1"/>
                <w:color w:val="auto"/>
              </w:rPr>
            </w:pPr>
          </w:p>
        </w:tc>
        <w:tc>
          <w:tcPr>
            <w:tcW w:w="260" w:type="dxa"/>
            <w:vAlign w:val="bottom"/>
            <w:tcBorders>
              <w:bottom w:val="single" w:sz="8" w:color="999999"/>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60" w:type="dxa"/>
            <w:vAlign w:val="bottom"/>
            <w:gridSpan w:val="3"/>
          </w:tcPr>
          <w:p>
            <w:pPr>
              <w:ind w:left="60"/>
              <w:spacing w:after="0"/>
              <w:rPr>
                <w:sz w:val="20"/>
                <w:szCs w:val="20"/>
                <w:color w:val="auto"/>
              </w:rPr>
            </w:pPr>
            <w:r>
              <w:rPr>
                <w:rFonts w:ascii="Arial" w:cs="Arial" w:eastAsia="Arial" w:hAnsi="Arial"/>
                <w:sz w:val="14"/>
                <w:szCs w:val="14"/>
                <w:b w:val="1"/>
                <w:bCs w:val="1"/>
                <w:color w:val="40C0C0"/>
              </w:rPr>
              <w:t>± Change in Fair Value as of Vesting Date of Stock Awards Granted in Prior Fiscal Years For Which</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gridSpan w:val="2"/>
          </w:tcPr>
          <w:p>
            <w:pPr>
              <w:jc w:val="right"/>
              <w:ind w:right="2"/>
              <w:spacing w:after="0"/>
              <w:rPr>
                <w:sz w:val="20"/>
                <w:szCs w:val="20"/>
                <w:color w:val="auto"/>
              </w:rPr>
            </w:pPr>
            <w:r>
              <w:rPr>
                <w:rFonts w:ascii="Arial" w:cs="Arial" w:eastAsia="Arial" w:hAnsi="Arial"/>
                <w:sz w:val="14"/>
                <w:szCs w:val="14"/>
                <w:color w:val="auto"/>
              </w:rPr>
              <w:t xml:space="preserve">(6,086) </w:t>
            </w:r>
            <w:r>
              <w:rPr>
                <w:rFonts w:ascii="Times New Roman" w:cs="Times New Roman" w:eastAsia="Times New Roman" w:hAnsi="Times New Roman"/>
                <w:sz w:val="3"/>
                <w:szCs w:val="3"/>
                <w:color w:val="auto"/>
              </w:rPr>
              <w:t>​   ​</w:t>
            </w:r>
          </w:p>
        </w:tc>
        <w:tc>
          <w:tcPr>
            <w:tcW w:w="460" w:type="dxa"/>
            <w:vAlign w:val="bottom"/>
          </w:tcPr>
          <w:p>
            <w:pPr>
              <w:ind w:left="4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2,769</w:t>
            </w:r>
          </w:p>
        </w:tc>
        <w:tc>
          <w:tcPr>
            <w:tcW w:w="56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60" w:type="dxa"/>
            <w:vAlign w:val="bottom"/>
            <w:tcBorders>
              <w:bottom w:val="single" w:sz="8" w:color="999999"/>
            </w:tcBorders>
            <w:gridSpan w:val="3"/>
          </w:tcPr>
          <w:p>
            <w:pPr>
              <w:ind w:left="180"/>
              <w:spacing w:after="0"/>
              <w:rPr>
                <w:sz w:val="20"/>
                <w:szCs w:val="20"/>
                <w:color w:val="auto"/>
              </w:rPr>
            </w:pPr>
            <w:r>
              <w:rPr>
                <w:rFonts w:ascii="Arial" w:cs="Arial" w:eastAsia="Arial" w:hAnsi="Arial"/>
                <w:sz w:val="14"/>
                <w:szCs w:val="14"/>
                <w:b w:val="1"/>
                <w:bCs w:val="1"/>
                <w:color w:val="40C0C0"/>
              </w:rPr>
              <w:t>Applicable Vesting Conditions Were Satisfied During Fiscal Year</w:t>
            </w:r>
            <w:r>
              <w:rPr>
                <w:rFonts w:ascii="Arial" w:cs="Arial" w:eastAsia="Arial" w:hAnsi="Arial"/>
                <w:sz w:val="23"/>
                <w:szCs w:val="23"/>
                <w:b w:val="1"/>
                <w:bCs w:val="1"/>
                <w:color w:val="40C0C0"/>
                <w:vertAlign w:val="superscript"/>
              </w:rPr>
              <w:t>(b)(iv)</w:t>
            </w:r>
          </w:p>
        </w:tc>
        <w:tc>
          <w:tcPr>
            <w:tcW w:w="320" w:type="dxa"/>
            <w:vAlign w:val="bottom"/>
            <w:tcBorders>
              <w:bottom w:val="single" w:sz="8" w:color="999999"/>
            </w:tcBorders>
          </w:tcPr>
          <w:p>
            <w:pPr>
              <w:spacing w:after="0"/>
              <w:rPr>
                <w:sz w:val="23"/>
                <w:szCs w:val="23"/>
                <w:color w:val="auto"/>
              </w:rPr>
            </w:pPr>
          </w:p>
        </w:tc>
        <w:tc>
          <w:tcPr>
            <w:tcW w:w="980" w:type="dxa"/>
            <w:vAlign w:val="bottom"/>
            <w:tcBorders>
              <w:bottom w:val="single" w:sz="8" w:color="999999"/>
            </w:tcBorders>
          </w:tcPr>
          <w:p>
            <w:pPr>
              <w:spacing w:after="0"/>
              <w:rPr>
                <w:sz w:val="23"/>
                <w:szCs w:val="23"/>
                <w:color w:val="auto"/>
              </w:rPr>
            </w:pPr>
          </w:p>
        </w:tc>
        <w:tc>
          <w:tcPr>
            <w:tcW w:w="80" w:type="dxa"/>
            <w:vAlign w:val="bottom"/>
            <w:tcBorders>
              <w:bottom w:val="single" w:sz="8" w:color="999999"/>
            </w:tcBorders>
          </w:tcPr>
          <w:p>
            <w:pPr>
              <w:spacing w:after="0"/>
              <w:rPr>
                <w:sz w:val="23"/>
                <w:szCs w:val="23"/>
                <w:color w:val="auto"/>
              </w:rPr>
            </w:pPr>
          </w:p>
        </w:tc>
        <w:tc>
          <w:tcPr>
            <w:tcW w:w="460" w:type="dxa"/>
            <w:vAlign w:val="bottom"/>
            <w:tcBorders>
              <w:bottom w:val="single" w:sz="8" w:color="999999"/>
            </w:tcBorders>
          </w:tcPr>
          <w:p>
            <w:pPr>
              <w:spacing w:after="0"/>
              <w:rPr>
                <w:sz w:val="23"/>
                <w:szCs w:val="23"/>
                <w:color w:val="auto"/>
              </w:rPr>
            </w:pPr>
          </w:p>
        </w:tc>
        <w:tc>
          <w:tcPr>
            <w:tcW w:w="440" w:type="dxa"/>
            <w:vAlign w:val="bottom"/>
            <w:tcBorders>
              <w:bottom w:val="single" w:sz="8" w:color="999999"/>
            </w:tcBorders>
          </w:tcPr>
          <w:p>
            <w:pPr>
              <w:spacing w:after="0"/>
              <w:rPr>
                <w:sz w:val="23"/>
                <w:szCs w:val="23"/>
                <w:color w:val="auto"/>
              </w:rPr>
            </w:pPr>
          </w:p>
        </w:tc>
        <w:tc>
          <w:tcPr>
            <w:tcW w:w="260" w:type="dxa"/>
            <w:vAlign w:val="bottom"/>
            <w:tcBorders>
              <w:bottom w:val="single" w:sz="8" w:color="999999"/>
            </w:tcBorders>
          </w:tcPr>
          <w:p>
            <w:pPr>
              <w:spacing w:after="0"/>
              <w:rPr>
                <w:sz w:val="23"/>
                <w:szCs w:val="23"/>
                <w:color w:val="auto"/>
              </w:rPr>
            </w:pPr>
          </w:p>
        </w:tc>
        <w:tc>
          <w:tcPr>
            <w:tcW w:w="560" w:type="dxa"/>
            <w:vAlign w:val="bottom"/>
          </w:tcPr>
          <w:p>
            <w:pPr>
              <w:spacing w:after="0"/>
              <w:rPr>
                <w:sz w:val="23"/>
                <w:szCs w:val="23"/>
                <w:color w:val="auto"/>
              </w:rPr>
            </w:pPr>
          </w:p>
        </w:tc>
      </w:tr>
      <w:tr>
        <w:trPr>
          <w:trHeight w:val="309"/>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4"/>
          </w:tcPr>
          <w:p>
            <w:pPr>
              <w:ind w:left="80"/>
              <w:spacing w:after="0"/>
              <w:rPr>
                <w:sz w:val="20"/>
                <w:szCs w:val="20"/>
                <w:color w:val="auto"/>
              </w:rPr>
            </w:pPr>
            <w:r>
              <w:rPr>
                <w:rFonts w:ascii="Arial" w:cs="Arial" w:eastAsia="Arial" w:hAnsi="Arial"/>
                <w:sz w:val="14"/>
                <w:szCs w:val="14"/>
                <w:b w:val="1"/>
                <w:bCs w:val="1"/>
                <w:color w:val="40C0C0"/>
              </w:rPr>
              <w:t xml:space="preserve">- Fair Value as of Prior Fiscal Year-End of Stock Awards Granted in Prior Fiscal Years That Failed to </w:t>
            </w:r>
            <w:r>
              <w:rPr>
                <w:rFonts w:ascii="Times New Roman" w:cs="Times New Roman" w:eastAsia="Times New Roman" w:hAnsi="Times New Roman"/>
                <w:sz w:val="7"/>
                <w:szCs w:val="7"/>
                <w:color w:val="000000"/>
                <w:vertAlign w:val="subscript"/>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20" w:type="dxa"/>
            <w:vAlign w:val="bottom"/>
          </w:tcPr>
          <w:p>
            <w:pPr>
              <w:ind w:left="160"/>
              <w:spacing w:after="0"/>
              <w:rPr>
                <w:sz w:val="20"/>
                <w:szCs w:val="20"/>
                <w:color w:val="auto"/>
              </w:rPr>
            </w:pPr>
            <w:r>
              <w:rPr>
                <w:rFonts w:ascii="Arial" w:cs="Arial" w:eastAsia="Arial" w:hAnsi="Arial"/>
                <w:sz w:val="14"/>
                <w:szCs w:val="14"/>
                <w:b w:val="1"/>
                <w:bCs w:val="1"/>
                <w:color w:val="40C0C0"/>
              </w:rPr>
              <w:t>Meet Applicable Vesting Conditions During Fiscal Year</w:t>
            </w:r>
          </w:p>
        </w:tc>
        <w:tc>
          <w:tcPr>
            <w:tcW w:w="6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10"/>
        </w:trPr>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20" w:type="dxa"/>
            <w:vAlign w:val="bottom"/>
            <w:tcBorders>
              <w:bottom w:val="single" w:sz="8" w:color="999999"/>
            </w:tcBorders>
          </w:tcPr>
          <w:p>
            <w:pPr>
              <w:spacing w:after="0"/>
              <w:rPr>
                <w:sz w:val="9"/>
                <w:szCs w:val="9"/>
                <w:color w:val="auto"/>
              </w:rPr>
            </w:pPr>
          </w:p>
        </w:tc>
        <w:tc>
          <w:tcPr>
            <w:tcW w:w="600" w:type="dxa"/>
            <w:vAlign w:val="bottom"/>
            <w:tcBorders>
              <w:bottom w:val="single" w:sz="8" w:color="999999"/>
            </w:tcBorders>
          </w:tcPr>
          <w:p>
            <w:pPr>
              <w:spacing w:after="0"/>
              <w:rPr>
                <w:sz w:val="9"/>
                <w:szCs w:val="9"/>
                <w:color w:val="auto"/>
              </w:rPr>
            </w:pPr>
          </w:p>
        </w:tc>
        <w:tc>
          <w:tcPr>
            <w:tcW w:w="2040" w:type="dxa"/>
            <w:vAlign w:val="bottom"/>
            <w:tcBorders>
              <w:bottom w:val="single" w:sz="8" w:color="999999"/>
            </w:tcBorders>
          </w:tcPr>
          <w:p>
            <w:pPr>
              <w:spacing w:after="0"/>
              <w:rPr>
                <w:sz w:val="9"/>
                <w:szCs w:val="9"/>
                <w:color w:val="auto"/>
              </w:rPr>
            </w:pPr>
          </w:p>
        </w:tc>
        <w:tc>
          <w:tcPr>
            <w:tcW w:w="320" w:type="dxa"/>
            <w:vAlign w:val="bottom"/>
            <w:tcBorders>
              <w:bottom w:val="single" w:sz="8" w:color="999999"/>
            </w:tcBorders>
          </w:tcPr>
          <w:p>
            <w:pPr>
              <w:spacing w:after="0"/>
              <w:rPr>
                <w:sz w:val="9"/>
                <w:szCs w:val="9"/>
                <w:color w:val="auto"/>
              </w:rPr>
            </w:pPr>
          </w:p>
        </w:tc>
        <w:tc>
          <w:tcPr>
            <w:tcW w:w="980" w:type="dxa"/>
            <w:vAlign w:val="bottom"/>
            <w:tcBorders>
              <w:bottom w:val="single" w:sz="8" w:color="999999"/>
            </w:tcBorders>
          </w:tcPr>
          <w:p>
            <w:pPr>
              <w:spacing w:after="0"/>
              <w:rPr>
                <w:sz w:val="9"/>
                <w:szCs w:val="9"/>
                <w:color w:val="auto"/>
              </w:rPr>
            </w:pPr>
          </w:p>
        </w:tc>
        <w:tc>
          <w:tcPr>
            <w:tcW w:w="80" w:type="dxa"/>
            <w:vAlign w:val="bottom"/>
            <w:tcBorders>
              <w:bottom w:val="single" w:sz="8" w:color="999999"/>
            </w:tcBorders>
          </w:tcPr>
          <w:p>
            <w:pPr>
              <w:spacing w:after="0"/>
              <w:rPr>
                <w:sz w:val="9"/>
                <w:szCs w:val="9"/>
                <w:color w:val="auto"/>
              </w:rPr>
            </w:pPr>
          </w:p>
        </w:tc>
        <w:tc>
          <w:tcPr>
            <w:tcW w:w="900" w:type="dxa"/>
            <w:vAlign w:val="bottom"/>
            <w:tcBorders>
              <w:bottom w:val="single" w:sz="8" w:color="999999"/>
            </w:tcBorders>
            <w:gridSpan w:val="2"/>
          </w:tcPr>
          <w:p>
            <w:pPr>
              <w:spacing w:after="0"/>
              <w:rPr>
                <w:sz w:val="9"/>
                <w:szCs w:val="9"/>
                <w:color w:val="auto"/>
              </w:rPr>
            </w:pPr>
          </w:p>
        </w:tc>
        <w:tc>
          <w:tcPr>
            <w:tcW w:w="260" w:type="dxa"/>
            <w:vAlign w:val="bottom"/>
            <w:tcBorders>
              <w:bottom w:val="single" w:sz="8" w:color="999999"/>
            </w:tcBorders>
          </w:tcPr>
          <w:p>
            <w:pPr>
              <w:spacing w:after="0"/>
              <w:rPr>
                <w:sz w:val="9"/>
                <w:szCs w:val="9"/>
                <w:color w:val="auto"/>
              </w:rPr>
            </w:pPr>
          </w:p>
        </w:tc>
        <w:tc>
          <w:tcPr>
            <w:tcW w:w="560" w:type="dxa"/>
            <w:vAlign w:val="bottom"/>
          </w:tcPr>
          <w:p>
            <w:pPr>
              <w:spacing w:after="0"/>
              <w:rPr>
                <w:sz w:val="9"/>
                <w:szCs w:val="9"/>
                <w:color w:val="auto"/>
              </w:rPr>
            </w:pPr>
          </w:p>
        </w:tc>
      </w:tr>
      <w:tr>
        <w:trPr>
          <w:trHeight w:val="329"/>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4"/>
                <w:szCs w:val="14"/>
                <w:b w:val="1"/>
                <w:bCs w:val="1"/>
                <w:color w:val="40C0C0"/>
              </w:rPr>
              <w:t>Compensation Actually Paid</w:t>
            </w:r>
          </w:p>
        </w:tc>
        <w:tc>
          <w:tcPr>
            <w:tcW w:w="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1,153,035</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1160" w:type="dxa"/>
            <w:vAlign w:val="bottom"/>
            <w:gridSpan w:val="3"/>
          </w:tcPr>
          <w:p>
            <w:pPr>
              <w:jc w:val="right"/>
              <w:ind w:right="100"/>
              <w:spacing w:after="0"/>
              <w:rPr>
                <w:sz w:val="20"/>
                <w:szCs w:val="20"/>
                <w:color w:val="auto"/>
              </w:rPr>
            </w:pPr>
            <w:r>
              <w:rPr>
                <w:rFonts w:ascii="Arial" w:cs="Arial" w:eastAsia="Arial" w:hAnsi="Arial"/>
                <w:sz w:val="14"/>
                <w:szCs w:val="14"/>
                <w:color w:val="auto"/>
              </w:rPr>
              <w:t>1,186,043​</w:t>
            </w:r>
          </w:p>
        </w:tc>
        <w:tc>
          <w:tcPr>
            <w:tcW w:w="560" w:type="dxa"/>
            <w:vAlign w:val="bottom"/>
          </w:tcPr>
          <w:p>
            <w:pPr>
              <w:spacing w:after="0"/>
              <w:rPr>
                <w:sz w:val="24"/>
                <w:szCs w:val="24"/>
                <w:color w:val="auto"/>
              </w:rPr>
            </w:pPr>
          </w:p>
        </w:tc>
      </w:tr>
      <w:tr>
        <w:trPr>
          <w:trHeight w:val="110"/>
        </w:trPr>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r>
      <w:tr>
        <w:trPr>
          <w:trHeight w:val="209"/>
        </w:trPr>
        <w:tc>
          <w:tcPr>
            <w:tcW w:w="800" w:type="dxa"/>
            <w:vAlign w:val="bottom"/>
          </w:tcPr>
          <w:p>
            <w:pPr>
              <w:spacing w:after="0"/>
              <w:rPr>
                <w:sz w:val="18"/>
                <w:szCs w:val="18"/>
                <w:color w:val="auto"/>
              </w:rPr>
            </w:pPr>
          </w:p>
        </w:tc>
        <w:tc>
          <w:tcPr>
            <w:tcW w:w="260" w:type="dxa"/>
            <w:vAlign w:val="bottom"/>
            <w:tcBorders>
              <w:bottom w:val="single" w:sz="8" w:color="40C0C0"/>
            </w:tcBorders>
          </w:tcPr>
          <w:p>
            <w:pPr>
              <w:spacing w:after="0"/>
              <w:rPr>
                <w:sz w:val="18"/>
                <w:szCs w:val="18"/>
                <w:color w:val="auto"/>
              </w:rPr>
            </w:pPr>
          </w:p>
        </w:tc>
        <w:tc>
          <w:tcPr>
            <w:tcW w:w="4220" w:type="dxa"/>
            <w:vAlign w:val="bottom"/>
            <w:tcBorders>
              <w:bottom w:val="single" w:sz="8" w:color="40C0C0"/>
            </w:tcBorders>
          </w:tcPr>
          <w:p>
            <w:pPr>
              <w:spacing w:after="0"/>
              <w:rPr>
                <w:sz w:val="18"/>
                <w:szCs w:val="18"/>
                <w:color w:val="auto"/>
              </w:rPr>
            </w:pPr>
          </w:p>
        </w:tc>
        <w:tc>
          <w:tcPr>
            <w:tcW w:w="600" w:type="dxa"/>
            <w:vAlign w:val="bottom"/>
            <w:tcBorders>
              <w:bottom w:val="single" w:sz="8" w:color="40C0C0"/>
            </w:tcBorders>
          </w:tcPr>
          <w:p>
            <w:pPr>
              <w:spacing w:after="0"/>
              <w:rPr>
                <w:sz w:val="18"/>
                <w:szCs w:val="18"/>
                <w:color w:val="auto"/>
              </w:rPr>
            </w:pPr>
          </w:p>
        </w:tc>
        <w:tc>
          <w:tcPr>
            <w:tcW w:w="2040" w:type="dxa"/>
            <w:vAlign w:val="bottom"/>
            <w:tcBorders>
              <w:bottom w:val="single" w:sz="8" w:color="40C0C0"/>
            </w:tcBorders>
          </w:tcPr>
          <w:p>
            <w:pPr>
              <w:spacing w:after="0"/>
              <w:rPr>
                <w:sz w:val="18"/>
                <w:szCs w:val="18"/>
                <w:color w:val="auto"/>
              </w:rPr>
            </w:pPr>
          </w:p>
        </w:tc>
        <w:tc>
          <w:tcPr>
            <w:tcW w:w="320" w:type="dxa"/>
            <w:vAlign w:val="bottom"/>
            <w:tcBorders>
              <w:bottom w:val="single" w:sz="8" w:color="40C0C0"/>
            </w:tcBorders>
          </w:tcPr>
          <w:p>
            <w:pPr>
              <w:spacing w:after="0"/>
              <w:rPr>
                <w:sz w:val="18"/>
                <w:szCs w:val="18"/>
                <w:color w:val="auto"/>
              </w:rPr>
            </w:pPr>
          </w:p>
        </w:tc>
        <w:tc>
          <w:tcPr>
            <w:tcW w:w="980" w:type="dxa"/>
            <w:vAlign w:val="bottom"/>
            <w:tcBorders>
              <w:bottom w:val="single" w:sz="8" w:color="40C0C0"/>
            </w:tcBorders>
          </w:tcPr>
          <w:p>
            <w:pPr>
              <w:spacing w:after="0"/>
              <w:rPr>
                <w:sz w:val="18"/>
                <w:szCs w:val="18"/>
                <w:color w:val="auto"/>
              </w:rPr>
            </w:pPr>
          </w:p>
        </w:tc>
        <w:tc>
          <w:tcPr>
            <w:tcW w:w="80" w:type="dxa"/>
            <w:vAlign w:val="bottom"/>
            <w:tcBorders>
              <w:bottom w:val="single" w:sz="8" w:color="40C0C0"/>
            </w:tcBorders>
          </w:tcPr>
          <w:p>
            <w:pPr>
              <w:spacing w:after="0"/>
              <w:rPr>
                <w:sz w:val="18"/>
                <w:szCs w:val="18"/>
                <w:color w:val="auto"/>
              </w:rPr>
            </w:pPr>
          </w:p>
        </w:tc>
        <w:tc>
          <w:tcPr>
            <w:tcW w:w="460" w:type="dxa"/>
            <w:vAlign w:val="bottom"/>
            <w:tcBorders>
              <w:bottom w:val="single" w:sz="8" w:color="40C0C0"/>
            </w:tcBorders>
          </w:tcPr>
          <w:p>
            <w:pPr>
              <w:spacing w:after="0"/>
              <w:rPr>
                <w:sz w:val="18"/>
                <w:szCs w:val="18"/>
                <w:color w:val="auto"/>
              </w:rPr>
            </w:pPr>
          </w:p>
        </w:tc>
        <w:tc>
          <w:tcPr>
            <w:tcW w:w="440" w:type="dxa"/>
            <w:vAlign w:val="bottom"/>
            <w:tcBorders>
              <w:bottom w:val="single" w:sz="8" w:color="40C0C0"/>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8"/>
        </w:trPr>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tcPr>
          <w:p>
            <w:pPr>
              <w:ind w:left="2820"/>
              <w:spacing w:after="0"/>
              <w:rPr>
                <w:sz w:val="20"/>
                <w:szCs w:val="20"/>
                <w:color w:val="auto"/>
              </w:rPr>
            </w:pPr>
            <w:r>
              <w:rPr>
                <w:rFonts w:ascii="Arial" w:cs="Arial" w:eastAsia="Arial" w:hAnsi="Arial"/>
                <w:sz w:val="13"/>
                <w:szCs w:val="13"/>
                <w:b w:val="1"/>
                <w:bCs w:val="1"/>
                <w:color w:val="auto"/>
              </w:rPr>
              <w:t>WM Technology, Inc.</w:t>
            </w:r>
          </w:p>
        </w:tc>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rPr>
              <w:t>47</w:t>
            </w:r>
          </w:p>
        </w:tc>
        <w:tc>
          <w:tcPr>
            <w:tcW w:w="2040" w:type="dxa"/>
            <w:vAlign w:val="bottom"/>
          </w:tcPr>
          <w:p>
            <w:pPr>
              <w:ind w:left="20"/>
              <w:spacing w:after="0"/>
              <w:rPr>
                <w:sz w:val="20"/>
                <w:szCs w:val="20"/>
                <w:color w:val="auto"/>
              </w:rPr>
            </w:pPr>
            <w:r>
              <w:rPr>
                <w:rFonts w:ascii="Arial" w:cs="Arial" w:eastAsia="Arial" w:hAnsi="Arial"/>
                <w:sz w:val="13"/>
                <w:szCs w:val="13"/>
                <w:color w:val="auto"/>
              </w:rPr>
              <w:t>2024 Proxy Statement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2"/>
        </w:trPr>
        <w:tc>
          <w:tcPr>
            <w:tcW w:w="8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2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114"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920"/>
        <w:spacing w:after="0" w:line="272" w:lineRule="auto"/>
        <w:rPr>
          <w:sz w:val="20"/>
          <w:szCs w:val="20"/>
          <w:color w:val="auto"/>
        </w:rPr>
      </w:pPr>
      <w:r>
        <w:rPr>
          <w:rFonts w:ascii="Arial" w:cs="Arial" w:eastAsia="Arial" w:hAnsi="Arial"/>
          <w:sz w:val="22"/>
          <w:szCs w:val="22"/>
          <w:b w:val="1"/>
          <w:bCs w:val="1"/>
          <w:color w:val="40C0C0"/>
        </w:rPr>
        <w:t>Required Disclosure of the Relationship Between Compensation Actually Paid and Financial Performance Measures</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pay and performance figures that are included in the pay versus performance tabular disclosure above. As noted above, “compensation actually paid” for purposes of the tabular disclosure and the following graphs was calculated in accordance with SEC rules and does not fully represent the actual final amount of compensation earned by or actually paid to our NEOs during the applicable years.</w:t>
      </w:r>
    </w:p>
    <w:p>
      <w:pPr>
        <w:spacing w:after="0" w:line="319"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graph below illustrates the relationship between Company TSR and the PEO “compensation actually paid” and Average Non-PEO NEOs “compensation actually paid”. TSR amounts reported in the graph assume an initial fixed investment of $100 and use the Closing Date of the Business Combination as the “measurement point” for purposes of calculating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5966460" cy="3403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646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48</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graph below illustrates the relationship between Net (loss) Income and PEO “compensation actually paid” and Average Non-PEO NEOs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193675</wp:posOffset>
            </wp:positionV>
            <wp:extent cx="5066030" cy="25031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6603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w:t>
      </w:r>
      <w:r>
        <w:rPr>
          <w:rFonts w:ascii="Arial" w:cs="Arial" w:eastAsia="Arial" w:hAnsi="Arial"/>
          <w:sz w:val="16"/>
          <w:szCs w:val="16"/>
          <w:i w:val="1"/>
          <w:iCs w:val="1"/>
          <w:color w:val="auto"/>
        </w:rPr>
        <w:t>All information provided above under the “Pay Versus Performance” heading will not be deemed to be incorporated by reference</w:t>
      </w:r>
      <w:r>
        <w:rPr>
          <w:rFonts w:ascii="Arial" w:cs="Arial" w:eastAsia="Arial" w:hAnsi="Arial"/>
          <w:sz w:val="16"/>
          <w:szCs w:val="16"/>
          <w:color w:val="auto"/>
        </w:rPr>
        <w:t xml:space="preserve"> </w:t>
      </w:r>
      <w:r>
        <w:rPr>
          <w:rFonts w:ascii="Arial" w:cs="Arial" w:eastAsia="Arial" w:hAnsi="Arial"/>
          <w:sz w:val="16"/>
          <w:szCs w:val="16"/>
          <w:i w:val="1"/>
          <w:iCs w:val="1"/>
          <w:color w:val="auto"/>
        </w:rPr>
        <w:t>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59664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49</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20"/>
          </w:cols>
          <w:pgMar w:left="1240" w:top="114" w:right="1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ind w:right="600"/>
        <w:spacing w:after="0" w:line="273" w:lineRule="auto"/>
        <w:rPr>
          <w:sz w:val="20"/>
          <w:szCs w:val="20"/>
          <w:color w:val="auto"/>
        </w:rPr>
      </w:pPr>
      <w:r>
        <w:rPr>
          <w:rFonts w:ascii="Arial" w:cs="Arial" w:eastAsia="Arial" w:hAnsi="Arial"/>
          <w:sz w:val="58"/>
          <w:szCs w:val="58"/>
          <w:color w:val="auto"/>
        </w:rPr>
        <w:t>Certain Relationships and Related Person Transactions</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Operating Company Agreement</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titled “Security Ownership of Certain Beneficial Owners and Management.”</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of the Units</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w:t>
      </w:r>
    </w:p>
    <w:p>
      <w:pPr>
        <w:spacing w:after="0" w:line="22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12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966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50</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128"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Restrictions</w:t>
      </w:r>
    </w:p>
    <w:p>
      <w:pPr>
        <w:spacing w:after="0" w:line="221"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Exchange Agreement</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Concurrently with the Closing, we, WMH LLC and the Unit holders, including Messrs. Camire, Grazier, Francis, Hartfield and Ghost Media Group, LLC, as described in the section 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Tax Receivable Agreement</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Mr. Francis, Mr. Hartfield and Ghost Media Group, LLC, as described in the section 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966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12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13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12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5966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52</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Amended and Restated Registration Rights Agreement</w:t>
      </w:r>
    </w:p>
    <w:p>
      <w:pPr>
        <w:spacing w:after="0" w:line="16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Camire, Grazier, Francis, Silver Spike Sponsor, LLC and Ghost Media Group, LLC, as described in the section 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Silver Spike Related Transactions and Agreements</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127"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disclosed in the Company’s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53</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Legacy WMH Transactions and Agreements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Other Enterprises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Transactions</w:t>
      </w:r>
    </w:p>
    <w:p>
      <w:pPr>
        <w:spacing w:after="0" w:line="22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11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We have granted equity awards to certain of our executive officers. For a description of equity awards granted to our Named Executive Officers, see the section entitled “Executive Compensation.”</w:t>
      </w:r>
    </w:p>
    <w:p>
      <w:pPr>
        <w:spacing w:after="0" w:line="1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40C0C0"/>
        </w:rPr>
        <w:t>Related Person Transactions Policy</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2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54</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considering related-person transactions, our Audit Committee takes into account the relevant available facts and circumstances, which may include, but are not limited to:</w:t>
      </w:r>
    </w:p>
    <w:p>
      <w:pPr>
        <w:spacing w:after="0" w:line="7" w:lineRule="exact"/>
        <w:rPr>
          <w:sz w:val="20"/>
          <w:szCs w:val="20"/>
          <w:color w:val="auto"/>
        </w:rPr>
      </w:pPr>
    </w:p>
    <w:p>
      <w:pPr>
        <w:ind w:left="600" w:hanging="288"/>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risk, cost and benefits to us;</w:t>
      </w:r>
    </w:p>
    <w:p>
      <w:pPr>
        <w:spacing w:after="0" w:line="72" w:lineRule="exact"/>
        <w:rPr>
          <w:rFonts w:ascii="Arial" w:cs="Arial" w:eastAsia="Arial" w:hAnsi="Arial"/>
          <w:sz w:val="16"/>
          <w:szCs w:val="16"/>
          <w:color w:val="auto"/>
        </w:rPr>
      </w:pPr>
    </w:p>
    <w:p>
      <w:pPr>
        <w:ind w:left="600" w:right="500" w:hanging="288"/>
        <w:spacing w:after="0" w:line="286"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on a director’s independence in the event the related person is a director, immediate family member of a director or an entity with which a director is affiliated;</w:t>
      </w:r>
    </w:p>
    <w:p>
      <w:pPr>
        <w:spacing w:after="0" w:line="20" w:lineRule="exact"/>
        <w:rPr>
          <w:rFonts w:ascii="Arial" w:cs="Arial" w:eastAsia="Arial" w:hAnsi="Arial"/>
          <w:sz w:val="16"/>
          <w:szCs w:val="16"/>
          <w:color w:val="auto"/>
        </w:rPr>
      </w:pPr>
    </w:p>
    <w:p>
      <w:pPr>
        <w:ind w:left="600" w:hanging="288"/>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terms of the transaction; and</w:t>
      </w:r>
    </w:p>
    <w:p>
      <w:pPr>
        <w:spacing w:after="0" w:line="72" w:lineRule="exact"/>
        <w:rPr>
          <w:rFonts w:ascii="Arial" w:cs="Arial" w:eastAsia="Arial" w:hAnsi="Arial"/>
          <w:sz w:val="16"/>
          <w:szCs w:val="16"/>
          <w:color w:val="auto"/>
        </w:rPr>
      </w:pPr>
    </w:p>
    <w:p>
      <w:pPr>
        <w:ind w:left="600" w:hanging="288"/>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availability of other sources for comparable services or products.</w:t>
      </w:r>
    </w:p>
    <w:p>
      <w:pPr>
        <w:spacing w:after="0" w:line="167"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59664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55</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190500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Householding of Proxy Materials</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number of brokers with account holders who are our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WM Technology, Inc. Direct your written request to Investor Relations at investors@weedmaps.com; 41 Discovery, Irvine CA 92618 or (844) 933-3627. Stockholders who currently receive multiple copies of the Notices of Internet Availability of Proxy Materials at their addresses and would like to request “householding” of their communications should contact their brokers. In addition, we will promptly deliver, upon written or oral request to the address or telephone number above, a separate copy of the Notice of Internet Availability of Proxy Materials or the full set of proxy materials, as applicable, to a stockholder at a shared address to which a single copy of the documents was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9664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56</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Other Matters</w:t>
      </w:r>
    </w:p>
    <w:p>
      <w:pPr>
        <w:spacing w:after="0" w:line="24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 Brian Camire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Brian Camire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June 10, 2024</w:t>
      </w:r>
    </w:p>
    <w:p>
      <w:pPr>
        <w:spacing w:after="0" w:line="16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A copy of our Annual Report to the Securities and Exchange Commission on Form 10-K for the year ended December 31, 2023 is available without charge upon written request to: Brian Camire, 41 Discovery, Irvine, California 92618.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59664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080"/>
        <w:spacing w:after="0"/>
        <w:tabs>
          <w:tab w:leader="none" w:pos="462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57</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Arial" w:cs="Arial" w:eastAsia="Arial" w:hAnsi="Arial"/>
          <w:sz w:val="58"/>
          <w:szCs w:val="58"/>
          <w:color w:val="auto"/>
        </w:rPr>
        <w:t>Appendix A—Supplemental</w:t>
      </w:r>
    </w:p>
    <w:p>
      <w:pPr>
        <w:spacing w:after="0" w:line="47" w:lineRule="exact"/>
        <w:rPr>
          <w:sz w:val="20"/>
          <w:szCs w:val="20"/>
          <w:color w:val="auto"/>
        </w:rPr>
      </w:pPr>
    </w:p>
    <w:p>
      <w:pPr>
        <w:spacing w:after="0"/>
        <w:rPr>
          <w:sz w:val="20"/>
          <w:szCs w:val="20"/>
          <w:color w:val="auto"/>
        </w:rPr>
      </w:pPr>
      <w:r>
        <w:rPr>
          <w:rFonts w:ascii="Arial" w:cs="Arial" w:eastAsia="Arial" w:hAnsi="Arial"/>
          <w:sz w:val="58"/>
          <w:szCs w:val="58"/>
          <w:color w:val="auto"/>
        </w:rPr>
        <w:t>Information About Financial</w:t>
      </w:r>
    </w:p>
    <w:p>
      <w:pPr>
        <w:spacing w:after="0"/>
        <w:rPr>
          <w:sz w:val="20"/>
          <w:szCs w:val="20"/>
          <w:color w:val="auto"/>
        </w:rPr>
      </w:pPr>
      <w:r>
        <w:rPr>
          <w:rFonts w:ascii="Arial" w:cs="Arial" w:eastAsia="Arial" w:hAnsi="Arial"/>
          <w:sz w:val="58"/>
          <w:szCs w:val="58"/>
          <w:color w:val="auto"/>
        </w:rPr>
        <w:t>Measures</w:t>
      </w:r>
    </w:p>
    <w:p>
      <w:pPr>
        <w:spacing w:after="0" w:line="191"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EBITDA and Adjusted EBITDA, both of which are non-GAAP financial measures that we calculate as net income (loss) before interest, taxes and depreciation, amortization and asset impairment expense in the case of EBITDA and further adjusted to exclude stock-based compensation, change in fair value of warrant liability ,change in tax receivable agreement liability, impairment charges, transaction related bonuses, transaction costs, legal settlements and other legal costs, discharge of holdback obligation related to prior acquisition, reduction in force and executive departures and other non-cash, unusual and/or infrequent costs in the case of Adjusted EBITDA. Below we have provided a reconciliation of net (loss) income (the most directly comparable GAAP financial measure) to EBITDA; and from EBITDA to Adjusted EBITDA.</w:t>
      </w:r>
    </w:p>
    <w:p>
      <w:pPr>
        <w:spacing w:after="0" w:line="12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12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23" w:lineRule="exact"/>
        <w:rPr>
          <w:sz w:val="20"/>
          <w:szCs w:val="20"/>
          <w:color w:val="auto"/>
        </w:rPr>
      </w:pPr>
    </w:p>
    <w:p>
      <w:pPr>
        <w:ind w:left="600" w:hanging="288"/>
        <w:spacing w:after="0" w:line="266"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22" w:lineRule="exact"/>
        <w:rPr>
          <w:rFonts w:ascii="Arial" w:cs="Arial" w:eastAsia="Arial" w:hAnsi="Arial"/>
          <w:sz w:val="16"/>
          <w:szCs w:val="16"/>
          <w:color w:val="auto"/>
        </w:rPr>
      </w:pPr>
    </w:p>
    <w:p>
      <w:pPr>
        <w:ind w:left="600" w:hanging="288"/>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EBITDA and Adjusted EBITDA do not reflect changes in, or cash requirements for, our working capital needs; and</w:t>
      </w:r>
    </w:p>
    <w:p>
      <w:pPr>
        <w:spacing w:after="0" w:line="86" w:lineRule="exact"/>
        <w:rPr>
          <w:rFonts w:ascii="Arial" w:cs="Arial" w:eastAsia="Arial" w:hAnsi="Arial"/>
          <w:sz w:val="16"/>
          <w:szCs w:val="16"/>
          <w:color w:val="auto"/>
        </w:rPr>
      </w:pPr>
    </w:p>
    <w:p>
      <w:pPr>
        <w:ind w:left="600" w:hanging="288"/>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EBITDA and Adjusted EBITDA do not reflect tax payments that may represent a reduction in cash available to us.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you should consider EBITDA and Adjusted EBITDA alongside other financial performance measures, including net income (loss) and our other 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5966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080"/>
        <w:spacing w:after="0"/>
        <w:tabs>
          <w:tab w:leader="none" w:pos="4600" w:val="left"/>
          <w:tab w:leader="none" w:pos="5080" w:val="left"/>
        </w:tabs>
        <w:rPr>
          <w:sz w:val="20"/>
          <w:szCs w:val="20"/>
          <w:color w:val="auto"/>
        </w:rPr>
      </w:pPr>
      <w:r>
        <w:rPr>
          <w:rFonts w:ascii="Arial" w:cs="Arial" w:eastAsia="Arial" w:hAnsi="Arial"/>
          <w:sz w:val="13"/>
          <w:szCs w:val="13"/>
          <w:b w:val="1"/>
          <w:bCs w:val="1"/>
          <w:color w:val="auto"/>
        </w:rPr>
        <w:t>WM Technology, Inc.</w:t>
      </w:r>
      <w:r>
        <w:rPr>
          <w:sz w:val="20"/>
          <w:szCs w:val="20"/>
          <w:color w:val="auto"/>
        </w:rPr>
        <w:tab/>
      </w:r>
      <w:r>
        <w:rPr>
          <w:rFonts w:ascii="Arial" w:cs="Arial" w:eastAsia="Arial" w:hAnsi="Arial"/>
          <w:sz w:val="13"/>
          <w:szCs w:val="13"/>
          <w:b w:val="1"/>
          <w:bCs w:val="1"/>
          <w:color w:val="auto"/>
        </w:rPr>
        <w:t>A-1</w:t>
      </w:r>
      <w:r>
        <w:rPr>
          <w:sz w:val="20"/>
          <w:szCs w:val="20"/>
          <w:color w:val="auto"/>
        </w:rPr>
        <w:tab/>
      </w:r>
      <w:r>
        <w:rPr>
          <w:rFonts w:ascii="Arial" w:cs="Arial" w:eastAsia="Arial" w:hAnsi="Arial"/>
          <w:sz w:val="12"/>
          <w:szCs w:val="12"/>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182245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40C0C0"/>
        </w:rPr>
        <w:t>Non-GAAP Reconciliations</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Wm Technology,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Net (Loss) Income to EBITDA and Adjusted EBITDA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800" w:type="dxa"/>
            <w:vAlign w:val="bottom"/>
          </w:tcPr>
          <w:p>
            <w:pPr>
              <w:spacing w:after="0"/>
              <w:rPr>
                <w:sz w:val="24"/>
                <w:szCs w:val="24"/>
                <w:color w:val="auto"/>
              </w:rPr>
            </w:pPr>
          </w:p>
        </w:tc>
        <w:tc>
          <w:tcPr>
            <w:tcW w:w="446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2040" w:type="dxa"/>
            <w:vAlign w:val="bottom"/>
            <w:shd w:val="clear" w:color="auto" w:fill="000000"/>
          </w:tcPr>
          <w:p>
            <w:pPr>
              <w:spacing w:after="0"/>
              <w:rPr>
                <w:sz w:val="24"/>
                <w:szCs w:val="24"/>
                <w:color w:val="auto"/>
              </w:rPr>
            </w:pPr>
          </w:p>
        </w:tc>
        <w:tc>
          <w:tcPr>
            <w:tcW w:w="50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Year​</w:t>
            </w:r>
          </w:p>
        </w:tc>
        <w:tc>
          <w:tcPr>
            <w:tcW w:w="1900" w:type="dxa"/>
            <w:vAlign w:val="bottom"/>
            <w:gridSpan w:val="2"/>
            <w:shd w:val="clear" w:color="auto" w:fill="000000"/>
          </w:tcPr>
          <w:p>
            <w:pPr>
              <w:jc w:val="right"/>
              <w:ind w:right="388"/>
              <w:spacing w:after="0"/>
              <w:rPr>
                <w:sz w:val="20"/>
                <w:szCs w:val="20"/>
                <w:color w:val="auto"/>
              </w:rPr>
            </w:pPr>
            <w:r>
              <w:rPr>
                <w:rFonts w:ascii="Arial" w:cs="Arial" w:eastAsia="Arial" w:hAnsi="Arial"/>
                <w:sz w:val="14"/>
                <w:szCs w:val="14"/>
                <w:b w:val="1"/>
                <w:bCs w:val="1"/>
                <w:color w:val="FFFFFF"/>
              </w:rPr>
              <w:t>Ended December 31,</w:t>
            </w:r>
          </w:p>
        </w:tc>
        <w:tc>
          <w:tcPr>
            <w:tcW w:w="820" w:type="dxa"/>
            <w:vAlign w:val="bottom"/>
          </w:tcPr>
          <w:p>
            <w:pPr>
              <w:spacing w:after="0"/>
              <w:rPr>
                <w:sz w:val="24"/>
                <w:szCs w:val="24"/>
                <w:color w:val="auto"/>
              </w:rPr>
            </w:pPr>
          </w:p>
        </w:tc>
      </w:tr>
      <w:tr>
        <w:trPr>
          <w:trHeight w:val="130"/>
        </w:trPr>
        <w:tc>
          <w:tcPr>
            <w:tcW w:w="800" w:type="dxa"/>
            <w:vAlign w:val="bottom"/>
          </w:tcPr>
          <w:p>
            <w:pPr>
              <w:spacing w:after="0"/>
              <w:rPr>
                <w:sz w:val="11"/>
                <w:szCs w:val="11"/>
                <w:color w:val="auto"/>
              </w:rPr>
            </w:pPr>
          </w:p>
        </w:tc>
        <w:tc>
          <w:tcPr>
            <w:tcW w:w="446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204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spacing w:after="0"/>
              <w:rPr>
                <w:sz w:val="11"/>
                <w:szCs w:val="11"/>
                <w:color w:val="auto"/>
              </w:rPr>
            </w:pPr>
          </w:p>
        </w:tc>
        <w:tc>
          <w:tcPr>
            <w:tcW w:w="1260" w:type="dxa"/>
            <w:vAlign w:val="bottom"/>
            <w:shd w:val="clear" w:color="auto" w:fill="000000"/>
          </w:tcPr>
          <w:p>
            <w:pPr>
              <w:spacing w:after="0"/>
              <w:rPr>
                <w:sz w:val="11"/>
                <w:szCs w:val="11"/>
                <w:color w:val="auto"/>
              </w:rPr>
            </w:pPr>
          </w:p>
        </w:tc>
        <w:tc>
          <w:tcPr>
            <w:tcW w:w="820" w:type="dxa"/>
            <w:vAlign w:val="bottom"/>
          </w:tcPr>
          <w:p>
            <w:pPr>
              <w:spacing w:after="0"/>
              <w:rPr>
                <w:sz w:val="11"/>
                <w:szCs w:val="11"/>
                <w:color w:val="auto"/>
              </w:rPr>
            </w:pPr>
          </w:p>
        </w:tc>
      </w:tr>
      <w:tr>
        <w:trPr>
          <w:trHeight w:val="342"/>
        </w:trPr>
        <w:tc>
          <w:tcPr>
            <w:tcW w:w="800" w:type="dxa"/>
            <w:vAlign w:val="bottom"/>
          </w:tcPr>
          <w:p>
            <w:pPr>
              <w:spacing w:after="0"/>
              <w:rPr>
                <w:sz w:val="24"/>
                <w:szCs w:val="24"/>
                <w:color w:val="auto"/>
              </w:rPr>
            </w:pPr>
          </w:p>
        </w:tc>
        <w:tc>
          <w:tcPr>
            <w:tcW w:w="4460" w:type="dxa"/>
            <w:vAlign w:val="bottom"/>
            <w:shd w:val="clear" w:color="auto" w:fill="000000"/>
          </w:tcPr>
          <w:p>
            <w:pPr>
              <w:spacing w:after="0"/>
              <w:rPr>
                <w:sz w:val="24"/>
                <w:szCs w:val="24"/>
                <w:color w:val="auto"/>
              </w:rPr>
            </w:pPr>
          </w:p>
        </w:tc>
        <w:tc>
          <w:tcPr>
            <w:tcW w:w="500" w:type="dxa"/>
            <w:vAlign w:val="bottom"/>
            <w:shd w:val="clear" w:color="auto" w:fill="000000"/>
          </w:tcPr>
          <w:p>
            <w:pPr>
              <w:spacing w:after="0"/>
              <w:rPr>
                <w:sz w:val="24"/>
                <w:szCs w:val="24"/>
                <w:color w:val="auto"/>
              </w:rPr>
            </w:pPr>
          </w:p>
        </w:tc>
        <w:tc>
          <w:tcPr>
            <w:tcW w:w="2040" w:type="dxa"/>
            <w:vAlign w:val="bottom"/>
            <w:shd w:val="clear" w:color="auto" w:fill="000000"/>
          </w:tcPr>
          <w:p>
            <w:pPr>
              <w:spacing w:after="0"/>
              <w:rPr>
                <w:sz w:val="24"/>
                <w:szCs w:val="24"/>
                <w:color w:val="auto"/>
              </w:rPr>
            </w:pPr>
          </w:p>
        </w:tc>
        <w:tc>
          <w:tcPr>
            <w:tcW w:w="1140" w:type="dxa"/>
            <w:vAlign w:val="bottom"/>
            <w:gridSpan w:val="2"/>
            <w:shd w:val="clear" w:color="auto" w:fill="000000"/>
          </w:tcPr>
          <w:p>
            <w:pPr>
              <w:jc w:val="right"/>
              <w:ind w:right="508"/>
              <w:spacing w:after="0"/>
              <w:rPr>
                <w:sz w:val="20"/>
                <w:szCs w:val="20"/>
                <w:color w:val="auto"/>
              </w:rPr>
            </w:pPr>
            <w:r>
              <w:rPr>
                <w:rFonts w:ascii="Arial" w:cs="Arial" w:eastAsia="Arial" w:hAnsi="Arial"/>
                <w:sz w:val="14"/>
                <w:szCs w:val="14"/>
                <w:b w:val="1"/>
                <w:bCs w:val="1"/>
                <w:color w:val="FFFFFF"/>
              </w:rPr>
              <w:t>2023​</w:t>
            </w:r>
          </w:p>
        </w:tc>
        <w:tc>
          <w:tcPr>
            <w:tcW w:w="1260" w:type="dxa"/>
            <w:vAlign w:val="bottom"/>
            <w:shd w:val="clear" w:color="auto" w:fill="000000"/>
          </w:tcPr>
          <w:p>
            <w:pPr>
              <w:jc w:val="right"/>
              <w:spacing w:after="0"/>
              <w:rPr>
                <w:sz w:val="20"/>
                <w:szCs w:val="20"/>
                <w:color w:val="auto"/>
              </w:rPr>
            </w:pPr>
            <w:r>
              <w:rPr>
                <w:rFonts w:ascii="Arial" w:cs="Arial" w:eastAsia="Arial" w:hAnsi="Arial"/>
                <w:sz w:val="14"/>
                <w:szCs w:val="14"/>
                <w:b w:val="1"/>
                <w:bCs w:val="1"/>
                <w:color w:val="FFFFFF"/>
              </w:rPr>
              <w:t>2022</w:t>
            </w:r>
          </w:p>
        </w:tc>
        <w:tc>
          <w:tcPr>
            <w:tcW w:w="820" w:type="dxa"/>
            <w:vAlign w:val="bottom"/>
          </w:tcPr>
          <w:p>
            <w:pPr>
              <w:spacing w:after="0"/>
              <w:rPr>
                <w:sz w:val="24"/>
                <w:szCs w:val="24"/>
                <w:color w:val="auto"/>
              </w:rPr>
            </w:pPr>
          </w:p>
        </w:tc>
      </w:tr>
      <w:tr>
        <w:trPr>
          <w:trHeight w:val="110"/>
        </w:trPr>
        <w:tc>
          <w:tcPr>
            <w:tcW w:w="800" w:type="dxa"/>
            <w:vAlign w:val="bottom"/>
          </w:tcPr>
          <w:p>
            <w:pPr>
              <w:spacing w:after="0"/>
              <w:rPr>
                <w:sz w:val="9"/>
                <w:szCs w:val="9"/>
                <w:color w:val="auto"/>
              </w:rPr>
            </w:pPr>
          </w:p>
        </w:tc>
        <w:tc>
          <w:tcPr>
            <w:tcW w:w="4460" w:type="dxa"/>
            <w:vAlign w:val="bottom"/>
            <w:shd w:val="clear" w:color="auto" w:fill="000000"/>
          </w:tcPr>
          <w:p>
            <w:pPr>
              <w:spacing w:after="0"/>
              <w:rPr>
                <w:sz w:val="9"/>
                <w:szCs w:val="9"/>
                <w:color w:val="auto"/>
              </w:rPr>
            </w:pPr>
          </w:p>
        </w:tc>
        <w:tc>
          <w:tcPr>
            <w:tcW w:w="500" w:type="dxa"/>
            <w:vAlign w:val="bottom"/>
            <w:shd w:val="clear" w:color="auto" w:fill="000000"/>
          </w:tcPr>
          <w:p>
            <w:pPr>
              <w:spacing w:after="0"/>
              <w:rPr>
                <w:sz w:val="9"/>
                <w:szCs w:val="9"/>
                <w:color w:val="auto"/>
              </w:rPr>
            </w:pPr>
          </w:p>
        </w:tc>
        <w:tc>
          <w:tcPr>
            <w:tcW w:w="3180" w:type="dxa"/>
            <w:vAlign w:val="bottom"/>
            <w:gridSpan w:val="3"/>
            <w:shd w:val="clear" w:color="auto" w:fill="000000"/>
          </w:tcPr>
          <w:p>
            <w:pPr>
              <w:spacing w:after="0"/>
              <w:rPr>
                <w:sz w:val="9"/>
                <w:szCs w:val="9"/>
                <w:color w:val="auto"/>
              </w:rPr>
            </w:pPr>
          </w:p>
        </w:tc>
        <w:tc>
          <w:tcPr>
            <w:tcW w:w="1260" w:type="dxa"/>
            <w:vAlign w:val="bottom"/>
            <w:shd w:val="clear" w:color="auto" w:fill="000000"/>
          </w:tcPr>
          <w:p>
            <w:pPr>
              <w:spacing w:after="0"/>
              <w:rPr>
                <w:sz w:val="9"/>
                <w:szCs w:val="9"/>
                <w:color w:val="auto"/>
              </w:rPr>
            </w:pPr>
          </w:p>
        </w:tc>
        <w:tc>
          <w:tcPr>
            <w:tcW w:w="820" w:type="dxa"/>
            <w:vAlign w:val="bottom"/>
          </w:tcPr>
          <w:p>
            <w:pPr>
              <w:spacing w:after="0"/>
              <w:rPr>
                <w:sz w:val="9"/>
                <w:szCs w:val="9"/>
                <w:color w:val="auto"/>
              </w:rPr>
            </w:pPr>
          </w:p>
        </w:tc>
      </w:tr>
      <w:tr>
        <w:trPr>
          <w:trHeight w:val="322"/>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Net (loss) income</w:t>
            </w:r>
          </w:p>
        </w:tc>
        <w:tc>
          <w:tcPr>
            <w:tcW w:w="500" w:type="dxa"/>
            <w:vAlign w:val="bottom"/>
          </w:tcPr>
          <w:p>
            <w:pPr>
              <w:spacing w:after="0"/>
              <w:rPr>
                <w:sz w:val="24"/>
                <w:szCs w:val="24"/>
                <w:color w:val="auto"/>
              </w:rPr>
            </w:pPr>
          </w:p>
        </w:tc>
        <w:tc>
          <w:tcPr>
            <w:tcW w:w="3180" w:type="dxa"/>
            <w:vAlign w:val="bottom"/>
            <w:gridSpan w:val="3"/>
          </w:tcPr>
          <w:p>
            <w:pPr>
              <w:jc w:val="right"/>
              <w:ind w:right="548"/>
              <w:spacing w:after="0"/>
              <w:rPr>
                <w:sz w:val="20"/>
                <w:szCs w:val="20"/>
                <w:color w:val="auto"/>
              </w:rPr>
            </w:pPr>
            <w:r>
              <w:rPr>
                <w:rFonts w:ascii="Arial" w:cs="Arial" w:eastAsia="Arial" w:hAnsi="Arial"/>
                <w:sz w:val="14"/>
                <w:szCs w:val="14"/>
                <w:color w:val="auto"/>
              </w:rPr>
              <w:t>$(15,727)</w:t>
            </w:r>
          </w:p>
        </w:tc>
        <w:tc>
          <w:tcPr>
            <w:tcW w:w="1260" w:type="dxa"/>
            <w:vAlign w:val="bottom"/>
          </w:tcPr>
          <w:p>
            <w:pPr>
              <w:jc w:val="right"/>
              <w:spacing w:after="0"/>
              <w:rPr>
                <w:sz w:val="20"/>
                <w:szCs w:val="20"/>
                <w:color w:val="auto"/>
              </w:rPr>
            </w:pPr>
            <w:r>
              <w:rPr>
                <w:rFonts w:ascii="Arial" w:cs="Arial" w:eastAsia="Arial" w:hAnsi="Arial"/>
                <w:sz w:val="14"/>
                <w:szCs w:val="14"/>
                <w:color w:val="auto"/>
              </w:rPr>
              <w:t>$(82,651)</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Provision for (benefit from) income taxes</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w:t>
            </w:r>
          </w:p>
        </w:tc>
        <w:tc>
          <w:tcPr>
            <w:tcW w:w="64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179,077</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540" w:type="dxa"/>
            <w:vAlign w:val="bottom"/>
            <w:tcBorders>
              <w:bottom w:val="single" w:sz="8" w:color="999999"/>
            </w:tcBorders>
            <w:gridSpan w:val="2"/>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Depreciation and amortization expenses</w:t>
            </w:r>
          </w:p>
        </w:tc>
        <w:tc>
          <w:tcPr>
            <w:tcW w:w="50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12,133</w:t>
            </w:r>
          </w:p>
        </w:tc>
        <w:tc>
          <w:tcPr>
            <w:tcW w:w="64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11,498</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1140" w:type="dxa"/>
            <w:vAlign w:val="bottom"/>
            <w:tcBorders>
              <w:bottom w:val="single" w:sz="8" w:color="999999"/>
            </w:tcBorders>
            <w:gridSpan w:val="2"/>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Interest expense</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gridSpan w:val="2"/>
          </w:tcPr>
          <w:p>
            <w:pPr>
              <w:jc w:val="right"/>
              <w:ind w:right="528"/>
              <w:spacing w:after="0"/>
              <w:rPr>
                <w:sz w:val="20"/>
                <w:szCs w:val="20"/>
                <w:color w:val="auto"/>
              </w:rPr>
            </w:pPr>
            <w:r>
              <w:rPr>
                <w:rFonts w:ascii="Arial" w:cs="Arial" w:eastAsia="Arial" w:hAnsi="Arial"/>
                <w:sz w:val="14"/>
                <w:szCs w:val="14"/>
                <w:color w:val="auto"/>
              </w:rPr>
              <w:t>(33)</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1140" w:type="dxa"/>
            <w:vAlign w:val="bottom"/>
            <w:tcBorders>
              <w:bottom w:val="single" w:sz="8" w:color="999999"/>
            </w:tcBorders>
            <w:gridSpan w:val="2"/>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EBITDA</w:t>
            </w:r>
          </w:p>
        </w:tc>
        <w:tc>
          <w:tcPr>
            <w:tcW w:w="500" w:type="dxa"/>
            <w:vAlign w:val="bottom"/>
          </w:tcPr>
          <w:p>
            <w:pPr>
              <w:spacing w:after="0"/>
              <w:rPr>
                <w:sz w:val="24"/>
                <w:szCs w:val="24"/>
                <w:color w:val="auto"/>
              </w:rPr>
            </w:pPr>
          </w:p>
        </w:tc>
        <w:tc>
          <w:tcPr>
            <w:tcW w:w="2040" w:type="dxa"/>
            <w:vAlign w:val="bottom"/>
          </w:tcPr>
          <w:p>
            <w:pPr>
              <w:ind w:left="196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548"/>
              <w:spacing w:after="0"/>
              <w:rPr>
                <w:sz w:val="20"/>
                <w:szCs w:val="20"/>
                <w:color w:val="auto"/>
              </w:rPr>
            </w:pPr>
            <w:r>
              <w:rPr>
                <w:rFonts w:ascii="Arial" w:cs="Arial" w:eastAsia="Arial" w:hAnsi="Arial"/>
                <w:sz w:val="14"/>
                <w:szCs w:val="14"/>
                <w:color w:val="auto"/>
              </w:rPr>
              <w:t>(3,534)</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107,924</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Stock-based compensation</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13,515</w:t>
            </w:r>
          </w:p>
        </w:tc>
        <w:tc>
          <w:tcPr>
            <w:tcW w:w="64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23,493</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1140" w:type="dxa"/>
            <w:vAlign w:val="bottom"/>
            <w:tcBorders>
              <w:bottom w:val="single" w:sz="8" w:color="999999"/>
            </w:tcBorders>
            <w:gridSpan w:val="2"/>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Change in fair value of warrant liability</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gridSpan w:val="2"/>
          </w:tcPr>
          <w:p>
            <w:pPr>
              <w:jc w:val="right"/>
              <w:ind w:right="548"/>
              <w:spacing w:after="0"/>
              <w:rPr>
                <w:sz w:val="20"/>
                <w:szCs w:val="20"/>
                <w:color w:val="auto"/>
              </w:rPr>
            </w:pPr>
            <w:r>
              <w:rPr>
                <w:rFonts w:ascii="Arial" w:cs="Arial" w:eastAsia="Arial" w:hAnsi="Arial"/>
                <w:sz w:val="14"/>
                <w:szCs w:val="14"/>
                <w:color w:val="auto"/>
              </w:rPr>
              <w:t>(1,505)</w:t>
            </w:r>
          </w:p>
        </w:tc>
        <w:tc>
          <w:tcPr>
            <w:tcW w:w="1260" w:type="dxa"/>
            <w:vAlign w:val="bottom"/>
          </w:tcPr>
          <w:p>
            <w:pPr>
              <w:jc w:val="right"/>
              <w:spacing w:after="0"/>
              <w:rPr>
                <w:sz w:val="20"/>
                <w:szCs w:val="20"/>
                <w:color w:val="auto"/>
              </w:rPr>
            </w:pPr>
            <w:r>
              <w:rPr>
                <w:rFonts w:ascii="Arial" w:cs="Arial" w:eastAsia="Arial" w:hAnsi="Arial"/>
                <w:sz w:val="14"/>
                <w:szCs w:val="14"/>
                <w:color w:val="auto"/>
              </w:rPr>
              <w:t>(25,370)</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1140" w:type="dxa"/>
            <w:vAlign w:val="bottom"/>
            <w:tcBorders>
              <w:bottom w:val="single" w:sz="8" w:color="999999"/>
            </w:tcBorders>
            <w:gridSpan w:val="2"/>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Discharge of holdback obligation related to prior acquisition</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gridSpan w:val="2"/>
          </w:tcPr>
          <w:p>
            <w:pPr>
              <w:jc w:val="right"/>
              <w:ind w:right="548"/>
              <w:spacing w:after="0"/>
              <w:rPr>
                <w:sz w:val="20"/>
                <w:szCs w:val="20"/>
                <w:color w:val="auto"/>
              </w:rPr>
            </w:pPr>
            <w:r>
              <w:rPr>
                <w:rFonts w:ascii="Arial" w:cs="Arial" w:eastAsia="Arial" w:hAnsi="Arial"/>
                <w:sz w:val="14"/>
                <w:szCs w:val="14"/>
                <w:color w:val="auto"/>
              </w:rPr>
              <w:t>(3,705)</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820" w:type="dxa"/>
            <w:vAlign w:val="bottom"/>
          </w:tcPr>
          <w:p>
            <w:pPr>
              <w:spacing w:after="0"/>
              <w:rPr>
                <w:sz w:val="24"/>
                <w:szCs w:val="24"/>
                <w:color w:val="auto"/>
              </w:rPr>
            </w:pPr>
          </w:p>
        </w:tc>
      </w:tr>
      <w:tr>
        <w:trPr>
          <w:trHeight w:val="124"/>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Impairment of right-of-use asset and investment securities</w:t>
            </w:r>
          </w:p>
        </w:tc>
        <w:tc>
          <w:tcPr>
            <w:tcW w:w="500" w:type="dxa"/>
            <w:vAlign w:val="bottom"/>
          </w:tcPr>
          <w:p>
            <w:pPr>
              <w:spacing w:after="0"/>
              <w:rPr>
                <w:sz w:val="24"/>
                <w:szCs w:val="24"/>
                <w:color w:val="auto"/>
              </w:rPr>
            </w:pPr>
          </w:p>
        </w:tc>
        <w:tc>
          <w:tcPr>
            <w:tcW w:w="2040" w:type="dxa"/>
            <w:vAlign w:val="bottom"/>
          </w:tcPr>
          <w:p>
            <w:pPr>
              <w:ind w:left="196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24,403</w:t>
            </w:r>
          </w:p>
        </w:tc>
        <w:tc>
          <w:tcPr>
            <w:tcW w:w="64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4,317</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Transaction related bonus expense</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3,089</w:t>
            </w:r>
          </w:p>
        </w:tc>
        <w:tc>
          <w:tcPr>
            <w:tcW w:w="64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10,119</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Transaction costs</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64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251</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Legal settlements and other legal costs</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3,194</w:t>
            </w:r>
          </w:p>
        </w:tc>
        <w:tc>
          <w:tcPr>
            <w:tcW w:w="64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3,909</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Change in tax receivable agreement liability</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1,256</w:t>
            </w:r>
          </w:p>
        </w:tc>
        <w:tc>
          <w:tcPr>
            <w:tcW w:w="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(142,352)</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04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40C0C0"/>
              </w:rPr>
              <w:t>Reduction in force and executive departures</w:t>
            </w: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194</w:t>
            </w:r>
          </w:p>
        </w:tc>
        <w:tc>
          <w:tcPr>
            <w:tcW w:w="64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8,076</w:t>
            </w:r>
          </w:p>
        </w:tc>
        <w:tc>
          <w:tcPr>
            <w:tcW w:w="820" w:type="dxa"/>
            <w:vAlign w:val="bottom"/>
          </w:tcPr>
          <w:p>
            <w:pPr>
              <w:spacing w:after="0"/>
              <w:rPr>
                <w:sz w:val="24"/>
                <w:szCs w:val="24"/>
                <w:color w:val="auto"/>
              </w:rPr>
            </w:pPr>
          </w:p>
        </w:tc>
      </w:tr>
      <w:tr>
        <w:trPr>
          <w:trHeight w:val="123"/>
        </w:trPr>
        <w:tc>
          <w:tcPr>
            <w:tcW w:w="800" w:type="dxa"/>
            <w:vAlign w:val="bottom"/>
          </w:tcPr>
          <w:p>
            <w:pPr>
              <w:spacing w:after="0"/>
              <w:rPr>
                <w:sz w:val="10"/>
                <w:szCs w:val="10"/>
                <w:color w:val="auto"/>
              </w:rPr>
            </w:pPr>
          </w:p>
        </w:tc>
        <w:tc>
          <w:tcPr>
            <w:tcW w:w="4460" w:type="dxa"/>
            <w:vAlign w:val="bottom"/>
            <w:tcBorders>
              <w:bottom w:val="single" w:sz="8" w:color="999999"/>
            </w:tcBorders>
          </w:tcPr>
          <w:p>
            <w:pPr>
              <w:spacing w:after="0"/>
              <w:rPr>
                <w:sz w:val="10"/>
                <w:szCs w:val="10"/>
                <w:color w:val="auto"/>
              </w:rPr>
            </w:pPr>
          </w:p>
        </w:tc>
        <w:tc>
          <w:tcPr>
            <w:tcW w:w="500" w:type="dxa"/>
            <w:vAlign w:val="bottom"/>
            <w:tcBorders>
              <w:bottom w:val="single" w:sz="8" w:color="999999"/>
            </w:tcBorders>
          </w:tcPr>
          <w:p>
            <w:pPr>
              <w:spacing w:after="0"/>
              <w:rPr>
                <w:sz w:val="10"/>
                <w:szCs w:val="10"/>
                <w:color w:val="auto"/>
              </w:rPr>
            </w:pPr>
          </w:p>
        </w:tc>
        <w:tc>
          <w:tcPr>
            <w:tcW w:w="2540" w:type="dxa"/>
            <w:vAlign w:val="bottom"/>
            <w:tcBorders>
              <w:bottom w:val="single" w:sz="8" w:color="999999"/>
            </w:tcBorders>
            <w:gridSpan w:val="2"/>
          </w:tcPr>
          <w:p>
            <w:pPr>
              <w:spacing w:after="0"/>
              <w:rPr>
                <w:sz w:val="10"/>
                <w:szCs w:val="10"/>
                <w:color w:val="auto"/>
              </w:rPr>
            </w:pPr>
          </w:p>
        </w:tc>
        <w:tc>
          <w:tcPr>
            <w:tcW w:w="640" w:type="dxa"/>
            <w:vAlign w:val="bottom"/>
            <w:tcBorders>
              <w:bottom w:val="single" w:sz="8" w:color="999999"/>
            </w:tcBorders>
          </w:tcPr>
          <w:p>
            <w:pPr>
              <w:spacing w:after="0"/>
              <w:rPr>
                <w:sz w:val="10"/>
                <w:szCs w:val="10"/>
                <w:color w:val="auto"/>
              </w:rPr>
            </w:pPr>
          </w:p>
        </w:tc>
        <w:tc>
          <w:tcPr>
            <w:tcW w:w="1260" w:type="dxa"/>
            <w:vAlign w:val="bottom"/>
            <w:tcBorders>
              <w:bottom w:val="single" w:sz="8" w:color="999999"/>
            </w:tcBorders>
          </w:tcPr>
          <w:p>
            <w:pPr>
              <w:spacing w:after="0"/>
              <w:rPr>
                <w:sz w:val="10"/>
                <w:szCs w:val="10"/>
                <w:color w:val="auto"/>
              </w:rPr>
            </w:pPr>
          </w:p>
        </w:tc>
        <w:tc>
          <w:tcPr>
            <w:tcW w:w="820" w:type="dxa"/>
            <w:vAlign w:val="bottom"/>
          </w:tcPr>
          <w:p>
            <w:pPr>
              <w:spacing w:after="0"/>
              <w:rPr>
                <w:sz w:val="10"/>
                <w:szCs w:val="10"/>
                <w:color w:val="auto"/>
              </w:rPr>
            </w:pPr>
          </w:p>
        </w:tc>
      </w:tr>
      <w:tr>
        <w:trPr>
          <w:trHeight w:val="329"/>
        </w:trPr>
        <w:tc>
          <w:tcPr>
            <w:tcW w:w="800" w:type="dxa"/>
            <w:vAlign w:val="bottom"/>
          </w:tcPr>
          <w:p>
            <w:pPr>
              <w:spacing w:after="0"/>
              <w:rPr>
                <w:sz w:val="24"/>
                <w:szCs w:val="2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Adjusted EBITDA</w:t>
            </w:r>
          </w:p>
        </w:tc>
        <w:tc>
          <w:tcPr>
            <w:tcW w:w="50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color w:val="auto"/>
              </w:rPr>
              <w:t>$36,907</w:t>
            </w:r>
          </w:p>
        </w:tc>
        <w:tc>
          <w:tcPr>
            <w:tcW w:w="6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$(9,633)</w:t>
            </w:r>
          </w:p>
        </w:tc>
        <w:tc>
          <w:tcPr>
            <w:tcW w:w="820" w:type="dxa"/>
            <w:vAlign w:val="bottom"/>
          </w:tcPr>
          <w:p>
            <w:pPr>
              <w:spacing w:after="0"/>
              <w:rPr>
                <w:sz w:val="24"/>
                <w:szCs w:val="24"/>
                <w:color w:val="auto"/>
              </w:rPr>
            </w:pPr>
          </w:p>
        </w:tc>
      </w:tr>
      <w:tr>
        <w:trPr>
          <w:trHeight w:val="110"/>
        </w:trPr>
        <w:tc>
          <w:tcPr>
            <w:tcW w:w="800" w:type="dxa"/>
            <w:vAlign w:val="bottom"/>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r>
      <w:tr>
        <w:trPr>
          <w:trHeight w:val="209"/>
        </w:trPr>
        <w:tc>
          <w:tcPr>
            <w:tcW w:w="800" w:type="dxa"/>
            <w:vAlign w:val="bottom"/>
          </w:tcPr>
          <w:p>
            <w:pPr>
              <w:spacing w:after="0"/>
              <w:rPr>
                <w:sz w:val="18"/>
                <w:szCs w:val="18"/>
                <w:color w:val="auto"/>
              </w:rPr>
            </w:pPr>
          </w:p>
        </w:tc>
        <w:tc>
          <w:tcPr>
            <w:tcW w:w="4460" w:type="dxa"/>
            <w:vAlign w:val="bottom"/>
            <w:tcBorders>
              <w:bottom w:val="single" w:sz="8" w:color="40C0C0"/>
            </w:tcBorders>
          </w:tcPr>
          <w:p>
            <w:pPr>
              <w:spacing w:after="0"/>
              <w:rPr>
                <w:sz w:val="18"/>
                <w:szCs w:val="18"/>
                <w:color w:val="auto"/>
              </w:rPr>
            </w:pPr>
          </w:p>
        </w:tc>
        <w:tc>
          <w:tcPr>
            <w:tcW w:w="500" w:type="dxa"/>
            <w:vAlign w:val="bottom"/>
            <w:tcBorders>
              <w:bottom w:val="single" w:sz="8" w:color="40C0C0"/>
            </w:tcBorders>
          </w:tcPr>
          <w:p>
            <w:pPr>
              <w:spacing w:after="0"/>
              <w:rPr>
                <w:sz w:val="18"/>
                <w:szCs w:val="18"/>
                <w:color w:val="auto"/>
              </w:rPr>
            </w:pPr>
          </w:p>
        </w:tc>
        <w:tc>
          <w:tcPr>
            <w:tcW w:w="2040" w:type="dxa"/>
            <w:vAlign w:val="bottom"/>
            <w:tcBorders>
              <w:bottom w:val="single" w:sz="8" w:color="40C0C0"/>
            </w:tcBorders>
          </w:tcPr>
          <w:p>
            <w:pPr>
              <w:spacing w:after="0"/>
              <w:rPr>
                <w:sz w:val="18"/>
                <w:szCs w:val="18"/>
                <w:color w:val="auto"/>
              </w:rPr>
            </w:pPr>
          </w:p>
        </w:tc>
        <w:tc>
          <w:tcPr>
            <w:tcW w:w="500" w:type="dxa"/>
            <w:vAlign w:val="bottom"/>
            <w:tcBorders>
              <w:bottom w:val="single" w:sz="8" w:color="40C0C0"/>
            </w:tcBorders>
          </w:tcPr>
          <w:p>
            <w:pPr>
              <w:spacing w:after="0"/>
              <w:rPr>
                <w:sz w:val="18"/>
                <w:szCs w:val="18"/>
                <w:color w:val="auto"/>
              </w:rPr>
            </w:pPr>
          </w:p>
        </w:tc>
        <w:tc>
          <w:tcPr>
            <w:tcW w:w="640" w:type="dxa"/>
            <w:vAlign w:val="bottom"/>
            <w:tcBorders>
              <w:bottom w:val="single" w:sz="8" w:color="40C0C0"/>
            </w:tcBorders>
          </w:tcPr>
          <w:p>
            <w:pPr>
              <w:spacing w:after="0"/>
              <w:rPr>
                <w:sz w:val="18"/>
                <w:szCs w:val="18"/>
                <w:color w:val="auto"/>
              </w:rPr>
            </w:pPr>
          </w:p>
        </w:tc>
        <w:tc>
          <w:tcPr>
            <w:tcW w:w="1260" w:type="dxa"/>
            <w:vAlign w:val="bottom"/>
            <w:tcBorders>
              <w:bottom w:val="single" w:sz="8" w:color="40C0C0"/>
            </w:tcBorders>
          </w:tcPr>
          <w:p>
            <w:pPr>
              <w:spacing w:after="0"/>
              <w:rPr>
                <w:sz w:val="18"/>
                <w:szCs w:val="18"/>
                <w:color w:val="auto"/>
              </w:rPr>
            </w:pPr>
          </w:p>
        </w:tc>
        <w:tc>
          <w:tcPr>
            <w:tcW w:w="820" w:type="dxa"/>
            <w:vAlign w:val="bottom"/>
          </w:tcPr>
          <w:p>
            <w:pPr>
              <w:spacing w:after="0"/>
              <w:rPr>
                <w:sz w:val="18"/>
                <w:szCs w:val="18"/>
                <w:color w:val="auto"/>
              </w:rPr>
            </w:pPr>
          </w:p>
        </w:tc>
      </w:tr>
      <w:tr>
        <w:trPr>
          <w:trHeight w:val="418"/>
        </w:trPr>
        <w:tc>
          <w:tcPr>
            <w:tcW w:w="800" w:type="dxa"/>
            <w:vAlign w:val="bottom"/>
          </w:tcPr>
          <w:p>
            <w:pPr>
              <w:spacing w:after="0"/>
              <w:rPr>
                <w:sz w:val="24"/>
                <w:szCs w:val="24"/>
                <w:color w:val="auto"/>
              </w:rPr>
            </w:pPr>
          </w:p>
        </w:tc>
        <w:tc>
          <w:tcPr>
            <w:tcW w:w="4460" w:type="dxa"/>
            <w:vAlign w:val="bottom"/>
          </w:tcPr>
          <w:p>
            <w:pPr>
              <w:ind w:left="3080"/>
              <w:spacing w:after="0"/>
              <w:rPr>
                <w:sz w:val="20"/>
                <w:szCs w:val="20"/>
                <w:color w:val="auto"/>
              </w:rPr>
            </w:pPr>
            <w:r>
              <w:rPr>
                <w:rFonts w:ascii="Arial" w:cs="Arial" w:eastAsia="Arial" w:hAnsi="Arial"/>
                <w:sz w:val="13"/>
                <w:szCs w:val="13"/>
                <w:b w:val="1"/>
                <w:bCs w:val="1"/>
                <w:color w:val="auto"/>
              </w:rPr>
              <w:t>WM Technology, Inc.</w:t>
            </w:r>
          </w:p>
        </w:tc>
        <w:tc>
          <w:tcPr>
            <w:tcW w:w="500" w:type="dxa"/>
            <w:vAlign w:val="bottom"/>
          </w:tcPr>
          <w:p>
            <w:pPr>
              <w:ind w:left="160"/>
              <w:spacing w:after="0"/>
              <w:rPr>
                <w:sz w:val="20"/>
                <w:szCs w:val="20"/>
                <w:color w:val="auto"/>
              </w:rPr>
            </w:pPr>
            <w:r>
              <w:rPr>
                <w:rFonts w:ascii="Arial" w:cs="Arial" w:eastAsia="Arial" w:hAnsi="Arial"/>
                <w:sz w:val="13"/>
                <w:szCs w:val="13"/>
                <w:b w:val="1"/>
                <w:bCs w:val="1"/>
                <w:color w:val="auto"/>
              </w:rPr>
              <w:t>A-2</w:t>
            </w:r>
          </w:p>
        </w:tc>
        <w:tc>
          <w:tcPr>
            <w:tcW w:w="2040" w:type="dxa"/>
            <w:vAlign w:val="bottom"/>
          </w:tcPr>
          <w:p>
            <w:pPr>
              <w:ind w:left="140"/>
              <w:spacing w:after="0"/>
              <w:rPr>
                <w:sz w:val="20"/>
                <w:szCs w:val="20"/>
                <w:color w:val="auto"/>
              </w:rPr>
            </w:pPr>
            <w:r>
              <w:rPr>
                <w:rFonts w:ascii="Arial" w:cs="Arial" w:eastAsia="Arial" w:hAnsi="Arial"/>
                <w:sz w:val="13"/>
                <w:szCs w:val="13"/>
                <w:color w:val="auto"/>
              </w:rPr>
              <w:t>2024 Proxy Statement</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2"/>
        </w:trPr>
        <w:tc>
          <w:tcPr>
            <w:tcW w:w="800" w:type="dxa"/>
            <w:vAlign w:val="bottom"/>
            <w:tcBorders>
              <w:bottom w:val="single" w:sz="8" w:color="auto"/>
            </w:tcBorders>
          </w:tcPr>
          <w:p>
            <w:pPr>
              <w:spacing w:after="0"/>
              <w:rPr>
                <w:sz w:val="23"/>
                <w:szCs w:val="23"/>
                <w:color w:val="auto"/>
              </w:rPr>
            </w:pPr>
          </w:p>
        </w:tc>
        <w:tc>
          <w:tcPr>
            <w:tcW w:w="4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bl>
    <w:p>
      <w:pPr>
        <w:sectPr>
          <w:pgSz w:w="11900" w:h="16838" w:orient="portrait"/>
          <w:cols w:equalWidth="0" w:num="1">
            <w:col w:w="11020"/>
          </w:cols>
          <w:pgMar w:left="440" w:top="114"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351790</wp:posOffset>
            </wp:positionV>
            <wp:extent cx="6292215" cy="8143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351790</wp:posOffset>
            </wp:positionV>
            <wp:extent cx="6292215" cy="8143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
      <w:numFmt w:val="bullet"/>
      <w:start w:val="1"/>
    </w:lvl>
  </w:abstractNum>
  <w:abstractNum w:abstractNumId="2">
    <w:nsid w:val="2443A858"/>
    <w:multiLevelType w:val="hybridMultilevel"/>
    <w:lvl w:ilvl="0">
      <w:lvlJc w:val="left"/>
      <w:lvlText w:val=" "/>
      <w:numFmt w:val="bullet"/>
      <w:start w:val="1"/>
    </w:lvl>
  </w:abstractNum>
  <w:abstractNum w:abstractNumId="3">
    <w:nsid w:val="2D1D5AE9"/>
    <w:multiLevelType w:val="hybridMultilevel"/>
    <w:lvl w:ilvl="0">
      <w:lvlJc w:val="left"/>
      <w:lvlText w:val=" "/>
      <w:numFmt w:val="bullet"/>
      <w:start w:val="1"/>
    </w:lvl>
  </w:abstractNum>
  <w:abstractNum w:abstractNumId="4">
    <w:nsid w:val="6763845E"/>
    <w:multiLevelType w:val="hybridMultilevel"/>
    <w:lvl w:ilvl="0">
      <w:lvlJc w:val="left"/>
      <w:lvlText w:val=" "/>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decimal"/>
    </w:lvl>
    <w:lvl w:ilvl="1">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6"/>
    </w:lvl>
  </w:abstractNum>
  <w:abstractNum w:abstractNumId="18">
    <w:nsid w:val="1E7FF521"/>
    <w:multiLevelType w:val="hybridMultilevel"/>
    <w:lvl w:ilvl="0">
      <w:lvlJc w:val="left"/>
      <w:lvlText w:val="1"/>
      <w:numFmt w:val="bullet"/>
      <w:start w:val="1"/>
    </w:lvl>
  </w:abstractNum>
  <w:abstractNum w:abstractNumId="19">
    <w:nsid w:val="7C3DBD3D"/>
    <w:multiLevelType w:val="hybridMultilevel"/>
    <w:lvl w:ilvl="0">
      <w:lvlJc w:val="left"/>
      <w:lvlText w:val="2"/>
      <w:numFmt w:val="bullet"/>
      <w:start w:val="1"/>
    </w:lvl>
  </w:abstractNum>
  <w:abstractNum w:abstractNumId="20">
    <w:nsid w:val="737B8DDC"/>
    <w:multiLevelType w:val="hybridMultilevel"/>
    <w:lvl w:ilvl="0">
      <w:lvlJc w:val="left"/>
      <w:lvlText w:val="3"/>
      <w:numFmt w:val="bullet"/>
      <w:start w:val="1"/>
    </w:lvl>
  </w:abstractNum>
  <w:abstractNum w:abstractNumId="21">
    <w:nsid w:val="6CEAF087"/>
    <w:multiLevelType w:val="hybridMultilevel"/>
    <w:lvl w:ilvl="0">
      <w:lvlJc w:val="left"/>
      <w:lvlText w:val="4"/>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5"/>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7"/>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2024-06-10T15:22:19Z</dcterms:created>
  <dcterms:modified xsi:type="dcterms:W3CDTF">2024-06-10T15:22:19Z</dcterms:modified>
</cp:coreProperties>
</file>