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Francis Douglas</w:t>
              </w:r>
            </w:hyperlink>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06/16/2022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1660" w:type="dxa"/>
            <w:vAlign w:val="bottom"/>
            <w:gridSpan w:val="3"/>
          </w:tcPr>
          <w:p>
            <w:pPr>
              <w:ind w:left="58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22"/>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06/16/2022</w:t>
            </w: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10,093</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4.5728</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4,750,854</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06/21/2022</w:t>
            </w: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rPr>
              <w:t>41,493</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4,792,347</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12,431,818</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8,469,191</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1,468,555</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(3)(4)</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600,618</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jc w:val="right"/>
              <w:ind w:right="257"/>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1" w:lineRule="exact"/>
              <w:rPr>
                <w:rFonts w:ascii="Arial" w:cs="Arial" w:eastAsia="Arial" w:hAnsi="Arial"/>
                <w:sz w:val="21"/>
                <w:szCs w:val="21"/>
                <w:color w:val="0000EE"/>
                <w:w w:val="90"/>
              </w:rPr>
            </w:pPr>
            <w:hyperlink r:id="rId12">
              <w:r>
                <w:rPr>
                  <w:rFonts w:ascii="Arial" w:cs="Arial" w:eastAsia="Arial" w:hAnsi="Arial"/>
                  <w:sz w:val="21"/>
                  <w:szCs w:val="21"/>
                  <w:color w:val="0000EE"/>
                  <w:w w:val="90"/>
                </w:rPr>
                <w:t>Francis Douglas</w:t>
              </w:r>
            </w:hyperlink>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76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Ghost Media Group,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41 DISCOVERY</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38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480" w:type="dxa"/>
            <w:vAlign w:val="bottom"/>
          </w:tcPr>
          <w:p>
            <w:pPr>
              <w:ind w:left="12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4"/>
          </w:tcPr>
          <w:p>
            <w:pPr>
              <w:spacing w:after="0" w:line="221" w:lineRule="exact"/>
              <w:rPr>
                <w:rFonts w:ascii="Arial" w:cs="Arial" w:eastAsia="Arial" w:hAnsi="Arial"/>
                <w:sz w:val="21"/>
                <w:szCs w:val="21"/>
                <w:color w:val="0000EE"/>
                <w:w w:val="99"/>
              </w:rPr>
            </w:pPr>
            <w:hyperlink r:id="rId16">
              <w:r>
                <w:rPr>
                  <w:rFonts w:ascii="Arial" w:cs="Arial" w:eastAsia="Arial" w:hAnsi="Arial"/>
                  <w:sz w:val="21"/>
                  <w:szCs w:val="21"/>
                  <w:color w:val="0000EE"/>
                  <w:w w:val="99"/>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38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480" w:type="dxa"/>
            <w:vAlign w:val="bottom"/>
          </w:tcPr>
          <w:p>
            <w:pPr>
              <w:ind w:left="12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Arial" w:cs="Arial" w:eastAsia="Arial" w:hAnsi="Arial"/>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IRVINE</w:t>
            </w:r>
          </w:p>
        </w:tc>
        <w:tc>
          <w:tcPr>
            <w:tcW w:w="138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480" w:type="dxa"/>
            <w:vAlign w:val="bottom"/>
          </w:tcPr>
          <w:p>
            <w:pPr>
              <w:ind w:left="120"/>
              <w:spacing w:after="0"/>
              <w:rPr>
                <w:sz w:val="20"/>
                <w:szCs w:val="20"/>
                <w:color w:val="auto"/>
              </w:rPr>
            </w:pPr>
            <w:r>
              <w:rPr>
                <w:rFonts w:ascii="Arial" w:cs="Arial" w:eastAsia="Arial" w:hAnsi="Arial"/>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-4010025</wp:posOffset>
            </wp:positionV>
            <wp:extent cx="2809240" cy="4091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9130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$4.55 to $5.59. The Reporting Person will provide upon request to the SEC, the Issuer or security holder of the Issuer, full information regarding the number of shares sold at each separate price.</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 holder at the time of such vote.</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ind w:left="20" w:righ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Ghost Media Group, LLC ("Ghost Media") is controlled by Mr. Francis. Accordingly, Mr. Francis may be deemed to be a beneficial owner of the shares held by Ghost Media Group, LLC.</w:t>
      </w:r>
    </w:p>
    <w:p>
      <w:pPr>
        <w:spacing w:after="0" w:line="15" w:lineRule="exact"/>
        <w:rPr>
          <w:rFonts w:ascii="Arial" w:cs="Arial" w:eastAsia="Arial" w:hAnsi="Arial"/>
          <w:sz w:val="13"/>
          <w:szCs w:val="13"/>
          <w:color w:val="008000"/>
        </w:rPr>
      </w:pPr>
    </w:p>
    <w:p>
      <w:pPr>
        <w:ind w:left="20" w:right="1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WM Founders Legacy I, LLC ("WM Founders") is controlled by Mr. Francis. Accordingly, Mr. Francis may be deemed to be a beneficial owner of the shares held by WM Founders.</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Genco Incentives, LLC ("Genco") is controlled by Mr. Francis. Accordingly, Mr. Francis may be deemed to be a beneficial owner of the shares held by Genco.</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00"/>
          </w:cols>
          <w:pgMar w:left="480" w:top="131" w:right="519" w:bottom="1440" w:gutter="0" w:footer="0" w:header="0"/>
        </w:sectPr>
      </w:pP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Douglas Francis,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6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Ron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Genco Incentives,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4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Douglas Francis,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46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Ron A. Metzger,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20" w:space="4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519966"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6" Type="http://schemas.openxmlformats.org/officeDocument/2006/relationships/hyperlink" Target="http://www.sec.gov/cgi-bin/browse-edgar?action=getcompany&amp;CIK=0001859724" TargetMode="External"/><Relationship Id="rId17" Type="http://schemas.openxmlformats.org/officeDocument/2006/relationships/hyperlink" Target="http://www.sec.gov/cgi-bin/browse-edgar?action=getcompany&amp;CIK=0001859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2022-06-21T16:26:35Z</dcterms:created>
  <dcterms:modified xsi:type="dcterms:W3CDTF">2022-06-21T16:26:35Z</dcterms:modified>
</cp:coreProperties>
</file>