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15875</wp:posOffset>
            </wp:positionV>
            <wp:extent cx="7046595"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939673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00"/>
            <w:col w:w="854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Luxor Capital Group, LP</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1080"/>
        <w:spacing w:after="0" w:line="338" w:lineRule="auto"/>
        <w:rPr>
          <w:sz w:val="20"/>
          <w:szCs w:val="20"/>
          <w:color w:val="auto"/>
        </w:rPr>
      </w:pPr>
      <w:r>
        <w:rPr>
          <w:rFonts w:ascii="Arial" w:cs="Arial" w:eastAsia="Arial" w:hAnsi="Arial"/>
          <w:sz w:val="17"/>
          <w:szCs w:val="17"/>
          <w:color w:val="0000FF"/>
        </w:rPr>
        <w:t>1114 AVENUE OF THE AMERICAS 28TH FLOOR</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WM TECHNOLOGY,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MAPS</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7"/>
        </w:trPr>
        <w:tc>
          <w:tcPr>
            <w:tcW w:w="20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7" w:lineRule="exact"/>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2"/>
                <w:szCs w:val="12"/>
                <w:color w:val="auto"/>
              </w:rPr>
            </w:pPr>
          </w:p>
        </w:tc>
        <w:tc>
          <w:tcPr>
            <w:tcW w:w="1500" w:type="dxa"/>
            <w:vAlign w:val="bottom"/>
          </w:tcPr>
          <w:p>
            <w:pPr>
              <w:ind w:left="400"/>
              <w:spacing w:after="0" w:line="147" w:lineRule="exact"/>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line="14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2400" w:type="dxa"/>
            <w:vAlign w:val="bottom"/>
            <w:gridSpan w:val="3"/>
          </w:tcPr>
          <w:p>
            <w:pPr>
              <w:ind w:left="80"/>
              <w:spacing w:after="0"/>
              <w:rPr>
                <w:sz w:val="20"/>
                <w:szCs w:val="20"/>
                <w:color w:val="auto"/>
              </w:rPr>
            </w:pPr>
            <w:r>
              <w:rPr>
                <w:rFonts w:ascii="Arial" w:cs="Arial" w:eastAsia="Arial" w:hAnsi="Arial"/>
                <w:sz w:val="17"/>
                <w:szCs w:val="17"/>
                <w:color w:val="0000FF"/>
              </w:rPr>
              <w:t>02/03/2022</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1" w:lineRule="exact"/>
        <w:rPr>
          <w:sz w:val="24"/>
          <w:szCs w:val="24"/>
          <w:color w:val="auto"/>
        </w:rPr>
      </w:pPr>
    </w:p>
    <w:tbl>
      <w:tblPr>
        <w:tblLayout w:type="fixed"/>
        <w:tblInd w:w="41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234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40" w:type="dxa"/>
            <w:vAlign w:val="bottom"/>
          </w:tcPr>
          <w:p>
            <w:pPr>
              <w:ind w:left="10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23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86"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3"/>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By: Lugard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w:t>
            </w: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ind w:right="20"/>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Road</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11.5</w:t>
            </w:r>
          </w:p>
        </w:tc>
        <w:tc>
          <w:tcPr>
            <w:tcW w:w="1140" w:type="dxa"/>
            <w:vAlign w:val="bottom"/>
            <w:gridSpan w:val="3"/>
            <w:vMerge w:val="restart"/>
          </w:tcPr>
          <w:p>
            <w:pPr>
              <w:jc w:val="center"/>
              <w:spacing w:after="0"/>
              <w:rPr>
                <w:sz w:val="20"/>
                <w:szCs w:val="20"/>
                <w:color w:val="auto"/>
              </w:rPr>
            </w:pPr>
            <w:r>
              <w:rPr>
                <w:rFonts w:ascii="Arial" w:cs="Arial" w:eastAsia="Arial" w:hAnsi="Arial"/>
                <w:sz w:val="13"/>
                <w:szCs w:val="13"/>
                <w:color w:val="0000FF"/>
                <w:w w:val="89"/>
              </w:rPr>
              <w:t>02/03/2022</w:t>
            </w:r>
          </w:p>
        </w:tc>
        <w:tc>
          <w:tcPr>
            <w:tcW w:w="1060" w:type="dxa"/>
            <w:vAlign w:val="bottom"/>
          </w:tcPr>
          <w:p>
            <w:pPr>
              <w:spacing w:after="0"/>
              <w:rPr>
                <w:sz w:val="7"/>
                <w:szCs w:val="7"/>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w:t>
            </w:r>
          </w:p>
        </w:tc>
        <w:tc>
          <w:tcPr>
            <w:tcW w:w="860" w:type="dxa"/>
            <w:vAlign w:val="bottom"/>
            <w:vMerge w:val="restart"/>
          </w:tcPr>
          <w:p>
            <w:pPr>
              <w:jc w:val="center"/>
              <w:ind w:left="320"/>
              <w:spacing w:after="0"/>
              <w:rPr>
                <w:sz w:val="20"/>
                <w:szCs w:val="20"/>
                <w:color w:val="auto"/>
              </w:rPr>
            </w:pPr>
            <w:r>
              <w:rPr>
                <w:rFonts w:ascii="Arial" w:cs="Arial" w:eastAsia="Arial" w:hAnsi="Arial"/>
                <w:sz w:val="13"/>
                <w:szCs w:val="13"/>
                <w:color w:val="0000FF"/>
                <w:w w:val="90"/>
              </w:rPr>
              <w:t>59,158</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07/16/2021</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12/31/2024</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jc w:val="center"/>
              <w:ind w:right="11"/>
              <w:spacing w:after="0" w:line="170" w:lineRule="exact"/>
              <w:rPr>
                <w:sz w:val="20"/>
                <w:szCs w:val="20"/>
                <w:color w:val="auto"/>
              </w:rPr>
            </w:pPr>
            <w:r>
              <w:rPr>
                <w:rFonts w:ascii="Arial" w:cs="Arial" w:eastAsia="Arial" w:hAnsi="Arial"/>
                <w:sz w:val="17"/>
                <w:szCs w:val="17"/>
                <w:color w:val="0000FF"/>
                <w:w w:val="88"/>
              </w:rPr>
              <w:t>59,158</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0.87</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9"/>
              </w:rPr>
              <w:t>305,207</w:t>
            </w:r>
          </w:p>
        </w:tc>
        <w:tc>
          <w:tcPr>
            <w:tcW w:w="720" w:type="dxa"/>
            <w:vAlign w:val="bottom"/>
            <w:vMerge w:val="restart"/>
          </w:tcPr>
          <w:p>
            <w:pPr>
              <w:jc w:val="right"/>
              <w:ind w:right="229"/>
              <w:spacing w:after="0"/>
              <w:rPr>
                <w:sz w:val="20"/>
                <w:szCs w:val="20"/>
                <w:color w:val="auto"/>
              </w:rPr>
            </w:pPr>
            <w:r>
              <w:rPr>
                <w:rFonts w:ascii="Arial" w:cs="Arial" w:eastAsia="Arial" w:hAnsi="Arial"/>
                <w:sz w:val="11"/>
                <w:szCs w:val="11"/>
                <w:color w:val="008000"/>
              </w:rPr>
              <w:t>(6)</w:t>
            </w: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85" w:lineRule="exact"/>
              <w:rPr>
                <w:sz w:val="20"/>
                <w:szCs w:val="20"/>
                <w:color w:val="auto"/>
              </w:rPr>
            </w:pPr>
            <w:r>
              <w:rPr>
                <w:rFonts w:ascii="Arial" w:cs="Arial" w:eastAsia="Arial" w:hAnsi="Arial"/>
                <w:sz w:val="9"/>
                <w:szCs w:val="9"/>
                <w:color w:val="0000FF"/>
                <w:vertAlign w:val="subscript"/>
              </w:rPr>
              <w:t>buy)</w:t>
            </w:r>
            <w:r>
              <w:rPr>
                <w:rFonts w:ascii="Arial" w:cs="Arial" w:eastAsia="Arial" w:hAnsi="Arial"/>
                <w:sz w:val="7"/>
                <w:szCs w:val="7"/>
                <w:color w:val="008000"/>
              </w:rPr>
              <w:t>(1)(2)</w:t>
            </w:r>
          </w:p>
        </w:tc>
        <w:tc>
          <w:tcPr>
            <w:tcW w:w="760" w:type="dxa"/>
            <w:vAlign w:val="bottom"/>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restart"/>
          </w:tcPr>
          <w:p>
            <w:pPr>
              <w:ind w:left="80"/>
              <w:spacing w:after="0" w:line="85" w:lineRule="exact"/>
              <w:rPr>
                <w:sz w:val="20"/>
                <w:szCs w:val="20"/>
                <w:color w:val="auto"/>
              </w:rPr>
            </w:pPr>
            <w:r>
              <w:rPr>
                <w:rFonts w:ascii="Arial" w:cs="Arial" w:eastAsia="Arial" w:hAnsi="Arial"/>
                <w:sz w:val="9"/>
                <w:szCs w:val="9"/>
                <w:color w:val="0000FF"/>
              </w:rPr>
              <w:t>Master</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680" w:type="dxa"/>
            <w:vAlign w:val="bottom"/>
          </w:tcPr>
          <w:p>
            <w:pPr>
              <w:jc w:val="center"/>
              <w:spacing w:after="0" w:line="20" w:lineRule="exact"/>
              <w:rPr>
                <w:sz w:val="20"/>
                <w:szCs w:val="20"/>
                <w:color w:val="auto"/>
              </w:rPr>
            </w:pPr>
            <w:r>
              <w:rPr>
                <w:rFonts w:ascii="Arial" w:cs="Arial" w:eastAsia="Arial" w:hAnsi="Arial"/>
                <w:sz w:val="2"/>
                <w:szCs w:val="2"/>
                <w:color w:val="0000FF"/>
              </w:rPr>
              <w:t>par value</w:t>
            </w:r>
          </w:p>
        </w:tc>
        <w:tc>
          <w:tcPr>
            <w:tcW w:w="54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720" w:type="dxa"/>
            <w:vAlign w:val="bottom"/>
          </w:tcPr>
          <w:p>
            <w:pPr>
              <w:ind w:left="280"/>
              <w:spacing w:after="0" w:line="20" w:lineRule="exact"/>
              <w:rPr>
                <w:sz w:val="20"/>
                <w:szCs w:val="20"/>
                <w:color w:val="auto"/>
              </w:rPr>
            </w:pPr>
            <w:r>
              <w:rPr>
                <w:rFonts w:ascii="Arial" w:cs="Arial" w:eastAsia="Arial" w:hAnsi="Arial"/>
                <w:sz w:val="2"/>
                <w:szCs w:val="2"/>
                <w:color w:val="0000FF"/>
              </w:rPr>
              <w:t>I</w:t>
            </w: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3"/>
          </w:tcPr>
          <w:p>
            <w:pPr>
              <w:ind w:left="60"/>
              <w:spacing w:after="0" w:line="114"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ind w:left="80"/>
              <w:spacing w:after="0" w:line="114"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89"/>
              </w:rPr>
              <w:t>$0.0001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3"/>
              </w:rPr>
              <w:t>per share</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0000FF"/>
              </w:rPr>
              <w:t>By: Luxor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20"/>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80"/>
              <w:spacing w:after="0" w:line="142"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jc w:val="center"/>
              <w:spacing w:after="0" w:line="189" w:lineRule="exact"/>
              <w:rPr>
                <w:sz w:val="20"/>
                <w:szCs w:val="20"/>
                <w:color w:val="auto"/>
              </w:rPr>
            </w:pPr>
            <w:r>
              <w:rPr>
                <w:rFonts w:ascii="Arial" w:cs="Arial" w:eastAsia="Arial" w:hAnsi="Arial"/>
                <w:sz w:val="17"/>
                <w:szCs w:val="17"/>
                <w:color w:val="0000FF"/>
                <w:w w:val="84"/>
              </w:rPr>
              <w:t>301</w:t>
            </w: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vMerge w:val="restart"/>
          </w:tcPr>
          <w:p>
            <w:pPr>
              <w:jc w:val="right"/>
              <w:ind w:right="229"/>
              <w:spacing w:after="0" w:line="190"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(5)</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(right to</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11.5</w:t>
            </w:r>
          </w:p>
        </w:tc>
        <w:tc>
          <w:tcPr>
            <w:tcW w:w="1140" w:type="dxa"/>
            <w:vAlign w:val="bottom"/>
            <w:gridSpan w:val="3"/>
          </w:tcPr>
          <w:p>
            <w:pPr>
              <w:jc w:val="center"/>
              <w:spacing w:after="0" w:line="138" w:lineRule="exact"/>
              <w:rPr>
                <w:sz w:val="20"/>
                <w:szCs w:val="20"/>
                <w:color w:val="auto"/>
              </w:rPr>
            </w:pPr>
            <w:r>
              <w:rPr>
                <w:rFonts w:ascii="Arial" w:cs="Arial" w:eastAsia="Arial" w:hAnsi="Arial"/>
                <w:sz w:val="13"/>
                <w:szCs w:val="13"/>
                <w:color w:val="0000FF"/>
                <w:w w:val="89"/>
              </w:rPr>
              <w:t>02/03/2022</w:t>
            </w:r>
          </w:p>
        </w:tc>
        <w:tc>
          <w:tcPr>
            <w:tcW w:w="1060" w:type="dxa"/>
            <w:vAlign w:val="bottom"/>
          </w:tcPr>
          <w:p>
            <w:pPr>
              <w:spacing w:after="0"/>
              <w:rPr>
                <w:sz w:val="11"/>
                <w:szCs w:val="11"/>
                <w:color w:val="auto"/>
              </w:rPr>
            </w:pPr>
          </w:p>
        </w:tc>
        <w:tc>
          <w:tcPr>
            <w:tcW w:w="720" w:type="dxa"/>
            <w:vAlign w:val="bottom"/>
            <w:gridSpan w:val="2"/>
          </w:tcPr>
          <w:p>
            <w:pPr>
              <w:ind w:left="160"/>
              <w:spacing w:after="0" w:line="138" w:lineRule="exact"/>
              <w:rPr>
                <w:sz w:val="20"/>
                <w:szCs w:val="20"/>
                <w:color w:val="auto"/>
              </w:rPr>
            </w:pPr>
            <w:r>
              <w:rPr>
                <w:rFonts w:ascii="Arial" w:cs="Arial" w:eastAsia="Arial" w:hAnsi="Arial"/>
                <w:sz w:val="13"/>
                <w:szCs w:val="13"/>
                <w:color w:val="0000FF"/>
              </w:rPr>
              <w:t>S</w:t>
            </w:r>
          </w:p>
        </w:tc>
        <w:tc>
          <w:tcPr>
            <w:tcW w:w="860" w:type="dxa"/>
            <w:vAlign w:val="bottom"/>
          </w:tcPr>
          <w:p>
            <w:pPr>
              <w:jc w:val="center"/>
              <w:ind w:left="320"/>
              <w:spacing w:after="0" w:line="138" w:lineRule="exact"/>
              <w:rPr>
                <w:sz w:val="20"/>
                <w:szCs w:val="20"/>
                <w:color w:val="auto"/>
              </w:rPr>
            </w:pPr>
            <w:r>
              <w:rPr>
                <w:rFonts w:ascii="Arial" w:cs="Arial" w:eastAsia="Arial" w:hAnsi="Arial"/>
                <w:sz w:val="13"/>
                <w:szCs w:val="13"/>
                <w:color w:val="0000FF"/>
                <w:w w:val="92"/>
              </w:rPr>
              <w:t>301</w:t>
            </w:r>
          </w:p>
        </w:tc>
        <w:tc>
          <w:tcPr>
            <w:tcW w:w="800" w:type="dxa"/>
            <w:vAlign w:val="bottom"/>
          </w:tcPr>
          <w:p>
            <w:pPr>
              <w:ind w:left="120"/>
              <w:spacing w:after="0" w:line="138" w:lineRule="exact"/>
              <w:rPr>
                <w:sz w:val="20"/>
                <w:szCs w:val="20"/>
                <w:color w:val="auto"/>
              </w:rPr>
            </w:pPr>
            <w:r>
              <w:rPr>
                <w:rFonts w:ascii="Arial" w:cs="Arial" w:eastAsia="Arial" w:hAnsi="Arial"/>
                <w:sz w:val="13"/>
                <w:szCs w:val="13"/>
                <w:color w:val="0000FF"/>
              </w:rPr>
              <w:t>07/16/2021</w:t>
            </w: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w w:val="98"/>
              </w:rPr>
              <w:t>12/31/2024</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0.87</w:t>
            </w:r>
          </w:p>
        </w:tc>
        <w:tc>
          <w:tcPr>
            <w:tcW w:w="940" w:type="dxa"/>
            <w:vAlign w:val="bottom"/>
          </w:tcPr>
          <w:p>
            <w:pPr>
              <w:jc w:val="center"/>
              <w:spacing w:after="0" w:line="138" w:lineRule="exact"/>
              <w:rPr>
                <w:sz w:val="20"/>
                <w:szCs w:val="20"/>
                <w:color w:val="auto"/>
              </w:rPr>
            </w:pPr>
            <w:r>
              <w:rPr>
                <w:rFonts w:ascii="Arial" w:cs="Arial" w:eastAsia="Arial" w:hAnsi="Arial"/>
                <w:sz w:val="13"/>
                <w:szCs w:val="13"/>
                <w:color w:val="0000FF"/>
                <w:w w:val="92"/>
              </w:rPr>
              <w:t>1,497</w:t>
            </w: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vertAlign w:val="subscript"/>
              </w:rPr>
              <w:t>buy)</w:t>
            </w:r>
            <w:r>
              <w:rPr>
                <w:rFonts w:ascii="Arial" w:cs="Arial" w:eastAsia="Arial" w:hAnsi="Arial"/>
                <w:sz w:val="7"/>
                <w:szCs w:val="7"/>
                <w:color w:val="008000"/>
              </w:rPr>
              <w:t>(1)(2)</w:t>
            </w: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jc w:val="center"/>
              <w:spacing w:after="0" w:line="105" w:lineRule="exact"/>
              <w:rPr>
                <w:sz w:val="20"/>
                <w:szCs w:val="20"/>
                <w:color w:val="auto"/>
              </w:rPr>
            </w:pPr>
            <w:r>
              <w:rPr>
                <w:rFonts w:ascii="Arial" w:cs="Arial" w:eastAsia="Arial" w:hAnsi="Arial"/>
                <w:sz w:val="12"/>
                <w:szCs w:val="12"/>
                <w:color w:val="0000FF"/>
                <w:w w:val="93"/>
              </w:rPr>
              <w:t>par value</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ind w:left="80"/>
              <w:spacing w:after="0" w:line="105" w:lineRule="exact"/>
              <w:rPr>
                <w:sz w:val="20"/>
                <w:szCs w:val="20"/>
                <w:color w:val="auto"/>
              </w:rPr>
            </w:pPr>
            <w:r>
              <w:rPr>
                <w:rFonts w:ascii="Arial" w:cs="Arial" w:eastAsia="Arial" w:hAnsi="Arial"/>
                <w:sz w:val="12"/>
                <w:szCs w:val="12"/>
                <w:color w:val="0000FF"/>
              </w:rPr>
              <w:t>Offshore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Arial" w:cs="Arial" w:eastAsia="Arial" w:hAnsi="Arial"/>
                <w:sz w:val="13"/>
                <w:szCs w:val="13"/>
                <w:color w:val="0000FF"/>
                <w:w w:val="89"/>
              </w:rPr>
              <w:t>$0.0001</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Master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20"/>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By: Luxor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jc w:val="center"/>
              <w:spacing w:after="0" w:line="189" w:lineRule="exact"/>
              <w:rPr>
                <w:sz w:val="20"/>
                <w:szCs w:val="20"/>
                <w:color w:val="auto"/>
              </w:rPr>
            </w:pPr>
            <w:r>
              <w:rPr>
                <w:rFonts w:ascii="Arial" w:cs="Arial" w:eastAsia="Arial" w:hAnsi="Arial"/>
                <w:sz w:val="17"/>
                <w:szCs w:val="17"/>
                <w:color w:val="0000FF"/>
                <w:w w:val="84"/>
              </w:rPr>
              <w:t>444</w:t>
            </w: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vMerge w:val="restart"/>
          </w:tcPr>
          <w:p>
            <w:pPr>
              <w:jc w:val="right"/>
              <w:ind w:right="229"/>
              <w:spacing w:after="0" w:line="190"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(4)</w:t>
            </w: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(right to</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11.5</w:t>
            </w:r>
          </w:p>
        </w:tc>
        <w:tc>
          <w:tcPr>
            <w:tcW w:w="1140" w:type="dxa"/>
            <w:vAlign w:val="bottom"/>
            <w:gridSpan w:val="3"/>
          </w:tcPr>
          <w:p>
            <w:pPr>
              <w:jc w:val="center"/>
              <w:spacing w:after="0" w:line="138" w:lineRule="exact"/>
              <w:rPr>
                <w:sz w:val="20"/>
                <w:szCs w:val="20"/>
                <w:color w:val="auto"/>
              </w:rPr>
            </w:pPr>
            <w:r>
              <w:rPr>
                <w:rFonts w:ascii="Arial" w:cs="Arial" w:eastAsia="Arial" w:hAnsi="Arial"/>
                <w:sz w:val="13"/>
                <w:szCs w:val="13"/>
                <w:color w:val="0000FF"/>
                <w:w w:val="89"/>
              </w:rPr>
              <w:t>02/03/2022</w:t>
            </w:r>
          </w:p>
        </w:tc>
        <w:tc>
          <w:tcPr>
            <w:tcW w:w="1060" w:type="dxa"/>
            <w:vAlign w:val="bottom"/>
          </w:tcPr>
          <w:p>
            <w:pPr>
              <w:spacing w:after="0"/>
              <w:rPr>
                <w:sz w:val="11"/>
                <w:szCs w:val="11"/>
                <w:color w:val="auto"/>
              </w:rPr>
            </w:pPr>
          </w:p>
        </w:tc>
        <w:tc>
          <w:tcPr>
            <w:tcW w:w="720" w:type="dxa"/>
            <w:vAlign w:val="bottom"/>
            <w:gridSpan w:val="2"/>
          </w:tcPr>
          <w:p>
            <w:pPr>
              <w:ind w:left="160"/>
              <w:spacing w:after="0" w:line="138" w:lineRule="exact"/>
              <w:rPr>
                <w:sz w:val="20"/>
                <w:szCs w:val="20"/>
                <w:color w:val="auto"/>
              </w:rPr>
            </w:pPr>
            <w:r>
              <w:rPr>
                <w:rFonts w:ascii="Arial" w:cs="Arial" w:eastAsia="Arial" w:hAnsi="Arial"/>
                <w:sz w:val="13"/>
                <w:szCs w:val="13"/>
                <w:color w:val="0000FF"/>
              </w:rPr>
              <w:t>S</w:t>
            </w:r>
          </w:p>
        </w:tc>
        <w:tc>
          <w:tcPr>
            <w:tcW w:w="860" w:type="dxa"/>
            <w:vAlign w:val="bottom"/>
          </w:tcPr>
          <w:p>
            <w:pPr>
              <w:jc w:val="center"/>
              <w:ind w:left="320"/>
              <w:spacing w:after="0" w:line="138" w:lineRule="exact"/>
              <w:rPr>
                <w:sz w:val="20"/>
                <w:szCs w:val="20"/>
                <w:color w:val="auto"/>
              </w:rPr>
            </w:pPr>
            <w:r>
              <w:rPr>
                <w:rFonts w:ascii="Arial" w:cs="Arial" w:eastAsia="Arial" w:hAnsi="Arial"/>
                <w:sz w:val="13"/>
                <w:szCs w:val="13"/>
                <w:color w:val="0000FF"/>
                <w:w w:val="92"/>
              </w:rPr>
              <w:t>444</w:t>
            </w:r>
          </w:p>
        </w:tc>
        <w:tc>
          <w:tcPr>
            <w:tcW w:w="800" w:type="dxa"/>
            <w:vAlign w:val="bottom"/>
          </w:tcPr>
          <w:p>
            <w:pPr>
              <w:ind w:left="120"/>
              <w:spacing w:after="0" w:line="138" w:lineRule="exact"/>
              <w:rPr>
                <w:sz w:val="20"/>
                <w:szCs w:val="20"/>
                <w:color w:val="auto"/>
              </w:rPr>
            </w:pPr>
            <w:r>
              <w:rPr>
                <w:rFonts w:ascii="Arial" w:cs="Arial" w:eastAsia="Arial" w:hAnsi="Arial"/>
                <w:sz w:val="13"/>
                <w:szCs w:val="13"/>
                <w:color w:val="0000FF"/>
              </w:rPr>
              <w:t>07/16/2021</w:t>
            </w: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w w:val="98"/>
              </w:rPr>
              <w:t>12/31/2024</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0.87</w:t>
            </w:r>
          </w:p>
        </w:tc>
        <w:tc>
          <w:tcPr>
            <w:tcW w:w="940" w:type="dxa"/>
            <w:vAlign w:val="bottom"/>
          </w:tcPr>
          <w:p>
            <w:pPr>
              <w:jc w:val="center"/>
              <w:spacing w:after="0" w:line="138" w:lineRule="exact"/>
              <w:rPr>
                <w:sz w:val="20"/>
                <w:szCs w:val="20"/>
                <w:color w:val="auto"/>
              </w:rPr>
            </w:pPr>
            <w:r>
              <w:rPr>
                <w:rFonts w:ascii="Arial" w:cs="Arial" w:eastAsia="Arial" w:hAnsi="Arial"/>
                <w:sz w:val="13"/>
                <w:szCs w:val="13"/>
                <w:color w:val="0000FF"/>
                <w:w w:val="82"/>
              </w:rPr>
              <w:t>512</w:t>
            </w:r>
          </w:p>
        </w:tc>
        <w:tc>
          <w:tcPr>
            <w:tcW w:w="720" w:type="dxa"/>
            <w:vAlign w:val="bottom"/>
            <w:vMerge w:val="continue"/>
          </w:tcPr>
          <w:p>
            <w:pPr>
              <w:spacing w:after="0"/>
              <w:rPr>
                <w:sz w:val="11"/>
                <w:szCs w:val="11"/>
                <w:color w:val="auto"/>
              </w:rPr>
            </w:pPr>
          </w:p>
        </w:tc>
        <w:tc>
          <w:tcPr>
            <w:tcW w:w="760" w:type="dxa"/>
            <w:vAlign w:val="bottom"/>
          </w:tcPr>
          <w:p>
            <w:pPr>
              <w:ind w:left="80"/>
              <w:spacing w:after="0" w:line="138" w:lineRule="exact"/>
              <w:rPr>
                <w:sz w:val="20"/>
                <w:szCs w:val="20"/>
                <w:color w:val="auto"/>
              </w:rPr>
            </w:pPr>
            <w:r>
              <w:rPr>
                <w:rFonts w:ascii="Arial" w:cs="Arial" w:eastAsia="Arial" w:hAnsi="Arial"/>
                <w:sz w:val="13"/>
                <w:szCs w:val="13"/>
                <w:color w:val="0000FF"/>
              </w:rPr>
              <w:t>Wavefront,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tcPr>
          <w:p>
            <w:pPr>
              <w:ind w:left="60"/>
              <w:spacing w:after="0" w:line="154" w:lineRule="exact"/>
              <w:rPr>
                <w:sz w:val="20"/>
                <w:szCs w:val="20"/>
                <w:color w:val="auto"/>
              </w:rPr>
            </w:pPr>
            <w:r>
              <w:rPr>
                <w:rFonts w:ascii="Arial" w:cs="Arial" w:eastAsia="Arial" w:hAnsi="Arial"/>
                <w:sz w:val="17"/>
                <w:szCs w:val="17"/>
                <w:color w:val="0000FF"/>
                <w:vertAlign w:val="subscript"/>
              </w:rPr>
              <w:t>buy)</w:t>
            </w:r>
            <w:r>
              <w:rPr>
                <w:rFonts w:ascii="Arial" w:cs="Arial" w:eastAsia="Arial" w:hAnsi="Arial"/>
                <w:sz w:val="9"/>
                <w:szCs w:val="9"/>
                <w:color w:val="008000"/>
              </w:rPr>
              <w:t>(1)(2)</w:t>
            </w: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par value</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jc w:val="center"/>
              <w:spacing w:after="0" w:line="82" w:lineRule="exact"/>
              <w:rPr>
                <w:sz w:val="20"/>
                <w:szCs w:val="20"/>
                <w:color w:val="auto"/>
              </w:rPr>
            </w:pPr>
            <w:r>
              <w:rPr>
                <w:rFonts w:ascii="Arial" w:cs="Arial" w:eastAsia="Arial" w:hAnsi="Arial"/>
                <w:sz w:val="9"/>
                <w:szCs w:val="9"/>
                <w:color w:val="0000FF"/>
              </w:rPr>
              <w:t>$0.0001</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20"/>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ind w:left="80"/>
              <w:spacing w:after="0" w:line="142" w:lineRule="exact"/>
              <w:rPr>
                <w:sz w:val="20"/>
                <w:szCs w:val="20"/>
                <w:color w:val="auto"/>
              </w:rPr>
            </w:pPr>
            <w:r>
              <w:rPr>
                <w:rFonts w:ascii="Arial" w:cs="Arial" w:eastAsia="Arial" w:hAnsi="Arial"/>
                <w:sz w:val="13"/>
                <w:szCs w:val="13"/>
                <w:color w:val="0000FF"/>
              </w:rPr>
              <w:t>By: Luxor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jc w:val="center"/>
              <w:spacing w:after="0" w:line="189" w:lineRule="exact"/>
              <w:rPr>
                <w:sz w:val="20"/>
                <w:szCs w:val="20"/>
                <w:color w:val="auto"/>
              </w:rPr>
            </w:pPr>
            <w:r>
              <w:rPr>
                <w:rFonts w:ascii="Arial" w:cs="Arial" w:eastAsia="Arial" w:hAnsi="Arial"/>
                <w:sz w:val="17"/>
                <w:szCs w:val="17"/>
                <w:color w:val="0000FF"/>
                <w:w w:val="84"/>
              </w:rPr>
              <w:t>97</w:t>
            </w: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vMerge w:val="restart"/>
          </w:tcPr>
          <w:p>
            <w:pPr>
              <w:jc w:val="right"/>
              <w:ind w:right="229"/>
              <w:spacing w:after="0" w:line="190"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(3)</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(right to</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11.5</w:t>
            </w:r>
          </w:p>
        </w:tc>
        <w:tc>
          <w:tcPr>
            <w:tcW w:w="1140" w:type="dxa"/>
            <w:vAlign w:val="bottom"/>
            <w:gridSpan w:val="3"/>
          </w:tcPr>
          <w:p>
            <w:pPr>
              <w:jc w:val="center"/>
              <w:spacing w:after="0" w:line="138" w:lineRule="exact"/>
              <w:rPr>
                <w:sz w:val="20"/>
                <w:szCs w:val="20"/>
                <w:color w:val="auto"/>
              </w:rPr>
            </w:pPr>
            <w:r>
              <w:rPr>
                <w:rFonts w:ascii="Arial" w:cs="Arial" w:eastAsia="Arial" w:hAnsi="Arial"/>
                <w:sz w:val="13"/>
                <w:szCs w:val="13"/>
                <w:color w:val="0000FF"/>
                <w:w w:val="89"/>
              </w:rPr>
              <w:t>02/03/2022</w:t>
            </w:r>
          </w:p>
        </w:tc>
        <w:tc>
          <w:tcPr>
            <w:tcW w:w="1060" w:type="dxa"/>
            <w:vAlign w:val="bottom"/>
          </w:tcPr>
          <w:p>
            <w:pPr>
              <w:spacing w:after="0"/>
              <w:rPr>
                <w:sz w:val="11"/>
                <w:szCs w:val="11"/>
                <w:color w:val="auto"/>
              </w:rPr>
            </w:pPr>
          </w:p>
        </w:tc>
        <w:tc>
          <w:tcPr>
            <w:tcW w:w="720" w:type="dxa"/>
            <w:vAlign w:val="bottom"/>
            <w:gridSpan w:val="2"/>
          </w:tcPr>
          <w:p>
            <w:pPr>
              <w:ind w:left="160"/>
              <w:spacing w:after="0" w:line="138" w:lineRule="exact"/>
              <w:rPr>
                <w:sz w:val="20"/>
                <w:szCs w:val="20"/>
                <w:color w:val="auto"/>
              </w:rPr>
            </w:pPr>
            <w:r>
              <w:rPr>
                <w:rFonts w:ascii="Arial" w:cs="Arial" w:eastAsia="Arial" w:hAnsi="Arial"/>
                <w:sz w:val="13"/>
                <w:szCs w:val="13"/>
                <w:color w:val="0000FF"/>
              </w:rPr>
              <w:t>S</w:t>
            </w:r>
          </w:p>
        </w:tc>
        <w:tc>
          <w:tcPr>
            <w:tcW w:w="860" w:type="dxa"/>
            <w:vAlign w:val="bottom"/>
          </w:tcPr>
          <w:p>
            <w:pPr>
              <w:jc w:val="center"/>
              <w:ind w:left="340"/>
              <w:spacing w:after="0" w:line="138" w:lineRule="exact"/>
              <w:rPr>
                <w:sz w:val="20"/>
                <w:szCs w:val="20"/>
                <w:color w:val="auto"/>
              </w:rPr>
            </w:pPr>
            <w:r>
              <w:rPr>
                <w:rFonts w:ascii="Arial" w:cs="Arial" w:eastAsia="Arial" w:hAnsi="Arial"/>
                <w:sz w:val="13"/>
                <w:szCs w:val="13"/>
                <w:color w:val="0000FF"/>
                <w:w w:val="96"/>
              </w:rPr>
              <w:t>97</w:t>
            </w:r>
          </w:p>
        </w:tc>
        <w:tc>
          <w:tcPr>
            <w:tcW w:w="800" w:type="dxa"/>
            <w:vAlign w:val="bottom"/>
          </w:tcPr>
          <w:p>
            <w:pPr>
              <w:ind w:left="120"/>
              <w:spacing w:after="0" w:line="138" w:lineRule="exact"/>
              <w:rPr>
                <w:sz w:val="20"/>
                <w:szCs w:val="20"/>
                <w:color w:val="auto"/>
              </w:rPr>
            </w:pPr>
            <w:r>
              <w:rPr>
                <w:rFonts w:ascii="Arial" w:cs="Arial" w:eastAsia="Arial" w:hAnsi="Arial"/>
                <w:sz w:val="13"/>
                <w:szCs w:val="13"/>
                <w:color w:val="0000FF"/>
              </w:rPr>
              <w:t>07/16/2021</w:t>
            </w: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w w:val="98"/>
              </w:rPr>
              <w:t>12/31/2024</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0.87</w:t>
            </w:r>
          </w:p>
        </w:tc>
        <w:tc>
          <w:tcPr>
            <w:tcW w:w="940" w:type="dxa"/>
            <w:vAlign w:val="bottom"/>
          </w:tcPr>
          <w:p>
            <w:pPr>
              <w:jc w:val="center"/>
              <w:spacing w:after="0" w:line="138" w:lineRule="exact"/>
              <w:rPr>
                <w:sz w:val="20"/>
                <w:szCs w:val="20"/>
                <w:color w:val="auto"/>
              </w:rPr>
            </w:pPr>
            <w:r>
              <w:rPr>
                <w:rFonts w:ascii="Arial" w:cs="Arial" w:eastAsia="Arial" w:hAnsi="Arial"/>
                <w:sz w:val="13"/>
                <w:szCs w:val="13"/>
                <w:color w:val="0000FF"/>
                <w:w w:val="92"/>
              </w:rPr>
              <w:t>2,540</w:t>
            </w: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vertAlign w:val="subscript"/>
              </w:rPr>
              <w:t>buy)</w:t>
            </w:r>
            <w:r>
              <w:rPr>
                <w:rFonts w:ascii="Arial" w:cs="Arial" w:eastAsia="Arial" w:hAnsi="Arial"/>
                <w:sz w:val="7"/>
                <w:szCs w:val="7"/>
                <w:color w:val="008000"/>
              </w:rPr>
              <w:t>(1)(2)</w:t>
            </w: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jc w:val="center"/>
              <w:spacing w:after="0" w:line="105" w:lineRule="exact"/>
              <w:rPr>
                <w:sz w:val="20"/>
                <w:szCs w:val="20"/>
                <w:color w:val="auto"/>
              </w:rPr>
            </w:pPr>
            <w:r>
              <w:rPr>
                <w:rFonts w:ascii="Arial" w:cs="Arial" w:eastAsia="Arial" w:hAnsi="Arial"/>
                <w:sz w:val="12"/>
                <w:szCs w:val="12"/>
                <w:color w:val="0000FF"/>
                <w:w w:val="93"/>
              </w:rPr>
              <w:t>par value</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ind w:left="80"/>
              <w:spacing w:after="0" w:line="105" w:lineRule="exact"/>
              <w:rPr>
                <w:sz w:val="20"/>
                <w:szCs w:val="20"/>
                <w:color w:val="auto"/>
              </w:rPr>
            </w:pPr>
            <w:r>
              <w:rPr>
                <w:rFonts w:ascii="Arial" w:cs="Arial" w:eastAsia="Arial" w:hAnsi="Arial"/>
                <w:sz w:val="12"/>
                <w:szCs w:val="12"/>
                <w:color w:val="0000FF"/>
              </w:rPr>
              <w:t>Partners,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Arial" w:cs="Arial" w:eastAsia="Arial" w:hAnsi="Arial"/>
                <w:sz w:val="13"/>
                <w:szCs w:val="13"/>
                <w:color w:val="0000FF"/>
                <w:w w:val="89"/>
              </w:rPr>
              <w:t>$0.0001</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5"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Luxor Capital Group, LP</w:t>
              </w:r>
            </w:hyperlink>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60" w:type="dxa"/>
            <w:vAlign w:val="bottom"/>
            <w:gridSpan w:val="7"/>
          </w:tcPr>
          <w:p>
            <w:pPr>
              <w:ind w:left="20"/>
              <w:spacing w:after="0"/>
              <w:rPr>
                <w:sz w:val="20"/>
                <w:szCs w:val="20"/>
                <w:color w:val="auto"/>
              </w:rPr>
            </w:pPr>
            <w:r>
              <w:rPr>
                <w:rFonts w:ascii="Arial" w:cs="Arial" w:eastAsia="Arial" w:hAnsi="Arial"/>
                <w:sz w:val="17"/>
                <w:szCs w:val="17"/>
                <w:color w:val="0000FF"/>
              </w:rPr>
              <w:t>1114 AVENUE OF THE AMERICAS</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Arial" w:cs="Arial" w:eastAsia="Arial" w:hAnsi="Arial"/>
                <w:sz w:val="17"/>
                <w:szCs w:val="17"/>
                <w:color w:val="0000FF"/>
              </w:rPr>
              <w:t>28TH FLOOR</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140" w:type="dxa"/>
            <w:vAlign w:val="bottom"/>
            <w:gridSpan w:val="3"/>
          </w:tcPr>
          <w:p>
            <w:pPr>
              <w:ind w:left="60"/>
              <w:spacing w:after="0"/>
              <w:rPr>
                <w:sz w:val="20"/>
                <w:szCs w:val="20"/>
                <w:color w:val="auto"/>
              </w:rPr>
            </w:pPr>
            <w:r>
              <w:rPr>
                <w:rFonts w:ascii="Arial" w:cs="Arial" w:eastAsia="Arial" w:hAnsi="Arial"/>
                <w:sz w:val="17"/>
                <w:szCs w:val="17"/>
                <w:color w:val="0000FF"/>
              </w:rPr>
              <w:t>NY</w:t>
            </w:r>
          </w:p>
        </w:tc>
        <w:tc>
          <w:tcPr>
            <w:tcW w:w="1060" w:type="dxa"/>
            <w:vAlign w:val="bottom"/>
          </w:tcPr>
          <w:p>
            <w:pPr>
              <w:ind w:left="320"/>
              <w:spacing w:after="0"/>
              <w:rPr>
                <w:sz w:val="20"/>
                <w:szCs w:val="20"/>
                <w:color w:val="auto"/>
              </w:rPr>
            </w:pPr>
            <w:r>
              <w:rPr>
                <w:rFonts w:ascii="Arial" w:cs="Arial" w:eastAsia="Arial" w:hAnsi="Arial"/>
                <w:sz w:val="17"/>
                <w:szCs w:val="17"/>
                <w:color w:val="0000FF"/>
              </w:rPr>
              <w:t>10036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5" w:lineRule="exact"/>
              <w:rPr>
                <w:rFonts w:ascii="Arial" w:cs="Arial" w:eastAsia="Arial" w:hAnsi="Arial"/>
                <w:sz w:val="21"/>
                <w:szCs w:val="21"/>
                <w:color w:val="0000EE"/>
              </w:rPr>
            </w:pPr>
            <w:hyperlink r:id="rId14">
              <w:r>
                <w:rPr>
                  <w:rFonts w:ascii="Arial" w:cs="Arial" w:eastAsia="Arial" w:hAnsi="Arial"/>
                  <w:sz w:val="21"/>
                  <w:szCs w:val="21"/>
                  <w:color w:val="0000EE"/>
                </w:rPr>
                <w:t>LCG HOLDINGS LLC</w:t>
              </w:r>
            </w:hyperlink>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ectPr>
          <w:pgSz w:w="11900" w:h="16838" w:orient="portrait"/>
          <w:cols w:equalWidth="0" w:num="1">
            <w:col w:w="11080"/>
          </w:cols>
          <w:pgMar w:left="460" w:top="221" w:right="359" w:bottom="0" w:gutter="0" w:footer="0" w:header="0"/>
          <w:type w:val="continuous"/>
        </w:sectPr>
      </w:pPr>
    </w:p>
    <w:p>
      <w:pPr>
        <w:ind w:left="120"/>
        <w:spacing w:after="0"/>
        <w:rPr>
          <w:sz w:val="20"/>
          <w:szCs w:val="20"/>
          <w:color w:val="auto"/>
        </w:rPr>
      </w:pPr>
      <w:r>
        <w:rPr>
          <w:rFonts w:ascii="Arial" w:cs="Arial" w:eastAsia="Arial" w:hAnsi="Arial"/>
          <w:sz w:val="15"/>
          <w:szCs w:val="15"/>
          <w:color w:val="0000FF"/>
        </w:rPr>
        <w:t>1114 AVENUE OF THE AMERICAS</w:t>
      </w:r>
    </w:p>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-118110</wp:posOffset>
            </wp:positionV>
            <wp:extent cx="2809240" cy="6252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09240" cy="625221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1"/>
        </w:trPr>
        <w:tc>
          <w:tcPr>
            <w:tcW w:w="8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500" w:type="dxa"/>
            <w:vAlign w:val="bottom"/>
            <w:gridSpan w:val="3"/>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7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700" w:type="dxa"/>
            <w:vAlign w:val="bottom"/>
            <w:gridSpan w:val="5"/>
          </w:tcPr>
          <w:p>
            <w:pPr>
              <w:ind w:left="20"/>
              <w:spacing w:after="0" w:line="215" w:lineRule="exact"/>
              <w:rPr>
                <w:rFonts w:ascii="Arial" w:cs="Arial" w:eastAsia="Arial" w:hAnsi="Arial"/>
                <w:sz w:val="21"/>
                <w:szCs w:val="21"/>
                <w:color w:val="0000EE"/>
              </w:rPr>
            </w:pPr>
            <w:hyperlink r:id="rId16">
              <w:r>
                <w:rPr>
                  <w:rFonts w:ascii="Arial" w:cs="Arial" w:eastAsia="Arial" w:hAnsi="Arial"/>
                  <w:sz w:val="21"/>
                  <w:szCs w:val="21"/>
                  <w:color w:val="0000EE"/>
                </w:rPr>
                <w:t>Luxor Wavefront, LP</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700" w:type="dxa"/>
            <w:vAlign w:val="bottom"/>
            <w:gridSpan w:val="5"/>
          </w:tcPr>
          <w:p>
            <w:pPr>
              <w:ind w:left="20"/>
              <w:spacing w:after="0"/>
              <w:rPr>
                <w:sz w:val="20"/>
                <w:szCs w:val="20"/>
                <w:color w:val="auto"/>
              </w:rPr>
            </w:pPr>
            <w:r>
              <w:rPr>
                <w:rFonts w:ascii="Arial" w:cs="Arial" w:eastAsia="Arial" w:hAnsi="Arial"/>
                <w:sz w:val="17"/>
                <w:szCs w:val="17"/>
                <w:color w:val="0000FF"/>
                <w:w w:val="97"/>
              </w:rPr>
              <w:t>1114 AVENUE OF THE AMERICAS</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28TH FLOOR</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500" w:type="dxa"/>
            <w:vAlign w:val="bottom"/>
            <w:gridSpan w:val="3"/>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7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700" w:type="dxa"/>
            <w:vAlign w:val="bottom"/>
            <w:gridSpan w:val="5"/>
          </w:tcPr>
          <w:p>
            <w:pPr>
              <w:ind w:left="20"/>
              <w:spacing w:after="0" w:line="215" w:lineRule="exact"/>
              <w:rPr>
                <w:rFonts w:ascii="Arial" w:cs="Arial" w:eastAsia="Arial" w:hAnsi="Arial"/>
                <w:sz w:val="21"/>
                <w:szCs w:val="21"/>
                <w:color w:val="0000EE"/>
              </w:rPr>
            </w:pPr>
            <w:hyperlink r:id="rId17">
              <w:r>
                <w:rPr>
                  <w:rFonts w:ascii="Arial" w:cs="Arial" w:eastAsia="Arial" w:hAnsi="Arial"/>
                  <w:sz w:val="21"/>
                  <w:szCs w:val="21"/>
                  <w:color w:val="0000EE"/>
                </w:rPr>
                <w:t>Luxor Capital Partners, LP</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700" w:type="dxa"/>
            <w:vAlign w:val="bottom"/>
            <w:gridSpan w:val="5"/>
          </w:tcPr>
          <w:p>
            <w:pPr>
              <w:ind w:left="20"/>
              <w:spacing w:after="0"/>
              <w:rPr>
                <w:sz w:val="20"/>
                <w:szCs w:val="20"/>
                <w:color w:val="auto"/>
              </w:rPr>
            </w:pPr>
            <w:r>
              <w:rPr>
                <w:rFonts w:ascii="Arial" w:cs="Arial" w:eastAsia="Arial" w:hAnsi="Arial"/>
                <w:sz w:val="17"/>
                <w:szCs w:val="17"/>
                <w:color w:val="0000FF"/>
                <w:w w:val="97"/>
              </w:rPr>
              <w:t>1114 AVENUE OF THE AMERICAS</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28TH FLOOR</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500" w:type="dxa"/>
            <w:vAlign w:val="bottom"/>
            <w:gridSpan w:val="3"/>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line="230" w:lineRule="auto"/>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LUXOR CAPITAL PARTNERS OFFSHORE</w:t>
        </w:r>
      </w:hyperlink>
    </w:p>
    <w:p>
      <w:pPr>
        <w:spacing w:after="0" w:line="1" w:lineRule="exact"/>
        <w:rPr>
          <w:sz w:val="20"/>
          <w:szCs w:val="20"/>
          <w:color w:val="auto"/>
        </w:rPr>
      </w:pP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LTD</w:t>
        </w:r>
      </w:hyperlink>
    </w:p>
    <w:p>
      <w:pPr>
        <w:spacing w:after="0" w:line="303"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MAPLES CORPORATE SERVICES LTD.</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PO BOX 309, UGLAND HOUSE</w:t>
      </w: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320" w:type="dxa"/>
            <w:vAlign w:val="bottom"/>
          </w:tcPr>
          <w:p>
            <w:pPr>
              <w:ind w:left="20"/>
              <w:spacing w:after="0"/>
              <w:rPr>
                <w:sz w:val="20"/>
                <w:szCs w:val="20"/>
                <w:color w:val="auto"/>
              </w:rPr>
            </w:pPr>
            <w:r>
              <w:rPr>
                <w:rFonts w:ascii="Arial" w:cs="Arial" w:eastAsia="Arial" w:hAnsi="Arial"/>
                <w:sz w:val="17"/>
                <w:szCs w:val="17"/>
                <w:color w:val="0000FF"/>
                <w:w w:val="97"/>
              </w:rPr>
              <w:t>GEORGE TOWN</w:t>
            </w:r>
          </w:p>
        </w:tc>
        <w:tc>
          <w:tcPr>
            <w:tcW w:w="980" w:type="dxa"/>
            <w:vAlign w:val="bottom"/>
          </w:tcPr>
          <w:p>
            <w:pPr>
              <w:ind w:left="100"/>
              <w:spacing w:after="0"/>
              <w:rPr>
                <w:sz w:val="20"/>
                <w:szCs w:val="20"/>
                <w:color w:val="auto"/>
              </w:rPr>
            </w:pPr>
            <w:r>
              <w:rPr>
                <w:rFonts w:ascii="Arial" w:cs="Arial" w:eastAsia="Arial" w:hAnsi="Arial"/>
                <w:sz w:val="17"/>
                <w:szCs w:val="17"/>
                <w:color w:val="0000FF"/>
              </w:rPr>
              <w:t>E9</w:t>
            </w:r>
          </w:p>
        </w:tc>
        <w:tc>
          <w:tcPr>
            <w:tcW w:w="1880" w:type="dxa"/>
            <w:vAlign w:val="bottom"/>
          </w:tcPr>
          <w:p>
            <w:pPr>
              <w:ind w:left="520"/>
              <w:spacing w:after="0"/>
              <w:rPr>
                <w:sz w:val="20"/>
                <w:szCs w:val="20"/>
                <w:color w:val="auto"/>
              </w:rPr>
            </w:pPr>
            <w:r>
              <w:rPr>
                <w:rFonts w:ascii="Arial" w:cs="Arial" w:eastAsia="Arial" w:hAnsi="Arial"/>
                <w:sz w:val="17"/>
                <w:szCs w:val="17"/>
                <w:color w:val="0000FF"/>
              </w:rPr>
              <w:t>KY1-1104</w:t>
            </w:r>
          </w:p>
        </w:tc>
      </w:tr>
      <w:tr>
        <w:trPr>
          <w:trHeight w:val="149"/>
        </w:trPr>
        <w:tc>
          <w:tcPr>
            <w:tcW w:w="2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0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20" w:right="28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Form 4 is filed jointly by Luxor Capital Group, LP ("Luxor Capital Group"), Luxor Capital Partners, LP ("Onshore Fund"), Luxor Capital Partners Offshore, Ltd. ("Offshore Feeder Fund"), Luxor Wavefront, LP ("Wavefront Fund"), LCG Holdings, LLC ("LCG Holdings"), Luxor Management, LLC ("Luxor Management"), Lugard Road Capital GP, LLC ("Lugard GP"), Jonathan Green and Christian Leone (collectively, the "Reporting Persons").</w:t>
      </w:r>
    </w:p>
    <w:p>
      <w:pPr>
        <w:spacing w:after="0" w:line="32" w:lineRule="exact"/>
        <w:rPr>
          <w:rFonts w:ascii="Arial" w:cs="Arial" w:eastAsia="Arial" w:hAnsi="Arial"/>
          <w:sz w:val="13"/>
          <w:szCs w:val="13"/>
          <w:color w:val="008000"/>
        </w:rPr>
      </w:pPr>
    </w:p>
    <w:p>
      <w:pPr>
        <w:ind w:left="20" w:right="180" w:firstLine="2"/>
        <w:spacing w:after="0" w:line="236"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may be deemed to be a member of a Section 13(d) group that may be deemed to collectively beneficially own more than 10% of the Issuer's outstanding shares of Class A Common Stock. Each of the Reporting Persons disclaims beneficial ownership of the securities reported herein except to the extent of his or its pecuniary interest therein. The filing of this Form 4 shall not be deemed an admission that the Reporting Persons are, for purposes of Section 13(d) of the Securities Exchange Act of 1934, as amended, the beneficial owners of any securities of the Issuer he or it does not directly own.</w:t>
      </w:r>
    </w:p>
    <w:p>
      <w:pPr>
        <w:spacing w:after="0" w:line="30" w:lineRule="exact"/>
        <w:rPr>
          <w:rFonts w:ascii="Arial" w:cs="Arial" w:eastAsia="Arial" w:hAnsi="Arial"/>
          <w:sz w:val="13"/>
          <w:szCs w:val="13"/>
          <w:color w:val="008000"/>
        </w:rPr>
      </w:pPr>
    </w:p>
    <w:p>
      <w:pPr>
        <w:ind w:left="20" w:right="20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owned directly by Onshore Fund. Each of LCG Holdings and Luxor Capital Group, as the general partner and investment manager, respectively, of Onshore Fund, may be deemed to beneficially own the securities owned directly by Onshore Fund. Luxor Management, as the general partner of Luxor Capital Group, and Christian Leone, as the managing member of each of LCG Holdings and Luxor Management, may be deemed to beneficially own the securities owned directly by Onshore Fund.</w:t>
      </w:r>
    </w:p>
    <w:p>
      <w:pPr>
        <w:spacing w:after="0" w:line="32" w:lineRule="exact"/>
        <w:rPr>
          <w:rFonts w:ascii="Arial" w:cs="Arial" w:eastAsia="Arial" w:hAnsi="Arial"/>
          <w:sz w:val="13"/>
          <w:szCs w:val="13"/>
          <w:color w:val="008000"/>
        </w:rPr>
      </w:pPr>
    </w:p>
    <w:p>
      <w:pPr>
        <w:ind w:left="2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owned directly by Wavefront Fund. Each of LCG Holdings and Luxor Capital Group, as the general partner and investment manager, respectively, of Wavefront Fund, may be deemed to beneficially own the securities owned directly by Wavefront Fund. Luxor Management, as the general partner of Luxor Capital Group, and Christian Leone, as the managing member of each of LCG Holdings and Luxor Management, may be deemed to beneficially own the securities owned directly by Wavefront Fund.</w:t>
      </w:r>
    </w:p>
    <w:p>
      <w:pPr>
        <w:spacing w:after="0" w:line="32" w:lineRule="exact"/>
        <w:rPr>
          <w:rFonts w:ascii="Arial" w:cs="Arial" w:eastAsia="Arial" w:hAnsi="Arial"/>
          <w:sz w:val="13"/>
          <w:szCs w:val="13"/>
          <w:color w:val="008000"/>
        </w:rPr>
      </w:pPr>
    </w:p>
    <w:p>
      <w:pPr>
        <w:ind w:left="20" w:right="220" w:firstLine="2"/>
        <w:spacing w:after="0" w:line="261" w:lineRule="auto"/>
        <w:tabs>
          <w:tab w:leader="none" w:pos="14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owned directly by Luxor Capital Partners Offshore Master Fund, LP ("Offshore Master Fund"). Offshore Feeder Fund, as the owner of a controlling interest in Offshore Master Fund, may be deemed to beneficially own the securities owned directly by Offshore Master Fund. Each of LCG Holdings and Luxor Capital Group, as the general partner and investment manager, respectively, of Offshore Master Fund, may be deemed to beneficially own the securities owned directly by Offshore Master Fund. Luxor Management, as the general partner of Luxor Capital Group, and Christian Leone, as the managing member of each of LCG Holdings and Luxor Management, may be deemed to beneficially own the securities owned directly by Offshore Master Fund.</w:t>
      </w:r>
    </w:p>
    <w:p>
      <w:pPr>
        <w:spacing w:after="0" w:line="18" w:lineRule="exact"/>
        <w:rPr>
          <w:rFonts w:ascii="Arial" w:cs="Arial" w:eastAsia="Arial" w:hAnsi="Arial"/>
          <w:sz w:val="12"/>
          <w:szCs w:val="12"/>
          <w:color w:val="008000"/>
        </w:rPr>
      </w:pPr>
    </w:p>
    <w:p>
      <w:pPr>
        <w:ind w:left="20" w:right="140" w:firstLine="2"/>
        <w:spacing w:after="0" w:line="261" w:lineRule="auto"/>
        <w:tabs>
          <w:tab w:leader="none" w:pos="14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owned directly by Lugard Road Capital Master Fund, LP ("Lugard Master Fund"). Each of Lugard GP and Luxor Capital Group, as the general partner and investment manager, respectively of Lugard Master Fund, may be deemed to beneficially own the securities owned directly by Lugard Master Fund. Luxor Management, as the general partner of Luxor Capital Group, and Christian Leone, as the managing member of Luxor Management, and as a managing member and controlling person of Lugard GP, may be deemed to beneficially own the securities owned directly by Lugard Master Fund. Jonathan Green as a managing member and controlling person of Lugard GP may be deemed to beneficially own the securities owned by Lugard Master Fund.</w:t>
      </w:r>
    </w:p>
    <w:p>
      <w:pPr>
        <w:sectPr>
          <w:pgSz w:w="11900" w:h="16898" w:orient="portrait"/>
          <w:cols w:equalWidth="0" w:num="1">
            <w:col w:w="10900"/>
          </w:cols>
          <w:pgMar w:left="480" w:top="131" w:right="519" w:bottom="0" w:gutter="0" w:footer="0" w:header="0"/>
        </w:sectPr>
      </w:pPr>
    </w:p>
    <w:p>
      <w:pPr>
        <w:spacing w:after="0" w:line="4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833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8337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PARTNERS, LP By: LCG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125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Holdings,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wp:posOffset>
            </wp:positionV>
            <wp:extent cx="1341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217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Norris Nissim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215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348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LUXOR WAVEFRONT,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05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By: LCG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064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General Partner By: /s/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2769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Nissim Name: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238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965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65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478" w:lineRule="exact"/>
        <w:rPr>
          <w:sz w:val="20"/>
          <w:szCs w:val="20"/>
          <w:color w:val="auto"/>
        </w:rPr>
      </w:pPr>
    </w:p>
    <w:p>
      <w:pPr>
        <w:sectPr>
          <w:pgSz w:w="11900" w:h="16898" w:orient="portrait"/>
          <w:cols w:equalWidth="0" w:num="2">
            <w:col w:w="8680" w:space="100"/>
            <w:col w:w="2120"/>
          </w:cols>
          <w:pgMar w:left="480" w:top="131" w:right="519" w:bottom="0" w:gutter="0" w:footer="0" w:header="0"/>
          <w:type w:val="continuous"/>
        </w:sectPr>
      </w:pPr>
    </w:p>
    <w:tbl>
      <w:tblPr>
        <w:tblLayout w:type="fixed"/>
        <w:tblInd w:w="6580" w:type="dxa"/>
        <w:tblCellMar>
          <w:top w:w="0" w:type="dxa"/>
          <w:left w:w="0" w:type="dxa"/>
          <w:bottom w:w="0" w:type="dxa"/>
          <w:right w:w="0" w:type="dxa"/>
        </w:tblCellMar>
      </w:tblPr>
      <w:tr>
        <w:trPr>
          <w:trHeight w:val="195"/>
        </w:trPr>
        <w:tc>
          <w:tcPr>
            <w:tcW w:w="1300" w:type="dxa"/>
            <w:vAlign w:val="bottom"/>
          </w:tcPr>
          <w:p>
            <w:pPr>
              <w:spacing w:after="0"/>
              <w:rPr>
                <w:sz w:val="20"/>
                <w:szCs w:val="20"/>
                <w:color w:val="auto"/>
              </w:rPr>
            </w:pPr>
            <w:r>
              <w:rPr>
                <w:rFonts w:ascii="Arial" w:cs="Arial" w:eastAsia="Arial" w:hAnsi="Arial"/>
                <w:sz w:val="17"/>
                <w:szCs w:val="17"/>
                <w:color w:val="0000FF"/>
                <w:w w:val="95"/>
              </w:rPr>
              <w:t>LUXOR CAPITAL</w:t>
            </w:r>
          </w:p>
        </w:tc>
        <w:tc>
          <w:tcPr>
            <w:tcW w:w="1660" w:type="dxa"/>
            <w:vAlign w:val="bottom"/>
            <w:gridSpan w:val="2"/>
          </w:tcPr>
          <w:p>
            <w:pPr>
              <w:jc w:val="right"/>
              <w:spacing w:after="0"/>
              <w:rPr>
                <w:sz w:val="20"/>
                <w:szCs w:val="20"/>
                <w:color w:val="auto"/>
              </w:rPr>
            </w:pPr>
            <w:r>
              <w:rPr>
                <w:rFonts w:ascii="Arial" w:cs="Arial" w:eastAsia="Arial" w:hAnsi="Arial"/>
                <w:sz w:val="17"/>
                <w:szCs w:val="17"/>
                <w:color w:val="0000FF"/>
              </w:rPr>
              <w:t>02/07/2022</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PARTNERS 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252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LTD. By: Luxor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3500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LP Investment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3360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sectPr>
          <w:pgSz w:w="11900" w:h="16898" w:orient="portrait"/>
          <w:cols w:equalWidth="0" w:num="1">
            <w:col w:w="10900"/>
          </w:cols>
          <w:pgMar w:left="480" w:top="131" w:right="519" w:bottom="0" w:gutter="0" w:footer="0" w:header="0"/>
          <w:type w:val="continuous"/>
        </w:sectPr>
      </w:pPr>
    </w:p>
    <w:bookmarkStart w:id="2" w:name="page3"/>
    <w:bookmarkEnd w:id="2"/>
    <w:p>
      <w:pPr>
        <w:ind w:left="6560"/>
        <w:spacing w:after="0"/>
        <w:rPr>
          <w:sz w:val="20"/>
          <w:szCs w:val="20"/>
          <w:color w:val="auto"/>
        </w:rPr>
      </w:pPr>
      <w:r>
        <w:rPr>
          <w:rFonts w:ascii="Arial" w:cs="Arial" w:eastAsia="Arial" w:hAnsi="Arial"/>
          <w:sz w:val="17"/>
          <w:szCs w:val="17"/>
          <w:color w:val="0000FF"/>
        </w:rPr>
        <w:t>Norris 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090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Nissim 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292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4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LUXOR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363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LP By: Luxor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200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205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058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Norris 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2090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Nissim 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292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47"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LCG 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3455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Norris 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2090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Nissim 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4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LUXOR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8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353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620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712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LUGARD ROAD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395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2395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GP, LLC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31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620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712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179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Norris Nissim as Agent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53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Christian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6826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8262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179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Norris Nissim as Agent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53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6648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64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2">
            <w:col w:w="8680" w:space="80"/>
            <w:col w:w="1199"/>
          </w:cols>
          <w:pgMar w:left="500" w:top="131" w:right="1440" w:bottom="1440" w:gutter="0" w:footer="0" w:header="0"/>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12" Type="http://schemas.openxmlformats.org/officeDocument/2006/relationships/hyperlink" Target="http://www.sec.gov/cgi-bin/browse-edgar?action=getcompany&amp;CIK=0001316580" TargetMode="External"/><Relationship Id="rId13" Type="http://schemas.openxmlformats.org/officeDocument/2006/relationships/hyperlink" Target="http://www.sec.gov/cgi-bin/browse-edgar?action=getcompany&amp;CIK=0001779474" TargetMode="External"/><Relationship Id="rId14" Type="http://schemas.openxmlformats.org/officeDocument/2006/relationships/hyperlink" Target="http://www.sec.gov/cgi-bin/browse-edgar?action=getcompany&amp;CIK=0001270742" TargetMode="External"/><Relationship Id="rId16" Type="http://schemas.openxmlformats.org/officeDocument/2006/relationships/hyperlink" Target="http://www.sec.gov/cgi-bin/browse-edgar?action=getcompany&amp;CIK=0001479129" TargetMode="External"/><Relationship Id="rId17" Type="http://schemas.openxmlformats.org/officeDocument/2006/relationships/hyperlink" Target="http://www.sec.gov/cgi-bin/browse-edgar?action=getcompany&amp;CIK=0001393021" TargetMode="External"/><Relationship Id="rId18" Type="http://schemas.openxmlformats.org/officeDocument/2006/relationships/hyperlink" Target="http://www.sec.gov/cgi-bin/browse-edgar?action=getcompany&amp;CIK=00013569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2022-02-07T19:02:26Z</dcterms:created>
  <dcterms:modified xsi:type="dcterms:W3CDTF">2022-02-07T19:02:26Z</dcterms:modified>
</cp:coreProperties>
</file>