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FORM 10-K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6"/>
        </w:rPr>
        <w:t>For the transition period from ____</w:t>
      </w:r>
      <w:r>
        <w:rPr>
          <w:color w:val="000000"/>
          <w:shd w:fill="FFFFFF" w:val="clear"/>
        </w:rPr>
        <w:t xml:space="preserve"> </w:t>
      </w:r>
      <w:r>
        <w:rPr>
          <w:rFonts w:ascii="Times New Roman;serif" w:hAnsi="Times New Roman;serif"/>
          <w:b/>
          <w:color w:val="000000"/>
          <w:sz w:val="16"/>
          <w:shd w:fill="FFFFFF" w:val="clear"/>
        </w:rPr>
        <w:t>to 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001-39021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tbl>
      <w:tblPr>
        <w:tblW w:w="7286"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36"/>
        <w:gridCol w:w="736"/>
        <w:gridCol w:w="119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6"/>
              </w:rPr>
            </w:pPr>
            <w:r>
              <w:rPr>
                <w:rFonts w:ascii="Times New Roman;serif" w:hAnsi="Times New Roman;serif"/>
                <w:b/>
                <w:color w:val="000000"/>
                <w:sz w:val="16"/>
              </w:rPr>
              <w:t>98-1605615</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41 Discovery</w:t>
            </w:r>
          </w:p>
          <w:p>
            <w:pPr>
              <w:pStyle w:val="TableContents"/>
              <w:bidi w:val="0"/>
              <w:spacing w:lineRule="auto" w:line="268"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45"/>
              <w:jc w:val="center"/>
              <w:rPr/>
            </w:pPr>
            <w:r>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6"/>
              </w:rPr>
            </w:pPr>
            <w:r>
              <w:rPr>
                <w:rFonts w:ascii="Times New Roman;serif" w:hAnsi="Times New Roman;serif"/>
                <w:b/>
                <w:color w:val="000000"/>
                <w:sz w:val="16"/>
              </w:rPr>
              <w:t>92618</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(844) 933-3627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85"/>
        <w:gridCol w:w="1982"/>
        <w:gridCol w:w="2008"/>
        <w:gridCol w:w="408"/>
        <w:gridCol w:w="403"/>
        <w:gridCol w:w="405"/>
        <w:gridCol w:w="764"/>
        <w:gridCol w:w="764"/>
        <w:gridCol w:w="1086"/>
      </w:tblGrid>
      <w:tr>
        <w:trPr/>
        <w:tc>
          <w:tcPr>
            <w:tcW w:w="238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MAPS</w:t>
            </w:r>
          </w:p>
        </w:tc>
        <w:tc>
          <w:tcPr>
            <w:tcW w:w="2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63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Warrants, each whole warrant exercisable for one share of Class A Common Stock at an exercise price of $11.50 per share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MAPSW</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 Yes ☐ No ☒</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8" w:before="120" w:after="283"/>
        <w:jc w:val="both"/>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r>
        <w:rPr>
          <w:color w:val="000000"/>
        </w:rPr>
        <w:t>☒</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6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the voting and non-voting common equity held by non-affiliates of the registrant as of June 30, 2025, the last business day of the registrant’s most recently completed second fiscal quarter, was approximately $84.9 million based upon the closing price reported for such date on the Nasdaq Global Select Market.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As of March 5, 2026, there were 111,187,614 shares of the registrant’s Class A common stock outstanding and 47,852,652 shares of Class V common stock outstanding.</w:t>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Portions of the registrant’s Proxy Statement for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WM TECHNOLOGY,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2990"/>
        <w:gridCol w:w="2990"/>
        <w:gridCol w:w="2999"/>
        <w:gridCol w:w="167"/>
        <w:gridCol w:w="167"/>
        <w:gridCol w:w="239"/>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6">
              <w:r>
                <w:rPr>
                  <w:rStyle w:val="InternetLink"/>
                  <w:rFonts w:ascii="Times New Roman;serif" w:hAnsi="Times New Roman;serif"/>
                  <w:b w:val="false"/>
                  <w:color w:val="0000FF"/>
                  <w:sz w:val="20"/>
                  <w:u w:val="single"/>
                </w:rPr>
                <w:t>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718acea977064dc1b02b20ad37d8dc37_16">
              <w:r>
                <w:rPr>
                  <w:rStyle w:val="InternetLink"/>
                  <w:rFonts w:ascii="Times New Roman;serif" w:hAnsi="Times New Roman;serif"/>
                  <w:b w:val="false"/>
                  <w:color w:val="0000EE"/>
                  <w:sz w:val="20"/>
                  <w:u w:val="single"/>
                </w:rPr>
                <w:t>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9">
              <w:r>
                <w:rPr>
                  <w:rStyle w:val="InternetLink"/>
                  <w:rFonts w:ascii="Times New Roman;serif" w:hAnsi="Times New Roman;serif"/>
                  <w:b w:val="false"/>
                  <w:color w:val="0000FF"/>
                  <w:sz w:val="20"/>
                  <w:u w:val="single"/>
                </w:rPr>
                <w:t>Risk Factor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9">
              <w:r>
                <w:rPr>
                  <w:rStyle w:val="InternetLink"/>
                  <w:rFonts w:ascii="Times New Roman;serif" w:hAnsi="Times New Roman;serif"/>
                  <w:b w:val="false"/>
                  <w:color w:val="0000FF"/>
                  <w:sz w:val="20"/>
                  <w:u w:val="single"/>
                </w:rPr>
                <w:t>3</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22">
              <w:r>
                <w:rPr>
                  <w:rStyle w:val="InternetLink"/>
                  <w:rFonts w:ascii="Times New Roman;serif" w:hAnsi="Times New Roman;serif"/>
                  <w:b w:val="false"/>
                  <w:color w:val="0000FF"/>
                  <w:sz w:val="20"/>
                  <w:u w:val="single"/>
                </w:rPr>
                <w:t>Part I</w:t>
              </w:r>
            </w:hyperlink>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25">
              <w:r>
                <w:rPr>
                  <w:rStyle w:val="InternetLink"/>
                  <w:rFonts w:ascii="Times New Roman;serif" w:hAnsi="Times New Roman;serif"/>
                  <w:b w:val="false"/>
                  <w:color w:val="0000FF"/>
                  <w:sz w:val="20"/>
                  <w:u w:val="single"/>
                </w:rPr>
                <w:t>Item 1. 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25">
              <w:r>
                <w:rPr>
                  <w:rStyle w:val="InternetLink"/>
                  <w:rFonts w:ascii="Times New Roman;serif" w:hAnsi="Times New Roman;serif"/>
                  <w:b w:val="false"/>
                  <w:color w:val="0000FF"/>
                  <w:sz w:val="20"/>
                  <w:u w:val="single"/>
                </w:rPr>
                <w:t>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28">
              <w:r>
                <w:rPr>
                  <w:rStyle w:val="InternetLink"/>
                  <w:rFonts w:ascii="Times New Roman;serif" w:hAnsi="Times New Roman;serif"/>
                  <w:b w:val="false"/>
                  <w:color w:val="0000FF"/>
                  <w:sz w:val="20"/>
                  <w:u w:val="single"/>
                </w:rPr>
                <w:t>Item 1A.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28">
              <w:r>
                <w:rPr>
                  <w:rStyle w:val="InternetLink"/>
                  <w:rFonts w:ascii="Times New Roman;serif" w:hAnsi="Times New Roman;serif"/>
                  <w:b w:val="false"/>
                  <w:color w:val="0000FF"/>
                  <w:sz w:val="20"/>
                  <w:u w:val="single"/>
                </w:rPr>
                <w:t>15</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31">
              <w:r>
                <w:rPr>
                  <w:rStyle w:val="InternetLink"/>
                  <w:rFonts w:ascii="Times New Roman;serif" w:hAnsi="Times New Roman;serif"/>
                  <w:b w:val="false"/>
                  <w:color w:val="0000FF"/>
                  <w:sz w:val="20"/>
                  <w:u w:val="single"/>
                </w:rPr>
                <w:t>Item 1B. 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31">
              <w:r>
                <w:rPr>
                  <w:rStyle w:val="InternetLink"/>
                  <w:rFonts w:ascii="Times New Roman;serif" w:hAnsi="Times New Roman;serif"/>
                  <w:b w:val="false"/>
                  <w:color w:val="0000FF"/>
                  <w:sz w:val="20"/>
                  <w:u w:val="single"/>
                </w:rPr>
                <w:t>50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34">
              <w:r>
                <w:rPr>
                  <w:rStyle w:val="InternetLink"/>
                  <w:rFonts w:ascii="Times New Roman;serif" w:hAnsi="Times New Roman;serif"/>
                  <w:b w:val="false"/>
                  <w:color w:val="0000FF"/>
                  <w:sz w:val="20"/>
                  <w:u w:val="single"/>
                </w:rPr>
                <w:t>Item 1C. 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31">
              <w:r>
                <w:rPr>
                  <w:rStyle w:val="InternetLink"/>
                  <w:rFonts w:ascii="Times New Roman;serif" w:hAnsi="Times New Roman;serif"/>
                  <w:b w:val="false"/>
                  <w:color w:val="0000FF"/>
                  <w:sz w:val="20"/>
                  <w:u w:val="single"/>
                </w:rPr>
                <w:t>50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37">
              <w:r>
                <w:rPr>
                  <w:rStyle w:val="InternetLink"/>
                  <w:rFonts w:ascii="Times New Roman;serif" w:hAnsi="Times New Roman;serif"/>
                  <w:b w:val="false"/>
                  <w:color w:val="0000FF"/>
                  <w:sz w:val="20"/>
                  <w:u w:val="single"/>
                </w:rPr>
                <w:t>Item 2. 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37">
              <w:r>
                <w:rPr>
                  <w:rStyle w:val="InternetLink"/>
                  <w:rFonts w:ascii="Times New Roman;serif" w:hAnsi="Times New Roman;serif"/>
                  <w:b w:val="false"/>
                  <w:color w:val="0000FF"/>
                  <w:sz w:val="20"/>
                  <w:u w:val="single"/>
                </w:rPr>
                <w:t>51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40">
              <w:r>
                <w:rPr>
                  <w:rStyle w:val="InternetLink"/>
                  <w:rFonts w:ascii="Times New Roman;serif" w:hAnsi="Times New Roman;serif"/>
                  <w:b w:val="false"/>
                  <w:color w:val="0000FF"/>
                  <w:sz w:val="20"/>
                  <w:u w:val="single"/>
                </w:rPr>
                <w:t>Item 3. 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40">
              <w:r>
                <w:rPr>
                  <w:rStyle w:val="InternetLink"/>
                  <w:rFonts w:ascii="Times New Roman;serif" w:hAnsi="Times New Roman;serif"/>
                  <w:b w:val="false"/>
                  <w:color w:val="0000FF"/>
                  <w:sz w:val="20"/>
                  <w:u w:val="single"/>
                </w:rPr>
                <w:t>51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43">
              <w:r>
                <w:rPr>
                  <w:rStyle w:val="InternetLink"/>
                  <w:rFonts w:ascii="Times New Roman;serif" w:hAnsi="Times New Roman;serif"/>
                  <w:b w:val="false"/>
                  <w:color w:val="0000FF"/>
                  <w:sz w:val="20"/>
                  <w:u w:val="single"/>
                </w:rPr>
                <w:t>Item 4. 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43">
              <w:r>
                <w:rPr>
                  <w:rStyle w:val="InternetLink"/>
                  <w:rFonts w:ascii="Times New Roman;serif" w:hAnsi="Times New Roman;serif"/>
                  <w:b w:val="false"/>
                  <w:color w:val="0000FF"/>
                  <w:sz w:val="20"/>
                  <w:u w:val="single"/>
                </w:rPr>
                <w:t>51</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46">
              <w:r>
                <w:rPr>
                  <w:rStyle w:val="InternetLink"/>
                  <w:rFonts w:ascii="Times New Roman;serif" w:hAnsi="Times New Roman;serif"/>
                  <w:b w:val="false"/>
                  <w:color w:val="0000FF"/>
                  <w:sz w:val="20"/>
                  <w:u w:val="single"/>
                </w:rPr>
                <w:t>Part II</w:t>
              </w:r>
            </w:hyperlink>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49">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49">
              <w:r>
                <w:rPr>
                  <w:rStyle w:val="InternetLink"/>
                  <w:rFonts w:ascii="Times New Roman;serif" w:hAnsi="Times New Roman;serif"/>
                  <w:b w:val="false"/>
                  <w:color w:val="0000FF"/>
                  <w:sz w:val="20"/>
                  <w:u w:val="single"/>
                </w:rPr>
                <w:t>52</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52">
              <w:r>
                <w:rPr>
                  <w:rStyle w:val="InternetLink"/>
                  <w:rFonts w:ascii="Times New Roman;serif" w:hAnsi="Times New Roman;serif"/>
                  <w:b w:val="false"/>
                  <w:color w:val="0000FF"/>
                  <w:sz w:val="20"/>
                  <w:u w:val="single"/>
                </w:rPr>
                <w:t>Item 6. 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52">
              <w:r>
                <w:rPr>
                  <w:rStyle w:val="InternetLink"/>
                  <w:rFonts w:ascii="Times New Roman;serif" w:hAnsi="Times New Roman;serif"/>
                  <w:b w:val="false"/>
                  <w:color w:val="0000FF"/>
                  <w:sz w:val="20"/>
                  <w:u w:val="single"/>
                </w:rPr>
                <w:t>52</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55">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55">
              <w:r>
                <w:rPr>
                  <w:rStyle w:val="InternetLink"/>
                  <w:rFonts w:ascii="Times New Roman;serif" w:hAnsi="Times New Roman;serif"/>
                  <w:b w:val="false"/>
                  <w:color w:val="0000FF"/>
                  <w:sz w:val="20"/>
                  <w:u w:val="single"/>
                </w:rPr>
                <w:t>52</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94">
              <w:r>
                <w:rPr>
                  <w:rStyle w:val="InternetLink"/>
                  <w:rFonts w:ascii="Times New Roman;serif" w:hAnsi="Times New Roman;serif"/>
                  <w:b w:val="false"/>
                  <w:color w:val="0000FF"/>
                  <w:sz w:val="20"/>
                  <w:u w:val="single"/>
                </w:rPr>
                <w:t>Item 7A. 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94">
              <w:r>
                <w:rPr>
                  <w:rStyle w:val="InternetLink"/>
                  <w:rFonts w:ascii="Times New Roman;serif" w:hAnsi="Times New Roman;serif"/>
                  <w:b w:val="false"/>
                  <w:color w:val="0000FF"/>
                  <w:sz w:val="20"/>
                  <w:u w:val="single"/>
                </w:rPr>
                <w:t>67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97">
              <w:r>
                <w:rPr>
                  <w:rStyle w:val="InternetLink"/>
                  <w:rFonts w:ascii="Times New Roman;serif" w:hAnsi="Times New Roman;serif"/>
                  <w:b w:val="false"/>
                  <w:color w:val="0000FF"/>
                  <w:sz w:val="20"/>
                  <w:u w:val="single"/>
                </w:rPr>
                <w:t>Item 8. 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97">
              <w:r>
                <w:rPr>
                  <w:rStyle w:val="InternetLink"/>
                  <w:rFonts w:ascii="Times New Roman;serif" w:hAnsi="Times New Roman;serif"/>
                  <w:b w:val="false"/>
                  <w:color w:val="0000FF"/>
                  <w:sz w:val="20"/>
                  <w:u w:val="single"/>
                </w:rPr>
                <w:t>67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00">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00">
              <w:r>
                <w:rPr>
                  <w:rStyle w:val="InternetLink"/>
                  <w:rFonts w:ascii="Times New Roman;serif" w:hAnsi="Times New Roman;serif"/>
                  <w:b w:val="false"/>
                  <w:color w:val="0000FF"/>
                  <w:sz w:val="20"/>
                  <w:u w:val="single"/>
                </w:rPr>
                <w:t>67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03">
              <w:r>
                <w:rPr>
                  <w:rStyle w:val="InternetLink"/>
                  <w:rFonts w:ascii="Times New Roman;serif" w:hAnsi="Times New Roman;serif"/>
                  <w:b w:val="false"/>
                  <w:color w:val="0000FF"/>
                  <w:sz w:val="20"/>
                  <w:u w:val="single"/>
                </w:rPr>
                <w:t>Item 9A. 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03">
              <w:r>
                <w:rPr>
                  <w:rStyle w:val="InternetLink"/>
                  <w:rFonts w:ascii="Times New Roman;serif" w:hAnsi="Times New Roman;serif"/>
                  <w:b w:val="false"/>
                  <w:color w:val="0000FF"/>
                  <w:sz w:val="20"/>
                  <w:u w:val="single"/>
                </w:rPr>
                <w:t>67</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06">
              <w:r>
                <w:rPr>
                  <w:rStyle w:val="InternetLink"/>
                  <w:rFonts w:ascii="Times New Roman;serif" w:hAnsi="Times New Roman;serif"/>
                  <w:b w:val="false"/>
                  <w:color w:val="0000FF"/>
                  <w:sz w:val="20"/>
                  <w:u w:val="single"/>
                </w:rPr>
                <w:t>Item 9B.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06">
              <w:r>
                <w:rPr>
                  <w:rStyle w:val="InternetLink"/>
                  <w:rFonts w:ascii="Times New Roman;serif" w:hAnsi="Times New Roman;serif"/>
                  <w:b w:val="false"/>
                  <w:color w:val="0000FF"/>
                  <w:sz w:val="20"/>
                  <w:u w:val="single"/>
                </w:rPr>
                <w:t>69</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12">
              <w:r>
                <w:rPr>
                  <w:rStyle w:val="InternetLink"/>
                  <w:rFonts w:ascii="Times New Roman;serif" w:hAnsi="Times New Roman;serif"/>
                  <w:b w:val="false"/>
                  <w:color w:val="0000FF"/>
                  <w:sz w:val="20"/>
                  <w:u w:val="single"/>
                </w:rPr>
                <w:t>Item 9C. 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12">
              <w:r>
                <w:rPr>
                  <w:rStyle w:val="InternetLink"/>
                  <w:rFonts w:ascii="Times New Roman;serif" w:hAnsi="Times New Roman;serif"/>
                  <w:b w:val="false"/>
                  <w:color w:val="0000FF"/>
                  <w:sz w:val="20"/>
                  <w:u w:val="single"/>
                </w:rPr>
                <w:t>69</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15">
              <w:r>
                <w:rPr>
                  <w:rStyle w:val="InternetLink"/>
                  <w:rFonts w:ascii="Times New Roman;serif" w:hAnsi="Times New Roman;serif"/>
                  <w:b w:val="false"/>
                  <w:color w:val="0000FF"/>
                  <w:sz w:val="20"/>
                  <w:u w:val="single"/>
                </w:rPr>
                <w:t>Part III</w:t>
              </w:r>
            </w:hyperlink>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18">
              <w:r>
                <w:rPr>
                  <w:rStyle w:val="InternetLink"/>
                  <w:rFonts w:ascii="Times New Roman;serif" w:hAnsi="Times New Roman;serif"/>
                  <w:b w:val="false"/>
                  <w:color w:val="0000FF"/>
                  <w:sz w:val="20"/>
                  <w:u w:val="single"/>
                </w:rPr>
                <w:t>Item 10. 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18">
              <w:r>
                <w:rPr>
                  <w:rStyle w:val="InternetLink"/>
                  <w:rFonts w:ascii="Times New Roman;serif" w:hAnsi="Times New Roman;serif"/>
                  <w:b w:val="false"/>
                  <w:color w:val="0000FF"/>
                  <w:sz w:val="20"/>
                  <w:u w:val="single"/>
                </w:rPr>
                <w:t>70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21">
              <w:r>
                <w:rPr>
                  <w:rStyle w:val="InternetLink"/>
                  <w:rFonts w:ascii="Times New Roman;serif" w:hAnsi="Times New Roman;serif"/>
                  <w:b w:val="false"/>
                  <w:color w:val="0000FF"/>
                  <w:sz w:val="20"/>
                  <w:u w:val="single"/>
                </w:rPr>
                <w:t>Item 11. 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21">
              <w:r>
                <w:rPr>
                  <w:rStyle w:val="InternetLink"/>
                  <w:rFonts w:ascii="Times New Roman;serif" w:hAnsi="Times New Roman;serif"/>
                  <w:b w:val="false"/>
                  <w:color w:val="0000FF"/>
                  <w:sz w:val="20"/>
                  <w:u w:val="single"/>
                </w:rPr>
                <w:t>70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24">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24">
              <w:r>
                <w:rPr>
                  <w:rStyle w:val="InternetLink"/>
                  <w:rFonts w:ascii="Times New Roman;serif" w:hAnsi="Times New Roman;serif"/>
                  <w:b w:val="false"/>
                  <w:color w:val="0000FF"/>
                  <w:sz w:val="20"/>
                  <w:u w:val="single"/>
                </w:rPr>
                <w:t>70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27">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27">
              <w:r>
                <w:rPr>
                  <w:rStyle w:val="InternetLink"/>
                  <w:rFonts w:ascii="Times New Roman;serif" w:hAnsi="Times New Roman;serif"/>
                  <w:b w:val="false"/>
                  <w:color w:val="0000FF"/>
                  <w:sz w:val="20"/>
                  <w:u w:val="single"/>
                </w:rPr>
                <w:t>70</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30">
              <w:r>
                <w:rPr>
                  <w:rStyle w:val="InternetLink"/>
                  <w:rFonts w:ascii="Times New Roman;serif" w:hAnsi="Times New Roman;serif"/>
                  <w:b w:val="false"/>
                  <w:color w:val="0000FF"/>
                  <w:sz w:val="20"/>
                  <w:u w:val="single"/>
                </w:rPr>
                <w:t>Item 14. 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30">
              <w:r>
                <w:rPr>
                  <w:rStyle w:val="InternetLink"/>
                  <w:rFonts w:ascii="Times New Roman;serif" w:hAnsi="Times New Roman;serif"/>
                  <w:b w:val="false"/>
                  <w:color w:val="0000FF"/>
                  <w:sz w:val="20"/>
                  <w:u w:val="single"/>
                </w:rPr>
                <w:t>70</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33">
              <w:r>
                <w:rPr>
                  <w:rStyle w:val="InternetLink"/>
                  <w:rFonts w:ascii="Times New Roman;serif" w:hAnsi="Times New Roman;serif"/>
                  <w:b w:val="false"/>
                  <w:color w:val="0000FF"/>
                  <w:sz w:val="20"/>
                  <w:u w:val="single"/>
                </w:rPr>
                <w:t>Part IV</w:t>
              </w:r>
            </w:hyperlink>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36">
              <w:r>
                <w:rPr>
                  <w:rStyle w:val="InternetLink"/>
                  <w:rFonts w:ascii="Times New Roman;serif" w:hAnsi="Times New Roman;serif"/>
                  <w:b w:val="false"/>
                  <w:color w:val="0000FF"/>
                  <w:sz w:val="20"/>
                  <w:u w:val="single"/>
                </w:rPr>
                <w:t>Item 15. 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36">
              <w:r>
                <w:rPr>
                  <w:rStyle w:val="InternetLink"/>
                  <w:rFonts w:ascii="Times New Roman;serif" w:hAnsi="Times New Roman;serif"/>
                  <w:b w:val="false"/>
                  <w:color w:val="0000FF"/>
                  <w:sz w:val="20"/>
                  <w:u w:val="single"/>
                </w:rPr>
                <w:t>71</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39">
              <w:r>
                <w:rPr>
                  <w:rStyle w:val="InternetLink"/>
                  <w:rFonts w:ascii="Times New Roman;serif" w:hAnsi="Times New Roman;serif"/>
                  <w:b w:val="false"/>
                  <w:color w:val="0000FF"/>
                  <w:sz w:val="20"/>
                  <w:u w:val="single"/>
                </w:rPr>
                <w:t>Item 16. 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39">
              <w:r>
                <w:rPr>
                  <w:rStyle w:val="InternetLink"/>
                  <w:rFonts w:ascii="Times New Roman;serif" w:hAnsi="Times New Roman;serif"/>
                  <w:b w:val="false"/>
                  <w:color w:val="0000FF"/>
                  <w:sz w:val="20"/>
                  <w:u w:val="single"/>
                </w:rPr>
                <w:t>73</w:t>
              </w:r>
            </w:hyperlink>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42">
              <w:r>
                <w:rPr>
                  <w:rStyle w:val="InternetLink"/>
                  <w:rFonts w:ascii="Times New Roman;serif" w:hAnsi="Times New Roman;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acea977064dc1b02b20ad37d8dc37_142">
              <w:r>
                <w:rPr>
                  <w:rStyle w:val="InternetLink"/>
                  <w:rFonts w:ascii="Times New Roman;serif" w:hAnsi="Times New Roman;serif"/>
                  <w:b w:val="false"/>
                  <w:color w:val="0000FF"/>
                  <w:sz w:val="20"/>
                  <w:u w:val="single"/>
                </w:rPr>
                <w:t>74</w:t>
              </w:r>
            </w:hyperlink>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68" w:before="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financial and business performance, including key business metrics and any underlying assumptions thereunder;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market opportunity and our ability to acquire new clients and retain existing clients;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expectations and timing related to commercial product launches;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success of our go-to-market strategy;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scale our business and expand our offerings;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competitive advantages and growth strategies;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future capital requirements and sources and uses of cash;</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obtain funding for our future operations;</w:t>
      </w:r>
    </w:p>
    <w:p>
      <w:pPr>
        <w:pStyle w:val="TextBody"/>
        <w:bidi w:val="0"/>
        <w:spacing w:lineRule="auto" w:line="268" w:before="0" w:after="60"/>
        <w:ind w:left="0" w:right="0" w:hanging="360"/>
        <w:jc w:val="both"/>
        <w:rPr/>
      </w:pPr>
      <w:r>
        <w:rPr>
          <w:color w:val="000000"/>
        </w:rPr>
        <w:t>•</w:t>
      </w:r>
      <w:r>
        <w:rPr>
          <w:rFonts w:ascii="Times New Roman;serif" w:hAnsi="Times New Roman;serif"/>
          <w:b w:val="false"/>
          <w:color w:val="000000"/>
          <w:sz w:val="20"/>
        </w:rPr>
        <w:t>the impact of material weaknesses in our internal controls and our ability to remediate any such material weakness on the timing we anticipate, or at all;</w:t>
      </w:r>
    </w:p>
    <w:p>
      <w:pPr>
        <w:pStyle w:val="TextBody"/>
        <w:bidi w:val="0"/>
        <w:spacing w:lineRule="auto" w:line="268" w:before="0" w:after="60"/>
        <w:ind w:left="0" w:right="0" w:hanging="360"/>
        <w:jc w:val="both"/>
        <w:rPr/>
      </w:pPr>
      <w:r>
        <w:rPr>
          <w:color w:val="000000"/>
        </w:rPr>
        <w:t>•</w:t>
      </w:r>
      <w:r>
        <w:rPr>
          <w:rFonts w:ascii="Times New Roman;serif" w:hAnsi="Times New Roman;serif"/>
          <w:b w:val="false"/>
          <w:color w:val="000000"/>
          <w:sz w:val="20"/>
        </w:rPr>
        <w:t>our ability to maintain our listing on the Nasdaq Stock Market LLC (“Nasdaq”);</w:t>
      </w:r>
    </w:p>
    <w:p>
      <w:pPr>
        <w:pStyle w:val="TextBody"/>
        <w:bidi w:val="0"/>
        <w:spacing w:lineRule="auto" w:line="268" w:before="0" w:after="60"/>
        <w:ind w:left="0" w:right="0" w:hanging="360"/>
        <w:jc w:val="both"/>
        <w:rPr/>
      </w:pPr>
      <w:r>
        <w:rPr>
          <w:color w:val="000000"/>
        </w:rPr>
        <w:t>•</w:t>
      </w:r>
      <w:r>
        <w:rPr>
          <w:rFonts w:ascii="Times New Roman;serif" w:hAnsi="Times New Roman;serif"/>
          <w:b w:val="false"/>
          <w:color w:val="000000"/>
          <w:sz w:val="20"/>
        </w:rPr>
        <w:t xml:space="preserve">the outcome of any known and unknown litigation and regulatory proceedings;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domestic and foreign business, market, financial, political and legal conditions;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effect of macroeconomic conditions, including, but not limited to inflation, tariffs, public health crises, government shutdowns,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future global, regional or local economic and market conditions affecting the cannabis industry;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development, effects and enforcement of and changes to laws and regulations, including with respect to the cannabis and hemp industries;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successfully capitalize on new and existing cannabis markets, including our ability to successfully monetize our solutions in those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manage future growth;</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effectively anticipate and address changes in the end-user market in the cannabis industry;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develop new products and solutions, bring them to market in a timely manner and make enhancements to our platform and our ability to maintain and grow our two-sided marketplace, including our ability to acquire and retain paying clients;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effects of competition on our future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success in retaining or recruiting, or changes required in, officers, key employees or directors;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cyber-attacks and security vulnerabilities;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possibility that we may be adversely affected by other economic, business or competitive factors.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may not be achieved or occur, and actual results, events, or circumstances could differ materially from those described in the 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WHERE YOU CAN FIND ADDITIONAL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filings with the Securities and Exchange Commission (“SEC”), the investor relations page on our website, which is located at ir.weedmaps.com,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we post through these channels is not a part of this Annual Report on Form 10-K. Any updates to the list of disclosure channels through which we will announce information will be posted on the investor relations page on our website.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1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as well as elsewhere in this Annual Report on Form 10-K and our other filings with the SEC. The below summary is qualified in its entirety by that more complete discussion of such risks and uncertainties. You should consider carefully the risks and uncertainties described under the section titled “Risk Factors” as part of your evaluation of an investment in our securities: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 our costs increase, we may not be able to generate sufficient revenue to achieve profitability in the future.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If we fail to retain our existing clients and consumers or to acquire new clients and consumers in a cost-effective manner, our revenue may decrease and our business may be harmed.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We may fail to offer the optimal pricing of our products and solutions.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we fail to expand effectively into new markets, our revenue and business will be adversely affected.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Competition from the illicit cannabis market could impact our ability to succeed.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business is concentrated in California, and, as a result, our performance may be affected by factors unique to the California market.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Litigation or legal proceedings could expose us to significant liabilities and have a negative impact on our reputation or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business is dependent on U.S. state laws and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rapid changes in the cannabis industry and applicable laws and regulations make predicting and evaluating our future prospects difficult, and may increase the risk that we will not be successful.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Because our business is dependent, in part, upon continued market acceptance of cannabis by consumers, any negative trends could adversely affect our business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Expansion of our business is dependent on the continued legalization of cannabis.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clients and consumers using our platform fail to provide high-quality content that attracts consumers, we may not be able to generate sufficient consumer traffic to remain competitive.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business is highly dependent upon our brand recognition and reputation, and the erosion or degradation of our brand recognition or reputation would likely adversely affect our business and operating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currently face intense competition in the cannabis information market, and we expect competition to further intensify as the cannabis industry continues to evolve.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we fail to manage our employee operations and organization effectively, our brand, business and operating results could be harmed.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we are unable to recruit, train, retain and motivate key personnel, we may not achieve our business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or are otherwise limited in our ability to conduct digital advertising by applicable laws, our ability to attract new clients may be impaired.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our current marketing model is not effective in attracting new clients, we may need to employ higher-cost sales and marketing methods to attract and retain clients, which could adversely affect our profitability.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the Apple App Store or Google Play limit the functionality or availability of our mobile application platform, including as a result of changes or violations of terms and conditions, access to and utilization of our platform may suffer.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may be unable to scale and adapt our existing technology and network infrastructure in a timely or effective manner to ensure that our platform is accessible, which would harm our reputation, business and operating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payment system and the payment systems of our clients depend on third-party providers and are subject to evolving laws and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We are dependent on our banking relations, and we may have difficulty accessing or consistently maintaining banking or other financial services due to our connection with the cannabis industry </w:t>
      </w:r>
    </w:p>
    <w:p>
      <w:pPr>
        <w:pStyle w:val="TextBody"/>
        <w:bidi w:val="0"/>
        <w:spacing w:lineRule="auto" w:line="288" w:before="0" w:after="60"/>
        <w:ind w:left="0" w:right="0" w:hanging="360"/>
        <w:jc w:val="both"/>
        <w:rPr/>
      </w:pPr>
      <w:r>
        <w:rPr>
          <w:color w:val="000000"/>
          <w:shd w:fill="FFFFFF" w:val="clear"/>
        </w:rPr>
        <w:t>•</w:t>
      </w:r>
      <w:r>
        <w:rPr>
          <w:rFonts w:ascii="Times New Roman;serif" w:hAnsi="Times New Roman;serif"/>
          <w:b w:val="false"/>
          <w:color w:val="000000"/>
          <w:sz w:val="20"/>
        </w:rPr>
        <w:t xml:space="preserve">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successfully drive engagement on our platform, as well as changes to our user engagement and advertising strategy and practices, pose risks to our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Governmental regulation of the internet continues to develop, and unfavorable changes could substantially harm our business and operating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have ongoing material weaknesses in our internal control over financial reporting as of December 31, 2025.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pStyle w:val="TextBody"/>
        <w:bidi w:val="0"/>
        <w:spacing w:lineRule="auto" w:line="288" w:before="0" w:after="60"/>
        <w:ind w:left="0" w:right="0" w:hanging="360"/>
        <w:jc w:val="both"/>
        <w:rPr/>
      </w:pPr>
      <w:r>
        <w:rPr>
          <w:color w:val="000000"/>
          <w:shd w:fill="FFFFFF" w:val="clear"/>
        </w:rPr>
        <w:t>•</w:t>
      </w:r>
      <w:r>
        <w:rPr>
          <w:rFonts w:ascii="Times New Roman;serif" w:hAnsi="Times New Roman;serif"/>
          <w:b w:val="false"/>
          <w:color w:val="000000"/>
          <w:sz w:val="20"/>
          <w:shd w:fill="FFFFFF" w:val="clear"/>
        </w:rPr>
        <w:t>We previously restated our financial statements for several quarters, which resulted in unanticipated costs and may adversely affect investor confidence, our stock price, our ability to raise capital, raise reputational issues and may subject us to additional risks and uncertainties, including the increased possibility of legal proceedings and regulatory inquiries</w:t>
      </w:r>
    </w:p>
    <w:p>
      <w:pPr>
        <w:pStyle w:val="TextBody"/>
        <w:bidi w:val="0"/>
        <w:spacing w:lineRule="auto" w:line="288" w:before="0" w:after="60"/>
        <w:ind w:left="0" w:right="0" w:hanging="360"/>
        <w:jc w:val="both"/>
        <w:rPr/>
      </w:pPr>
      <w:r>
        <w:rPr>
          <w:color w:val="000000"/>
          <w:shd w:fill="FFFFFF" w:val="clear"/>
        </w:rPr>
        <w:t>•</w:t>
      </w:r>
      <w:r>
        <w:rPr>
          <w:rFonts w:ascii="Times New Roman;serif" w:hAnsi="Times New Roman;serif"/>
          <w:b w:val="false"/>
          <w:color w:val="000000"/>
          <w:sz w:val="20"/>
        </w:rPr>
        <w:t>Public statements from investors, including expressions of interest or proposals to purchase our company, may increase the volatility of, or otherwise have an adverse impact on, the market price of our Class A common stock.</w:t>
      </w:r>
    </w:p>
    <w:p>
      <w:pPr>
        <w:pStyle w:val="TextBody"/>
        <w:bidi w:val="0"/>
        <w:spacing w:lineRule="auto" w:line="288" w:before="0" w:after="60"/>
        <w:ind w:left="0" w:right="0" w:hanging="360"/>
        <w:jc w:val="both"/>
        <w:rPr/>
      </w:pPr>
      <w:r>
        <w:rPr>
          <w:color w:val="000000"/>
          <w:shd w:fill="FFFFFF" w:val="clear"/>
        </w:rPr>
        <w:t>•</w:t>
      </w:r>
      <w:r>
        <w:rPr>
          <w:rFonts w:ascii="Times New Roman;serif" w:hAnsi="Times New Roman;serif"/>
          <w:b w:val="false"/>
          <w:color w:val="000000"/>
          <w:sz w:val="20"/>
        </w:rPr>
        <w:t>The trading price of our Class A Common Stock and certain of our Public Warrants have been, and may continue to be, volatile, and the value of our Class A Common Stock and such Warrants may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Strategically reach prospective cannabis consumers.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Manage pickup, delivery and inventory in compliance with local regulations.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Help improve the customer experience by creating online browsing and ordering functionality on a brand or retailer (including delivery) operator’s website.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Foster customer loyalty and re-engage with segments of consumers.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Leverage the Weedmaps for Business products in conjunction with any other preferred software solutions via integrations and application programming interfaces (“APIs”).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Make informed marketing and merchandising decisions using performance analytics and consumer and brand insights to promote products to specific consumer groups.</w:t>
      </w:r>
    </w:p>
    <w:p>
      <w:pPr>
        <w:pStyle w:val="TextBody"/>
        <w:bidi w:val="0"/>
        <w:spacing w:lineRule="auto" w:line="288" w:before="120" w:after="120"/>
        <w:jc w:val="both"/>
        <w:rPr/>
      </w:pPr>
      <w:r>
        <w:rPr>
          <w:rFonts w:ascii="Times New Roman;serif" w:hAnsi="Times New Roman;serif"/>
          <w:b w:val="false"/>
          <w:color w:val="000000"/>
          <w:sz w:val="20"/>
          <w:shd w:fill="FFFFFF" w:val="clear"/>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w:t>
      </w:r>
      <w:r>
        <w:rPr>
          <w:rFonts w:ascii="Times New Roman;serif" w:hAnsi="Times New Roman;serif"/>
          <w:b w:val="false"/>
          <w:color w:val="000000"/>
          <w:sz w:val="20"/>
        </w:rPr>
        <w:t xml:space="preserve">hird-party websites through our orders and 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state-legal cannabis industry in the United States has grown consistently in recent years and was estimated to be approximately $34 billion in 2025, according to Wall Street analyst estimates, and is expected by some estimates to grow to approximately $43 billion by 2027, assuming a continued pace of new state legalization, with majority of U.S. adults in support of having legal access to cannabis.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Despite expectations of growth, the regulated cannabis market in the United States is still nascent and fragmented, with significant challenges facing both consumers seeking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understand cannabis and find the right products for them and businesses seeking to operate compliantly and to effectively reach and market to cannabis consumers. On the client side, as of December 31, 2025, there were approximately 13,600 retail licenses across the United States with medical and/or adult-use regulations in place, which is an effective retail density of approximately one retail license per 21,100 residents across these markets in the aggregate, based on data available from individual governmental cannabis license databases and the U.S. Census Bureau estimates for both licenses and population.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Product and Solution Ecosystem</w:t>
      </w:r>
    </w:p>
    <w:p>
      <w:pPr>
        <w:pStyle w:val="TextBody"/>
        <w:bidi w:val="0"/>
        <w:spacing w:before="120" w:after="120"/>
        <w:jc w:val="both"/>
        <w:rPr/>
      </w:pPr>
      <w:r>
        <w:rPr/>
        <w:drawing>
          <wp:inline distT="0" distB="0" distL="0" distR="0">
            <wp:extent cx="6515100" cy="31813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515100" cy="3181350"/>
                    </a:xfrm>
                    <a:prstGeom prst="rect">
                      <a:avLst/>
                    </a:prstGeom>
                  </pic:spPr>
                </pic:pic>
              </a:graphicData>
            </a:graphic>
          </wp:inline>
        </w:drawing>
      </w:r>
      <w:bookmarkStart w:id="0" w:name="i-1"/>
      <w:bookmarkEnd w:id="0"/>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Weedmaps for Business, we offer an end-to-end platform for licensed cannabis retailers to comply with state law. We sell a monthly subscription offering to retailer and brand clients as well as upsell and add-on offerings to licensed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current Weedmaps for Business monthly subscription package includes: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WM Orders: Software for retailers to receive pickup and delivery orders directly from a Weedmaps listing and connect orders directly with a client’s point-of-sale (“POS”) system (for certain POS systems). The marketplace also enables brands to route customer purchase interest to a retailer that carries the brand’s product. After a dispensary receives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order request from the consumer, the dispensary and the consumer can continue to communicate, adjust items in the request, and handle any stock issues, prior to and while the dispensary processes and fulfills the order.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offer other add-on products for additional fees,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Featured Listings: Premium placement ad solutions on high visibility locations on the Weedmaps marketplace (desktop and mobile) to amplify our clients’ businesses and maximize clients’ listings and deal presence.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Other ads solutions: Includes banner ads and promotion tiles on our marketplace as well as banner ads that can be tied to keyword searches. These products provide clients with targeted ad solutions in highly visible slots across our digital surfaces.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TextBody"/>
        <w:bidi w:val="0"/>
        <w:spacing w:lineRule="auto" w:line="288" w:before="120" w:after="120"/>
        <w:jc w:val="both"/>
        <w:rPr/>
      </w:pPr>
      <w:r>
        <w:rPr>
          <w:rFonts w:ascii="Times New Roman;serif" w:hAnsi="Times New Roman;serif"/>
          <w:b w:val="false"/>
          <w:color w:val="000000"/>
          <w:sz w:val="20"/>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December 31, 2025, we actively operated in over</w:t>
      </w:r>
      <w:r>
        <w:rPr>
          <w:color w:val="000000"/>
          <w:shd w:fill="FFFFFF" w:val="clear"/>
        </w:rPr>
        <w:t xml:space="preserve"> </w:t>
      </w:r>
      <w:r>
        <w:rPr>
          <w:rFonts w:ascii="Times New Roman;serif" w:hAnsi="Times New Roman;serif"/>
          <w:b w:val="false"/>
          <w:color w:val="000000"/>
          <w:sz w:val="20"/>
          <w:shd w:fill="FFFFFF" w:val="clear"/>
        </w:rPr>
        <w:t>35 U</w:t>
      </w:r>
      <w:r>
        <w:rPr>
          <w:rFonts w:ascii="Times New Roman;serif" w:hAnsi="Times New Roman;serif"/>
          <w:b w:val="false"/>
          <w:color w:val="000000"/>
          <w:sz w:val="20"/>
        </w:rPr>
        <w:t>.S. states and territories that have adult-use and/or medical-use regulations in place. We define actively operated markets as those U.S. states or territories with greater than $1,000 monthly revenue. Substantially all of our revenue was generated in the United States.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monetize new solutions to extend the functionality of our platform. These investments serve to deepen the consumer experience with our platform and continue to provide a high level of support to our business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the cannabis industry is still in the early innings of what could be decades of growth, we have established a leading position and a recognized brand given our 17-year operating history. Over the coming years, we plan to continue expanding our solutions and service offerings.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Challenges in Our End-Markets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Despite cannabis being a large and growing sector in the United States, we believe that cannabis is unlike many other consumer goods and retail categories for a number of reasons: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Cannabis as a regulated industry is still in a nascent stage of development.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Regulations governing cannabis are complex and vary state-by-state and by city and county within states.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Cannabis has wide variance in characteristics that make it complex for consumers to make an informed purchase decision.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Cannabis is a perishable good with a lack of product homogeneity.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Brands are only in the early stages of establishing a consumer presence.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illicit market continues to pose a major challenge, directly competing with licensed operators burdened by high taxes and complex regulations.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industry has experienced periods of price deflation, including over the past three years, impacting the financial performance of businesses across the value chain.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Since our founding in 2008, we have grown to become a leading provider of technology solutions to the cannabis industry by leveraging our competitive strengths, including:</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Long History as a Technology Leader Serving the Cannabis Industry.</w:t>
      </w:r>
      <w:r>
        <w:rPr>
          <w:color w:val="000000"/>
        </w:rPr>
        <w:t xml:space="preserve"> </w:t>
      </w:r>
      <w:r>
        <w:rPr>
          <w:rFonts w:ascii="Times New Roman;serif" w:hAnsi="Times New Roman;serif"/>
          <w:b w:val="false"/>
          <w:color w:val="000000"/>
          <w:sz w:val="20"/>
        </w:rPr>
        <w:t>Founded in 2008, we have a long 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 xml:space="preserve">Largest Two-Sided Platform for Cannabis Businesses and Consumers. </w:t>
      </w:r>
      <w:r>
        <w:rPr>
          <w:rFonts w:ascii="Times New Roman;serif" w:hAnsi="Times New Roman;serif"/>
          <w:b w:val="false"/>
          <w:color w:val="000000"/>
          <w:sz w:val="20"/>
        </w:rPr>
        <w:t>With $174.7 million in revenues and 5,190 average monthly paying clients for the year ended December 31, 2025, we believe we are the largest two-sided platform for cannabis businesses and consumers in the United States. Increasing the number of users on our platform, generates more engagements, which we expect can more easily persuade our business clients to consolidate their service providers by switching to our value-priced Weedmaps for Business bundled solution. Increasing the number of businesses on our marketplace, allows us to be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A Fully-Integrated Solution Specific to the Cannabis Industry.</w:t>
      </w:r>
      <w:r>
        <w:rPr>
          <w:color w:val="000000"/>
        </w:rPr>
        <w:t xml:space="preserve"> </w:t>
      </w:r>
      <w:r>
        <w:rPr>
          <w:rFonts w:ascii="Times New Roman;serif" w:hAnsi="Times New Roman;serif"/>
          <w:b w:val="false"/>
          <w:color w:val="000000"/>
          <w:sz w:val="20"/>
        </w:rPr>
        <w:t>We believe our Weedmaps for Business is the industry’s only comprehensive solution 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Unique and Growing Data Asset.</w:t>
      </w:r>
      <w:r>
        <w:rPr>
          <w:color w:val="000000"/>
        </w:rPr>
        <w:t xml:space="preserve"> </w:t>
      </w:r>
      <w:r>
        <w:rPr>
          <w:rFonts w:ascii="Times New Roman;serif" w:hAnsi="Times New Roman;serif"/>
          <w:b w:val="false"/>
          <w:color w:val="000000"/>
          <w:sz w:val="20"/>
        </w:rPr>
        <w:t>As a result our established presence, scale and the breadth of product 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Ability to Innovate Rapidly and Launch New Products Efficiently at Scale.</w:t>
      </w:r>
      <w:r>
        <w:rPr>
          <w:color w:val="000000"/>
        </w:rPr>
        <w:t xml:space="preserve"> </w:t>
      </w:r>
      <w:r>
        <w:rPr>
          <w:rFonts w:ascii="Times New Roman;serif" w:hAnsi="Times New Roman;serif"/>
          <w:b w:val="false"/>
          <w:color w:val="000000"/>
          <w:sz w:val="20"/>
        </w:rPr>
        <w:t>We have an agile product 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Capital-Efficient Business Model with Historical Track Record of Positive Cash Flows.</w:t>
      </w:r>
      <w:r>
        <w:rPr>
          <w:color w:val="000000"/>
        </w:rPr>
        <w:t xml:space="preserve"> </w:t>
      </w:r>
      <w:r>
        <w:rPr>
          <w:rFonts w:ascii="Times New Roman;serif" w:hAnsi="Times New Roman;serif"/>
          <w:b w:val="false"/>
          <w:color w:val="000000"/>
          <w:sz w:val="20"/>
        </w:rPr>
        <w:t xml:space="preserve">We operate a 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our track record of positive Adjusted EBITDA and cash flows from operating activities. </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Operationally-Focused Management Team with Deep Experience.</w:t>
      </w:r>
      <w:r>
        <w:rPr>
          <w:color w:val="000000"/>
        </w:rPr>
        <w:t xml:space="preserve"> </w:t>
      </w:r>
      <w:r>
        <w:rPr>
          <w:rFonts w:ascii="Times New Roman;serif" w:hAnsi="Times New Roman;serif"/>
          <w:b w:val="false"/>
          <w:color w:val="000000"/>
          <w:sz w:val="20"/>
        </w:rPr>
        <w:t>Our executive leadership team has extensive and relevant professional experience spanning the technology, consumer, retail, legal and financial services industries, with a track record of operational execution and driving growth. Our Chief Executive Officer, Douglas Francis is a co-founder of WM Technology and, prior to 2024, had also served as Executive Chair. We believe our deep knowledge of our end-markets and broad-based operational expertise spanning several industry sectors provides a key competitive advantage in executing against our growth strategy.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Grow Our Two-Sided Marketplace.</w:t>
      </w:r>
      <w:r>
        <w:rPr>
          <w:color w:val="000000"/>
        </w:rPr>
        <w:t xml:space="preserve"> </w:t>
      </w:r>
      <w:r>
        <w:rPr>
          <w:rFonts w:ascii="Times New Roman;serif" w:hAnsi="Times New Roman;serif"/>
          <w:b w:val="false"/>
          <w:color w:val="000000"/>
          <w:sz w:val="20"/>
        </w:rPr>
        <w:t>Our goal is to be the center of commerce for consumers seeking 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Expand Our Existing Markets and Enter New Markets.</w:t>
      </w:r>
      <w:r>
        <w:rPr>
          <w:color w:val="000000"/>
        </w:rPr>
        <w:t xml:space="preserve"> </w:t>
      </w:r>
      <w:r>
        <w:rPr>
          <w:rFonts w:ascii="Times New Roman;serif" w:hAnsi="Times New Roman;serif"/>
          <w:b w:val="false"/>
          <w:color w:val="000000"/>
          <w:sz w:val="20"/>
        </w:rPr>
        <w:t>We have a significant opportunity to grow our 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2025.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based on our internal data. Despite recent and near term challenges, we believe that there are substantial growth opportunities for us in the long-term within our existing markets as retail licenses continue to be issued, and states move towards, and eventually beyond, the one retail license per 10,000 people ratio. As of December 31, 2025, there were approximately 13,600</w:t>
      </w:r>
      <w:r>
        <w:rPr>
          <w:color w:val="000000"/>
          <w:shd w:fill="FFFFFF" w:val="clear"/>
        </w:rPr>
        <w:t xml:space="preserve"> </w:t>
      </w:r>
      <w:r>
        <w:rPr>
          <w:rFonts w:ascii="Times New Roman;serif" w:hAnsi="Times New Roman;serif"/>
          <w:b w:val="false"/>
          <w:color w:val="000000"/>
          <w:sz w:val="20"/>
        </w:rPr>
        <w:t xml:space="preserve">existing retail licenses across the United States. Assuming no cap on the number of licenses issued or other restrictions on the number of licenses issued, if these same markets were to issue enough licenses to match a ratio of one retail license per 10,000 residents, approximately 15,000 new retail licenses would be issued. This may require continued liberalization of license restrictions across cities and counties within certain states where we do business today. In addition, we believe that legalization by additional states and eventually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government i</w:t>
      </w:r>
      <w:r>
        <w:rPr>
          <w:rFonts w:ascii="Times New Roman;serif" w:hAnsi="Times New Roman;serif"/>
          <w:b w:val="false"/>
          <w:color w:val="000000"/>
          <w:sz w:val="20"/>
          <w:shd w:fill="FFFFFF" w:val="clear"/>
        </w:rPr>
        <w:t>s inevitable. A</w:t>
      </w:r>
      <w:r>
        <w:rPr>
          <w:rFonts w:ascii="Times New Roman;serif" w:hAnsi="Times New Roman;serif"/>
          <w:b w:val="false"/>
          <w:color w:val="000000"/>
          <w:sz w:val="20"/>
        </w:rPr>
        <w:t>ssuming no other restrictions on the number of licenses issued, if the entire United States reached a minimum level of density of one retail license per 10,000 residents, the total universe of retail licenses would reach approximately 34,500, which is approximatel</w:t>
      </w:r>
      <w:r>
        <w:rPr>
          <w:rFonts w:ascii="Times New Roman;serif" w:hAnsi="Times New Roman;serif"/>
          <w:b w:val="false"/>
          <w:color w:val="000000"/>
          <w:sz w:val="20"/>
          <w:shd w:fill="FFFFFF" w:val="clear"/>
        </w:rPr>
        <w:t>y 2.5 ti</w:t>
      </w:r>
      <w:r>
        <w:rPr>
          <w:rFonts w:ascii="Times New Roman;serif" w:hAnsi="Times New Roman;serif"/>
          <w:b w:val="false"/>
          <w:color w:val="000000"/>
          <w:sz w:val="20"/>
        </w:rPr>
        <w:t>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 xml:space="preserve">Expand Our Weedmaps for Business Solutions and Monetize Gross Merchandise Value (“GMV”) Consistent with Federal and State Laws. </w:t>
      </w:r>
      <w:r>
        <w:rPr>
          <w:rFonts w:ascii="Times New Roman;serif" w:hAnsi="Times New Roman;serif"/>
          <w:b w:val="false"/>
          <w:color w:val="000000"/>
          <w:sz w:val="20"/>
        </w:rPr>
        <w:t>We intend to continue expanding our suite of valuable 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pStyle w:val="TextBody"/>
        <w:bidi w:val="0"/>
        <w:spacing w:lineRule="auto" w:line="288" w:before="120" w:after="120"/>
        <w:ind w:left="0" w:right="0" w:hanging="360"/>
        <w:jc w:val="both"/>
        <w:rPr/>
      </w:pPr>
      <w:r>
        <w:rPr>
          <w:color w:val="000000"/>
        </w:rPr>
        <w:t>•</w:t>
      </w:r>
      <w:r>
        <w:rPr>
          <w:rFonts w:ascii="Times New Roman;serif" w:hAnsi="Times New Roman;serif"/>
          <w:b/>
          <w:i/>
          <w:color w:val="000000"/>
          <w:sz w:val="20"/>
        </w:rPr>
        <w:t xml:space="preserve">Pursue Strategic Acquisitions. </w:t>
      </w:r>
      <w:r>
        <w:rPr>
          <w:rFonts w:ascii="Times New Roman;serif" w:hAnsi="Times New Roman;serif"/>
          <w:b w:val="false"/>
          <w:color w:val="000000"/>
          <w:sz w:val="20"/>
        </w:rPr>
        <w:t>We take a measured approach to acquisition-related growth. We intend to continue selectively pursuing opportunities to invest in and acquire technology offerings that either complement our existing products and services or allow us to accelerate our growth.</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Corporate History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120"/>
        <w:jc w:val="both"/>
        <w:rPr/>
      </w:pPr>
      <w:r>
        <w:rPr>
          <w:rFonts w:ascii="Times New Roman;serif" w:hAnsi="Times New Roman;serif"/>
          <w:b w:val="false"/>
          <w:color w:val="000000"/>
          <w:sz w:val="20"/>
        </w:rPr>
        <w:t>Our direct competitors for individual components or parts of our platform include cannabis-focused marketplace like Leafly (for retail listing pages), cannabis-focused technology companies like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general two-sided networks like Yelp, various other newspaper, television and media companies, outdoor billboard advertising, and online merchant platforms, such as Shopify, Square and Lightspeed, or delivery companies like DoorDash. For example, in January 2025, DoorDash announced an expanded offering to allow customers of legal age to purchase hemp derived THC and CBD products from merchants.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w:t>
      </w:r>
      <w:r>
        <w:rPr>
          <w:rFonts w:ascii="Times New Roman;serif" w:hAnsi="Times New Roman;serif"/>
          <w:b w:val="false"/>
          <w:color w:val="000000"/>
          <w:sz w:val="20"/>
          <w:shd w:fill="FFFFFF" w:val="clear"/>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Should cannabis ultimately be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about the risks to our business related to competition, see the section titled “Risk Factors—Risks Related to our Business and Industry—We currently face intense competition in the market and we expect competition to further intensify as the cannabis industry continues to evolve.”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sales team is primarily based out of our Irvine, California headquarters. Members of our sales team are knowledgeable about the products and add-ons that we offer and assist new and existing clients with our platform.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Marketing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pStyle w:val="TextBody"/>
        <w:bidi w:val="0"/>
        <w:spacing w:lineRule="auto" w:line="288" w:before="120" w:after="120"/>
        <w:jc w:val="both"/>
        <w:rPr/>
      </w:pPr>
      <w:r>
        <w:rPr>
          <w:rFonts w:ascii="Times New Roman;serif" w:hAnsi="Times New Roman;serif"/>
          <w:b w:val="false"/>
          <w:color w:val="000000"/>
          <w:sz w:val="20"/>
        </w:rPr>
        <w:t>Our key marketing efforts consist of driving awareness of the marketplace, new user acquisition, and increasing platform engagement with existing users. To drive awareness, we apply a range of strategies from broad integrated marketing campaigns, such as our work each year on April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(“420”), to local, on-the ground events in partnership with brands and retailers.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search engine optimization tactics to drive organic traffic. To engage and retain existing users, we apply lifecycle tactics, leveraging our first party data to personalize touch points based on user interests.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reinvested in our own on-the-ground and field marketing presence and are increasing the types and cadence of client events. These events and in-store activations allow us to engage with consumers at the point of purchase and to engage directly with our clients, allowing us to understand each of their needs and challenges and foster goodwill.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Social Impact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Product Development</w:t>
      </w:r>
    </w:p>
    <w:p>
      <w:pPr>
        <w:pStyle w:val="TextBody"/>
        <w:bidi w:val="0"/>
        <w:spacing w:lineRule="auto" w:line="288" w:before="120" w:after="120"/>
        <w:jc w:val="both"/>
        <w:rPr/>
      </w:pPr>
      <w:r>
        <w:rPr>
          <w:rFonts w:ascii="Times New Roman;serif" w:hAnsi="Times New Roman;serif"/>
          <w:b w:val="false"/>
          <w:color w:val="000000"/>
          <w:sz w:val="20"/>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w:t>
      </w:r>
      <w:r>
        <w:rPr>
          <w:rFonts w:ascii="Times New Roman;serif" w:hAnsi="Times New Roman;serif"/>
          <w:b w:val="false"/>
          <w:color w:val="000000"/>
          <w:sz w:val="20"/>
          <w:shd w:fill="FFFFFF" w:val="clear"/>
        </w:rPr>
        <w:t>rm, we expect the percentage of total revenues represented by such costs to remain unchanged.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December 31, 2025, we have been issued trademark registrations in the United States, Canada, Japan, the European Union, the United Kingdom, Mexico and Australia. We have also been issued an international trademark registration with designation in Australia and the European Union for “Weedmaps.”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wmforbusiness.com, WM.store and headie.com. Our trademarks and domain names are material to our business and brand identity.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Circumstances outside our control could pose a threat to our intellectual property rights. For more information, refer to the section titled “Risk Factors—Risks Related to our Business and Industry.”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120"/>
        <w:jc w:val="both"/>
        <w:rPr/>
      </w:pPr>
      <w:r>
        <w:rPr>
          <w:rFonts w:ascii="Times New Roman;serif" w:hAnsi="Times New Roman;serif"/>
          <w:b w:val="false"/>
          <w:color w:val="000000"/>
          <w:sz w:val="20"/>
        </w:rPr>
        <w:t>The cannabis industry has certain industry holidays that in recent years have resulted in increased purchases by cannabis consumers. Such “holidays” include, but are not limited to April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(420), and the 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People Operations and Human 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416 full-time employees and 33 temporary employees, including 155 in engineering, product and design, 200 in sales and marketing and 94 in general and administrative. Of these employees, 444 are located in the United States and 5 are located in Canada.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United States and Territories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titled “Risk Factors—Risks Related to our Business and Industry.”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4, 2018, then U.S. Attorney General Jeff Sessions issued a memorandum for all U.S. Attorneys (the “Sessions Memo”) rescinding certain past Department of Justice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Despite the Sessions Memo, the U.S. government has not prioritized the enforcement of those laws against cannabis companies complying with state law and their vendors, and has not since 2014. </w:t>
      </w:r>
      <w:r>
        <w:rPr>
          <w:rFonts w:ascii="Times New Roman;serif" w:hAnsi="Times New Roman;serif"/>
          <w:b w:val="false"/>
          <w:color w:val="000000"/>
          <w:sz w:val="20"/>
          <w:shd w:fill="FFFFFF" w:val="clear"/>
        </w:rPr>
        <w:t>No reversal of that policy of prosecutorial discretion is expected under a Trump administration given the recent Executive Order regarding rescheduling cannabis and his prior administrations actions on cannabis and statements while campaigning, although prosecutions against state-legal entities cannot be ruled out entirely at this time. Prior to the current administration, Pr</w:t>
      </w:r>
      <w:r>
        <w:rPr>
          <w:rFonts w:ascii="Times New Roman;serif" w:hAnsi="Times New Roman;serif"/>
          <w:b w:val="false"/>
          <w:color w:val="000000"/>
          <w:sz w:val="20"/>
        </w:rPr>
        <w:t>esident Biden signed into law the “Medical Marijuana and Cannabidiol Research Expansion Act,” a bill aimed at easing restrictions on cannabis research -- bipartisan legislation which is the first standalone cannabis reform bill to pass both the House and Senate.</w:t>
      </w:r>
      <w:r>
        <w:rPr>
          <w:color w:val="000000"/>
        </w:rPr>
        <w:t xml:space="preserve"> </w:t>
      </w:r>
      <w:r>
        <w:rPr>
          <w:rFonts w:ascii="Times New Roman;serif" w:hAnsi="Times New Roman;serif"/>
          <w:b w:val="false"/>
          <w:color w:val="000000"/>
          <w:sz w:val="20"/>
        </w:rPr>
        <w:t>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Following that recommendation, DOJ issued a Notice of Proposed Rulemaking (the “NPRM”) proposing to reschedule cannabis, and DEA issued a notice for a hearing which commenced in November 2023, but the hearing is currently stayed pending an administrative interlocutory appeal. 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w:t>
      </w:r>
      <w:r>
        <w:rPr>
          <w:rFonts w:ascii="Times New Roman;serif" w:hAnsi="Times New Roman;serif"/>
          <w:b w:val="false"/>
          <w:color w:val="000000"/>
          <w:sz w:val="20"/>
          <w:shd w:fill="FFFFFF" w:val="clear"/>
        </w:rPr>
        <w:t xml:space="preserve">er.” If the </w:t>
      </w:r>
      <w:r>
        <w:rPr>
          <w:rFonts w:ascii="Times New Roman;serif" w:hAnsi="Times New Roman;serif"/>
          <w:b w:val="false"/>
          <w:color w:val="000000"/>
          <w:sz w:val="20"/>
        </w:rPr>
        <w:t>DOJ follows through on Trump’s directive, it would be a momentous change whose full implications are currently unknown, however, the decision to reclassify cannabis would neither legalize nor likely eliminate current state cannabis program.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Section 280E of the Code, and cannabis-related businesses (whether involved in medical or adult-use cannabis) would finally be able to take advantage of all applicable deductions and credits on their business taxes that other businesses enjoy. However, some fear that if cannabis were successfully rescheduled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U.S. Attorney General, Pam Bondi has repeatedly declined to specify her stance on cannabis policy issues, responding to several related questions from senators that she will give “careful consideration after consulting with appropriate Department officials.” She has also avoided specifying her stance on the federal enforcement of cannabis laws or how she would approach states where cannabis is legal. Therefore, key questions remain about how Attorney General Bondi would handle both the rescheduling process and federal enforcement priorities. Despite President Trump's recent support for cannabis rescheduling and ending arrests for personal use, Attorney General Bondi's past record as Florida Attorney General shows opposition to medical cannabis legalization, including defending a ban on smoking medical cannabis in 2018, which has raised concerns among advocates about her approach at the federal level. It is unclear whether the status quo of federal non-enforcement will continue for the foreseeable future; however, increased enforcement would be a marked departure from the prior ten years and inconsistent with President Trump’s purported views on cannabis.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increase access for veterans, or facilitate state-legal cannabis. Since the recent election, however, there has also been proposed anti-cannabis legislation, for example, a bill aiming to ensure Section 280E of the Code continues to apply to state cannabis businesses even if cannabis is ultimately rescheduled to Schedule III. Nevertheless, while the timing of federal reform remains unknown, it is expected that federal policy on cannabis will continue becoming more, rather than less, permissive, including potentially through rescheduling in 2026.</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Should cannabis ultimately be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retail clients sell products with hemp-derived cannabinoids, including, tetrahydrocannabinol (“THC”) and cannabidiol (“CBD”) products. In December 2018, the U.S. government removed hemp and extracts of hemp from the CSA schedules through the Agriculture Improvement Act of 2018, Pub. L. 115-334 (the “2018 Farm Bill”). Accordingly, the production, sale and possession of hemp or extracts of hemp, including certain THC and CBD products, no longer violate the CSA. The states have implemented a patchwork of different laws on hemp and its extracts. Additionally, the Food &amp; Drug Administration (“FDA”) claims that the Food, Drugs &amp; Cosmetics Act significantly limits the legality of certain hemp-derived THC and CBD products. In January 2023, FDA affirmed that the agency will not compromise—or create new standards—in evaluating or permitting cannabis or cannabinoid compounds and products, and particularly CBD. In November 2025, Congress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passed the Continuing Appropriations and Extensions Act of 2026 (H.R. 5371) (the “2026 Appropriations Act”), which included a provision (section 781) to amend the definition of hemp in the 2018 Farm Bill to effectively prohibit the currently commercialized hemp-derived THC and full spectrum products, although the change does not become effective for 365 days from the date of enactment. Efforts are underway to repeal, replace, or delay this amendment, but whether any change will occur is uncertain. The December Executive Order also directs White House staff to work with Congress to “update the statutory definition” of hemp to allow Americans to access CBD products while permitting Congress to “restrict the sale of products posing serious health risks,” and to consult with relevant executive branch departments to “develop a regulatory framework for hemp-derived cannabinoid products, including development of guidance on an upper limit on milligrams of THC per serving with considerations on per container limits and CBD to THC ratio requirements.” It is unclear how this will be achieved, and whether Congress—which just revised the definition of hemp in the 2026 Appropriations Act—will agree to further changes. All of this regulatory volatility creates significant uncertainty for our hemp clients.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sales of hemp-derived products have generally continued thus far, the amendment may lead to changes in enforcement priorities or further federal regulations that could negatively impact our clients that sell such products, which could adversely impact our business, operating results, financial condition, brand and reputation; at the same time, a repeal of the hemp amendment or a continued lack of federal enforcement could negatively impact our cannabis clients that compete against such products, which could adversely impact our business, operating results, financial condition, brand and reputation.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titled “Business—Overview” and “Risk Factors—Risks Related to our Business and Industry.”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Canada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 of the World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lineRule="auto" w:line="288" w:before="120" w:after="120"/>
        <w:jc w:val="both"/>
        <w:rPr/>
      </w:pPr>
      <w:r>
        <w:rPr>
          <w:rFonts w:ascii="Times New Roman;serif" w:hAnsi="Times New Roman;serif"/>
          <w:b w:val="false"/>
          <w:color w:val="000000"/>
          <w:sz w:val="20"/>
        </w:rPr>
        <w:t>Our Internet address is www.weedmaps.com. Our investor relations website is located at https://ir.weedmaps.com. Our Annual Reports on Form 10-K</w:t>
      </w:r>
      <w:r>
        <w:rPr>
          <w:rFonts w:ascii="Times New Roman;serif" w:hAnsi="Times New Roman;serif"/>
          <w:b w:val="false"/>
          <w:color w:val="000000"/>
          <w:sz w:val="20"/>
          <w:shd w:fill="FFFFFF" w:val="clear"/>
        </w:rPr>
        <w:t>, Quarterly Reports on Form 10-Q, Curre</w:t>
      </w:r>
      <w:r>
        <w:rPr>
          <w:rFonts w:ascii="Times New Roman;serif" w:hAnsi="Times New Roman;serif"/>
          <w:b w:val="false"/>
          <w:color w:val="000000"/>
          <w:sz w:val="20"/>
        </w:rPr>
        <w:t xml:space="preserve">nt Reports on Form 8-K and our Proxy Statements and any amendments to these reports, are available through our investor relations website, free of charge, after we file them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 We may from time to time provide important disclosures to investors by posting them in the investor relations section of our website, as allowed by SEC rules.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SEC maintains an Internet website at www.sec.gov that contains reports, proxy and information statements and other information regarding our company that we file electronically with the SEC. The contents of our websites are not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or our Quarterly Reports on Form 10-Q are not the only risks and uncertainties that we face. Additional risks and uncertainties not presently known to us or that we currently believe to be immaterial may become material and adversely affect our business.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As our costs increase, we may not be able to generate sufficient revenue to achieve profitability in the future.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revenue has in the past declined in comparison to prior periods and may decline in the future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sales and marketing, including continued investment in our current marketing efforts and future marketing initiatives;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hiring of additional employees, including in our product and engineering teams;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expansion domestically and internationally in an effort to increase our consumer and client usage, client base and our sales to our clients;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development of new products, and increased investment in the ongoing development of our existing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integrating any acquired companies into our operations;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general administration, including continued compliance with various regulations applicable to public companies and cannabis industry businesses and other work arising from the growth and maturity of our company.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If we fail to retain our existing clients and consumers or to acquire new clients and consumers in a cost-effective manner, our revenue may decrease and our business may be harmed.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has grown more slowly than anticipated, and may continue to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pStyle w:val="TextBody"/>
        <w:bidi w:val="0"/>
        <w:spacing w:lineRule="auto" w:line="288" w:before="0" w:after="120"/>
        <w:jc w:val="both"/>
        <w:rPr/>
      </w:pPr>
      <w:r>
        <w:rPr>
          <w:rFonts w:ascii="Times New Roman;serif" w:hAnsi="Times New Roman;serif"/>
          <w:b/>
          <w:i/>
          <w:color w:val="000000"/>
          <w:sz w:val="20"/>
        </w:rPr>
        <w:t>We may fail to offer the optimal pricing of our products and solutions.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 </w:t>
      </w:r>
    </w:p>
    <w:p>
      <w:pPr>
        <w:pStyle w:val="TextBody"/>
        <w:bidi w:val="0"/>
        <w:spacing w:lineRule="auto" w:line="288" w:before="0" w:after="120"/>
        <w:jc w:val="both"/>
        <w:rPr/>
      </w:pPr>
      <w:r>
        <w:rPr>
          <w:rFonts w:ascii="Times New Roman;serif" w:hAnsi="Times New Roman;serif"/>
          <w:b/>
          <w:i/>
          <w:color w:val="000000"/>
          <w:sz w:val="20"/>
        </w:rPr>
        <w:t>If we fail to expand effectively into new markets, our revenue and business will be adversely affected.</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pStyle w:val="TextBody"/>
        <w:bidi w:val="0"/>
        <w:spacing w:lineRule="auto" w:line="288" w:before="0" w:after="120"/>
        <w:jc w:val="both"/>
        <w:rPr/>
      </w:pPr>
      <w:r>
        <w:rPr>
          <w:rFonts w:ascii="Times New Roman;serif" w:hAnsi="Times New Roman;serif"/>
          <w:b/>
          <w:i/>
          <w:color w:val="212529"/>
          <w:sz w:val="20"/>
        </w:rPr>
        <w:t>Competition</w:t>
      </w:r>
      <w:r>
        <w:rPr>
          <w:color w:val="000000"/>
        </w:rPr>
        <w:t xml:space="preserve"> </w:t>
      </w:r>
      <w:r>
        <w:rPr>
          <w:rFonts w:ascii="Times New Roman;serif" w:hAnsi="Times New Roman;serif"/>
          <w:b/>
          <w:i/>
          <w:color w:val="000000"/>
          <w:sz w:val="20"/>
        </w:rPr>
        <w:t>from the illicit cannabis market could impact our ability to succeed.</w:t>
      </w:r>
    </w:p>
    <w:p>
      <w:pPr>
        <w:pStyle w:val="TextBody"/>
        <w:bidi w:val="0"/>
        <w:spacing w:lineRule="auto" w:line="288" w:before="0" w:after="120"/>
        <w:jc w:val="both"/>
        <w:rPr/>
      </w:pPr>
      <w:r>
        <w:rPr>
          <w:rFonts w:ascii="Times New Roman;serif" w:hAnsi="Times New Roman;serif"/>
          <w:b w:val="false"/>
          <w:color w:val="212529"/>
          <w:sz w:val="20"/>
        </w:rPr>
        <w:t xml:space="preserve">Our clients face competition from illegal market operators that are unlicensed and unregulated including illegal dispensaries and illicit market suppliers selling cannabis and cannabis-based products.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w:t>
      </w:r>
      <w:r>
        <w:rPr>
          <w:rFonts w:ascii="Times New Roman;serif" w:hAnsi="Times New Roman;serif"/>
          <w:b w:val="false"/>
          <w:color w:val="000000"/>
          <w:sz w:val="20"/>
        </w:rPr>
        <w:t xml:space="preserve">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 </w:t>
      </w:r>
    </w:p>
    <w:p>
      <w:pPr>
        <w:pStyle w:val="TextBody"/>
        <w:bidi w:val="0"/>
        <w:spacing w:lineRule="auto" w:line="288" w:before="0" w:after="120"/>
        <w:jc w:val="both"/>
        <w:rPr/>
      </w:pPr>
      <w:r>
        <w:rPr>
          <w:rFonts w:ascii="Times New Roman;serif" w:hAnsi="Times New Roman;serif"/>
          <w:b/>
          <w:i/>
          <w:color w:val="000000"/>
          <w:sz w:val="20"/>
        </w:rPr>
        <w:t>Our business is concentrated in California, and, as a result, our performance may be affected by factors unique to the California market.</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California represents one of the largest state legal cannabis markets in the United States, and approximately 56% and 53% of our revenue for the years ended December 31, 2025 and 2024,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For example, California has instituted a cannabis excise tax of 15%, which could increase to 19% in July 2028, on the gross receipts from any retail sale of cannabis or cannabis products. This tax, and similar efforts, has contributed to, and may further have a material adverse effect on our clients’ business, operating results and financial condition, thereby limiting their ability to spend with us. As a result, our business and results of operations are particularly susceptible to, and may be disproportionately impacted by, trends in the California cannabis market, as well as adverse economic, regulatory, political and other conditions in California.</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Litigation or legal proceedings could expose us to significant liabilities and have a negative impact on our reputation or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us. The settlement was approved by the SEC, and the administrative cease-and-desist order was entered in September 2024. In addition, on October 17, 2024, a putative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shareholder class action complaint, captioned </w:t>
      </w:r>
      <w:r>
        <w:rPr>
          <w:rFonts w:ascii="Times New Roman;serif" w:hAnsi="Times New Roman;serif"/>
          <w:b w:val="false"/>
          <w:i/>
          <w:color w:val="000000"/>
          <w:sz w:val="20"/>
        </w:rPr>
        <w:t>Seret Ishak v. WM Technology, Inc. et al.</w:t>
      </w:r>
      <w:r>
        <w:rPr>
          <w:rFonts w:ascii="Times New Roman;serif" w:hAnsi="Times New Roman;serif"/>
          <w:b w:val="false"/>
          <w:color w:val="000000"/>
          <w:sz w:val="20"/>
        </w:rPr>
        <w:t>, Case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our monthly active users (“MAUs”) metric. On May 12, 2025, the plaintiffs filed an amended class action complaint. On July 11, 2025, the defendants moved to dismiss the plaintiffs’ amended class action complaint. On February 12, 2026, the parties filed a notice of settlement stating that they had reached an agreement in principle to fully settle all pending claims in the action and requesting the court to not rule on the pending motions to dismiss as they were now moot. On February 13, 2026, the court denied as moot the motions to dismiss and ordered lead plaintiff to file a motion for preliminary approval of the settlement by April 13, 2026.</w:t>
      </w:r>
    </w:p>
    <w:p>
      <w:pPr>
        <w:pStyle w:val="TextBody"/>
        <w:bidi w:val="0"/>
        <w:spacing w:lineRule="auto" w:line="288" w:before="0" w:after="120"/>
        <w:jc w:val="both"/>
        <w:rPr/>
      </w:pPr>
      <w:r>
        <w:rPr>
          <w:rFonts w:ascii="Times New Roman;serif" w:hAnsi="Times New Roman;serif"/>
          <w:b w:val="false"/>
          <w:color w:val="000000"/>
          <w:sz w:val="20"/>
        </w:rPr>
        <w:t xml:space="preserve">In addition, on November 8, 2024, a shareholder derivative action, captioned </w:t>
      </w:r>
      <w:r>
        <w:rPr>
          <w:rFonts w:ascii="Times New Roman;serif" w:hAnsi="Times New Roman;serif"/>
          <w:b w:val="false"/>
          <w:i/>
          <w:color w:val="000000"/>
          <w:sz w:val="20"/>
        </w:rPr>
        <w:t>DeGennaro v. Francis, et. al</w:t>
      </w:r>
      <w:r>
        <w:rPr>
          <w:rFonts w:ascii="Times New Roman;serif" w:hAnsi="Times New Roman;serif"/>
          <w:b w:val="false"/>
          <w:color w:val="000000"/>
          <w:sz w:val="20"/>
        </w:rPr>
        <w:t xml:space="preserve">,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 </w:t>
      </w:r>
    </w:p>
    <w:p>
      <w:pPr>
        <w:pStyle w:val="TextBody"/>
        <w:bidi w:val="0"/>
        <w:spacing w:lineRule="auto" w:line="288" w:before="0" w:after="120"/>
        <w:jc w:val="both"/>
        <w:rPr/>
      </w:pPr>
      <w:r>
        <w:rPr>
          <w:rFonts w:ascii="Times New Roman;serif" w:hAnsi="Times New Roman;serif"/>
          <w:b w:val="false"/>
          <w:color w:val="000000"/>
          <w:sz w:val="20"/>
        </w:rPr>
        <w:t xml:space="preserve">Further, on November 18, 2024, a shareholder derivative action, captioned </w:t>
      </w:r>
      <w:r>
        <w:rPr>
          <w:rFonts w:ascii="Times New Roman;serif" w:hAnsi="Times New Roman;serif"/>
          <w:b w:val="false"/>
          <w:i/>
          <w:color w:val="000000"/>
          <w:sz w:val="20"/>
        </w:rPr>
        <w:t>Pearson v. Francis, et. al</w:t>
      </w:r>
      <w:r>
        <w:rPr>
          <w:rFonts w:ascii="Times New Roman;serif" w:hAnsi="Times New Roman;serif"/>
          <w:b w:val="false"/>
          <w:color w:val="000000"/>
          <w:sz w:val="20"/>
        </w:rPr>
        <w:t>,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On December 10, 2024, the U.S. District Court of the Central District of California issued an order consolidating the DeGennaro and Pearson shareholder derivative actions. On October 3, 2025, the court granted the parties’ joint stipulation to stay the consolidated action until resolution of the motions to dismiss the putative shareholder class action discussed above. On February 17, 2026, in light of the notice of settlement in the above-referenced putative shareholder class action and the denial of the motions to dismiss as moot, the court ordered the parties to show cause regarding the continued stay of the consolidated shareholder derivative action. On February 25, 2026, the court extended the stay to April 10, 2026 to provide the parties additional time to discuss a potential resolution to the consolidated shareholder derivative action, pursuant to a court-entered stipulation by the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Regardless of the outcome, such proceedings can have an adverse impact on us because of legal costs, penalties and other sanctions, diversion of management resources, negative publicity and reputational harm and other factors.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pStyle w:val="TextBody"/>
        <w:bidi w:val="0"/>
        <w:spacing w:lineRule="auto" w:line="288" w:before="0" w:after="120"/>
        <w:jc w:val="both"/>
        <w:rPr/>
      </w:pPr>
      <w:r>
        <w:rPr>
          <w:rFonts w:ascii="Times New Roman;serif" w:hAnsi="Times New Roman;serif"/>
          <w:b/>
          <w:i/>
          <w:color w:val="000000"/>
          <w:sz w:val="20"/>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hemp products at retail, and the illicit market could fraudulently attempt to use our hemp product listings to sell products containing more than the allowable amount of THC under federal or state laws. While we periodically audit and respond to reports related to our hemp product listings, it is difficult to monitor the individual products listed, and marketing claims contained, in the listings of our hemp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hemp, which could negatively impact us.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results, financial condition, brand and reputation. In addition, allowing businesses who engage in false or deceptive advertising practices to use our solutions may subject us to negative publicity, which could have similar adverse impacts on us.”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Our business is dependent on U.S. state laws and regulations.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cannabis is a restricted controlled substance under the federal CSA, U.S. states have legalized cannabis to varying degrees through state-specific regulatory frameworks. See “Business—Government Regulation” for additional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rapid changes in the cannabis industry and applicable laws and regulations make predicting and evaluating our future prospects difficult, and may increase the risk that we will not be successful.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managing complex, disparate and rapidly evolving regulatory regimes imposed by U.S. federal, state and local and other non-U.S. governments around the world applicable to cannabis and cannabis-related businesses;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adapting to rapidly evolving trends in the cannabis industry and the way consumers and cannabis industry businesses interact with technology;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maintaining and increasing our base of clients and consumers;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continuing to preserve and build our brand while upgrading our existing offerings;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successfully attracting, hiring and retaining qualified personnel to manage operations;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adapting to changes in the cannabis industry if sales of cannabis expand significantly beyond a regulated model;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commodification of the cannabis industry;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competition from the hemp industry;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successfully implementing and executing our business and marketing strategies;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successfully expanding our business into new and existing cannabis markets.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i/>
          <w:color w:val="000000"/>
          <w:sz w:val="20"/>
        </w:rPr>
        <w:t>Because our business is dependent, in part, upon continued market acceptance of cannabis by consumers, any negative trends could adversely affect our business operations.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Expansion of our business is dependent on the continued legalization of cannabis. </w:t>
      </w:r>
    </w:p>
    <w:p>
      <w:pPr>
        <w:pStyle w:val="TextBody"/>
        <w:bidi w:val="0"/>
        <w:spacing w:lineRule="auto" w:line="288" w:before="0" w:after="120"/>
        <w:jc w:val="both"/>
        <w:rPr/>
      </w:pPr>
      <w:r>
        <w:rPr>
          <w:rFonts w:ascii="Times New Roman;serif" w:hAnsi="Times New Roman;serif"/>
          <w:b w:val="false"/>
          <w:color w:val="000000"/>
          <w:sz w:val="20"/>
        </w:rPr>
        <w:t>Expansion of our business is in part dependent upon continued legislative authorization, including by voter initiatives and referendums, of cannabis in various jurisdictions worldwide. Any number of factors could slow, halt, or even reverse progress in this area</w:t>
      </w:r>
      <w:r>
        <w:rPr>
          <w:rFonts w:ascii="Times New Roman;serif" w:hAnsi="Times New Roman;serif"/>
          <w:b w:val="false"/>
          <w:color w:val="000000"/>
          <w:sz w:val="20"/>
          <w:shd w:fill="FFFFFF" w:val="clear"/>
        </w:rPr>
        <w:t>. For example, in 2025, at least th</w:t>
      </w:r>
      <w:r>
        <w:rPr>
          <w:rFonts w:ascii="Times New Roman;serif" w:hAnsi="Times New Roman;serif"/>
          <w:b w:val="false"/>
          <w:color w:val="000000"/>
          <w:sz w:val="20"/>
        </w:rPr>
        <w:t>ree ballot initiatives (Arizona, Massachusetts and Maine) were introduced to repeal all or some portion of each state’s laws permitting adult use sales, and Florida’s Attorney General has thus far successfully precluded adult</w:t>
        <w:noBreakHyphen/>
        <w:t xml:space="preserve">use legalization from being placed on the 2026 ballot.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56% and 53% of our revenue for the years ended December 31, 2025 and 2024 in California, and such developments may in turn have a material adverse effect on our business, operating results and financial condition. For more information, refer to “Risk Factors—Our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over the last three years, further pressuring many of our paying clients. This resulted in financial hardship for certain cannabis companies, including some of our paying clients which caused elevated churn and impacted their ability to spend on our platform over the last three years.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credit losses. See “Accounts Receivable, Net” of Note 2, “Summary of Significant Accounting Policies” to the audited consolidated financial statements for additional information. </w:t>
      </w:r>
    </w:p>
    <w:p>
      <w:pPr>
        <w:pStyle w:val="TextBody"/>
        <w:bidi w:val="0"/>
        <w:spacing w:lineRule="auto" w:line="288" w:before="0" w:after="120"/>
        <w:jc w:val="both"/>
        <w:rPr/>
      </w:pPr>
      <w:r>
        <w:rPr>
          <w:rFonts w:ascii="Times New Roman;serif" w:hAnsi="Times New Roman;serif"/>
          <w:b/>
          <w:i/>
          <w:color w:val="000000"/>
          <w:sz w:val="20"/>
        </w:rPr>
        <w:t>If clients and consumers using our platform fail to provide high-quality content that attracts consumers, we may not be able to generate sufficient consumer traffic to remain competitive.</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platform providing consumers with useful information about our clients and their products, which in turn depends on the content provided by consumers and clients. For example, the platform will not provide useful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about cannabis brands or products if clients or consumers do not contribute content that is helpful and reliable, or if they remove previously submitted content.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 </w:t>
      </w:r>
    </w:p>
    <w:p>
      <w:pPr>
        <w:pStyle w:val="TextBody"/>
        <w:bidi w:val="0"/>
        <w:spacing w:lineRule="auto" w:line="288" w:before="0" w:after="120"/>
        <w:jc w:val="both"/>
        <w:rPr/>
      </w:pPr>
      <w:r>
        <w:rPr>
          <w:rFonts w:ascii="Times New Roman;serif" w:hAnsi="Times New Roman;serif"/>
          <w:b/>
          <w:i/>
          <w:color w:val="000000"/>
          <w:sz w:val="20"/>
        </w:rPr>
        <w:t>Our business is highly dependent upon our brand recognition and reputation, and the erosion or degradation of our brand recognition or reputation would likely adversely affect our business and operating results.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efficacy of our marketing efforts;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maintain a high-quality, innovative and error- and bug-free platform;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maintain high satisfaction among clients and consumers;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quality and perceived value of our platform;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successfully implementing and developing new features, including alternative revenue streams;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obtain, maintain and enforce trademarks and other indicia of origin that are valuable to our brand;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successfully differentiate our platform from competitors’ products;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compliance with laws and regulations, including those applicable to any political action committees affiliated with us and to our registered lobbying activities;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provide client support; and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any actual or perceived data breach or data loss, or misuse or perceived misuse of our platform.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brand recognition and reputation may be affected by factors that are outside our control, such as: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actions of competitors or other third parties;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quality and timeliness of our clients’ delivery businesses;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consumers’ experiences with clients or products identified through our platform;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negative publicity regarding our company or operations, as well as with respect to events or activities attributed to us, our employees, partners, including celebrities who endorse or promote our brand, or others associated with any of these parties;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interruptions, delays or attacks on our platform;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litigation or regulatory developments.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 </w:t>
      </w:r>
    </w:p>
    <w:p>
      <w:pPr>
        <w:pStyle w:val="TextBody"/>
        <w:bidi w:val="0"/>
        <w:spacing w:lineRule="auto" w:line="288" w:before="0" w:after="120"/>
        <w:jc w:val="both"/>
        <w:rPr/>
      </w:pPr>
      <w:r>
        <w:rPr>
          <w:rFonts w:ascii="Times New Roman;serif" w:hAnsi="Times New Roman;serif"/>
          <w:b/>
          <w:i/>
          <w:color w:val="000000"/>
          <w:sz w:val="20"/>
        </w:rPr>
        <w:t>We currently face intense competition in the cannabis information market, and we expect competition to further intensify as the cannabis industry continues to evolve.</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marketplace like Leafly (for retailer listing pages) and cannabis-focused technology companies like Dutchie and Jane Technologies (for menu embed and orders functionality) and a variety of cannabis-focused marketing and advertising technology solutions. In addition, our platform also may compete with current or potential products and solutions offered by internet search engines and advertising networks, like Google, general two-sided networks like Yelp, various other newspaper, television, media companies, outdoor billboard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and online merchant platforms, such as Shopify, Square and Lightspeed, or delivery companies like DoorDash. In January 2025, DoorDash announced an expanded offering to allow customers of legal age to purchase hemp-derived THC and CBD products from merchants on the DoorDash app.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If cannabis is ultimately rescheduled to schedule III,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compete effectively for any of these reasons, we may be unable to maintain our operations or develop our products and solutions, and as a result our business and operating results may be adversely affected. </w:t>
      </w:r>
    </w:p>
    <w:p>
      <w:pPr>
        <w:pStyle w:val="TextBody"/>
        <w:bidi w:val="0"/>
        <w:spacing w:lineRule="auto" w:line="288" w:before="0" w:after="120"/>
        <w:jc w:val="both"/>
        <w:rPr/>
      </w:pPr>
      <w:r>
        <w:rPr>
          <w:rFonts w:ascii="Times New Roman;serif" w:hAnsi="Times New Roman;serif"/>
          <w:b/>
          <w:i/>
          <w:color w:val="000000"/>
          <w:sz w:val="20"/>
        </w:rPr>
        <w:t>If we fail to manage our employee operations and organization effectively, our brand, business and operating results could be harmed.</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since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pStyle w:val="TextBody"/>
        <w:bidi w:val="0"/>
        <w:spacing w:lineRule="auto" w:line="288" w:before="0" w:after="120"/>
        <w:jc w:val="both"/>
        <w:rPr/>
      </w:pPr>
      <w:r>
        <w:rPr>
          <w:rFonts w:ascii="Times New Roman;serif" w:hAnsi="Times New Roman;serif"/>
          <w:b/>
          <w:i/>
          <w:color w:val="000000"/>
          <w:sz w:val="20"/>
        </w:rPr>
        <w:t>If we are unable to recruit, train, retain and motivate key personnel, we may not achieve our business objectives.</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our continued ability to recruit, train, retain and motivate key personnel, including Douglas Francis, our Chief Executive Officer and Chairman, Brian Camire, our General Counsel, Sarah Griffis, our Chief Technology Officer, and Susan Echard, our Chief Financial Officer.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qualified personnel in the technology industry is intense, particularly in Southern California, where we are headquartered, and Austin, Texas, where we have a growing office.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our Chief Financial Officer, Susan Echard, prior to January 30, 2026 was a consultant and not a full time employee. Ms. Echard was a partner at SeatonHill Partners, LP a CFO services firm. Ms. Echard served as our interim Chief Financial Officer from February 2024 through November 2024, which, as noted in our Notification of Late Filing on Form 12b-25 with the SEC, had an impact on our ability to complete our financial statements. Effectively January 30, 2026, we entered into an employment agreement with Ms. Echard. If Ms. Echard departs, and we are unable to recruit and retain a qualified replacement in a timely manner it could result in management, operating and financial reporting difficulties, which could have an adverse effect on our business.</w:t>
      </w:r>
    </w:p>
    <w:p>
      <w:pPr>
        <w:pStyle w:val="TextBody"/>
        <w:bidi w:val="0"/>
        <w:spacing w:lineRule="auto" w:line="288" w:before="0" w:after="120"/>
        <w:jc w:val="both"/>
        <w:rPr/>
      </w:pPr>
      <w:r>
        <w:rPr>
          <w:rFonts w:ascii="Times New Roman;serif" w:hAnsi="Times New Roman;serif"/>
          <w:b/>
          <w:i/>
          <w:color w:val="000000"/>
          <w:sz w:val="20"/>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Visits to our website could also decline if our social media accounts, such as those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for short periods in each of September 2024 and was suspended from October 2024 through June 2025. Once our account is restated, it may, and our other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pStyle w:val="TextBody"/>
        <w:bidi w:val="0"/>
        <w:spacing w:lineRule="auto" w:line="288" w:before="0" w:after="120"/>
        <w:jc w:val="both"/>
        <w:rPr/>
      </w:pPr>
      <w:r>
        <w:rPr>
          <w:rFonts w:ascii="Times New Roman;serif" w:hAnsi="Times New Roman;serif"/>
          <w:b/>
          <w:i/>
          <w:color w:val="000000"/>
          <w:sz w:val="20"/>
        </w:rPr>
        <w:t>If our current marketing model is not effective in attracting new clients, we may need to employ higher-cost sales and marketing methods to attract and retain clients, which could adversely affect our profitability.</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pStyle w:val="TextBody"/>
        <w:bidi w:val="0"/>
        <w:spacing w:lineRule="auto" w:line="288" w:before="0" w:after="120"/>
        <w:jc w:val="both"/>
        <w:rPr/>
      </w:pPr>
      <w:r>
        <w:rPr>
          <w:rFonts w:ascii="Times New Roman;serif" w:hAnsi="Times New Roman;serif"/>
          <w:b/>
          <w:i/>
          <w:color w:val="000000"/>
          <w:sz w:val="20"/>
        </w:rPr>
        <w:t>If the Apple App Store or Google Play limit the functionality or availability of our mobile application platform, including as a result of changes or violations of terms and conditions, access to and utilization of our platform may suffer.</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we have at times been unable to offer our WM Orders functionality in our iOS Weedmaps mobile application and are currently unable to offer such functionality in our Android Weedmaps mobile application due to restrictions imposed by the Apple App Store and Google Play, respectively. While our platform is still available in the Apple App Store and on Google Play for download, there can be no assurance that our platform or all of its functionalities will remain available in the immediate or longer term. To the extent that we are limited or prohibited from making some or all of our solutions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through any third-party platform, including the Apple App Store or the Google Play,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 </w:t>
      </w:r>
    </w:p>
    <w:p>
      <w:pPr>
        <w:pStyle w:val="TextBody"/>
        <w:bidi w:val="0"/>
        <w:spacing w:lineRule="auto" w:line="288" w:before="0" w:after="120"/>
        <w:jc w:val="both"/>
        <w:rPr/>
      </w:pPr>
      <w:r>
        <w:rPr>
          <w:rFonts w:ascii="Times New Roman;serif" w:hAnsi="Times New Roman;serif"/>
          <w:b/>
          <w:i/>
          <w:color w:val="000000"/>
          <w:sz w:val="20"/>
        </w:rPr>
        <w:t>We may be unable to scale and adapt our existing technology and network infrastructure in a timely or effective manner to ensure that our platform is accessible, which would harm our reputation, business and operating results.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defects, software bugs, capacity constraints and distributed denial of service, or DDoS, fraud or other security incidents or vulnerabilities. In some instances, we may not be able to identify the cause or causes of these performance problems within an acceptable period of time. Additionally, even if we are able to develop a patch or other fix to address such issues, such fix may be difficult to push out to our customers or otherwise be delayed. It may become increasingly difficult to maintain and improve the availability of our platform, especially during peak usage times and as our products become more complex and our traffic increases. If our platform is wholly or partially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have and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our business depends upon the appropriate and successful implementation of our platform by our customers. If our customers fail to use our platform according to our specifications, our customers may suffer a security incident or other disruption on their own systems or other adverse consequences. Even if such an incident is unrelated to our practices, it could result in our incurring significant economic and operational costs in investigating, remediating, and implementing additional measures, and could result in reputational harm.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and expect to continue making significant investments in the functionality, performance, reliability, design, security and scalability of our platform. We have in the past and may in the future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pStyle w:val="TextBody"/>
        <w:bidi w:val="0"/>
        <w:spacing w:lineRule="auto" w:line="288" w:before="0" w:after="120"/>
        <w:jc w:val="both"/>
        <w:rPr/>
      </w:pPr>
      <w:r>
        <w:rPr>
          <w:rFonts w:ascii="Times New Roman;serif" w:hAnsi="Times New Roman;serif"/>
          <w:b/>
          <w:i/>
          <w:color w:val="000000"/>
          <w:sz w:val="20"/>
        </w:rPr>
        <w:t>Our payment system and the payment systems of our clients depend on third-party providers and are subject to evolving laws and regulations.</w:t>
      </w:r>
      <w:r>
        <w:rPr>
          <w:color w:val="000000"/>
        </w:rPr>
        <w:t xml:space="preser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engaged third-party service providers to perform credit and debit card processing services for client’s payments to us, and we understand that some of our clients use those services. We also have and may continue to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refer to “Risk Factors—We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industry standards, governmental laws and regulations, policies and other obligations governing privacy, data protection and information security and any actual or perceived failure to comply with such obligations could harm our business” below.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Our ability to successfully drive engagement on our platform, as well as changes to our user engagement and advertising strategy and practices, pose risks to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we do not provide a compelling consumer experience to entice consumers to use our products and services, or our consumers don’t have the ability to maximize the consumer experience;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we are unable to convince consumers and clients of the value and usefulness of our platform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we are unable to find cost-effective marketing channels or other strategies to drive traffic to our website, including replacing any pop-under advertisements that we have decreased our usage of or discontinued;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products fail to operate effectively on the iOS or Android mobile operating systems;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we are unable to continue to develop products that work with a variety of mobile operating systems, networks and smartphones;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we do not provide a compelling consumer experience because of the decisions we make regarding the type and frequency of advertisements that we display or the structure and design of our products;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consumers engage more with competing platforms or products at the expense of ours or those of our clients;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if the manner in which we promote engagement or traffic is seen by consumers or clients as unappealing or harm our brand image or reputation;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there are concerns about the privacy implications, safety, or security of our products;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technical or other problems frustrate the consumer experience, including by providers that host our platforms, particularly if those problems prevent us from delivering our product experience in a fast and reliable manner;</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we, our partners, or other companies in our industry segment are the subject of adverse media reports or other negative publicity, some of which may be inaccurate or include confidential information that we are unable to correct or retract; or</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current or future products reduce consumer activity on our website or our applications by making it easier for our consumers to interact directly with our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decrease to consumer retention, growth, or engagement could render our products less attractive to consumers, advertisers, or partners, and could seriously harm our business.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unable to prevent others from aggregating or misappropriating data from our websites.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and activity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also share and receive certain sensitive data with or from third parties.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monitor these third parties’ information security practices is limited, and these third parties may not have adequate information security measures in place. If our third-party service providers experience a security incident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interruption, which has occurred in the past,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Remote work has increased risks to our information technology systems and data, as our employees utilize network connections, computers and devices outside our premises or network, including working at home, while in transit and in public locations.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actual or perceived security incident could damage our reputation and brand, result in decreased utilization of our platform or prevent users from using our platform, expose us to fines and penalties, government enforcement actions (for example, investigations or inspection); negative publicity; additional reporting requirements and/or oversight; restrictions on processing sensitive information (including personal data); litigation (including class claims); indemnification obligations; reputational harm; monetary fund diversions; diversion of management’s attention; interruptions in our operations (including availability of data); financial loss; and other similar harms that may require us to expend significant capital and other resources to alleviate any resulting problems and otherwise to remediate the incident, and require us to expend increased cybersecurity protection costs. We have in the past and may in the future incur significant costs in an effort to detect and prevent security incidents. Our efforts to do so may not be successful. Actions taken by us or the third parties with whom we work to detect, investigate,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Certain data privacy and security obligations require us to implement and maintain specific security measures or industry-standard or reasonable security measures to protect our information technology systems and sensitive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these impacts or circumstances arising from an actual or perceived security incident could materially and adversely affect our business, financial condition, reputation and relationships with clients and consumers. 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sensitive information of the Company or our customers could be leaked, disclosed, or revealed as a result of or in connection with our employees’, personnel’s, or vendors’ use of generative AI technologies.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operations and employees face risks related to macroeconomic conditions and catastrophic events, that have adversely impacted and could in the future adversely impact our business, financial condition and operating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conditions, including but not limited to inflation, tariffs, uncertain credit and global financial markets, government shutdowns, past and potential future disruptions in access to bank deposits or lending commitments due to bank failures; current and potential future geopolitical events, including the military conflicts between Russia and Ukraine and the state of war between Israel and Hamas and the related risk of a larger regional conflict; and the occurrence of a catastrophic event, including but not limited to severe weather, wildfire, war, or terrorist attack, could adversely impact our business, financial condition and operating results. For example, in the event of damage or interruption, our insurance policies may not adequately compensate us for any losses that we may incur. We also face risks related to public health crises,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Fluctuations in our quarterly and annual operating results may adversely affect our business and prospects.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attract new clients and consumers and retain existing clients and consumers;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accurately forecast revenue and appropriately plan our expenses;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effects of changes in search engine placement and prominence;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effects of increased competition on our business;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successfully expand in existing markets and successfully enter new markets;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impact of global, regional or economic conditions;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ability of licensed cannabis markets to successfully grow and out compete illegal cannabis markets;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protect our intellectual property;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our ability to maintain and effectively manage an adequate rate of growth;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maintain and increase traffic to our platform;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costs associated with defending claims, including intellectual property infringement claims and related judgments or settlements;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changes in governmental or other regulation affecting our business;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interruptions in platform availability and any related impact on our business, reputation or brand;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attraction and retention of qualified personnel;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effects of natural or man-made catastrophic events;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effectiveness of our internal controls, including the material weaknesses that we have identified.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improve our products and solutions in ways that forego short-term gains.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sell our Weedmaps for Business offering in the United States and have a limited number of non-monetized listings in several other countries including Austria, Canada, Germany, the Netherlands, Spain, Switzerland, and Uruguay.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political, social and economic instability;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risks related to the legal and regulatory environment in foreign jurisdictions, including with respect to privacy and data protection, and unexpected changes in laws, regulatory requirements and enforcement;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fluctuations in currency exchange rates;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higher levels of credit risk and payment fraud;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complying with tax requirements of multiple jurisdictions;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enhanced difficulties of integrating any foreign acquisitions;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ability to present our content effectively in foreign languages;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complying with a variety of foreign laws, including certain employment laws requiring national collective bargaining agreements that set minimum salaries, benefits, working conditions and termination requirements;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reduced protection for intellectual property rights in some countries;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difficulties in staffing and managing global operations and the increased travel, infrastructure and compliance costs associated with multiple foreign locations;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regulations that might add difficulties in repatriating cash earned outside the United States and otherwise preventing us from freely moving cash;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import and export restrictions and changes in trade regulation;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complying with statutory equity requirements;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complying with the U.S. Foreign Corrupt Practices Act of 1977, as amended, the U.K. Bribery Act 2010, the Corruption of Public Officials Act (Canada), and similar laws in other jurisdictions;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export controls and economic sanctions administered by the U.S. Department of Commerce Bureau of Industry and Security and the U.S. Treasury Department’s Office of Foreign Assets Control.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are subject to industry standards, governmental laws and regulations, contractual obligations, policies, and other obligations governing privacy, data protection and information security, and any actual or perceived failure to comply with such obligations could harm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sale of personal data, targeted advertising, profiling, and automated decision-making. The exercise of these rights may impact our business and ability to provide our products and services. Certain states also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stricter requirements for processing certain personal data, including sensitive information, such as obtaining consumer consent and conducting data privacy impact assessments. These state laws allow for statutory fines for noncompliance. For example, the California Consumer Privacy Act (“CCPA”), applies to personal data of consumers, business representatives, and employees who are California residents, provides for fines,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Many foreign countries and governmental bodies, including Canada, the United Kingdom (“UK”), and the European Union (“E.U.”) have laws, regulations, and industry standards concerning the processing of personal information, including for example, in Canada, the federal Personal Information Protection and Electronic Documents Act, or PIPEDA and various related laws. Further, Canada has robust anti-spam legislation, the Anti-Spam Legislation, or CASL. The penalties for non-compliance under CASL are significant. In addition, the E.U.’s General Data Protection Regulation, or the EU GDPR, and the United Kingdom’s GDPR, or UK GDPR (collectively, “GDPR”) regulate the processing of personal data and provide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are also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adopted and may in the future adopt similar laws.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have and may continue to adopt similarly stringent data localization and cross-border data transfer laws.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a company can satisfy or rely on these measures to lawfully transfer personal data to the United States.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there is no lawful manner for a company to transfer personal data from the EEA, the UK or other jurisdictions to the United States, or if the requirements for a legally-compliant transfer are too onerous, a company could face significant adverse consequences, including, increased exposure to regulatory actions, substantial fines and penalties, the inability to transfer data and work with partners, vendors and other third parties, and injunctions against their processing or transferring of personal data related to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are also subject to the PCI-DSS, which requires companies to adopt certain measures to ensure the security of cardholder information, including using and maintaining firewalls, adopting proper password protections for certain devices and software, and restricting data access. Noncompliance with the PCI-DSS can result in penalties ranging from $5,000 to $100,000 per month by credit card companies, litigation, damage to our reputation, and revenue losses.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and personnel use generative artificial intelligence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 We use machine learning and AI, including generative AI, in certain aspects of our products and services. The development and use of AI technologies present various privacy and security risks that may impact our business. AI technologies are subject to privacy and data security laws, as well as increasing regulation and scrutiny.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share consumer information to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publish privacy policies, marketing materials and other statements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(and consumers’ data privacy expectations) are evolving, becoming increasingly stringent, and creating uncertainty. These obligations have and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Governmental regulation of the internet continues to develop, and unfavorable changes could substantially harm our business and operating results.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often unclear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subject to claims brought against us as a result of content we provide.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content that we publish or provide ourselves, we have editorial procedures in place to provide quality control of the information that we publish or provide. However, we cannot assure you that our editorial and other quality control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subject to legal claims based on the content published to our platform.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Future investments in alternative revenue streams or acquisitions could disrupt our business and adversely affect our operating results, financial condition and cash flows.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an acquisition may disrupt our ongoing business, divert resources, increase our expenses and distract our management;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an acquisition may result in a delay or reduction of sales for both us and the company we acquired due to uncertainty about continuity and effectiveness of products or support from either company;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we may encounter difficulties in, or may be unable to, successfully sell any acquired products;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an acquisition may involve the entry into geographic or business markets in which we have little or no prior experience or where competitors have stronger market positions;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potential strain on our financial and managerial controls and reporting systems and procedures;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potential known and unknown liabilities associated with an acquired company;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if we incur debt to fund such acquisitions, such debt may subject us to material restrictions on our ability to conduct our business as well as financial maintenance covenants;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risk of impairment charges related to potential write-downs of acquired assets or goodwill in future acquisitions;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to the extent that we issue a significant amount of equity or convertible debt securities in connection with future acquisitions, existing equity holders may be diluted and earnings per share may decrease;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managing the varying intellectual property protection strategies and other activities of an acquired company.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need to raise additional capital, which may not be available on favorable terms, if at all, causing dilution to our stockholders, restricting our operations or adversely affecting our ability to operate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pStyle w:val="TextBody"/>
        <w:bidi w:val="0"/>
        <w:spacing w:lineRule="auto" w:line="288" w:before="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business and operating results may be harmed if we are deemed responsible for the collection and remittance of state sales taxes or other indirect taxes. </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do not collect sales and use, value-added, goods and services, or other similar taxes as part of our client agreements in the United States or Canada. Sales and use, value-added and similar tax laws and rates vary greatly by jurisdiction. If we are deemed an agent for the clients on our platform under state or other applicable tax law, we may be deemed responsible for collecting and remitting such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be subject to potential adverse tax consequences both domestically and in foreign jurisdictions.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or their interpretation.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Changes in accounting standards or other factors could negatively impact our future effective tax rate.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Changes in tax laws or regulations and compliance in multiple jurisdictions may have a material adverse effect on our business, cash flow, financial condition or operating results.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For example, California has instituted a cannabis excise tax of 15% which could increase in July 2028, on the gross receipts from any retail sale of cannabis or cannabis products. This tax, and similar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has, and may continue to have a material adverse effect on the number of consumers purchasing cannabis, as well as negatively impact the operating results of cannabis retail, both of which has and may continue to adversely affect to our business, cash flow, financial condition and operating results. In addition, existing tax laws, statutes, rules, regulations, or ordinances, such as Section 280E of the Code, discussed in this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have ongoing material weaknesses in our internal control over financial reporting as of December 31, 2025.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Effective internal controls are necessary for us to provide reliable financial reports and prevent fraud.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of and with the participation of our management, we assessed the effectiveness of our internal control over financial reporting as of December 31, 2025,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that as of December 31, 2025, our internal control over financial reporting was not effective due to the ongoing material weaknesses in internal control over financial reporting.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an ongoing entity-level material weakness that was identified in the years ended December 31, 2024 and 2023, and for which remediation efforts continued in the year ended December 31, 2025 as further described below.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entity-level material weakness contributed to material weaknesses within our system of internal control over financial reporting as follows: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Unremediated material weaknesses identified in the years ended December 31, 2025, 2024 and 2023</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these material weaknesses could result in a misstatement of account balances or disclosures that could result in a material misstatement to the annual or interim consolidated financial statements that would not be prevented or detected.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been implementing and continues to implement measures to remediate the ongoing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We previously restated our financial statements for several quarters, which resulted in unanticipated costs and may adversely affect investor confidence, our stock price, our ability to raise capital, raise reputational issues and may subject us to additional risks and uncertainties, including the increased possibility of legal proceedings and regulatory inquiries</w:t>
      </w:r>
    </w:p>
    <w:p>
      <w:pPr>
        <w:pStyle w:val="TextBody"/>
        <w:bidi w:val="0"/>
        <w:spacing w:lineRule="auto" w:line="288" w:before="0" w:after="120"/>
        <w:jc w:val="both"/>
        <w:rPr/>
      </w:pP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 xml:space="preserve">May 20, 2024, </w:t>
      </w:r>
      <w:r>
        <w:rPr>
          <w:rFonts w:ascii="Times New Roman;serif" w:hAnsi="Times New Roman;serif"/>
          <w:b w:val="false"/>
          <w:color w:val="000000"/>
          <w:sz w:val="20"/>
        </w:rPr>
        <w:t xml:space="preserve">management and the audit committee of our board of directors concluded that our previously issued unaudited condensed consolidated financial statements as of and for the three months ended March 31, 2023, six months ended June 30, 2023 and nine months ended September 30, 2023 included in our Quarterly Reports on Form 10-Q filed with the SEC on May 9, 2023, August 9, 2023 and November 8, 2023, respectively (collectively, the “Affected Periods”), were materially misstated and should no longer be relied upon due to identified errors in the application of our revenue recognition policies related to the cash collection of a certain subset of our customers that had been placed on a cash basis. As a result, we restated the financial statements for the Affected Periods.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 Any restatements may have the effect of eroding investor confidence in us and our financial reporting and accounting practices and processes and may raise reputational issues for our business. The restatements may negatively impact the trading price of our securities and may make it more difficult for us to raise capital on acceptable terms, or at all.</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Risks Related to Our Organizational Structure</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this discussion of risks related to our organizational structure, references to “we,” “us” and “our” generally refer to WM Technology Inc.</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are a holding company and our only material asset is our interest in WMH LLC, and we are accordingly dependent upon distributions made by WMH LLC and its subsidiaries to pay taxes, make payments under the Tax Receivable Agreement and pay dividends.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financing arrangements, or WMH LLC is otherwise unable to provide such funds, it could materially adversely affect our liquidity and financial condition.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In certain circumstances, WMH LLC will be required to make distributions to us and the other holders of WMH Units, and the distributions that WMH LLC will be required to make may be substantial.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will be required to pay the WMH LLC Class A equity holders and any other persons that become parties to the Tax Receivable Agreement for certain tax benefits we may receive and the amounts payable may be substantial.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For additional information, see “Management’s Discussion and Analysis of Financial Condition and Results of Operations—Contractual Obligations and Commitments” and See Note 15, “Income Taxes,” to our audited consolidated financial statements included herein.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In certain cases, payments under the TRA may be accelerated and/or significantly exceed the actual benefits we realize in respect of the tax attributes subject to the TRA.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Additional Risks Related to the Cannabis Industry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Cannabis remains prohibited under federal law, and therefore, strict enforcement of federal laws regarding cannabis would likely result in our inability to execute our business plan. </w:t>
      </w:r>
    </w:p>
    <w:p>
      <w:pPr>
        <w:pStyle w:val="TextBody"/>
        <w:bidi w:val="0"/>
        <w:spacing w:lineRule="auto" w:line="288" w:before="120" w:after="120"/>
        <w:jc w:val="both"/>
        <w:rPr/>
      </w:pPr>
      <w:r>
        <w:rPr>
          <w:rFonts w:ascii="Times New Roman;serif" w:hAnsi="Times New Roman;serif"/>
          <w:b w:val="false"/>
          <w:color w:val="000000"/>
          <w:sz w:val="20"/>
        </w:rPr>
        <w:t xml:space="preserve">Cannabis, other than hemp (defined by the U.S. government as </w:t>
      </w:r>
      <w:r>
        <w:rPr>
          <w:rFonts w:ascii="Times New Roman;serif" w:hAnsi="Times New Roman;serif"/>
          <w:b w:val="false"/>
          <w:i/>
          <w:color w:val="000000"/>
          <w:sz w:val="20"/>
        </w:rPr>
        <w:t>Cannabis sativa</w:t>
      </w:r>
      <w:r>
        <w:rPr>
          <w:color w:val="000000"/>
        </w:rPr>
        <w:t xml:space="preserve"> </w:t>
      </w:r>
      <w:r>
        <w:rPr>
          <w:rFonts w:ascii="Times New Roman;serif" w:hAnsi="Times New Roman;serif"/>
          <w:b w:val="false"/>
          <w:color w:val="000000"/>
          <w:sz w:val="20"/>
        </w:rPr>
        <w:t xml:space="preserve">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Court has ruled that the federal government has the authority to regulate and criminalize the sale, possession and use of cannabis, even for individual medical purposes, regardless of whether it is legal under state law.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eight years ago, however, U.S. Attorneys have generally not prioritized the targeting of state law compliant entities.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Joyce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pStyle w:val="TextBody"/>
        <w:bidi w:val="0"/>
        <w:spacing w:lineRule="auto" w:line="288" w:before="0" w:after="120"/>
        <w:jc w:val="both"/>
        <w:rPr/>
      </w:pPr>
      <w:r>
        <w:rPr>
          <w:rFonts w:ascii="Times New Roman;serif" w:hAnsi="Times New Roman;serif"/>
          <w:b w:val="false"/>
          <w:color w:val="000000"/>
          <w:sz w:val="20"/>
        </w:rPr>
        <w:t xml:space="preserve">In </w:t>
      </w:r>
      <w:r>
        <w:rPr>
          <w:rFonts w:ascii="Times New Roman;serif" w:hAnsi="Times New Roman;serif"/>
          <w:b w:val="false"/>
          <w:i/>
          <w:color w:val="000000"/>
          <w:sz w:val="20"/>
        </w:rPr>
        <w:t>USA vs. McIntosh</w:t>
      </w:r>
      <w:r>
        <w:rPr>
          <w:rFonts w:ascii="Times New Roman;serif" w:hAnsi="Times New Roman;serif"/>
          <w:b w:val="false"/>
          <w:color w:val="000000"/>
          <w:sz w:val="20"/>
        </w:rPr>
        <w:t xml:space="preserve">,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prior administration,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Following the NPRM, DEA issued a notice for a hearing which commenced in November 2023, but the hearing is currently stayed pending an administrative interlocutory appeal. On December 18, 2025, President Trump issued an Executive Order directing that cannabis be rescheduled from Schedule I to Schedule III. The Order directs the Attorney General to “take all necessary steps to complete the rulemaking process related to rescheduling marijuana to Schedule III of the Controlled Substances Act in the most expeditious manner.” If rescheduling does occur, this would be a momentous change whose full implications are currently unknown. The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if cannabis is successfully rescheduled,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although President Trump has appeared supportive of the cannabis industry, his nominees have not offered clear answers on their cannabis stance. The President alone cannot reschedule or legalize medical cannabis, and as states have demonstrated, legalizing cannabis can take many different forms.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 Attorney General Pam Bondi has repeatedly declined to specify her stance on cannabis policy issues, responding to several related questions from senators that she will give “careful consideration after consulting with appropriate Department officials.” She has also avoided specifying her stance on the federal enforcement of cannabis laws. Therefore, key questions remain about how Attorney General Bondi would handle both the rescheduling process and federal enforcement priorities. Despite President Trump's recent support for cannabis rescheduling and ending arrests for personal use, Attorney General Bondi's past record as Florida Attorney General shows opposition to medical cannabis legalization, including defending a ban on smoking medical cannabis in 2018, which has raised concerns among advocates about her approach at the federal level. It is unclear whether the status quo of federal non-enforcement will continue for the foreseeable future; however, increased enforcement would be a marked departure from the prior ten years and inconsistent with President Trump’s purported views on cannabis.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Since the recent election, however, there has also been proposed anti-cannabis legislation, for example, a bill aiming to ensure Section 280E of the Code continues to apply to state cannabis businesses even if cannabis is ultimately rescheduled to schedule III. Nevertheless, the timing of federal reform remains unknown, it is expected that federal policy on cannabis will continue becoming more, rather than less, permissive, including potentially through rescheduling, in 2026.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business and our clients are subject to a variety of U.S. and foreign laws regarding financial transactions related to cannabis, which could subject our clients to legal claims or otherwise adversely affect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2014, the DOJ under the Obama administration directed federal prosecutors to exercise restraint in prosecuting AML violations arising in the state legal cannabis programs and to consider the federal enforcement priorities enumerated in the Cole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Trump’s prior lack of action against cannabis and his current stance on cannabis, can be found in the “U.S. and Territories” section.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are dependent on our banking relations, and we may have difficulty accessing or consistently maintaining banking or other financial services due to our connection with the cannabis industry.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do not grow or sell cannabis products, our general connection with the cannabis industry may hamper our efforts to do business or establish collaborative relationships with others that may fear disruption or increased regulatory scrutiny of their own activities.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Participating in transactions involving proceeds derived from cannabis may constitute criminal money laundering.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We may have difficulty using bankruptcy courts due to our involvement in the regulated cannabis industry.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conduct of third parties may jeopardize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conduct of third parties may jeopardize our regulatory compliance.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FDA regulation of adult-use and medical-use cannabis, as well as hemp products, e-cigarettes and other vaping products, could negatively affect the cannabis industry, which would directly affect our financial condition.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Should the federal government legalize cannabis for adult-use and/or medical-use, it is possible that the U.S. Food and Drug Administration (the “FDA”) would seek to regulate it under the Food, Drug and Cosmetics Act of 1938, and Continuing Appropriations and Extensions Act of 2026 (H.R. 5371) (the “2026 Appropriations Act”) ,directed FDA to create regulations relating to hemp products. The FDA may issue rules and regulations including certified good manufacturing practices related to the growth, cultivation, harvesting and processing of hemp, cannabinoids broadly, or following a rescheduling, even adult-use and medical-use cannabis specifically. Clinical trials may be needed to verify efficacy and safety. It is also possible that the FDA would require that facilities where adult-use and medical-use cannabis is grown register with the FDA and comply with certain federally prescribed regulations.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Synthetic or hemp-derived products may compete with cannabis use and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hemp and pharmaceutical industry may attempt to compete with or dominate the cannabis industry, and in particular, legal cannabis, through the development and distribution of hemp-derived containing intoxicating doses of THC or other cannabinoids (e.g., delta-8-THC) or derivative/synthetic products (e.g., THC-O) which emulate or even magnify the psychoactive effects of cannabis. Since the passage of the Farm Bill over six years ago, the hemp product market, and beverage market, in particular, has exploded – with 2024 sales for all hemp THC products projected to reach $3.5 billion and a path toward $4.4 billion by 2029. However, in November 2025, Congress passed 2026 Appropriations Act, which included a provision (section 781) to amend the definition of hemp in the 2018 Farm Bill to effectively prohibit the currently commercialized hemp-derived THC and full spectrum products, although the change does not become effective for 365 days from the date of enactment. Efforts are underway to repeal, replace, or delay this amendment, but whether any change will occur is uncertain. The December Executive Order directs White House staff to work with Congress to “update the statutory definition” of hemp to allow Americans to access CBD products while permitting Congress to “restrict the sale of products posing serious health risks,” and to consult with relevant executive branch departments to “develop a regulatory framework for hemp-derived cannabinoid products, including development of guidance on an upper limit on milligrams of THC per serving with considerations on per container limits and CBD to THC ratio requirements.” It is unclear how this will be achieved, and whether Congress—which just revised the definition of hemp in the 2026 Appropriations Act—will agree to further changes. All of this regulatory volatility creates significant uncertainty for our hemp and cannabis clients. If such products continue to be successful, the widespread popularity of such products could continue to negatively impact the demand, volume and profitability of the cannabis industry. This could adversely affect the ability of our cannabis clients to secure long-term profitability and success.</w:t>
      </w:r>
    </w:p>
    <w:p>
      <w:pPr>
        <w:pStyle w:val="TextBody"/>
        <w:bidi w:val="0"/>
        <w:spacing w:lineRule="auto" w:line="288" w:before="120" w:after="120"/>
        <w:jc w:val="both"/>
        <w:rPr/>
      </w:pPr>
      <w:r>
        <w:rPr>
          <w:rFonts w:ascii="Times New Roman;serif" w:hAnsi="Times New Roman;serif"/>
          <w:b w:val="false"/>
          <w:color w:val="000000"/>
          <w:sz w:val="20"/>
        </w:rPr>
        <w:t>Products made with intoxicating cannabinoids from industrial hemp currently have several competitive advantages over similar cannabis derived products. Utilizing the legality of industrial hemp under U.S. federal law, many such products are available for sale through unlicensed channels and are shipped in interstate commerce. Such products are increasingly available direct-to-consumer or at brick and mortar stores such as gas stations and convenience stores (often without age verification or other safeguards). While some states have attempted to prohibit or regulate such products, the requirements are much less onerous than for cannabis-licensees, and enforcement against manufacturers of such products have been limited.</w:t>
      </w:r>
      <w:r>
        <w:rPr>
          <w:color w:val="000000"/>
        </w:rPr>
        <w:t xml:space="preserve"> </w:t>
      </w:r>
      <w:r>
        <w:rPr>
          <w:rFonts w:ascii="Times New Roman;serif" w:hAnsi="Times New Roman;serif"/>
          <w:b w:val="false"/>
          <w:color w:val="000000"/>
          <w:sz w:val="20"/>
        </w:rPr>
        <w:t xml:space="preserve">Furthermore,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testing standards are less rigorous or sometimes non-existent, hemp-derived products could have negative health consequences which consumers then generalize to cannabis products.</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some hemp companies sell hemp-derived THC products with state authorization. Hemp THC beverages, for example, are now expressly legal in several states, where they can be sold in liquor stores, restaurants and grocery stores. Given the similar intoxicating effects to cannabis-derived THC, which is an illegal substance under the CSA, the ease of acquiring such products,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We believe that Section 230(c)(1) of the Communications Decency Act (“CDA”) provides immunity from civil and state criminal liability, but it is possible that it does not, which would subject us to legal, business and operational risks.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titled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continue to be subject to constraints on marketing our products.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Cannabis businesses are subject to unfavorable U.S. tax treatment.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of the Code may have a lesser impact on cannabis cultivation and manufacturing operations than on sales operations, which directly affects our clients, who are cannabis retailers. However, Section 280E of the Code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Service providers to cannabis businesses may also be subject to unfavorable U.S. tax treatment.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above, under Section 280E of the Code, no deduction or credit is allowed for any amount paid or incurred during the taxable year in carrying on business, other than costs of goods sold, if the business (or the activities which comprise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of the Code does not apply to our business, or ancillary service providers that work with state-licensed cannabis businesses, if the IRS interprets the section to apply, it would significantly and materially affect our profitability and financial condition.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Cannabis businesses may be subject to civil asset forfeiture.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Due to our involvement in the cannabis industry, we may have a difficult time obtaining the various insurances that are desired to operate our business, which may expose us to additional risk and financial liability.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There may be difficulty enforcing certain of our commercial agreements and contracts.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Certain of our directors, officers, employees and investors who are not U.S. citizens may face constraints on cross-border travel into the United States.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warns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Securities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Concentration of ownership among our existing executive officers, directors and their respective affiliates may prevent new investors from influencing significant corporate decisions.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affiliates, executive officers, directors and their respective affiliates as a group beneficially own approximately 19.9%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Public statements from investors, including expressions of interest or proposals to purchase our company, may increase the volatility of, or otherwise have an adverse impact on, the market price of our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investors or other market participants may make public statements recommending strategies for our company. In some cases, these statements are in the form of expressions of interest or proposals to purchase or acquire our company or significant portions of our stock. While we do not typically comment on or disclose investor recommendations or expressions of interest, any public disclosures made by us or others related to such expressions of interest or proposals could have a material impact on our stock price, even in the absence of any determination by our board of directors to pursue them. Any disclosures related to any offers, communications, or proposals, or the commencement of any litigation related to any such matters, or the withdrawal or modification of such offers, communications, or proposals, could have an adverse effect on the market price of our Class A Common Stock.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are a “smaller reporting company” under the U.S. federal securities laws, and the reduced reporting requirements applicable to smaller reporting companies could make our common stock less attractive to investors.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We do not expect to declare any dividends in the foreseeable future.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Certificate of Incorporation designates specific courts as the exclusive forum for certain stockholder litigation matters, which could limit the ability of our stockholders to obtain a favorable forum for disputes with us or our directors, officers or employees.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While the Delaware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to be effective immediately prior to the closing of this offering. This may require significant additional costs associated with resolving such action in other jurisdictions and there can be no assurance that the provisions will be enforced by a court in those other jurisdictions. If a court were to find either exclusive forum provision in our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Sale of a substantial number of our shares in the public market could cause the market price of our Class A Common Stock to drop significantly, even if our business is doing well.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issue additional shares of Class A Common Stock or preferred stock, including under our equity incentive plan. Any such issuances would dilute the interest of our stockholders and likely present other risks.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a substantial number of additional shares of Class A Common Stock or preferred stock, including under our equity incentive plan. Any such issuances of additional shares of Class A Common Stock or preferred stock: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may significantly dilute the equity interests of our investors;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may subordinate the rights of holders of Class A Common Stock if preferred stock is issued with rights senior to those afforded our Class A Common Stock;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could cause a change in control if a substantial number of shares of our Class A Common Stock are issued, which may affect, among other things, our ability to use our net operating loss carry forwards, and other tax attributes, if any, and could result in the resignation or removal of our present officers and directors;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may adversely affect prevailing market prices for our Class A Common Stock and/or Warrants.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The trading price of our Class A Common Stock and the Public Warrants have been, and may continue to be, volatile, and the value of our Class A Common Stock and Warrants may decline.</w:t>
      </w:r>
    </w:p>
    <w:p>
      <w:pPr>
        <w:pStyle w:val="TextBody"/>
        <w:bidi w:val="0"/>
        <w:spacing w:lineRule="auto" w:line="288" w:before="0" w:after="120"/>
        <w:jc w:val="both"/>
        <w:rPr/>
      </w:pPr>
      <w:r>
        <w:rPr>
          <w:rFonts w:ascii="Times New Roman;serif" w:hAnsi="Times New Roman;serif"/>
          <w:b w:val="false"/>
          <w:color w:val="000000"/>
          <w:sz w:val="20"/>
        </w:rPr>
        <w:t>The market price of our Class A Common Stock and the Public Warrants</w:t>
      </w:r>
      <w:r>
        <w:rPr>
          <w:color w:val="000000"/>
        </w:rPr>
        <w:t xml:space="preserve"> </w:t>
      </w:r>
      <w:r>
        <w:rPr>
          <w:rFonts w:ascii="Times New Roman;serif" w:hAnsi="Times New Roman;serif"/>
          <w:b w:val="false"/>
          <w:color w:val="000000"/>
          <w:sz w:val="20"/>
        </w:rPr>
        <w:t>have been and may continue to be subject to wide fluctuations in response to numerous factors, many of which are beyond our control, including:</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actual or anticipated fluctuations in our financial condition and operating results;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changes in projected operational and financial results;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the development, effects and enforcement of and changes to laws and regulations, including with respect to the cannabis and hemp industries;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the commencement or conclusion of legal proceedings that involve us;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actual or anticipated changes in our growth rate relative to our competitors;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announcements of new products or services by us or our competitors;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announcements by us or our competitors of significant acquisitions, strategic partnerships, or joint ventures;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capital-raising activities or commitments;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issuance of new or updated research or reports by securities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the use by investors or analysts of third-party data regarding our business that may not reflect our financial performance;</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fluctuations in the valuation of companies perceived by investors to be comparable to us;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sales of our securities, including short selling of our securities;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share price and volume fluctuations attributable to inconsistent trading volume levels of our shares;</w:t>
      </w:r>
    </w:p>
    <w:p>
      <w:pPr>
        <w:pStyle w:val="TextBody"/>
        <w:bidi w:val="0"/>
        <w:spacing w:lineRule="auto" w:line="288" w:before="0" w:after="60"/>
        <w:ind w:left="0" w:right="0" w:hanging="360"/>
        <w:jc w:val="both"/>
        <w:rPr>
          <w:color w:val="000000"/>
        </w:rPr>
      </w:pPr>
      <w:r>
        <w:rPr>
          <w:color w:val="000000"/>
        </w:rPr>
        <w:t>•    </w:t>
      </w:r>
      <w:r>
        <w:rPr>
          <w:rFonts w:ascii="Times New Roman;serif" w:hAnsi="Times New Roman;serif"/>
          <w:b w:val="false"/>
          <w:color w:val="000000"/>
          <w:sz w:val="20"/>
        </w:rPr>
        <w:t>general economic and market conditions; and</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other events or factors, including those resulting from civil unrest, war, foreign invasions, terrorism, or public health crises, or responses to such events.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 the past we have not met, and may in the future not comply with, the listing standards of Nasdaq, and as a result our Class A Common Stock may be delisted. Delisting could adversely affect the liquidity of our Class A Common Stock and the market price of our Class A Common Stock could decrease.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 For example, on February 4, 2026, we received a letter from the Listing Qualifications Department of Nasdaq notifying us that, for the last 30 consecutive trading days, the closing bid price for our Class A Common Stock was below $1.00 per share, (the “Notice”). In accordance with Nasdaq Listing Rule 5810(c)(3)(A), we were provided a compliance period of 180 calendar days from the date of the Notice, or until August 3, 2026, to regain compliance with the minimum closing bid price requirement, which we did, and Nasdaq provided us written confirmation of compliance on December 3, 2024. We received such letters and achieved compliance thrice prior to February 4, 2026, and may again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remain in compliance with the minimum bid price requirement. In the event that our Class A Common Stock is delisted from Nasdaq as a result of our failure to regain compliance with the minimum closing bid price requirement through the various methods permitted under the Nasdaq rules,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The impact of global, regional or local economic and market conditions may adversely affect our business, operating results and financial condition.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have incurred increased costs and administrative burden as a result of operating as a public company, and our management will continue to devote substantial time to new compliance initiatives.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requirements of these rules and regulations increase our legal, accounting, and financial compliance costs, make some activities more difficult, time-consuming and costly, and place significant strain on our personnel, systems, and resources. The additional reporting and other obligations imposed by these rules and regulations have increased legal and financial compliance costs and the costs of related legal, accounting and administrative activities. These increased costs require us to divert a significant amount of money that could otherwise be used to expand the business and achieve strategic objectives. In addition, our management and other personnel devote a substantial amount of time to these compliance initiatives, and as such our management’s attention may be diverted from other business concerns, which could harm our business, results of operations, and financial condition.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Furthermore, if any issues in complying with those requirements are identified (for example, our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In addition,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it may also be more expensive to obtain director and officer liability insurance. These factors could also make it more difficult for us to attract and retain qualified members of our board of directors, particularly members who can serve on our audit committee and compensation committee, and qualified executive officers. We cannot predict or estimate the amount or timing of additional costs it may incur to respond to these requirements.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Our employees and independent contractors may engage in misconduct or other improper activities, which could have an adverse effect on our business, prospects, financial condition and operating results.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We may not have sufficient funds to satisfy indemnification claims of our directors and executive officers.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Risk management and strategy</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security team, managed by our Chief Technology Officer (“CTO”) who works with a team of security professionals to help identify, assess and manage our cybersecurity threats and risks. Our security team identifies and assesses risks from cybersecurity threats by monitoring and evaluating our threat environment and our risk profile using various methods including, for example: manual and automated tools; conducting vulnerability scans; penetration tests conducted internally and by third parties; leveraging threat intelligence feeds; reports and services that identify cybersecurity threats; and working with third parties who conduct threat assessments of our platform and APIs.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Depending on the environment, we implement and maintain various technical, physical, and organizational measures, processes, standards and policies designed to manage and mitigate material risks from cybersecurity threats to our systems and data. Our cybersecurity program is informed by recognized industry frameworks and standards and we regularly evaluate our controls and processes against these benchmarks to help ensure the continued effectiveness of our security posture. We use third-party service providers to assist us from time to time with the identification, assessment, and management of material cybersecurity risks. We have a vendor management program designed to manage cybersecurity risks associated with our use of these providers, as well as other third-party suppliers and business partners, which may involve different levels of assessment designed to help identify cybersecurity risks associated with a provider.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assessment and management of material risks from cybersecurity threats are integrated into our overall risk management processes. Our CTO and our senior management evaluates material risks from cybersecurity threats against our overall business objectives and provide periodic reports to the technology and audit committees of our board of directors, which evaluate our overall enterprise risk.</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For a description of the risks from cybersecurity threats that may materially affect us and how they may do so, see our risk factors under Part 1. Item 1A. Risk Factors in this Annual Report on Form 10-K, including </w:t>
      </w:r>
      <w:r>
        <w:rPr>
          <w:rFonts w:ascii="Times New Roman;serif" w:hAnsi="Times New Roman;serif"/>
          <w:b w:val="false"/>
          <w:i/>
          <w:color w:val="000000"/>
          <w:sz w:val="20"/>
          <w:shd w:fill="FFFFFF" w:val="clear"/>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i/>
          <w:color w:val="000000"/>
          <w:sz w:val="20"/>
          <w:shd w:fill="FFFFFF" w:val="clear"/>
        </w:rPr>
        <w:t>and penalties; disruptions of our business operations; reputational harm; loss of revenue or profits; loss of customers or sales; and other adverse consequences</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Governance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of directors addresses our cybersecurity risk management as part of its general oversight function. The Audit Committee and technology committee of our board of directors are responsible for overseeing our cybersecurity risk management processes, including oversight and mitigation of risks from cybersecurity threats. Management is responsible for identifying, assessing, and managing material cybersecurity risks on an ongoing basis, establishing processes to ensure that such potential cybersecurity risk exposures are monitored, putting in place appropriate mitigation measures, maintaining cybersecurity policies and procedures, and providing regular reports to our board of directors. We also maintain a security awareness training program designed to educate employees on cybersecurity risks, social engineering threats, and their role in safeguarding company systems and data.</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Our cybersecurity risk assessment and management processes are implemented and maintained by certain members of our security team, led by our CTO. Our CTO has over 15 years of experience in engineering, development and information security, including leadership roles overseeing enterprise </w:t>
      </w:r>
      <w:r>
        <w:rPr>
          <w:rFonts w:ascii="Times New Roman;serif" w:hAnsi="Times New Roman;serif"/>
          <w:b w:val="false"/>
          <w:color w:val="000000"/>
          <w:sz w:val="20"/>
        </w:rPr>
        <w:t>security programs, compliance initiatives, and risk management across regulated industries. Our CTO is supported by a dedicated</w:t>
      </w:r>
      <w:r>
        <w:rPr>
          <w:color w:val="000000"/>
          <w:shd w:fill="FFFFFF" w:val="clear"/>
        </w:rPr>
        <w:t xml:space="preserve"> </w:t>
      </w:r>
      <w:r>
        <w:rPr>
          <w:rFonts w:ascii="Times New Roman;serif" w:hAnsi="Times New Roman;serif"/>
          <w:b w:val="false"/>
          <w:color w:val="000000"/>
          <w:sz w:val="20"/>
          <w:shd w:fill="FFFFFF" w:val="clear"/>
        </w:rPr>
        <w:t xml:space="preserve">security team whose members collectively hold over 40 years of experience in information security, </w:t>
      </w:r>
      <w:r>
        <w:rPr>
          <w:rFonts w:ascii="Times New Roman;serif" w:hAnsi="Times New Roman;serif"/>
          <w:b w:val="false"/>
          <w:color w:val="000000"/>
          <w:sz w:val="20"/>
        </w:rPr>
        <w:t>including expertise in threat detection, incident response, vulnerability management, and regulatory compliance</w:t>
      </w:r>
      <w:r>
        <w:rPr>
          <w:rFonts w:ascii="Times New Roman;serif" w:hAnsi="Times New Roman;serif"/>
          <w:b w:val="false"/>
          <w:color w:val="000000"/>
          <w:sz w:val="20"/>
          <w:shd w:fill="FFFFFF" w:val="clear"/>
        </w:rPr>
        <w:t>.</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cybersecurity incident response and vulnerability management plans are designed to escalate certain cybersecurity incidents to members of leadership depending on the circumstances. In these situations, members of our leadership team work with our incident response team to help us evaluate, mitigate and remediate cybersecurity incidents of which they are notified. In addition, our incident response and vulnerability management plans include reporting to the Audit Committee (who may consult with our technology committee) for certain cybersecurity incidents.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technology committee receives periodic reports from our security team concerning our significant cybersecurity threats and risk and the processes we have implemented to address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currently maintain our executive offices and headquarters at 41 Discovery, Irvine, California 92618, pursuant to an operating lease that expires in 2030. We also have office spaces in Los Angeles, California and Austin, Texas.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consider our current office space adequate to meet our ongoing needs. However, from time to time we may evaluate additional or substitute office spaces. We believe that we will be able to obtain additional facilities, as needed,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"Commitment and Contingencies—Litigation" in Note 6 to our consolidated financial statements included in Part II, Item 8 of this Annual Report on Form 10-K is incorporated by reference into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Class A Common Stock and Public Warrants are currently listed on Nasdaq under the symbols “MAPS” and “MAPSW”, respectively. As of March 5, 2026, there were 111,187,614 shares of Class A Common Stock issued and outstanding and 47,852,652 shares of our Class V common stock (the “Class V Common Stock”) issued and outstanding. No market exists for the Class V Common Stock.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March 5, 2026, there were 90 holders of record of our Class A Common Stock, 11 holders of record of our Class V Common Stock and 2 holders of record of our Public Warrants.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about our equity compensation plans in Item 12 of Part III of this Annual Report on Form 10-K is incorporated herein by reference.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Recent Sales of Unregistered Securities; Use of Proceeds from Registered Offerings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recent sales of unregistered securities for the years ended December 31, 2025 and December 31, 2024 that would be required to be disclosed pursuant to Item 701 of Regulation S-K.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WM Technology, Inc. should be read in conjunction with our consolidated financial statements and related notes included in this Annual Report on Form 10-K,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“Item 1A. Risk Factors” and included herein.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years ended December 31, 2025 and December 31, 2024.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Fiscal Year 2025 Financial Highlights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Revenues were $174.7 million as compared to $184.5 million in the prior year.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Average monthly paying clients was 5,190, as compared to 5,077 in the prior year.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Average monthly revenues per paying client was $2,805, as compared to $3,029 in the prior year.</w:t>
      </w:r>
    </w:p>
    <w:p>
      <w:pPr>
        <w:pStyle w:val="TextBody"/>
        <w:bidi w:val="0"/>
        <w:spacing w:lineRule="auto" w:line="288" w:before="0" w:after="60"/>
        <w:ind w:left="0" w:right="0" w:hanging="360"/>
        <w:jc w:val="both"/>
        <w:rPr/>
      </w:pPr>
      <w:r>
        <w:rPr>
          <w:color w:val="000000"/>
          <w:shd w:fill="FFFFFF" w:val="clear"/>
        </w:rPr>
        <w:t>•</w:t>
      </w:r>
      <w:r>
        <w:rPr>
          <w:rFonts w:ascii="Times New Roman;serif" w:hAnsi="Times New Roman;serif"/>
          <w:b w:val="false"/>
          <w:color w:val="000000"/>
          <w:sz w:val="20"/>
        </w:rPr>
        <w:t xml:space="preserve">Net income was $3.3 million as compared to $12.2 million in the prior year.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EBITDA was $39.8 million as compared to Adjusted EBITDA of $42.9 million in the prior year.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and cash equivalents totaled $62.4 million as of December 31, 2025, with no long-term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pStyle w:val="TextBody"/>
        <w:bidi w:val="0"/>
        <w:spacing w:lineRule="auto" w:line="288" w:before="120" w:after="120"/>
        <w:jc w:val="both"/>
        <w:rPr/>
      </w:pPr>
      <w:r>
        <w:rPr>
          <w:rFonts w:ascii="Times New Roman;serif" w:hAnsi="Times New Roman;serif"/>
          <w:b w:val="false"/>
          <w:color w:val="000000"/>
          <w:sz w:val="20"/>
        </w:rPr>
        <w:t>Our business primarily consists of our commerce-driven marketplace (“Weedmaps”), and our fully integrate</w:t>
      </w:r>
      <w:r>
        <w:rPr>
          <w:rFonts w:ascii="Times New Roman;serif" w:hAnsi="Times New Roman;serif"/>
          <w:b w:val="false"/>
          <w:color w:val="000000"/>
          <w:sz w:val="20"/>
          <w:shd w:fill="FFFFFF" w:val="clear"/>
        </w:rPr>
        <w:t>d suite of end-to-end Software-as-a-Service (“SaaS”) solutions software offering (“Weedmaps for Business”). The Weedmaps marketplace is a premier destination for cannabis consumers to discover and browse information regarding cannabis and cannabi</w:t>
      </w:r>
      <w:r>
        <w:rPr>
          <w:rFonts w:ascii="Times New Roman;serif" w:hAnsi="Times New Roman;serif"/>
          <w:b w:val="false"/>
          <w:color w:val="000000"/>
          <w:sz w:val="20"/>
        </w:rPr>
        <w:t>s products with 5,190 average monthly paying clients during the year ended December 31, 2025, on the supply-side of our marketplace. These paying clients include retailers, brands and other client types (such as doctors). Further, these clients, who can choose to purchase multiple listings solutions for each business, had purchased approximately 8,100 active listing pages as of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December 31, 2025,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Key Operating and Financial Metrics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financial and operational metrics to evaluate our business, measure our performance, identify trends affecting our business, formulate business plans and make strategic decisions. The following table summarizes our financial performance for the year ended December 31, 2025 compared to our financial performance for the year ended December 31, 2024. For a detailed discussion of our results of operations, see “Results of Operations” below.</w:t>
      </w:r>
    </w:p>
    <w:tbl>
      <w:tblPr>
        <w:tblW w:w="9182" w:type="dxa"/>
        <w:jc w:val="left"/>
        <w:tblInd w:w="0" w:type="dxa"/>
        <w:tblLayout w:type="fixed"/>
        <w:tblCellMar>
          <w:top w:w="28" w:type="dxa"/>
          <w:left w:w="28" w:type="dxa"/>
          <w:bottom w:w="28" w:type="dxa"/>
          <w:right w:w="28" w:type="dxa"/>
        </w:tblCellMar>
      </w:tblPr>
      <w:tblGrid>
        <w:gridCol w:w="1407"/>
        <w:gridCol w:w="1233"/>
        <w:gridCol w:w="1244"/>
        <w:gridCol w:w="406"/>
        <w:gridCol w:w="1589"/>
        <w:gridCol w:w="209"/>
        <w:gridCol w:w="209"/>
        <w:gridCol w:w="209"/>
        <w:gridCol w:w="209"/>
        <w:gridCol w:w="406"/>
        <w:gridCol w:w="1589"/>
        <w:gridCol w:w="2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 except for revenue per paying client)</w:t>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EBITDA</w:t>
            </w:r>
            <w:r>
              <w:rPr>
                <w:rFonts w:ascii="Times New Roman;serif" w:hAnsi="Times New Roman;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Average monthly revenues per paying client</w:t>
            </w:r>
            <w:r>
              <w:rPr>
                <w:rFonts w:ascii="Times New Roman;serif" w:hAnsi="Times New Roman;serif"/>
                <w:b w:val="false"/>
                <w:color w:val="000000"/>
                <w:sz w:val="13"/>
              </w:rPr>
              <w:t>(2)</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Average monthly paying clients</w:t>
            </w:r>
            <w:r>
              <w:rPr>
                <w:rFonts w:ascii="Times New Roman;serif" w:hAnsi="Times New Roman;serif"/>
                <w:b w:val="false"/>
                <w:color w:val="000000"/>
                <w:sz w:val="13"/>
              </w:rPr>
              <w:t>(3)</w:t>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 further information about how we calculate EBITDA and Adjusted EBITDA as well as limitations of its use and a reconciliation of EBITDA and Adjusted EBITDA to net income, see “Net Income to EBITDA and Adjusted EBITDA” in Non-GAAP Financial Measurements below.</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(2)Average monthly revenues per paying client is defined as the average monthly revenues for any particular period divided by the average monthly paying clients in the same respective period.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(3)Average monthly paying clients are defined as the average of the number of paying clients billed in a month across a particular period (and for which services were provided). </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Average Monthly Revenues Per Paying Client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Average monthly revenues per paying client measures how much clients, for the period of measurement, are willing to pay us for our subscription and additional offerings and the efficiency of the bid-auction process for our featured listings placements (“Featured Listings”). We calculate this metric by dividing the average monthly revenues for any particular period by the average monthly number of paying clients in the same respective period. The decrease in our average monthly revenues per paying client for the year ended December 31, 2025 compared to 2024 was primarily due to spend declines in established markets driven by continued industry challenges, such as price deflation and ongoing consolidation. In addition, new clients acquired across certain markets had lower levels of average spend.</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Average Monthly Paying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Average monthly paying clients for the year ended December 31, 2025 increased by approximately 2% to 5,190 average monthly paying clients from 5,077 average monthly paying clients in the same period in 2024. The increase in average monthly paying clients in 2025 as compared to 2024 was primarily due to new client acquisitions across certain developing markets, partially offset by a churn in more established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Income to EBITDA and Adjusted EBITDA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including net income, are prepared in accordance with GAAP. For more information regarding the components within our net income, see “Components of Our Results of Operations”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for the year ended December 31, 2025 was $3.3 million compared with a net income of $12.2 million for the year ended December 31, 2024. The decrease in net income of $8.9 million was primarily due to a decrease in revenues of $9.8 million and an increase in total costs and expenses of $4.2 million, partially offset by change in TRA liability of $3.1 million resulting from the remeasurement of the TRA liability, change in fair value of warrant liability of $0.4 million and an increase in other income of $1.6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loss contingency, asset impairment charges, reduction in force, change in the TRA liability and other non-cash, unusual and/or infrequent costs in the case of Adjusted EBITDA. Below we have provided a reconciliation of net income (the most directly comparable GAAP financial measure) to EBITDA; and from EBITDA to 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tax payments that may represent a reduction in cash available to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you should consider EBITDA and Adjusted EBITDA alongside other financial performance measures, including net income and our other GAAP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net income to non-GAAP EBITDA and Adjusted EBITDA is as follows:</w:t>
      </w:r>
    </w:p>
    <w:tbl>
      <w:tblPr>
        <w:tblW w:w="6189" w:type="dxa"/>
        <w:jc w:val="left"/>
        <w:tblInd w:w="0" w:type="dxa"/>
        <w:tblLayout w:type="fixed"/>
        <w:tblCellMar>
          <w:top w:w="28" w:type="dxa"/>
          <w:left w:w="28" w:type="dxa"/>
          <w:bottom w:w="28" w:type="dxa"/>
          <w:right w:w="28" w:type="dxa"/>
        </w:tblCellMar>
      </w:tblPr>
      <w:tblGrid>
        <w:gridCol w:w="1353"/>
        <w:gridCol w:w="1186"/>
        <w:gridCol w:w="1196"/>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Contingency</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charges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settlements and other legal costs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in force</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9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loss contingency related to the shortfall under the AWS minimum commitment obligation. See Note 6, “Commitments and Contingencies” to our audited consolidated financial statements included herein.</w:t>
      </w:r>
    </w:p>
    <w:p>
      <w:pPr>
        <w:pStyle w:val="TextBody"/>
        <w:bidi w:val="0"/>
        <w:spacing w:lineRule="auto" w:line="288" w:before="60" w:after="60"/>
        <w:ind w:left="0" w:right="0" w:hanging="9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Represents $7.1 million</w:t>
      </w:r>
      <w:r>
        <w:rPr>
          <w:color w:val="000000"/>
          <w:shd w:fill="FFFFFF" w:val="clear"/>
        </w:rPr>
        <w:t xml:space="preserve"> </w:t>
      </w:r>
      <w:r>
        <w:rPr>
          <w:rFonts w:ascii="Times New Roman;serif" w:hAnsi="Times New Roman;serif"/>
          <w:b w:val="false"/>
          <w:color w:val="000000"/>
          <w:sz w:val="18"/>
          <w:shd w:fill="FFFFFF" w:val="clear"/>
        </w:rPr>
        <w:t>in goodwill impairment</w:t>
      </w:r>
      <w:r>
        <w:rPr>
          <w:color w:val="000000"/>
        </w:rPr>
        <w:t xml:space="preserve"> </w:t>
      </w:r>
      <w:r>
        <w:rPr>
          <w:rFonts w:ascii="Times New Roman;serif" w:hAnsi="Times New Roman;serif"/>
          <w:b w:val="false"/>
          <w:color w:val="000000"/>
          <w:sz w:val="18"/>
        </w:rPr>
        <w:t>and $0.7 million in impairment charges related to capitalized implementation costs. See Note 8, “Goodwill and Intangible Assets,” and Note 9, “Prepaid Expenses and Other Current Assets,”</w:t>
      </w:r>
      <w:r>
        <w:rPr>
          <w:color w:val="000000"/>
        </w:rPr>
        <w:t xml:space="preserve"> </w:t>
      </w:r>
      <w:r>
        <w:rPr>
          <w:rFonts w:ascii="Times New Roman;serif" w:hAnsi="Times New Roman;serif"/>
          <w:b w:val="false"/>
          <w:color w:val="000000"/>
          <w:sz w:val="18"/>
        </w:rPr>
        <w:t xml:space="preserve">to our audited consolidated financial statements included herein. </w:t>
      </w:r>
    </w:p>
    <w:p>
      <w:pPr>
        <w:pStyle w:val="TextBody"/>
        <w:bidi w:val="0"/>
        <w:spacing w:lineRule="auto" w:line="288" w:before="60" w:after="60"/>
        <w:ind w:left="0" w:right="0" w:hanging="9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As of December 31, 2025, includes legal and advisory fees related to, among other things, ongoing litigation related to shareholder class action and derivative actions, and as of December 31, 2024, includes legal and advisory fees related to the SEC enforcement matter and SEC settlement. See Note 6, “Commitments and Contingencies” to our audited consolidated financial statements included herein.</w:t>
      </w:r>
    </w:p>
    <w:p>
      <w:pPr>
        <w:pStyle w:val="TextBody"/>
        <w:bidi w:val="0"/>
        <w:spacing w:lineRule="auto" w:line="288" w:before="60" w:after="60"/>
        <w:ind w:left="0" w:right="0" w:hanging="9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Represents severance charges included in general and administrative expense in the consolidated statement of operations, related to certain reduction in force actions taken by our management. These reduction in force actions are designed to enhance operational efficiency and align resources with strategic priorities in our corporate technology and marketing divisions.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Growth of Our Two-Sided Weedmaps Marketplace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Growth and Retention of Our Paying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and global conflicts. Increasing prices in the component materials for the goods or services of our clients have and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 In addition, price deflation across our core markets has and may continue to compress our clients’ operating margins and marketing budgets, which directly impacts our revenue.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Regulation and Maturation of Cannabis Markets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that we will have significant opportunities for greater growth as more jurisdictions legalize cannabis for medical and/or adult-use and the regulatory environment continues to develop. Currently, forty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We intend to explore new expansion opportunities as additional jurisdictions legalize cannabis for medical or adult use and leverage our business model informed by our 18-year operating history to enter new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we compete with cannabis-focused and general two-sided marketplaces, internet search engines, delivery companies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Brand Recognition and Reputation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maintaining and enhancing our brand identity and our reputation is critical to maintaining and growing our relationships with clients and consumers and to our ability to attract new clients and consumers. Historically, a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have and expect to continue to shift and accelerate our marketing spend to additional online and traditional channels, such as broadcast television or radio, as they become available to us. Further, we are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Investments in Growth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make focused organic and inorganic investments to grow our revenue and scale operations to support that growth.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operating expenses and capital expenditures fluctuate over time, we may accordingly experience short-term, negative impacts to our operating results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20"/>
        <w:jc w:val="both"/>
        <w:rPr/>
      </w:pPr>
      <w:r>
        <w:rPr>
          <w:rFonts w:ascii="Times New Roman;serif" w:hAnsi="Times New Roman;serif"/>
          <w:b w:val="false"/>
          <w:color w:val="000000"/>
          <w:sz w:val="20"/>
          <w:shd w:fill="FFFFFF" w:val="clear"/>
        </w:rPr>
        <w:t>Our revenues are derived primarily from monthly subscriptions to Weedmaps for Bu</w:t>
      </w:r>
      <w:r>
        <w:rPr>
          <w:rFonts w:ascii="Times New Roman;serif" w:hAnsi="Times New Roman;serif"/>
          <w:b w:val="false"/>
          <w:color w:val="000000"/>
          <w:sz w:val="20"/>
        </w:rPr>
        <w:t>siness, Featured Listing and WM Deal products and other ad solutions. Our Weedmaps for Business subscriptions generally have one-month terms that autom</w:t>
      </w:r>
      <w:r>
        <w:rPr>
          <w:rFonts w:ascii="Times New Roman;serif" w:hAnsi="Times New Roman;serif"/>
          <w:b w:val="false"/>
          <w:color w:val="000000"/>
          <w:sz w:val="20"/>
          <w:shd w:fill="FFFFFF" w:val="clear"/>
        </w:rPr>
        <w:t>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Cost of Revenues (Exclusive of Depreciation and Amortization)</w:t>
      </w:r>
    </w:p>
    <w:p>
      <w:pPr>
        <w:pStyle w:val="TextBody"/>
        <w:bidi w:val="0"/>
        <w:spacing w:lineRule="auto" w:line="288" w:before="0" w:after="120"/>
        <w:jc w:val="both"/>
        <w:rPr/>
      </w:pPr>
      <w:r>
        <w:rPr>
          <w:rFonts w:ascii="Times New Roman;serif" w:hAnsi="Times New Roman;serif"/>
          <w:b w:val="false"/>
          <w:color w:val="000000"/>
          <w:sz w:val="20"/>
        </w:rPr>
        <w:t>Cost of revenues excludes depreciation and amortization expense and primarily consists of web hosting, internet service and credit card processing costs. Cost of revenues is primarily driven by fluctuations</w:t>
      </w:r>
      <w:r>
        <w:rPr>
          <w:color w:val="000000"/>
          <w:shd w:fill="FFFFFF" w:val="clear"/>
        </w:rPr>
        <w:t xml:space="preserve"> </w:t>
      </w:r>
      <w:r>
        <w:rPr>
          <w:rFonts w:ascii="Times New Roman;serif" w:hAnsi="Times New Roman;serif"/>
          <w:b w:val="false"/>
          <w:color w:val="000000"/>
          <w:sz w:val="20"/>
          <w:shd w:fill="FFFFFF" w:val="clear"/>
        </w:rPr>
        <w:t xml:space="preserve">in revenue leading to increases or decreases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shd w:fill="FFFFFF" w:val="clear"/>
        </w:rPr>
        <w:t>credit card processing and web hosting cost. We expect our cost of revenue to continue to increase on an a</w:t>
      </w:r>
      <w:r>
        <w:rPr>
          <w:rFonts w:ascii="Times New Roman;serif" w:hAnsi="Times New Roman;serif"/>
          <w:b w:val="false"/>
          <w:color w:val="000000"/>
          <w:sz w:val="20"/>
        </w:rPr>
        <w:t>bsolute basis and remain relatively flat as a percentage of revenue as we scale our business and inventory costs related to multi-media offerings.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Selling and Marketing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Product Development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(recovery) for credit losses, loss contingency, legal settlements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Depreciation and Amortization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Asset Impairment Charges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 impairment charges primarily consist of impairment of goodwill and impairment of capitalized implementation costs related to a cloud computing arrangement that we have determined is not probable to be completed and placed in service.</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change in fair value of warrant liability, TRA liability remeasurement, interest income and other tax related expenses.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15, “Income Taxes,” to our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A discussion regarding our financial condition and results of operations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compared to the year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is presented below. A discussion regarding our financial condition and results of operations for the year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compared to the year ended </w:t>
      </w:r>
      <w:r>
        <w:rPr>
          <w:rFonts w:ascii="Times New Roman;serif" w:hAnsi="Times New Roman;serif"/>
          <w:b w:val="false"/>
          <w:color w:val="000000"/>
          <w:sz w:val="20"/>
        </w:rPr>
        <w:t>December 31, 2023</w:t>
      </w:r>
      <w:r>
        <w:rPr>
          <w:color w:val="000000"/>
          <w:shd w:fill="FFFFFF" w:val="clear"/>
        </w:rPr>
        <w:t xml:space="preserve"> </w:t>
      </w:r>
      <w:r>
        <w:rPr>
          <w:rFonts w:ascii="Times New Roman;serif" w:hAnsi="Times New Roman;serif"/>
          <w:b w:val="false"/>
          <w:color w:val="000000"/>
          <w:sz w:val="20"/>
          <w:shd w:fill="FFFFFF" w:val="clear"/>
        </w:rPr>
        <w:t xml:space="preserve">can be found under Item.7 in our Annual Report on Form 10-K for the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filed with the SEC on March 13, 2025</w:t>
      </w:r>
      <w:r>
        <w:rPr>
          <w:rFonts w:ascii="Times New Roman;serif" w:hAnsi="Times New Roman;serif"/>
          <w:b w:val="false"/>
          <w:color w:val="000000"/>
          <w:sz w:val="20"/>
        </w:rPr>
        <w:t xml:space="preserve">, which are available free of charge on the </w:t>
      </w:r>
      <w:r>
        <w:rPr>
          <w:rFonts w:ascii="Times New Roman;serif" w:hAnsi="Times New Roman;serif"/>
          <w:b w:val="false"/>
          <w:color w:val="000000"/>
          <w:sz w:val="20"/>
          <w:shd w:fill="FFFFFF" w:val="clear"/>
        </w:rPr>
        <w:t>SEC’s website at https://www.sec.gov and at our investor relations website, https://ir.weedmaps.com.</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our results of operations for the periods presented and expresses the relationship of certain line items as a percentage of revenues for those periods. The period-to-period comparison of financial results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760"/>
        <w:gridCol w:w="1339"/>
        <w:gridCol w:w="1349"/>
        <w:gridCol w:w="211"/>
        <w:gridCol w:w="826"/>
        <w:gridCol w:w="109"/>
        <w:gridCol w:w="109"/>
        <w:gridCol w:w="109"/>
        <w:gridCol w:w="109"/>
        <w:gridCol w:w="308"/>
        <w:gridCol w:w="308"/>
        <w:gridCol w:w="592"/>
        <w:gridCol w:w="109"/>
        <w:gridCol w:w="109"/>
        <w:gridCol w:w="109"/>
        <w:gridCol w:w="211"/>
        <w:gridCol w:w="826"/>
        <w:gridCol w:w="109"/>
        <w:gridCol w:w="109"/>
        <w:gridCol w:w="109"/>
        <w:gridCol w:w="109"/>
        <w:gridCol w:w="308"/>
        <w:gridCol w:w="308"/>
        <w:gridCol w:w="660"/>
      </w:tblGrid>
      <w:tr>
        <w:trPr/>
        <w:tc>
          <w:tcPr>
            <w:tcW w:w="176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Years Ended December 31, </w:t>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Revenue</w:t>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Comparison of Years Ended December 31, 2025 and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tbl>
      <w:tblPr>
        <w:tblW w:w="5846" w:type="dxa"/>
        <w:jc w:val="left"/>
        <w:tblInd w:w="0" w:type="dxa"/>
        <w:tblLayout w:type="fixed"/>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164"/>
        <w:gridCol w:w="166"/>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283"/>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Revenues decreased by $9.8 million, or 5%, for the year ended December 31, 2025 compared to the same period in 2024. The decrease was primarily due to a decrease in revenues from our Featured Listing and WM Deal products of $8.9 million and our Weedmaps for Business and other SaaS solutions of $0.9 million. The overall decrease in revenues was driven by continued headwinds across core markets, where ongoing pricing pressure and price deflation continues to compress client operating margins and constrain marketing budgets.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Featured Listing and WM Deal products, Weedmaps for Business and other SaaS solutions, and other ad solutions represented approximately 61%, 31% and 8% of our total revenues,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total costs and expenses:</w:t>
      </w:r>
    </w:p>
    <w:tbl>
      <w:tblPr>
        <w:tblW w:w="10205" w:type="dxa"/>
        <w:jc w:val="left"/>
        <w:tblInd w:w="0" w:type="dxa"/>
        <w:tblLayout w:type="fixed"/>
        <w:tblCellMar>
          <w:top w:w="28" w:type="dxa"/>
          <w:left w:w="28" w:type="dxa"/>
          <w:bottom w:w="28" w:type="dxa"/>
          <w:right w:w="28" w:type="dxa"/>
        </w:tblCellMar>
      </w:tblPr>
      <w:tblGrid>
        <w:gridCol w:w="1934"/>
        <w:gridCol w:w="1661"/>
        <w:gridCol w:w="1666"/>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06"/>
        <w:gridCol w:w="209"/>
        <w:gridCol w:w="320"/>
      </w:tblGrid>
      <w:tr>
        <w:trPr/>
        <w:tc>
          <w:tcPr>
            <w:tcW w:w="193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decrease in cost of revenues was primarily related to a decrease of $0.2 million in credit card processing costs primarily driven by a decrease in revenues.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decrease in sales and marketing expenses was primarily related to a decrease in personnel-related costs of $1.8 million and a decrease in advertising expense of $0.3 million, partially offset by an increase in outside service expense of $0.5 million and other expense of $0.1 million. The decrease in personnel-related costs of $1.8 million were primarily due to decreases in salaries and wages of $0.3 million, bonus expense of $0.7 million, stock-based compensation expense of $0.6 million and payroll tax expense of $0.3 million, partially offset by an increase in vacation expense of $0.1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Product Development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decrease in product development expenses was primarily due to decreases in personnel-related costs of $7.5 million, outside service expense of $0.6 million and other expense of $0.1 million. The decrease in personnel-related costs was primarily due to decreases in salaries and wages of $5.0 million, bonus expense of $0.8 million, stock-based compensation expense of $1.4 million and payroll tax expense of $0.5 million, partially offset by an increase in vacation expense of 0.2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120"/>
        <w:jc w:val="both"/>
        <w:rPr/>
      </w:pPr>
      <w:r>
        <w:rPr>
          <w:rFonts w:ascii="Times New Roman;serif" w:hAnsi="Times New Roman;serif"/>
          <w:b w:val="false"/>
          <w:color w:val="000000"/>
          <w:sz w:val="20"/>
        </w:rPr>
        <w:t xml:space="preserve">The increase in general and administrative expenses was primarily due to increases in salaries and wages of $1.3 million, stock-based compensation expense of $0.6 million, employee benefits of $0.7 million, vacation expense of $0.2 million, provision (recovery) for credit losses of $4.4 million, software expense of $1.6 million and other expense of $3.1 million, partially offset by decreases in bonus expenses of $1.2 million, payroll tax expense of $0.1 million, SEC settlement of $1.5 million, outside service expense of $1.5 million and rent and facilities expense of $1.4 million. The other expense included </w:t>
      </w:r>
      <w:r>
        <w:rPr>
          <w:rFonts w:ascii="Times New Roman;serif" w:hAnsi="Times New Roman;serif"/>
          <w:b w:val="false"/>
          <w:color w:val="000000"/>
          <w:sz w:val="20"/>
          <w:shd w:fill="FFFFFF" w:val="clear"/>
        </w:rPr>
        <w:t xml:space="preserve">$2.8 million related to a preliminary legal settlement agreement. </w:t>
      </w:r>
      <w:r>
        <w:rPr>
          <w:rFonts w:ascii="Times New Roman;serif" w:hAnsi="Times New Roman;serif"/>
          <w:b w:val="false"/>
          <w:color w:val="000000"/>
          <w:sz w:val="20"/>
        </w:rPr>
        <w:t>See Note 6, “</w:t>
      </w:r>
      <w:r>
        <w:rPr>
          <w:rFonts w:ascii="Times New Roman;serif" w:hAnsi="Times New Roman;serif"/>
          <w:b w:val="false"/>
          <w:color w:val="000000"/>
          <w:sz w:val="20"/>
          <w:shd w:fill="FFFFFF" w:val="clear"/>
        </w:rPr>
        <w:t>Commitments and Contingencies</w:t>
      </w:r>
      <w:r>
        <w:rPr>
          <w:rFonts w:ascii="Times New Roman;serif" w:hAnsi="Times New Roman;serif"/>
          <w:b w:val="false"/>
          <w:color w:val="000000"/>
          <w:sz w:val="20"/>
        </w:rPr>
        <w:t>,” to our consolidated financial statements for further discussion.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depreciation and amortization expense was primarily due to an increase in depreciation of $0.1 million primarily related to capitalized software development.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Asset Impairment Charges</w:t>
      </w:r>
    </w:p>
    <w:p>
      <w:pPr>
        <w:pStyle w:val="TextBody"/>
        <w:bidi w:val="0"/>
        <w:spacing w:lineRule="auto" w:line="288" w:before="120" w:after="283"/>
        <w:jc w:val="both"/>
        <w:rPr/>
      </w:pPr>
      <w:r>
        <w:rPr>
          <w:rFonts w:ascii="Times New Roman;serif" w:hAnsi="Times New Roman;serif"/>
          <w:b w:val="false"/>
          <w:color w:val="000000"/>
          <w:sz w:val="20"/>
        </w:rPr>
        <w:t>The increase in asset impairment charges was primarily due to $7.8 million in asset impairment charges from 2025. In 2025, we recorded $7.1 million</w:t>
      </w:r>
      <w:r>
        <w:rPr>
          <w:color w:val="000000"/>
          <w:shd w:fill="FFFFFF" w:val="clear"/>
        </w:rPr>
        <w:t xml:space="preserve"> </w:t>
      </w:r>
      <w:r>
        <w:rPr>
          <w:rFonts w:ascii="Times New Roman;serif" w:hAnsi="Times New Roman;serif"/>
          <w:b w:val="false"/>
          <w:color w:val="000000"/>
          <w:sz w:val="20"/>
          <w:shd w:fill="FFFFFF" w:val="clear"/>
        </w:rPr>
        <w:t>in goodwill impairment</w:t>
      </w:r>
      <w:r>
        <w:rPr>
          <w:color w:val="000000"/>
        </w:rPr>
        <w:t xml:space="preserve"> </w:t>
      </w:r>
      <w:r>
        <w:rPr>
          <w:rFonts w:ascii="Times New Roman;serif" w:hAnsi="Times New Roman;serif"/>
          <w:b w:val="false"/>
          <w:color w:val="000000"/>
          <w:sz w:val="20"/>
        </w:rPr>
        <w:t>and $0.7 million in impairment charges related to capitalized implementation costs as of December 31, 2025. See Note 8, “Goodwill and Intangible Assets,” and Note 9, “Prepaid Expenses and Other Current Assets,”</w:t>
      </w:r>
      <w:r>
        <w:rPr>
          <w:color w:val="000000"/>
        </w:rPr>
        <w:t xml:space="preserve"> </w:t>
      </w:r>
      <w:r>
        <w:rPr>
          <w:rFonts w:ascii="Times New Roman;serif" w:hAnsi="Times New Roman;serif"/>
          <w:b w:val="false"/>
          <w:color w:val="000000"/>
          <w:sz w:val="20"/>
        </w:rPr>
        <w:t>to our consolidated financial statements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60"/>
        <w:jc w:val="left"/>
        <w:rPr>
          <w:rFonts w:ascii="Times New Roman;serif" w:hAnsi="Times New Roman;serif"/>
          <w:b/>
          <w:i/>
          <w:color w:val="000000"/>
          <w:sz w:val="20"/>
        </w:rPr>
      </w:pPr>
      <w:r>
        <w:rPr>
          <w:rFonts w:ascii="Times New Roman;serif" w:hAnsi="Times New Roman;serif"/>
          <w:b/>
          <w:i/>
          <w:color w:val="000000"/>
          <w:sz w:val="20"/>
        </w:rPr>
        <w:t>Other Income (Expense), net</w:t>
      </w:r>
    </w:p>
    <w:tbl>
      <w:tblPr>
        <w:tblW w:w="8563" w:type="dxa"/>
        <w:jc w:val="left"/>
        <w:tblInd w:w="0" w:type="dxa"/>
        <w:tblLayout w:type="fixed"/>
        <w:tblCellMar>
          <w:top w:w="28" w:type="dxa"/>
          <w:left w:w="28" w:type="dxa"/>
          <w:bottom w:w="28" w:type="dxa"/>
          <w:right w:w="28" w:type="dxa"/>
        </w:tblCellMar>
      </w:tblPr>
      <w:tblGrid>
        <w:gridCol w:w="1354"/>
        <w:gridCol w:w="1185"/>
        <w:gridCol w:w="1195"/>
        <w:gridCol w:w="221"/>
        <w:gridCol w:w="646"/>
        <w:gridCol w:w="114"/>
        <w:gridCol w:w="114"/>
        <w:gridCol w:w="114"/>
        <w:gridCol w:w="114"/>
        <w:gridCol w:w="221"/>
        <w:gridCol w:w="725"/>
        <w:gridCol w:w="114"/>
        <w:gridCol w:w="109"/>
        <w:gridCol w:w="109"/>
        <w:gridCol w:w="109"/>
        <w:gridCol w:w="211"/>
        <w:gridCol w:w="616"/>
        <w:gridCol w:w="109"/>
        <w:gridCol w:w="109"/>
        <w:gridCol w:w="109"/>
        <w:gridCol w:w="109"/>
        <w:gridCol w:w="269"/>
        <w:gridCol w:w="271"/>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________________________________</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other income was primary due to changes in TRA liability of $3.1 million, an increase in net interest income of $1.4 million, a decrease in property and other taxes of $0.1 million, favorable changes in fair value of warrant liability of $0.4 million and a decrease in other expense of $0.1 million.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776" w:type="dxa"/>
        <w:jc w:val="left"/>
        <w:tblInd w:w="0" w:type="dxa"/>
        <w:tblLayout w:type="fixed"/>
        <w:tblCellMar>
          <w:top w:w="28" w:type="dxa"/>
          <w:left w:w="28" w:type="dxa"/>
          <w:bottom w:w="28" w:type="dxa"/>
          <w:right w:w="28" w:type="dxa"/>
        </w:tblCellMar>
      </w:tblPr>
      <w:tblGrid>
        <w:gridCol w:w="825"/>
        <w:gridCol w:w="726"/>
        <w:gridCol w:w="729"/>
        <w:gridCol w:w="298"/>
        <w:gridCol w:w="509"/>
        <w:gridCol w:w="153"/>
        <w:gridCol w:w="153"/>
        <w:gridCol w:w="153"/>
        <w:gridCol w:w="153"/>
        <w:gridCol w:w="298"/>
        <w:gridCol w:w="509"/>
        <w:gridCol w:w="153"/>
        <w:gridCol w:w="109"/>
        <w:gridCol w:w="109"/>
        <w:gridCol w:w="109"/>
        <w:gridCol w:w="211"/>
        <w:gridCol w:w="361"/>
        <w:gridCol w:w="109"/>
        <w:gridCol w:w="109"/>
        <w:gridCol w:w="109"/>
        <w:gridCol w:w="109"/>
        <w:gridCol w:w="233"/>
        <w:gridCol w:w="233"/>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we recorded less than $0.1 million in provision for income taxes due to the impact of the full valuation allowance on our net deferred assets. See Note 15, “Income Taxes,” to our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20"/>
        <w:jc w:val="both"/>
        <w:rPr/>
      </w:pPr>
      <w:r>
        <w:rPr>
          <w:rFonts w:ascii="Times New Roman;serif" w:hAnsi="Times New Roman;serif"/>
          <w:b w:val="false"/>
          <w:color w:val="000000"/>
          <w:sz w:val="20"/>
        </w:rPr>
        <w:t>The cannabis industry has certain industry holidays that in recent years have resulted in increased purchases by cannabis consumers. Such “holidays” include, but are not limited to April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(420) and the 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show our cash, accounts receivable and working capital as of the dates indicated:</w:t>
      </w:r>
    </w:p>
    <w:tbl>
      <w:tblPr>
        <w:tblW w:w="4718" w:type="dxa"/>
        <w:jc w:val="left"/>
        <w:tblInd w:w="0" w:type="dxa"/>
        <w:tblLayout w:type="fixed"/>
        <w:tblCellMar>
          <w:top w:w="28" w:type="dxa"/>
          <w:left w:w="28" w:type="dxa"/>
          <w:bottom w:w="28" w:type="dxa"/>
          <w:right w:w="28" w:type="dxa"/>
        </w:tblCellMar>
      </w:tblPr>
      <w:tblGrid>
        <w:gridCol w:w="820"/>
        <w:gridCol w:w="720"/>
        <w:gridCol w:w="724"/>
        <w:gridCol w:w="211"/>
        <w:gridCol w:w="721"/>
        <w:gridCol w:w="109"/>
        <w:gridCol w:w="109"/>
        <w:gridCol w:w="109"/>
        <w:gridCol w:w="109"/>
        <w:gridCol w:w="211"/>
        <w:gridCol w:w="72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we had cash and cash equivalents of $62.4 million and $52.0 million, respectively. Our funds are being used for funding our current operations and potential strategic acquisitions in the future. We also intend to increase our capital expenditures to support the organic growth in our business and operations. We expect to fund our short-term and long-term liquidity requirements from cash and cash equivalents and working capital on hand at December 31, 2025, as well as from cash provided by operating activities. We believe that our existing cash and cash equivalents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Flows</w:t>
      </w:r>
    </w:p>
    <w:tbl>
      <w:tblPr>
        <w:tblW w:w="6069" w:type="dxa"/>
        <w:jc w:val="left"/>
        <w:tblInd w:w="0" w:type="dxa"/>
        <w:tblLayout w:type="fixed"/>
        <w:tblCellMar>
          <w:top w:w="28" w:type="dxa"/>
          <w:left w:w="28" w:type="dxa"/>
          <w:bottom w:w="28" w:type="dxa"/>
          <w:right w:w="28" w:type="dxa"/>
        </w:tblCellMar>
      </w:tblPr>
      <w:tblGrid>
        <w:gridCol w:w="1254"/>
        <w:gridCol w:w="1104"/>
        <w:gridCol w:w="1107"/>
        <w:gridCol w:w="211"/>
        <w:gridCol w:w="796"/>
        <w:gridCol w:w="109"/>
        <w:gridCol w:w="109"/>
        <w:gridCol w:w="109"/>
        <w:gridCol w:w="109"/>
        <w:gridCol w:w="211"/>
        <w:gridCol w:w="79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Cash from operating activities consists primarily of net income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is affected by changes in operating assets, such as accounts receivable which, is impacted by the timing of customer billings and related collections from our customers. In 2024, operating cash flow increased due to a focused effort on collecting significant outstanding accounts receivable. At the end of 2023, we had significant past due accounts, and we were successful with collecting the majority of them in 2024. This resulted in a higher-than-normal cash influx that did not recur in 2025. Net cash provided by operating activities is also impacted by effects of changes in operating liabilities such as accounts payable and accrued expenses due to timing of payments; accrued personnel costs which are impacted by employee performance targets and the timing of payments related to employee bonus incentives.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year ended December 31, 2025 was $26.2 million, which resulted from net income of $3.3 million, together with net cash outflows of $14.5 million from changes in operating assets and liabilities, and non-cash items of $37.4 million, consisting of fair value of warrant liability of $0.4 million and TRA remeasurement of $0.3 million, partially offset by stock-based compensation expense of $7.8 million, depreciation and amortization of $13.4 million, amortization of right of use lease assets of $2.5 million, impairment loss of $7.8 million and loss contingency of $2.3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outflows from changes in operating assets and liabilities were primarily due to an increase in accounts receivable of $8.9 million, an increase in prepaid expenses and other current and non-current assets of $2.6 million and a decrease in operating lease liabilities of $3.5 million, partially offset by an increase in accounts payable and accrued expenses of $0.6 million and an increase in deferred revenue of $0.1 million. The changes in operating assets and liabilities are mostly due to fluctuations in timing of cash receipts and payments.</w:t>
      </w:r>
    </w:p>
    <w:p>
      <w:pPr>
        <w:pStyle w:val="TextBody"/>
        <w:bidi w:val="0"/>
        <w:spacing w:lineRule="auto" w:line="288" w:before="120" w:after="120"/>
        <w:jc w:val="both"/>
        <w:rPr/>
      </w:pPr>
      <w:r>
        <w:rPr>
          <w:rFonts w:ascii="Times New Roman;serif" w:hAnsi="Times New Roman;serif"/>
          <w:b w:val="false"/>
          <w:color w:val="000000"/>
          <w:sz w:val="20"/>
        </w:rPr>
        <w:t xml:space="preserve">Net cash used in operating activities for the year ended December 31, 2024 was </w:t>
      </w:r>
      <w:r>
        <w:rPr>
          <w:rFonts w:ascii="Times New Roman;serif" w:hAnsi="Times New Roman;serif"/>
          <w:b w:val="false"/>
          <w:color w:val="000000"/>
          <w:sz w:val="20"/>
          <w:shd w:fill="FFFFFF" w:val="clear"/>
        </w:rPr>
        <w:t>$36.7 million</w:t>
      </w:r>
      <w:r>
        <w:rPr>
          <w:rFonts w:ascii="Times New Roman;serif" w:hAnsi="Times New Roman;serif"/>
          <w:b w:val="false"/>
          <w:color w:val="000000"/>
          <w:sz w:val="20"/>
        </w:rPr>
        <w:t>, which resulted from net income of $12.2 million, together with net cash outflows of $4.5 million from changes in operating assets and liabilities, and non-cash items of $29.0 million, consisting of stock-based compensation expense of $9.2 million, depreciation and amortization of $13.3 million, amortization of right of use lease assets of $3.8 million, TRA remeasurement of $2.8 million, partially offset by gain on lease termination of $0.1 million. Net cash outflows from changes in operating assets and liabilities were primarily due to a decrease in operating lease liabilities of $5.6 million, an increase in prepaid expenses and other current and non-current assets of $0.5 million and a decrease in deferred revenue of $0.5 million, partially offset by a decrease in accounts receivable of $1.1 million and an increase in accounts payable and accrued expenses of $1.0 million.The changes in operating assets and liabilities were mostly due to fluctuations in timing of cash receipts and payments.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year ended December 31, 2025 was $12.7 million, which resulted from $12.7 million cash paid for capital expenditures which includes purchases of property and equipment, including certain capitalized software 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year ended December 31, 2024 was $11.6 million, which resulted from $11.6 million cash paid for capital expenditures which includes purchases of property and equipment, including certain capitalized software development costs..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year ended December 31, 2025 was $3.1 million, which resulted from $1.9 million of distribution payments to members of WMH LLC, $1.4 million in TRA payments and $0.3 million in proceeds from collection of related party note receivable.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from financing activities for the year ended December 31, 2024 was $7.4 million, which resulted from $7.7 million distribution payments to members of WMH LLC, $0.1 million in TRA payments and $0.4 million in proceeds from collection of related party note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120"/>
        <w:jc w:val="both"/>
        <w:rPr/>
      </w:pPr>
      <w:r>
        <w:rPr>
          <w:rFonts w:ascii="Times New Roman;serif" w:hAnsi="Times New Roman;serif"/>
          <w:b w:val="false"/>
          <w:color w:val="000000"/>
          <w:sz w:val="20"/>
        </w:rPr>
        <w:t xml:space="preserve">We have non-cancellable contractual agreements primarily related to leases and other purchase obligations. As of December 31, 2025, future payments on our operating leases were $34.1 million. See Note 5, “Leases,” to our consolidated financial statements included herein. We also have minimum outstanding purchase obligations $7.5 million in 2026, due under software license agreements, of which the majority relates to the remaining period of our three-year AWS Enterprise agreement. </w:t>
      </w: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prompted by a downward revision in forecasted server cost spend for the full fiscal year 2025 and 2026, </w:t>
      </w:r>
      <w:r>
        <w:rPr>
          <w:rFonts w:ascii="Times New Roman;serif" w:hAnsi="Times New Roman;serif"/>
          <w:b w:val="false"/>
          <w:color w:val="000000"/>
          <w:sz w:val="20"/>
        </w:rPr>
        <w:t>we</w:t>
      </w:r>
      <w:r>
        <w:rPr>
          <w:color w:val="000000"/>
          <w:shd w:fill="FFFFFF" w:val="clear"/>
        </w:rPr>
        <w:t xml:space="preserve"> </w:t>
      </w:r>
      <w:r>
        <w:rPr>
          <w:rFonts w:ascii="Times New Roman;serif" w:hAnsi="Times New Roman;serif"/>
          <w:b w:val="false"/>
          <w:color w:val="000000"/>
          <w:sz w:val="20"/>
          <w:shd w:fill="FFFFFF" w:val="clear"/>
        </w:rPr>
        <w:t xml:space="preserve">performed a review of our cloud infrastructure strategy prompted by a downward revision in forecasted server cost spend for the full fiscal year 2025 and 2026. The lower spend identified was attributable to server management optimization and efficiencies implemented during 2024 and 2025 and discounts received on prepayments under the AWS agreement. Due to the revised forecast, we identified a probable shortfall in the minimum purchase obligation and recorded a loss contingency of $2.3 million in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December 31, 2025 and December 31, 2024, our TRA liability was $2.7 million and $4.4 million, respectively. </w:t>
      </w:r>
      <w:r>
        <w:rPr>
          <w:rFonts w:ascii="Times New Roman;serif" w:hAnsi="Times New Roman;serif"/>
          <w:b w:val="false"/>
          <w:color w:val="000000"/>
          <w:sz w:val="20"/>
        </w:rPr>
        <w:t xml:space="preserve">We expect that the payments we will be required to make under the TRA will not be substantial, and therefore, in conjunction with the recording of a full valuation allowance on the related TRA deferred tax assets for the year ended December 31, 2022, we have also adjusted the TRA liabilities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2024</w:t>
      </w:r>
      <w:r>
        <w:rPr>
          <w:color w:val="000000"/>
        </w:rPr>
        <w:t xml:space="preserve"> </w:t>
      </w:r>
      <w:r>
        <w:rPr>
          <w:rFonts w:ascii="Times New Roman;serif" w:hAnsi="Times New Roman;serif"/>
          <w:b w:val="false"/>
          <w:color w:val="000000"/>
          <w:sz w:val="20"/>
        </w:rPr>
        <w:t>.</w:t>
      </w:r>
    </w:p>
    <w:p>
      <w:pPr>
        <w:pStyle w:val="TextBody"/>
        <w:bidi w:val="0"/>
        <w:spacing w:lineRule="auto" w:line="288" w:before="120" w:after="120"/>
        <w:jc w:val="both"/>
        <w:rPr/>
      </w:pPr>
      <w:r>
        <w:rPr>
          <w:rFonts w:ascii="Times New Roman;serif" w:hAnsi="Times New Roman;serif"/>
          <w:b w:val="false"/>
          <w:color w:val="000000"/>
          <w:sz w:val="20"/>
        </w:rPr>
        <w:t xml:space="preserve">We will continue to evaluate the realization of the TRA tax attributes, and in the future, we may conclude that it is more likely than not that the Company will be able to utilize the deferred tax assets that are subject to the TRA, and therefore that the TRA liability is probable of payment, and if the TRA is reinstated, the payments would be substantial. Assuming a reinstatement of the TRA liability, there are several assumptions that would be relevant in the ultimate determination of the amount of our TRA liability, such as, no material changes in relevant tax law, that there are no future redemptions or exchanges to Class A Units and that we earn sufficient taxable income to realize all tax benefits that are subject to the TRA. Under these assumptions, the tax savings associated with acquisitions of Legacy WMH common units in the Business Combination and subsequent exchanges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equal approximately </w:t>
      </w:r>
      <w:r>
        <w:rPr>
          <w:rFonts w:ascii="Times New Roman;serif" w:hAnsi="Times New Roman;serif"/>
          <w:b w:val="false"/>
          <w:color w:val="000000"/>
          <w:sz w:val="20"/>
          <w:shd w:fill="FFFFFF" w:val="clear"/>
        </w:rPr>
        <w:t>$165.0 million, determined as of December 31, 2025. Under this scenario, we would be required to pay certain Class A Unit holders approximately 85% of such amount, or $138.9 million, determined as</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utilize the tax benefits that are subject to the TRA. Payments under the TRA are not conditioned on the TRA parties continued equity ownership in us or WMH LLC. See Note 15, “Income Taxes,” to our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GAAP. The preparation of these consolidated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income taxes, stock-based compensation, capitalized software development costs, provision (recovery) for credit losses,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consolidated financial statements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6"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Critical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20"/>
        <w:jc w:val="both"/>
        <w:rPr/>
      </w:pPr>
      <w:r>
        <w:rPr>
          <w:rFonts w:ascii="Times New Roman;serif" w:hAnsi="Times New Roman;serif"/>
          <w:b w:val="false"/>
          <w:color w:val="000000"/>
          <w:sz w:val="20"/>
        </w:rPr>
        <w:t>We recognize revenue when the fundamental criteria for revenue recognition are met. In accordance with ASC topic 606, “Revenue from Contracts with Customers,”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w:t>
      </w:r>
      <w:r>
        <w:rPr>
          <w:rFonts w:ascii="Times New Roman;serif" w:hAnsi="Times New Roman;serif"/>
          <w:b w:val="false"/>
          <w:color w:val="000000"/>
          <w:sz w:val="20"/>
          <w:shd w:fill="FFFFFF" w:val="clear"/>
        </w:rPr>
        <w:t>s. Transaction price adjustments are primarily related to our Together for Equity Access and Legislation program, through wh</w:t>
      </w:r>
      <w:r>
        <w:rPr>
          <w:rFonts w:ascii="Times New Roman;serif" w:hAnsi="Times New Roman;serif"/>
          <w:b w:val="false"/>
          <w:color w:val="000000"/>
          <w:sz w:val="20"/>
        </w:rPr>
        <w:t xml:space="preserve">ich we provide free software, advertising, educational materials and training programs to applicants or licenses under social equity licensing programs. We provide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us on the applicable state’s website. For the years ended </w:t>
      </w:r>
      <w:r>
        <w:rPr>
          <w:rFonts w:ascii="Times New Roman;serif" w:hAnsi="Times New Roman;serif"/>
          <w:b w:val="false"/>
          <w:color w:val="000000"/>
          <w:sz w:val="20"/>
          <w:shd w:fill="FFFFFF" w:val="clear"/>
        </w:rPr>
        <w:t>December 31, 2025 and 2024</w:t>
      </w:r>
      <w:r>
        <w:rPr>
          <w:rFonts w:ascii="Times New Roman;serif" w:hAnsi="Times New Roman;serif"/>
          <w:b w:val="false"/>
          <w:color w:val="000000"/>
          <w:sz w:val="20"/>
        </w:rPr>
        <w:t xml:space="preserve">, total transaction price adjustments issued were </w:t>
      </w:r>
      <w:r>
        <w:rPr>
          <w:rFonts w:ascii="Times New Roman;serif" w:hAnsi="Times New Roman;serif"/>
          <w:b w:val="false"/>
          <w:color w:val="000000"/>
          <w:sz w:val="20"/>
          <w:shd w:fill="FFFFFF" w:val="clear"/>
        </w:rPr>
        <w:t xml:space="preserve">$7.9 million and $5.5 million, respectively. </w:t>
      </w:r>
      <w:r>
        <w:rPr>
          <w:rFonts w:ascii="Times New Roman;serif" w:hAnsi="Times New Roman;serif"/>
          <w:b w:val="false"/>
          <w:color w:val="000000"/>
          <w:sz w:val="20"/>
        </w:rPr>
        <w:t>For clients that pay in advance for listing and other services, we record deferred revenue and recognize revenue over the applicable subscription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are derived primarily from monthly subscriptions to Weedmaps for Business, Featured Listing and WM Deal products and other WM Ad solutions. Our Weedmaps for Business subscriptions generally have one-month terms that automatically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for service contracts that are not probable of collection is not recognized until the contract is completed and payment is received. Collectability is reassessed when there is a significant change in facts or circumstances. The assessment of collectability considers whether we may limit our credit risk exposure through our right to stop transferring additional service in the event the customer is delinquent. For more information, refer to Note 3, “Revenue from Contracts with Customers,” of our consolidated financial statements included herein.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Critical Accounting Estimates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the Business Combination, WM Technology, Inc. became the sole managing member of WMH LLC, which is treated as a partnership for U.S. federal and most applicable state and local income tax purposes. As a partnership, WMH LLC is generally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the Business Combination, we entered into a TRA with the WMH Class A equity holders and their representatives that provides for a payment to such holders of 85% of the amount of tax benefits, if any, that WM Technology, Inc. realizes, or is deemed to realize, as a result of redemptions or exchanges of WMH Units and payments under the TRA.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7"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and liability requires estimates of our future qualified taxable income over the term of the TRA as a basis to determine if the related tax benefits are expected to be utilized. </w:t>
      </w:r>
    </w:p>
    <w:p>
      <w:pPr>
        <w:pStyle w:val="TextBody"/>
        <w:bidi w:val="0"/>
        <w:spacing w:lineRule="auto" w:line="288" w:before="0" w:after="120"/>
        <w:jc w:val="both"/>
        <w:rPr/>
      </w:pPr>
      <w:r>
        <w:rPr>
          <w:rFonts w:ascii="Times New Roman;serif" w:hAnsi="Times New Roman;serif"/>
          <w:b w:val="false"/>
          <w:color w:val="000000"/>
          <w:sz w:val="20"/>
        </w:rPr>
        <w:t xml:space="preserve">Based on the weight of all available evidence, both positive and negative, we determined during the three months ended December 31, 2022 that a full valuation allowance was required against our net deferred tax assets. We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2023 and fluctuation in both historical book operating results and future expectations. For the years ended December 31, 2025 and 2024, we conducted a similar analysis, and determined that a full valuation allowance was still required based on a more likely than not standard. </w:t>
      </w:r>
      <w:r>
        <w:rPr>
          <w:rFonts w:ascii="Times New Roman;serif" w:hAnsi="Times New Roman;serif"/>
          <w:b w:val="false"/>
          <w:color w:val="000000"/>
          <w:sz w:val="20"/>
          <w:shd w:fill="FFFFFF" w:val="clear"/>
        </w:rPr>
        <w:t>See Note 15, “Income Taxes,” to our consolidated financial statements included herein.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measure fair value of employee stock-based compensation awards on the date of grant and allocate the related expense over the requisite service period. The fair value of restricted stock units and performance-based restricted stock units without market conditions is equal to the market price of our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stock-based awards are recognized as they occur and we record compensation cost over the derived service period. For the years ended December 31, 2025 and 2024, we recognized stock-based compensation expense of $7.8 million and $9.2 million, respectively. See Note 13, “Stock-based Compensation,” to our consolidated financial statements included herein.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Capitalized Software Development Costs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capitalize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accounting for website and internal-use software costs requires us to make significant judgment, assumptions and estimates related to the timing and amount of recognized capitalized software development costs. For the years ended December 31, 2025 and 2024, we capitalized $13.6 million and $11.6 million of costs related to the development of software applications.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20" w:after="120"/>
        <w:jc w:val="both"/>
        <w:rPr/>
      </w:pPr>
      <w:r>
        <w:rPr>
          <w:rFonts w:ascii="Times New Roman;serif" w:hAnsi="Times New Roman;serif"/>
          <w:b w:val="false"/>
          <w:color w:val="000000"/>
          <w:sz w:val="20"/>
        </w:rPr>
        <w:t xml:space="preserve">We measure credit losses on our trade accounts receivable using the current expected credit loss model under ASC 326 </w:t>
      </w:r>
      <w:r>
        <w:rPr>
          <w:rFonts w:ascii="Times New Roman;serif" w:hAnsi="Times New Roman;serif"/>
          <w:b w:val="false"/>
          <w:i/>
          <w:color w:val="000000"/>
          <w:sz w:val="20"/>
        </w:rPr>
        <w:t>Financial Instruments – Credit Losses</w:t>
      </w:r>
      <w:r>
        <w:rPr>
          <w:rFonts w:ascii="Times New Roman;serif" w:hAnsi="Times New Roman;serif"/>
          <w:b w:val="false"/>
          <w:color w:val="000000"/>
          <w:sz w:val="20"/>
        </w:rPr>
        <w:t>, which is based on the expected losses rather than incurred losses. Under the credit loss model, lifetime expected credit losses are measured and recognized at each reporting date based on historical, current and forecast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$4.2 million and $1.2 million as of December 31, 2025 and December 31, 2024, respectively. See Note 2, “Summary of Significant Accounting Policies,” to our consolidated financial statements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8"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judgment, estimates and assumptions. Significant estimates and assumptions in valuing acquired intangible assets and liabilities include projected cash flows attributable to the assets or liabilities, asset useful lives and discount rates.</w:t>
      </w:r>
    </w:p>
    <w:p>
      <w:pPr>
        <w:pStyle w:val="TextBody"/>
        <w:bidi w:val="0"/>
        <w:spacing w:lineRule="auto" w:line="288" w:before="120" w:after="283"/>
        <w:jc w:val="both"/>
        <w:rPr/>
      </w:pPr>
      <w:r>
        <w:rPr>
          <w:rFonts w:ascii="Times New Roman;serif" w:hAnsi="Times New Roman;serif"/>
          <w:b w:val="false"/>
          <w:color w:val="000000"/>
          <w:sz w:val="20"/>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2025, in accordance with our annual assessment policy, we opted to bypass the qualitative assessment and performed a quantitative assessment to test goodwill for impairme</w:t>
      </w:r>
      <w:r>
        <w:rPr>
          <w:rFonts w:ascii="Times New Roman;serif" w:hAnsi="Times New Roman;serif"/>
          <w:b w:val="false"/>
          <w:color w:val="000000"/>
          <w:sz w:val="20"/>
          <w:shd w:fill="FFFFFF" w:val="clear"/>
        </w:rPr>
        <w:t xml:space="preserve">nt. As </w:t>
      </w:r>
      <w:r>
        <w:rPr>
          <w:rFonts w:ascii="Times New Roman;serif" w:hAnsi="Times New Roman;serif"/>
          <w:b w:val="false"/>
          <w:color w:val="000000"/>
          <w:sz w:val="20"/>
        </w:rPr>
        <w:t>part of our impairment assessment,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results of this analysis, we determined that the carrying value of the reporting unit exceeded the fair value, and therefore we recorded a goodwill impairment charge of $7.1 million during the year ended December 31, 2025. If our forecasts of cash flows or other key inputs are negatively revised in the future, the estimated fair value of the reporting unit would be adversely impacted, potentially leading to an additional impairment in the future that could materially affect our operating results. No goodwill impairment charges were recorded for the year ended December 31,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No intangible asset impairment charges have been recorded for the years ended December 31, 2025 and December 31, 2024. See Note 2, “Summary of Significant Accounting Policies,” and Note 8, “Goodwill and Intangible Assets,” to these consolidated financial statements for additional information.</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Other Long-Lived Assets</w:t>
      </w:r>
    </w:p>
    <w:p>
      <w:pPr>
        <w:pStyle w:val="TextBody"/>
        <w:bidi w:val="0"/>
        <w:spacing w:lineRule="auto" w:line="288" w:before="120" w:after="60"/>
        <w:jc w:val="both"/>
        <w:rPr/>
      </w:pPr>
      <w:r>
        <w:rPr>
          <w:rFonts w:ascii="Times New Roman;serif" w:hAnsi="Times New Roman;serif"/>
          <w:b w:val="false"/>
          <w:color w:val="000000"/>
          <w:sz w:val="20"/>
          <w:shd w:fill="FFFFFF" w:val="clear"/>
        </w:rPr>
        <w:t>We assess potential impairments to our long-lived assets, which includes property and equipment and operating lease assets, at least annually or whenever events or circumstances indicate that the carrying amount of an asset may not be recoverable. As of December 31, 2025 and</w:t>
      </w:r>
      <w:r>
        <w:rPr>
          <w:color w:val="000000"/>
        </w:rPr>
        <w:t xml:space="preserve">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our operating leases had a weighted average remaining lease term of 5.0 years and 6.0 years and a weighted-average discount rate of 10.0% and </w:t>
      </w:r>
      <w:r>
        <w:rPr>
          <w:rFonts w:ascii="Times New Roman;serif" w:hAnsi="Times New Roman;serif"/>
          <w:b w:val="false"/>
          <w:color w:val="000000"/>
          <w:sz w:val="20"/>
        </w:rPr>
        <w:t>10.0%, respectively</w:t>
      </w:r>
      <w:r>
        <w:rPr>
          <w:rFonts w:ascii="Times New Roman;serif" w:hAnsi="Times New Roman;serif"/>
          <w:b w:val="false"/>
          <w:color w:val="000000"/>
          <w:sz w:val="20"/>
          <w:shd w:fill="FFFFFF" w:val="clear"/>
        </w:rPr>
        <w:t xml:space="preserve">. Our lease agreements do not provide an implicit rate and as a result, we used an estimated incremental borrowing rate, which was derived from third-party information available at the time we adopted Accounting Standards Codification </w:t>
      </w:r>
      <w:r>
        <w:rPr>
          <w:rFonts w:ascii="Times New Roman;serif" w:hAnsi="Times New Roman;serif"/>
          <w:b w:val="false"/>
          <w:color w:val="000000"/>
          <w:sz w:val="20"/>
        </w:rPr>
        <w:t>(“ASC”)</w:t>
      </w:r>
      <w:r>
        <w:rPr>
          <w:color w:val="000000"/>
          <w:shd w:fill="FFFFFF" w:val="clear"/>
        </w:rPr>
        <w:t xml:space="preserve"> </w:t>
      </w:r>
      <w:r>
        <w:rPr>
          <w:rFonts w:ascii="Times New Roman;serif" w:hAnsi="Times New Roman;serif"/>
          <w:b w:val="false"/>
          <w:color w:val="000000"/>
          <w:sz w:val="20"/>
          <w:shd w:fill="FFFFFF" w:val="clear"/>
        </w:rPr>
        <w:t>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amended our lease associated with our corporate headquarters located in Irvine, California. The amendment extended the lease term five years through February 2030 and reduced the leased square footage. The lease extension was accounted for as a lease modification, and we remeasured the lease liability and ROU asset using an incremental borrowing rate of 11.5% and recognized a non-cash lease liability of $3.0 million and the related non-cash ROU asset of $3.0 million. The lease classification remained as an operating lease. We also paid $0.1 million to terminate a lease agreement for one of our offices. In conjunction with the early lease termination, we reported a gain of $0.1 million which is recognized as a reduction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69"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related lease expense. We also de-recognized the remaining ROU asset of $0.2 million and a lease liability of $0.4 million on the consolidated balance sheet related to early lease termination.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We did not have any impairment charges related to property and equipment for the year ended December 31, 2025 and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120"/>
        <w:jc w:val="both"/>
        <w:rPr/>
      </w:pPr>
      <w:r>
        <w:rPr>
          <w:rFonts w:ascii="Times New Roman;serif" w:hAnsi="Times New Roman;serif"/>
          <w:b w:val="false"/>
          <w:color w:val="000000"/>
          <w:sz w:val="20"/>
        </w:rPr>
        <w:t xml:space="preserve">In connection with the Business Combination, we assumed 12,499,993 Public Warrants and 7,000,000 Private Placement Warrants. As of December 31, 2025, 12,499,973 of the Public Warrant and all of the Private Placement Warrants remained outstanding. The warrants are measured at fair value under ASC 820 - </w:t>
      </w:r>
      <w:r>
        <w:rPr>
          <w:rFonts w:ascii="Times New Roman;serif" w:hAnsi="Times New Roman;serif"/>
          <w:b w:val="false"/>
          <w:i/>
          <w:color w:val="000000"/>
          <w:sz w:val="20"/>
        </w:rPr>
        <w:t>Fair Value Measurements</w:t>
      </w:r>
      <w:r>
        <w:rPr>
          <w:rFonts w:ascii="Times New Roman;serif" w:hAnsi="Times New Roman;serif"/>
          <w:b w:val="false"/>
          <w:color w:val="000000"/>
          <w:sz w:val="20"/>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2025 and December 31, 2024, warrant liability was $0.2 million and $0.6 million, respectively. See Note 7, “Fair Value Measurements,” to our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reviewed all recently issued standards and have determined that, other than as disclosed in Note 2, “Summary of Significant Accounting Policies,” such standards will not have a material impact on our consolidated financial statements or do not otherwise apply to our current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8 is contained in our Consolidated Financial Statements and the Notes to Consolidated Financial Statements on pages F-1 through F-31 of this Annual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foregoing in mind, our chief executive officer and chief financial officer (“Certifying Officers”) evaluated the effectiveness of our disclosure controls and procedures as of December 31, 2025, pursuant to Rule 13a-15(b) under the Exchange Act. Based on the evaluation, our chief executive officer and chief financial officer have concluded that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0"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December 31, 2025, our disclosure controls and procedures were not effective due to the ongoing material weaknesses in internal control over financial reporting described below.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we continue to implement design enhancements to our internal control procedures, we believe that, other than the changes described below regarding the ongoing remediation efforts,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supervision of and with the participation of our management, we assessed the effectiveness of our internal control over financial reporting as of December 31, 2025, using the criteria set forth by the Committee of Sponsoring Organizations of the Treadway Commission (COSO) in Internal Control — Integrated Framework (2013). Based on the evaluation, our chief executive officer and chief financial officer have concluded that as of December 31, 2025, our internal control over financial reporting was not effective due to the ongoing material weaknesses in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an ongoing entity-level material weakness that was identified in the years ended December 31, 2024 and 2023, and for which remediation efforts continued in the year ended December 31, 2025 as further described below.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entity-level material weakness contributed to material weaknesses within our system of internal control over financial reporting as follows: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Unremediated material weaknesses identified in the years ended December 31, 2025, 2024 and 2023</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1"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This material weakness could result in a misstatement of any account balances or disclosures that would result in a material misstatement to the annual or interim consolidated financial statements that would not be prevented or detected.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Baker Tilly US, LLP, has issued an audit report on our internal control over financial reporting, which appears in Part IV, Item 15 of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Remediation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oversight of management and the audit committee of our board of directors, we continue to actively take the appropriate steps toward the remediation of the underlying causes of the material weaknesses described above. We are committed to maintaining a strong internal control environment and implementing measures designed to ensure that the material weaknesses are remediated as soon as possible. We believe progress has been made toward remediation and we continue to implement our remediation plan. 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Remediation Efforts to Address Ongoing Material Weaknesses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remediation efforts for material weaknesses identified in both the current and prior years are still ongoing. To date, we have taken the following actions to remediate certain aspects of the material weaknesses described above that, as of December 31, 2025, had not yet been fully implemented or had not been in place for a sufficient period of time to demonstrate that they were having their desired effect: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Improving the design and operation of controls related to revenue recognition including the identification of performance obligations and establishment of policies over the order-to-cash cycle, including policies over our treatment of cash basis customers.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Segregating access in our ERP system and certain on-premise applications.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Filling certain key positions in our finance and technology organizations with individuals possessing public company knowledge and experience.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Commencing configuration of our new ERP system, which will replace our legacy ERP system in the fiscal year ended December 31,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Removing developers’ administrative access from production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Removing the ability for certain users, including developers, to access other users’ accounts.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Implementing audit trails to log and monitor system configuration and data changes made by users to detect erroneous or unauthorized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2"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10 is incorporated by reference to the information as set forth under the captions “Proposal No. 1 Election of Directors,” “Information Regarding the Board of Directors and Corporate Governance,” and “Executive Officers” in our definitive Proxy Statement for the 2026 Annual Meeting of Stockholders to be filed with the SEC within 120 days of December 31, 2025.</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Code of Conduct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adopted a Code of Conduct (the “Code of Conduct”), applicable to all of our employees, executive officers and directors. The Code of Conduct is available on our website at ir.weedmaps.com.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Insider Trading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and/or other dispositions of our securities by our directors, officers and employees. A copy of the Insider Trading Policy is filed as an exhibit to this Report. In addition, it is our practice to comply with the applicable laws and regulations relating to insider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11 is incorporated by reference to the information as set forth under the captions “Executive Compensation” and “Information Regarding the Board of Directors and Corporate Governance” in our definitive Proxy Statement for the 2026 Annual Meeting of Stockholders to be filed with the SEC within 120 days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12 is incorporated by reference to the information as set forth under the caption “Security Ownership of Certain Beneficial Owners and Management” in our definitive Proxy Statement for the 2026 Annual Meeting of Stockholders to be filed with the SEC within 120 days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13 is incorporated by reference to the information as set forth under the caption “Certain Relationships and Related Person Transactions” in our definitive Proxy Statement for the 2026 Annual Meeting of Stockholders to be filed with the SEC within 120 days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14 is incorporated by reference to the information as set forth under the caption “Principal Accountant Fees and Services” in our definitive Proxy Statement for the 2026 Annual Meeting of Stockholders to be filed with the SEC within 120 days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3"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Annual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Financial Statements.</w:t>
      </w:r>
    </w:p>
    <w:tbl>
      <w:tblPr>
        <w:tblW w:w="4246" w:type="dxa"/>
        <w:jc w:val="left"/>
        <w:tblInd w:w="0" w:type="dxa"/>
        <w:tblLayout w:type="fixed"/>
        <w:tblCellMar>
          <w:top w:w="28" w:type="dxa"/>
          <w:left w:w="28" w:type="dxa"/>
          <w:bottom w:w="28" w:type="dxa"/>
          <w:right w:w="28" w:type="dxa"/>
        </w:tblCellMar>
      </w:tblPr>
      <w:tblGrid>
        <w:gridCol w:w="1331"/>
        <w:gridCol w:w="1169"/>
        <w:gridCol w:w="1175"/>
        <w:gridCol w:w="167"/>
        <w:gridCol w:w="167"/>
        <w:gridCol w:w="237"/>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54">
              <w:r>
                <w:rPr>
                  <w:rStyle w:val="InternetLink"/>
                  <w:rFonts w:ascii="Times New Roman;serif" w:hAnsi="Times New Roman;serif"/>
                  <w:b w:val="false"/>
                  <w:color w:val="0000FF"/>
                  <w:sz w:val="20"/>
                  <w:u w:val="single"/>
                </w:rPr>
                <w:t>Consolidated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54">
              <w:r>
                <w:rPr>
                  <w:rStyle w:val="InternetLink"/>
                  <w:rFonts w:ascii="Times New Roman;serif" w:hAnsi="Times New Roman;serif"/>
                  <w:b w:val="false"/>
                  <w:color w:val="000080"/>
                  <w:sz w:val="20"/>
                  <w:u w:val="single"/>
                </w:rPr>
                <w:t>1</w:t>
              </w:r>
            </w:hyperlink>
          </w:p>
        </w:tc>
      </w:tr>
      <w:tr>
        <w:trPr/>
        <w:tc>
          <w:tcPr>
            <w:tcW w:w="367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57">
              <w:r>
                <w:rPr>
                  <w:rStyle w:val="InternetLink"/>
                  <w:rFonts w:ascii="Times New Roman;serif" w:hAnsi="Times New Roman;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57">
              <w:r>
                <w:rPr>
                  <w:rStyle w:val="InternetLink"/>
                  <w:rFonts w:ascii="Times New Roman;serif" w:hAnsi="Times New Roman;serif"/>
                  <w:b w:val="false"/>
                  <w:color w:val="000080"/>
                  <w:sz w:val="20"/>
                  <w:u w:val="single"/>
                </w:rPr>
                <w:t>2</w:t>
              </w:r>
            </w:hyperlink>
          </w:p>
        </w:tc>
      </w:tr>
      <w:tr>
        <w:trPr/>
        <w:tc>
          <w:tcPr>
            <w:tcW w:w="367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60">
              <w:r>
                <w:rPr>
                  <w:rStyle w:val="InternetLink"/>
                  <w:rFonts w:ascii="Times New Roman;serif" w:hAnsi="Times New Roman;serif"/>
                  <w:b w:val="false"/>
                  <w:color w:val="0000FF"/>
                  <w:sz w:val="20"/>
                  <w:u w:val="single"/>
                </w:rPr>
                <w:t>Consolidated Statements of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60">
              <w:r>
                <w:rPr>
                  <w:rStyle w:val="InternetLink"/>
                  <w:rFonts w:ascii="Times New Roman;serif" w:hAnsi="Times New Roman;serif"/>
                  <w:b w:val="false"/>
                  <w:color w:val="000080"/>
                  <w:sz w:val="20"/>
                  <w:u w:val="single"/>
                </w:rPr>
                <w:t>3</w:t>
              </w:r>
            </w:hyperlink>
          </w:p>
        </w:tc>
      </w:tr>
      <w:tr>
        <w:trPr/>
        <w:tc>
          <w:tcPr>
            <w:tcW w:w="367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63">
              <w:r>
                <w:rPr>
                  <w:rStyle w:val="InternetLink"/>
                  <w:rFonts w:ascii="Times New Roman;serif" w:hAnsi="Times New Roman;serif"/>
                  <w:b w:val="false"/>
                  <w:color w:val="0000EE"/>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63">
              <w:r>
                <w:rPr>
                  <w:rStyle w:val="InternetLink"/>
                  <w:rFonts w:ascii="Times New Roman;serif" w:hAnsi="Times New Roman;serif"/>
                  <w:b w:val="false"/>
                  <w:color w:val="000080"/>
                  <w:sz w:val="20"/>
                  <w:u w:val="single"/>
                </w:rPr>
                <w:t>4</w:t>
              </w:r>
            </w:hyperlink>
          </w:p>
        </w:tc>
      </w:tr>
      <w:tr>
        <w:trPr/>
        <w:tc>
          <w:tcPr>
            <w:tcW w:w="367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66">
              <w:r>
                <w:rPr>
                  <w:rStyle w:val="InternetLink"/>
                  <w:rFonts w:ascii="Times New Roman;serif" w:hAnsi="Times New Roman;serif"/>
                  <w:b w:val="false"/>
                  <w:color w:val="0000EE"/>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66">
              <w:r>
                <w:rPr>
                  <w:rStyle w:val="InternetLink"/>
                  <w:rFonts w:ascii="Times New Roman;serif" w:hAnsi="Times New Roman;serif"/>
                  <w:b w:val="false"/>
                  <w:color w:val="000080"/>
                  <w:sz w:val="20"/>
                  <w:u w:val="single"/>
                </w:rPr>
                <w:t>6</w:t>
              </w:r>
            </w:hyperlink>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or incorporated by reference into, this Annual Report:</w:t>
      </w:r>
    </w:p>
    <w:tbl>
      <w:tblPr>
        <w:tblW w:w="10205"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1543"/>
        <w:gridCol w:w="1477"/>
        <w:gridCol w:w="1490"/>
        <w:gridCol w:w="109"/>
        <w:gridCol w:w="109"/>
        <w:gridCol w:w="109"/>
        <w:gridCol w:w="195"/>
        <w:gridCol w:w="195"/>
        <w:gridCol w:w="196"/>
        <w:gridCol w:w="109"/>
        <w:gridCol w:w="109"/>
        <w:gridCol w:w="109"/>
        <w:gridCol w:w="267"/>
        <w:gridCol w:w="265"/>
        <w:gridCol w:w="196"/>
        <w:gridCol w:w="109"/>
        <w:gridCol w:w="109"/>
        <w:gridCol w:w="109"/>
        <w:gridCol w:w="245"/>
        <w:gridCol w:w="245"/>
        <w:gridCol w:w="246"/>
        <w:gridCol w:w="109"/>
        <w:gridCol w:w="109"/>
        <w:gridCol w:w="109"/>
        <w:gridCol w:w="368"/>
        <w:gridCol w:w="368"/>
        <w:gridCol w:w="438"/>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erif" w:hAnsi="Times New Roman;serif"/>
                  <w:b w:val="false"/>
                  <w:color w:val="0000FF"/>
                  <w:sz w:val="20"/>
                  <w:u w:val="single"/>
                </w:rPr>
                <w:t>Agreement and Plan of Merger, dated December 10, 2020, by and among Silver Spike, Merger Sub, WMH, and the Holder Representative named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10, 2020</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20"/>
                  <w:u w:val="single"/>
                </w:rPr>
                <w:t>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erif" w:hAnsi="Times New Roman;serif"/>
                  <w:b w:val="false"/>
                  <w:color w:val="0000FF"/>
                  <w:sz w:val="20"/>
                  <w:u w:val="single"/>
                </w:rPr>
                <w:t>Form of Common Stock Certificate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FF"/>
                  <w:sz w:val="20"/>
                  <w:u w:val="single"/>
                </w:rPr>
                <w:t>Form of Warrant Certificate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FF"/>
                  <w:sz w:val="20"/>
                  <w:u w:val="single"/>
                </w:rPr>
                <w:t>Warrant Agreement, dated as of August 7, 2019, by and between the Company and Continental Stock Transfer &amp; Trust Company, as warrant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2019</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20"/>
                  <w:u w:val="single"/>
                </w:rPr>
                <w:t>4.5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FF"/>
                  <w:sz w:val="20"/>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25, 2022</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erif" w:hAnsi="Times New Roman;serif"/>
                  <w:b w:val="false"/>
                  <w:color w:val="0000FF"/>
                  <w:sz w:val="20"/>
                  <w:u w:val="single"/>
                </w:rPr>
                <w:t>Exchange Agreement, dated as of June 16, 2021, by and among the Company, Silver Spike Sponsor and the other parties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erif" w:hAnsi="Times New Roman;serif"/>
                  <w:b w:val="false"/>
                  <w:color w:val="0000FF"/>
                  <w:sz w:val="20"/>
                  <w:u w:val="single"/>
                </w:rPr>
                <w:t>Tax Receivable Agreement, dated as of June 16, 2021, by and among the Company and the other parties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Times New Roman;serif" w:hAnsi="Times New Roman;serif"/>
                  <w:b w:val="false"/>
                  <w:color w:val="0000FF"/>
                  <w:sz w:val="20"/>
                  <w:u w:val="single"/>
                </w:rPr>
                <w:t>Fourth Amended and Restated Operating Agreement of WMH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Times New Roman;serif" w:hAnsi="Times New Roman;serif"/>
                  <w:b w:val="false"/>
                  <w:color w:val="0000FF"/>
                  <w:sz w:val="20"/>
                  <w:u w:val="single"/>
                </w:rPr>
                <w:t>Form of Subscription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Times New Roman;serif" w:hAnsi="Times New Roman;serif"/>
                  <w:b w:val="false"/>
                  <w:color w:val="0000FF"/>
                  <w:sz w:val="20"/>
                  <w:u w:val="single"/>
                </w:rPr>
                <w:t>Amended and Restated Registration Rights Agreement, dated as of June 16, 2021, by and among the Company, Silver Spike Sponsor and the other parties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erif" w:hAnsi="Times New Roman;serif"/>
                  <w:b w:val="false"/>
                  <w:color w:val="0000FF"/>
                  <w:sz w:val="20"/>
                  <w:u w:val="single"/>
                </w:rPr>
                <w:t>Form of Indemnification Agreement by and between the Company and its directors and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FF"/>
                  <w:sz w:val="20"/>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erif" w:hAnsi="Times New Roman;serif"/>
                  <w:b w:val="false"/>
                  <w:color w:val="0000FF"/>
                  <w:sz w:val="20"/>
                  <w:u w:val="single"/>
                </w:rPr>
                <w:t>WM Technology, Inc. 2021 Equity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FF"/>
                  <w:sz w:val="20"/>
                  <w:u w:val="single"/>
                </w:rPr>
                <w:t>10.7(a)(#)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erif" w:hAnsi="Times New Roman;serif"/>
                  <w:b w:val="false"/>
                  <w:color w:val="0000FF"/>
                  <w:sz w:val="20"/>
                  <w:u w:val="single"/>
                </w:rPr>
                <w:t>Form of Stock Option Grant Notice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FF"/>
                  <w:sz w:val="20"/>
                  <w:u w:val="single"/>
                </w:rPr>
                <w:t>10.7(b)#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erif" w:hAnsi="Times New Roman;serif"/>
                  <w:b w:val="false"/>
                  <w:color w:val="0000FF"/>
                  <w:sz w:val="20"/>
                  <w:u w:val="single"/>
                </w:rPr>
                <w:t>Form of RSU Award Grant Notice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7"/>
        <w:gridCol w:w="191"/>
        <w:gridCol w:w="194"/>
        <w:gridCol w:w="109"/>
        <w:gridCol w:w="109"/>
        <w:gridCol w:w="109"/>
        <w:gridCol w:w="2064"/>
        <w:gridCol w:w="1551"/>
        <w:gridCol w:w="1555"/>
        <w:gridCol w:w="109"/>
        <w:gridCol w:w="109"/>
        <w:gridCol w:w="109"/>
        <w:gridCol w:w="140"/>
        <w:gridCol w:w="138"/>
        <w:gridCol w:w="119"/>
        <w:gridCol w:w="109"/>
        <w:gridCol w:w="109"/>
        <w:gridCol w:w="109"/>
        <w:gridCol w:w="230"/>
        <w:gridCol w:w="230"/>
        <w:gridCol w:w="231"/>
        <w:gridCol w:w="109"/>
        <w:gridCol w:w="109"/>
        <w:gridCol w:w="109"/>
        <w:gridCol w:w="194"/>
        <w:gridCol w:w="194"/>
        <w:gridCol w:w="198"/>
        <w:gridCol w:w="109"/>
        <w:gridCol w:w="109"/>
        <w:gridCol w:w="109"/>
        <w:gridCol w:w="399"/>
        <w:gridCol w:w="399"/>
        <w:gridCol w:w="326"/>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erif" w:hAnsi="Times New Roman;serif"/>
                  <w:b w:val="false"/>
                  <w:color w:val="0000FF"/>
                  <w:sz w:val="20"/>
                  <w:u w:val="single"/>
                </w:rPr>
                <w:t>WM Technology, Inc. 2021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val="false"/>
                  <w:color w:val="0000FF"/>
                  <w:sz w:val="20"/>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Lease, dated as of November 11, 2013, by and between the Irvine Company LLC and Ghost Media Group, LLC,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FF"/>
                  <w:sz w:val="20"/>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First Amendment to Lease and Consent to Assignment, dated as of January 27, 2016, by and between Discovery Business Center LLC, as successor-in-interest to the Irvine Company LLC, and Ghost Management Group, LLC, as successor-in-interest to Ghost Media Group,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erif" w:hAnsi="Times New Roman;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Second Amendment to Lease, dated as of April 7, 2017, by and between Discovery Business Center LLC and Ghost Management Group,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Third Amendment to Lease, dated as of December 29, 2017, by and between Discovery Business Center LLC and Ghost Management Group,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erif" w:hAnsi="Times New Roman;serif"/>
                  <w:b w:val="false"/>
                  <w:color w:val="0000FF"/>
                  <w:sz w:val="20"/>
                  <w:u w:val="single"/>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Fourth Amendment to Lease, dated May 3, 2018, by and between Discovery Business Center LLC and Ghost Management Group,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Fifth Amendment to Lease, dated as of September 30, 2024, by and between Discovery Business Center LLC and Ghost Management Group,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2024</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erif" w:hAnsi="Times New Roman;serif"/>
                  <w:b w:val="false"/>
                  <w:color w:val="0000FF"/>
                  <w:sz w:val="20"/>
                  <w:u w:val="single"/>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Amended and Restated WM Technology, Inc. Non-Employee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03, 2026</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erif" w:hAnsi="Times New Roman;serif"/>
                  <w:b w:val="false"/>
                  <w:color w:val="0000FF"/>
                  <w:sz w:val="20"/>
                  <w:u w:val="single"/>
                </w:rPr>
                <w:t>10.16#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Employment Agreement, dated November 7, 2024, by and between Ghost Management Group, LLC, a subsidiary of WM Technology, Inc. and Douglas Francis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2024</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Times New Roman;serif" w:hAnsi="Times New Roman;serif"/>
                  <w:b w:val="false"/>
                  <w:color w:val="0000FF"/>
                  <w:sz w:val="20"/>
                  <w:u w:val="single"/>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Employment Agreement, dated December 2, 2024, by and between Ghost Management Group, LLC, a subsidiary of WM Technology, Inc. and Sarah Griffis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2025</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Employment Agreement, dated April 4, 2019, by and between the Company and Brian Camire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24, 2024</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80"/>
                  <w:sz w:val="20"/>
                  <w:u w:val="single"/>
                </w:rPr>
                <w:t>10.1</w:t>
              </w:r>
            </w:hyperlink>
            <w:hyperlink r:id="rId58">
              <w:r>
                <w:rPr>
                  <w:rStyle w:val="InternetLink"/>
                  <w:rFonts w:ascii="Times New Roman;serif" w:hAnsi="Times New Roman;serif"/>
                  <w:b w:val="false"/>
                  <w:color w:val="000080"/>
                  <w:sz w:val="20"/>
                  <w:u w:val="single"/>
                </w:rPr>
                <w:t>9</w:t>
              </w:r>
            </w:hyperlink>
            <w:hyperlink r:id="rId59">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80"/>
                  <w:sz w:val="20"/>
                  <w:u w:val="single"/>
                </w:rPr>
                <w:t xml:space="preserve">Employment Agreement, dated </w:t>
              </w:r>
            </w:hyperlink>
            <w:hyperlink r:id="rId61">
              <w:r>
                <w:rPr>
                  <w:rStyle w:val="InternetLink"/>
                  <w:rFonts w:ascii="Times New Roman;serif" w:hAnsi="Times New Roman;serif"/>
                  <w:b w:val="false"/>
                  <w:color w:val="000080"/>
                  <w:sz w:val="20"/>
                  <w:u w:val="single"/>
                </w:rPr>
                <w:t>January 30</w:t>
              </w:r>
            </w:hyperlink>
            <w:hyperlink r:id="rId62">
              <w:r>
                <w:rPr>
                  <w:rStyle w:val="InternetLink"/>
                  <w:rFonts w:ascii="Times New Roman;serif" w:hAnsi="Times New Roman;serif"/>
                  <w:b w:val="false"/>
                  <w:color w:val="000080"/>
                  <w:sz w:val="20"/>
                  <w:u w:val="single"/>
                </w:rPr>
                <w:t>, 20</w:t>
              </w:r>
            </w:hyperlink>
            <w:hyperlink r:id="rId63">
              <w:r>
                <w:rPr>
                  <w:rStyle w:val="InternetLink"/>
                  <w:rFonts w:ascii="Times New Roman;serif" w:hAnsi="Times New Roman;serif"/>
                  <w:b w:val="false"/>
                  <w:color w:val="000080"/>
                  <w:sz w:val="20"/>
                  <w:u w:val="single"/>
                </w:rPr>
                <w:t>26</w:t>
              </w:r>
            </w:hyperlink>
            <w:hyperlink r:id="rId64">
              <w:r>
                <w:rPr>
                  <w:rStyle w:val="InternetLink"/>
                  <w:rFonts w:ascii="Times New Roman;serif" w:hAnsi="Times New Roman;serif"/>
                  <w:b w:val="false"/>
                  <w:color w:val="000080"/>
                  <w:sz w:val="20"/>
                  <w:u w:val="single"/>
                </w:rPr>
                <w:t xml:space="preserve">, by and between the Company and </w:t>
              </w:r>
            </w:hyperlink>
            <w:hyperlink r:id="rId65">
              <w:r>
                <w:rPr>
                  <w:rStyle w:val="InternetLink"/>
                  <w:rFonts w:ascii="Times New Roman;serif" w:hAnsi="Times New Roman;serif"/>
                  <w:b w:val="false"/>
                  <w:color w:val="000080"/>
                  <w:sz w:val="20"/>
                  <w:u w:val="single"/>
                </w:rPr>
                <w:t>Susan Echard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03, 2026</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erif" w:hAnsi="Times New Roman;serif"/>
                  <w:b w:val="false"/>
                  <w:color w:val="0000FF"/>
                  <w:sz w:val="20"/>
                  <w:u w:val="single"/>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Executive Services Agreement, dated July 16, 2023, by and between SeatonHillPartners, L.P. and WM Technology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09, 2023</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erif" w:hAnsi="Times New Roman;serif"/>
                  <w:b w:val="false"/>
                  <w:color w:val="0000FF"/>
                  <w:sz w:val="20"/>
                  <w:u w:val="single"/>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Amendment to Executive Services Agreement, by and between SeatonHillPartners, L.P. and WM Technology Inc., dated February 26,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24, 2024</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22conversionagree.htm">
              <w:r>
                <w:rPr>
                  <w:rStyle w:val="InternetLink"/>
                  <w:rFonts w:ascii="Times New Roman;serif" w:hAnsi="Times New Roman;serif"/>
                  <w:b w:val="false"/>
                  <w:color w:val="000080"/>
                  <w:sz w:val="20"/>
                  <w:u w:val="single"/>
                </w:rPr>
                <w:t>10.2</w:t>
              </w:r>
            </w:hyperlink>
            <w:hyperlink w:anchor="exhibit1022conversionagree.htm">
              <w:r>
                <w:rPr>
                  <w:rStyle w:val="InternetLink"/>
                  <w:rFonts w:ascii="Times New Roman;serif" w:hAnsi="Times New Roman;serif"/>
                  <w:b w:val="false"/>
                  <w:color w:val="000080"/>
                  <w:sz w:val="20"/>
                  <w:u w:val="single"/>
                </w:rPr>
                <w:t>2</w:t>
              </w:r>
            </w:hyperlink>
            <w:hyperlink w:anchor="exhibit1022conversionagree.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22conversionagree.htm">
              <w:r>
                <w:rPr>
                  <w:rStyle w:val="InternetLink"/>
                  <w:rFonts w:ascii="Times New Roman;serif" w:hAnsi="Times New Roman;serif"/>
                  <w:b w:val="false"/>
                  <w:color w:val="000080"/>
                  <w:sz w:val="20"/>
                  <w:u w:val="single"/>
                </w:rPr>
                <w:t>Conversion</w:t>
              </w:r>
            </w:hyperlink>
            <w:hyperlink w:anchor="exhibit1022conversionagree.htm">
              <w:r>
                <w:rPr>
                  <w:rStyle w:val="InternetLink"/>
                  <w:rFonts w:ascii="Times New Roman;serif" w:hAnsi="Times New Roman;serif"/>
                  <w:b w:val="false"/>
                  <w:color w:val="000080"/>
                  <w:sz w:val="20"/>
                  <w:u w:val="single"/>
                </w:rPr>
                <w:t xml:space="preserve"> Agreement, by and </w:t>
              </w:r>
            </w:hyperlink>
            <w:hyperlink w:anchor="exhibit1022conversionagree.htm">
              <w:r>
                <w:rPr>
                  <w:rStyle w:val="InternetLink"/>
                  <w:rFonts w:ascii="Times New Roman;serif" w:hAnsi="Times New Roman;serif"/>
                  <w:b w:val="false"/>
                  <w:color w:val="000080"/>
                  <w:sz w:val="20"/>
                  <w:u w:val="single"/>
                </w:rPr>
                <w:t>among</w:t>
              </w:r>
            </w:hyperlink>
            <w:hyperlink w:anchor="exhibit1022conversionagree.htm">
              <w:r>
                <w:rPr>
                  <w:rStyle w:val="InternetLink"/>
                  <w:rFonts w:ascii="Times New Roman;serif" w:hAnsi="Times New Roman;serif"/>
                  <w:b w:val="false"/>
                  <w:color w:val="000080"/>
                  <w:sz w:val="20"/>
                  <w:u w:val="single"/>
                </w:rPr>
                <w:t xml:space="preserve"> </w:t>
              </w:r>
            </w:hyperlink>
            <w:hyperlink w:anchor="exhibit1022conversionagree.htm">
              <w:r>
                <w:rPr>
                  <w:rStyle w:val="InternetLink"/>
                  <w:rFonts w:ascii="Times New Roman;serif" w:hAnsi="Times New Roman;serif"/>
                  <w:b w:val="false"/>
                  <w:color w:val="000080"/>
                  <w:sz w:val="20"/>
                  <w:u w:val="single"/>
                </w:rPr>
                <w:t>SeatonHillPartners, L.P.</w:t>
              </w:r>
            </w:hyperlink>
            <w:hyperlink w:anchor="exhibit1022conversionagree.htm">
              <w:r>
                <w:rPr>
                  <w:rStyle w:val="InternetLink"/>
                  <w:rFonts w:ascii="Times New Roman;serif" w:hAnsi="Times New Roman;serif"/>
                  <w:b w:val="false"/>
                  <w:color w:val="000080"/>
                  <w:sz w:val="20"/>
                  <w:u w:val="single"/>
                </w:rPr>
                <w:t>, Susan Echard</w:t>
              </w:r>
            </w:hyperlink>
            <w:hyperlink w:anchor="exhibit1022conversionagree.htm">
              <w:r>
                <w:rPr>
                  <w:rStyle w:val="InternetLink"/>
                  <w:rFonts w:ascii="Times New Roman;serif" w:hAnsi="Times New Roman;serif"/>
                  <w:b w:val="false"/>
                  <w:color w:val="000080"/>
                  <w:sz w:val="20"/>
                  <w:u w:val="single"/>
                </w:rPr>
                <w:t xml:space="preserve"> and WM Technology Inc., dated </w:t>
              </w:r>
            </w:hyperlink>
            <w:hyperlink w:anchor="exhibit1022conversionagree.htm">
              <w:r>
                <w:rPr>
                  <w:rStyle w:val="InternetLink"/>
                  <w:rFonts w:ascii="Times New Roman;serif" w:hAnsi="Times New Roman;serif"/>
                  <w:b w:val="false"/>
                  <w:color w:val="000080"/>
                  <w:sz w:val="20"/>
                  <w:u w:val="single"/>
                </w:rPr>
                <w:t xml:space="preserve">January </w:t>
              </w:r>
            </w:hyperlink>
            <w:hyperlink w:anchor="exhibit1022conversionagree.htm">
              <w:r>
                <w:rPr>
                  <w:rStyle w:val="InternetLink"/>
                  <w:rFonts w:ascii="Times New Roman;serif" w:hAnsi="Times New Roman;serif"/>
                  <w:b w:val="false"/>
                  <w:color w:val="000080"/>
                  <w:sz w:val="20"/>
                  <w:u w:val="single"/>
                </w:rPr>
                <w:t>29</w:t>
              </w:r>
            </w:hyperlink>
            <w:hyperlink w:anchor="exhibit1022conversionagree.htm">
              <w:r>
                <w:rPr>
                  <w:rStyle w:val="InternetLink"/>
                  <w:rFonts w:ascii="Times New Roman;serif" w:hAnsi="Times New Roman;serif"/>
                  <w:b w:val="false"/>
                  <w:color w:val="000080"/>
                  <w:sz w:val="20"/>
                  <w:u w:val="single"/>
                </w:rPr>
                <w:t>, 202</w:t>
              </w:r>
            </w:hyperlink>
            <w:hyperlink w:anchor="exhibit1022conversionagree.htm">
              <w:r>
                <w:rPr>
                  <w:rStyle w:val="InternetLink"/>
                  <w:rFonts w:ascii="Times New Roman;serif" w:hAnsi="Times New Roman;serif"/>
                  <w:b w:val="false"/>
                  <w:color w:val="000080"/>
                  <w:sz w:val="20"/>
                  <w:u w:val="single"/>
                </w:rPr>
                <w:t>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erif" w:hAnsi="Times New Roman;serif"/>
                  <w:b w:val="false"/>
                  <w:color w:val="0000FF"/>
                  <w:sz w:val="20"/>
                  <w:u w:val="single"/>
                </w:rPr>
                <w:t>10.23#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80"/>
                  <w:sz w:val="20"/>
                  <w:u w:val="single"/>
                </w:rPr>
                <w:t>A</w:t>
              </w:r>
            </w:hyperlink>
            <w:hyperlink r:id="rId72">
              <w:r>
                <w:rPr>
                  <w:rStyle w:val="InternetLink"/>
                  <w:rFonts w:ascii="Times New Roman;serif" w:hAnsi="Times New Roman;serif"/>
                  <w:b w:val="false"/>
                  <w:color w:val="000080"/>
                  <w:sz w:val="20"/>
                  <w:u w:val="single"/>
                </w:rPr>
                <w:t>mended and Restated Severance and Change in Control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03, 2026</w:t>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3">
              <w:r>
                <w:rPr>
                  <w:rStyle w:val="InternetLink"/>
                  <w:rFonts w:ascii="Times New Roman;serif" w:hAnsi="Times New Roman;serif"/>
                  <w:b w:val="false"/>
                  <w:color w:val="0000FF"/>
                  <w:sz w:val="20"/>
                  <w:u w:val="single"/>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Insider Trading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2025</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211listofsubsidiari.htm">
              <w:r>
                <w:rPr>
                  <w:rStyle w:val="InternetLink"/>
                  <w:rFonts w:ascii="Times New Roman;serif" w:hAnsi="Times New Roman;serif"/>
                  <w:b w:val="false"/>
                  <w:color w:val="0000FF"/>
                  <w:sz w:val="20"/>
                  <w:u w:val="single"/>
                </w:rPr>
                <w:t>21.1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11listofsubsidiari.htm">
              <w:r>
                <w:rPr>
                  <w:rStyle w:val="InternetLink"/>
                  <w:rFonts w:ascii="Times New Roman;serif" w:hAnsi="Times New Roman;serif"/>
                  <w:b w:val="false"/>
                  <w:color w:val="0000FF"/>
                  <w:sz w:val="20"/>
                  <w:u w:val="single"/>
                </w:rPr>
                <w:t>List of 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231consentofindepen.htm">
              <w:r>
                <w:rPr>
                  <w:rStyle w:val="InternetLink"/>
                  <w:rFonts w:ascii="Times New Roman;serif" w:hAnsi="Times New Roman;serif"/>
                  <w:b w:val="false"/>
                  <w:color w:val="0000FF"/>
                  <w:sz w:val="20"/>
                  <w:u w:val="single"/>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1consentofindepen.htm">
              <w:r>
                <w:rPr>
                  <w:rStyle w:val="InternetLink"/>
                  <w:rFonts w:ascii="Times New Roman;serif" w:hAnsi="Times New Roman;serif"/>
                  <w:b w:val="false"/>
                  <w:color w:val="000080"/>
                  <w:sz w:val="20"/>
                  <w:u w:val="single"/>
                </w:rPr>
                <w:t xml:space="preserve">Consent of </w:t>
              </w:r>
            </w:hyperlink>
            <w:hyperlink w:anchor="exhibit231consentofindepen.htm">
              <w:r>
                <w:rPr>
                  <w:rStyle w:val="InternetLink"/>
                  <w:rFonts w:ascii="Times New Roman;serif" w:hAnsi="Times New Roman;serif"/>
                  <w:b w:val="false"/>
                  <w:color w:val="000080"/>
                  <w:sz w:val="20"/>
                  <w:u w:val="single"/>
                </w:rPr>
                <w:t>Baker Tilly US</w:t>
              </w:r>
            </w:hyperlink>
            <w:hyperlink w:anchor="exhibit231consentofindepen.htm">
              <w:r>
                <w:rPr>
                  <w:rStyle w:val="InternetLink"/>
                  <w:rFonts w:ascii="Times New Roman;serif" w:hAnsi="Times New Roman;serif"/>
                  <w:b w:val="false"/>
                  <w:color w:val="000080"/>
                  <w:sz w:val="20"/>
                  <w:u w:val="single"/>
                </w:rPr>
                <w:t>, LLP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Power of Attorney (included on signature page)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11q425.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q425.htm">
              <w:r>
                <w:rPr>
                  <w:rStyle w:val="InternetLink"/>
                  <w:rFonts w:ascii="Times New Roman;serif" w:hAnsi="Times New Roman;serif"/>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12q425.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2q425.htm">
              <w:r>
                <w:rPr>
                  <w:rStyle w:val="InternetLink"/>
                  <w:rFonts w:ascii="Times New Roman;serif" w:hAnsi="Times New Roman;serif"/>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8"/>
        <w:gridCol w:w="191"/>
        <w:gridCol w:w="193"/>
        <w:gridCol w:w="109"/>
        <w:gridCol w:w="109"/>
        <w:gridCol w:w="109"/>
        <w:gridCol w:w="1895"/>
        <w:gridCol w:w="1895"/>
        <w:gridCol w:w="1899"/>
        <w:gridCol w:w="109"/>
        <w:gridCol w:w="109"/>
        <w:gridCol w:w="109"/>
        <w:gridCol w:w="138"/>
        <w:gridCol w:w="138"/>
        <w:gridCol w:w="140"/>
        <w:gridCol w:w="109"/>
        <w:gridCol w:w="109"/>
        <w:gridCol w:w="109"/>
        <w:gridCol w:w="248"/>
        <w:gridCol w:w="248"/>
        <w:gridCol w:w="250"/>
        <w:gridCol w:w="109"/>
        <w:gridCol w:w="109"/>
        <w:gridCol w:w="109"/>
        <w:gridCol w:w="109"/>
        <w:gridCol w:w="109"/>
        <w:gridCol w:w="109"/>
        <w:gridCol w:w="109"/>
        <w:gridCol w:w="109"/>
        <w:gridCol w:w="109"/>
        <w:gridCol w:w="223"/>
        <w:gridCol w:w="223"/>
        <w:gridCol w:w="324"/>
      </w:tblGrid>
      <w:tr>
        <w:trPr/>
        <w:tc>
          <w:tcPr>
            <w:tcW w:w="2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21q425.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q425.htm">
              <w:r>
                <w:rPr>
                  <w:rStyle w:val="InternetLink"/>
                  <w:rFonts w:ascii="Times New Roman;serif" w:hAnsi="Times New Roman;serif"/>
                  <w:b w:val="false"/>
                  <w:color w:val="0000FF"/>
                  <w:sz w:val="20"/>
                  <w:u w:val="single"/>
                </w:rPr>
                <w:t>Certifications of the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5">
              <w:r>
                <w:rPr>
                  <w:rStyle w:val="InternetLink"/>
                  <w:rFonts w:ascii="Times New Roman;serif" w:hAnsi="Times New Roman;serif"/>
                  <w:b w:val="false"/>
                  <w:color w:val="0000FF"/>
                  <w:sz w:val="20"/>
                  <w:u w:val="single"/>
                </w:rPr>
                <w:t>97.1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Incentive Compensation Recoupment (Clawback)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May 24, 2024</w:t>
            </w:r>
          </w:p>
        </w:tc>
      </w:tr>
      <w:tr>
        <w:trPr/>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9"/>
        <w:gridCol w:w="2741"/>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schedules and exhibits to this agreement have been omitted pursuant to Item 601(a)(5) of Regulation S-K. A copy of any omitted schedule and/or exhibit will be furnished to the SEC upon request.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contract or agreement.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6"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Securities Exchange Act of 1934, the registrant has duly caused this report to be signed on its behalf by the undersigned, thereunto duly authorized.</w:t>
      </w:r>
    </w:p>
    <w:tbl>
      <w:tblPr>
        <w:tblW w:w="6022"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60"/>
        <w:gridCol w:w="260"/>
        <w:gridCol w:w="260"/>
        <w:gridCol w:w="263"/>
        <w:gridCol w:w="263"/>
        <w:gridCol w:w="263"/>
        <w:gridCol w:w="727"/>
        <w:gridCol w:w="727"/>
        <w:gridCol w:w="10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KNOW ALL PERSONS BY THESE PRESENTS, that each person whose signature appears below hereby constitutes and appoints Douglas Francis and Susan Echard, and each of them, his or her true and lawful attorneys-in-fact and agents, each with full power of substitution and </w:t>
      </w:r>
      <w:r>
        <w:rPr>
          <w:rFonts w:ascii="Times New Roman;serif" w:hAnsi="Times New Roman;serif"/>
          <w:b w:val="false"/>
          <w:color w:val="000000"/>
          <w:sz w:val="20"/>
          <w:shd w:fill="FFFFFF" w:val="clear"/>
        </w:rPr>
        <w:t>resubstitution</w:t>
      </w:r>
      <w:r>
        <w:rPr>
          <w:rFonts w:ascii="Times New Roman;serif" w:hAnsi="Times New Roman;serif"/>
          <w:b w:val="false"/>
          <w:color w:val="000000"/>
          <w:sz w:val="20"/>
        </w:rPr>
        <w:t>,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Pursuant to the </w:t>
      </w:r>
      <w:r>
        <w:rPr>
          <w:rFonts w:ascii="Times New Roman;serif" w:hAnsi="Times New Roman;serif"/>
          <w:b w:val="false"/>
          <w:color w:val="000000"/>
          <w:sz w:val="20"/>
          <w:shd w:fill="FFFFFF" w:val="clear"/>
        </w:rPr>
        <w:t>requirements</w:t>
      </w:r>
      <w:r>
        <w:rPr>
          <w:color w:val="000000"/>
        </w:rPr>
        <w:t xml:space="preserve"> </w:t>
      </w:r>
      <w:r>
        <w:rPr>
          <w:rFonts w:ascii="Times New Roman;serif" w:hAnsi="Times New Roman;serif"/>
          <w:b w:val="false"/>
          <w:color w:val="000000"/>
          <w:sz w:val="20"/>
        </w:rPr>
        <w:t>of the Securities Exchange Act of 1934, this report has been signed below by the following persons on behalf of the registrant and in the capacities and on the dates indicated.</w:t>
      </w:r>
    </w:p>
    <w:tbl>
      <w:tblPr>
        <w:tblW w:w="8872" w:type="dxa"/>
        <w:jc w:val="left"/>
        <w:tblInd w:w="0" w:type="dxa"/>
        <w:tblLayout w:type="fixed"/>
        <w:tblCellMar>
          <w:top w:w="28" w:type="dxa"/>
          <w:left w:w="28" w:type="dxa"/>
          <w:bottom w:w="28" w:type="dxa"/>
          <w:right w:w="28" w:type="dxa"/>
        </w:tblCellMar>
      </w:tblPr>
      <w:tblGrid>
        <w:gridCol w:w="607"/>
        <w:gridCol w:w="535"/>
        <w:gridCol w:w="538"/>
        <w:gridCol w:w="109"/>
        <w:gridCol w:w="109"/>
        <w:gridCol w:w="109"/>
        <w:gridCol w:w="1692"/>
        <w:gridCol w:w="1692"/>
        <w:gridCol w:w="1715"/>
        <w:gridCol w:w="109"/>
        <w:gridCol w:w="109"/>
        <w:gridCol w:w="109"/>
        <w:gridCol w:w="419"/>
        <w:gridCol w:w="419"/>
        <w:gridCol w:w="601"/>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Susan Echard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Bay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Bay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Brenda Freeman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Brenda Freeman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Gordon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Gordon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 Ibbott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 Ibbott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Harry DeMott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Harry DeMott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Brent Cox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Brent Cox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Rellas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Rellas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7"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491"/>
        <w:gridCol w:w="3063"/>
        <w:gridCol w:w="3079"/>
        <w:gridCol w:w="167"/>
        <w:gridCol w:w="167"/>
        <w:gridCol w:w="238"/>
      </w:tblGrid>
      <w:tr>
        <w:trPr/>
        <w:tc>
          <w:tcPr>
            <w:tcW w:w="3491"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68" w:before="240" w:after="283"/>
              <w:jc w:val="left"/>
              <w:rPr/>
            </w:pPr>
            <w:hyperlink w:anchor="i718acea977064dc1b02b20ad37d8dc37_151">
              <w:r>
                <w:rPr>
                  <w:rStyle w:val="InternetLink"/>
                  <w:rFonts w:ascii="Times New Roman;serif" w:hAnsi="Times New Roman;serif"/>
                  <w:b w:val="false"/>
                  <w:strike w:val="false"/>
                  <w:dstrike w:val="false"/>
                  <w:color w:val="0000EE"/>
                  <w:sz w:val="20"/>
                  <w:u w:val="none"/>
                  <w:effect w:val="none"/>
                </w:rPr>
                <w:t>Report of Independent Registered Public Accounting Firm (</w:t>
              </w:r>
            </w:hyperlink>
            <w:r>
              <w:rPr>
                <w:rFonts w:ascii="Times New Roman;serif" w:hAnsi="Times New Roman;serif"/>
                <w:b w:val="false"/>
                <w:color w:val="0000EE"/>
                <w:sz w:val="20"/>
                <w:u w:val="single"/>
              </w:rPr>
              <w:t>Baker Tilly US, LLP</w:t>
            </w:r>
            <w:hyperlink w:anchor="i718acea977064dc1b02b20ad37d8dc37_151">
              <w:r>
                <w:rPr>
                  <w:rStyle w:val="InternetLink"/>
                  <w:rFonts w:ascii="Times New Roman;serif" w:hAnsi="Times New Roman;serif"/>
                  <w:b w:val="false"/>
                  <w:strike w:val="false"/>
                  <w:dstrike w:val="false"/>
                  <w:color w:val="0000EE"/>
                  <w:sz w:val="20"/>
                  <w:u w:val="none"/>
                  <w:effect w:val="none"/>
                </w:rPr>
                <w:t xml:space="preserve">, </w:t>
              </w:r>
            </w:hyperlink>
            <w:r>
              <w:rPr>
                <w:rFonts w:ascii="Times New Roman;serif" w:hAnsi="Times New Roman;serif"/>
                <w:b w:val="false"/>
                <w:color w:val="0000EE"/>
                <w:sz w:val="20"/>
                <w:u w:val="single"/>
              </w:rPr>
              <w:t>Irvine, California</w:t>
            </w:r>
            <w:hyperlink w:anchor="i718acea977064dc1b02b20ad37d8dc37_151">
              <w:r>
                <w:rPr>
                  <w:rStyle w:val="InternetLink"/>
                  <w:rFonts w:ascii="Times New Roman;serif" w:hAnsi="Times New Roman;serif"/>
                  <w:b w:val="false"/>
                  <w:strike w:val="false"/>
                  <w:dstrike w:val="false"/>
                  <w:color w:val="0000EE"/>
                  <w:sz w:val="20"/>
                  <w:u w:val="none"/>
                  <w:effect w:val="none"/>
                </w:rPr>
                <w:t xml:space="preserve">, Auditor ID: (PCAOB ID </w:t>
              </w:r>
            </w:hyperlink>
            <w:r>
              <w:rPr>
                <w:rFonts w:ascii="Times New Roman;serif" w:hAnsi="Times New Roman;serif"/>
                <w:b w:val="false"/>
                <w:color w:val="0000EE"/>
                <w:sz w:val="20"/>
              </w:rPr>
              <w:t>23))</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acea977064dc1b02b20ad37d8dc37_154">
              <w:r>
                <w:rPr>
                  <w:rStyle w:val="InternetLink"/>
                  <w:rFonts w:ascii="Times New Roman;serif" w:hAnsi="Times New Roman;serif"/>
                  <w:b w:val="false"/>
                  <w:color w:val="0000FF"/>
                  <w:sz w:val="20"/>
                  <w:u w:val="single"/>
                </w:rPr>
                <w:t>Consolidated Balance Sheets</w:t>
              </w:r>
            </w:hyperlink>
          </w:p>
        </w:tc>
        <w:tc>
          <w:tcPr>
            <w:tcW w:w="57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54">
              <w:r>
                <w:rPr>
                  <w:rStyle w:val="InternetLink"/>
                  <w:rFonts w:ascii="Times New Roman;serif" w:hAnsi="Times New Roman;serif"/>
                  <w:b w:val="false"/>
                  <w:color w:val="000080"/>
                  <w:sz w:val="20"/>
                  <w:u w:val="single"/>
                </w:rPr>
                <w:t>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57">
              <w:r>
                <w:rPr>
                  <w:rStyle w:val="InternetLink"/>
                  <w:rFonts w:ascii="Times New Roman;serif" w:hAnsi="Times New Roman;serif"/>
                  <w:b w:val="false"/>
                  <w:color w:val="0000FF"/>
                  <w:sz w:val="20"/>
                  <w:u w:val="single"/>
                </w:rPr>
                <w:t>Consolidated Statements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57">
              <w:r>
                <w:rPr>
                  <w:rStyle w:val="InternetLink"/>
                  <w:rFonts w:ascii="Times New Roman;serif" w:hAnsi="Times New Roman;serif"/>
                  <w:b w:val="false"/>
                  <w:color w:val="000080"/>
                  <w:sz w:val="20"/>
                  <w:u w:val="single"/>
                </w:rPr>
                <w:t>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60">
              <w:r>
                <w:rPr>
                  <w:rStyle w:val="InternetLink"/>
                  <w:rFonts w:ascii="Times New Roman;serif" w:hAnsi="Times New Roman;serif"/>
                  <w:b w:val="false"/>
                  <w:color w:val="0000FF"/>
                  <w:sz w:val="20"/>
                  <w:u w:val="single"/>
                </w:rPr>
                <w:t>Consolidated Statements of Equity</w:t>
              </w:r>
            </w:hyperlink>
          </w:p>
        </w:tc>
        <w:tc>
          <w:tcPr>
            <w:tcW w:w="57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60">
              <w:r>
                <w:rPr>
                  <w:rStyle w:val="InternetLink"/>
                  <w:rFonts w:ascii="Times New Roman;serif" w:hAnsi="Times New Roman;serif"/>
                  <w:b w:val="false"/>
                  <w:color w:val="000080"/>
                  <w:sz w:val="20"/>
                  <w:u w:val="single"/>
                </w:rPr>
                <w:t>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63">
              <w:r>
                <w:rPr>
                  <w:rStyle w:val="InternetLink"/>
                  <w:rFonts w:ascii="Times New Roman;serif" w:hAnsi="Times New Roman;serif"/>
                  <w:b w:val="false"/>
                  <w:color w:val="0000EE"/>
                  <w:sz w:val="20"/>
                  <w:u w:val="single"/>
                </w:rPr>
                <w:t>Consolidated Statements of Cash Flows</w:t>
              </w:r>
            </w:hyperlink>
          </w:p>
        </w:tc>
        <w:tc>
          <w:tcPr>
            <w:tcW w:w="57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63">
              <w:r>
                <w:rPr>
                  <w:rStyle w:val="InternetLink"/>
                  <w:rFonts w:ascii="Times New Roman;serif" w:hAnsi="Times New Roman;serif"/>
                  <w:b w:val="false"/>
                  <w:color w:val="000080"/>
                  <w:sz w:val="20"/>
                  <w:u w:val="singl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718acea977064dc1b02b20ad37d8dc37_166">
              <w:r>
                <w:rPr>
                  <w:rStyle w:val="InternetLink"/>
                  <w:rFonts w:ascii="Times New Roman;serif" w:hAnsi="Times New Roman;serif"/>
                  <w:b w:val="false"/>
                  <w:color w:val="0000EE"/>
                  <w:sz w:val="20"/>
                  <w:u w:val="single"/>
                </w:rPr>
                <w:t>Notes to Consolidated 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EE"/>
                <w:sz w:val="20"/>
                <w:u w:val="single"/>
              </w:rPr>
              <w:t>F-</w:t>
            </w:r>
            <w:hyperlink w:anchor="i718acea977064dc1b02b20ad37d8dc37_166">
              <w:r>
                <w:rPr>
                  <w:rStyle w:val="InternetLink"/>
                  <w:rFonts w:ascii="Times New Roman;serif" w:hAnsi="Times New Roman;serif"/>
                  <w:b w:val="false"/>
                  <w:color w:val="000080"/>
                  <w:sz w:val="20"/>
                  <w:u w:val="single"/>
                </w:rPr>
                <w:t>6</w:t>
              </w:r>
            </w:hyperlink>
          </w:p>
        </w:tc>
      </w:tr>
      <w:tr>
        <w:trPr/>
        <w:tc>
          <w:tcPr>
            <w:tcW w:w="9633"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51460"/>
                <wp:effectExtent l="0" t="0" r="0" b="0"/>
                <wp:wrapNone/>
                <wp:docPr id="78" name="Frame7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before="240" w:after="283"/>
        <w:jc w:val="center"/>
        <w:rPr/>
      </w:pPr>
      <w:r>
        <w:rPr/>
      </w:r>
    </w:p>
    <w:p>
      <w:pPr>
        <w:pStyle w:val="TextBody"/>
        <w:bidi w:val="0"/>
        <w:spacing w:lineRule="auto" w:line="288" w:before="180" w:after="180"/>
        <w:jc w:val="center"/>
        <w:rPr>
          <w:rFonts w:ascii="Times New Roman;serif" w:hAnsi="Times New Roman;serif"/>
          <w:b/>
          <w:color w:val="000000"/>
          <w:sz w:val="28"/>
        </w:rPr>
      </w:pPr>
      <w:r>
        <w:rPr>
          <w:rFonts w:ascii="Times New Roman;serif" w:hAnsi="Times New Roman;serif"/>
          <w:b/>
          <w:color w:val="000000"/>
          <w:sz w:val="28"/>
        </w:rPr>
        <w:t>Report of Independent Registered Public Accounting Firm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WM Technology, Inc.</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WM Technology, Inc. (the “Company”) as of December 31, 2025 and 2024, the related consolidated statements of operations, equity, and cash flows for the years then ended, and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consolidated financial position of the Company as of December 31, 2025 and 2024, and the consolidated results of its operations and its cash flows for the years then ended, in conformity with accounting principles generally accepted in the United States of America. Also in our opinion, because of the effect of the material weaknesses identified below on the achievement of the objectives of the control criteria, the Company has not maintained effective internal control over financial reporting as of December 31, 2025, based on criteria established in Internal Control - Integrated Framework (2013) issued by COSO.</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51460"/>
                <wp:effectExtent l="0" t="0" r="0" b="0"/>
                <wp:wrapNone/>
                <wp:docPr id="79" name="Frame7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entity level material weaknesses contributed to other material weaknesses within the Company’s system of internal control over financial reporting: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did not design and maintain effective information technology (IT) general controls for certain information systems supporting its key financial reporting processes, including for its enterprise resource planning (ERP) system and certain in-scope on-premise and vendor-supported applications. Specifically, the Company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the Company’s financial statement account balances and disclosures.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payroll cycle, income taxes, capitalized software, and long-term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considered the material weaknesses in determining the nature, timing, and extent of audit tests applied in our audit of the Company’s consolidated financial statements as of and for the year ended December 31, 2025, and our opinion on such consolidated financial statements was not affected.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in Notes 2 and 3 to the consolidated financial statements, the Company’s revenues are derived primarily from monthly subscriptions to Weedmaps for Business, Featured Listing and WM Deal products, and other WM Ad solutions. Featured Listing and WM Deal products and other WM Ad solutions are offered as add-on products to the Weedmaps for Business subscriptions. Featured Listing and WM Deal products provide customers with premium placement ad solutions and discount and promotion pricing tools. Other WM Ad solutions include banner ads and promotion tiles on the Company’s marketplace as well as other advertising products on and off the Weedmaps marketplace. The price is generally determined through a competitive auction process that reflects local market demand. Revenues for these arrangements are recognized over time, generally during a month-to-month subscription period as the services are provided. The Company’s total revenues were $174.7 million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 for our determination that performing procedures related to revenue recognition is a critical audit matter was the significant auditor judgment required to evaluate the accuracy and occurrence of revenue transactions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51460"/>
                <wp:effectExtent l="0" t="0" r="0" b="0"/>
                <wp:wrapNone/>
                <wp:docPr id="80" name="Frame7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degree of subjectivity in applying audit procedures, the nature and extent of audit effort, and the nature of the audit evidence obtained.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evaluating the design of internal controls related to the Company’s process-level controls relating to the recognition of revenue. As described in the “Basis for Opinions” section, a material weakness was identified related to this matter. Our audit procedures related to the accuracy and occurrence of revenue transactions included the following,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Obtaining an understanding and evaluating the Company’s revenue recognition policy to recognize revenue in accordance with ASC Topic 606, Revenue from Contracts with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Testing a selection of subscription fee and SaaS solution offering transactions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Obtaining and inspecting source documents, such as contracts, terms of conditions, and payment receipts in order to evaluate the criteria to recognize revenue were met.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Directly observing the delivery of these services on the marketplace during the year and tracing the transactions to the information obtained using source documents.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sufficiency of audit evidence obtained and testing the completeness and accuracy of the reports used as part of our testing.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Impairment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goodwill balance was $61.3 million as of December 31, 2025. As described in Notes 2 and 8 to the consolidated financial statements, the Company evaluates goodwill for impairment on an annual basis as of December 31, or more frequently if facts and circumstances indicate that the carrying amount may not be recoverable. As of December 31, 2025, the Company opted to bypass the qualitative assessment and performed a quantitative assessment to test goodwill for impairment. The fair value of the Company’s reporting unit was estimated using an income approach, which uses projected discounted cash flows that incorporates assumptions regarding long-term growth rates, revenue and earnings projections, estimation of cash flows and discount rates. The impairment assessment resulted in the recognition of $7.1 million impairment expense during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related to goodwill impairment is a critical audit matter was (i) the significant judgment required by management to develop the forecasts of discounted cash flows used in the fair value estimate, (ii) the high degree of auditor judgment, subjectivity, and effort in performing procedures and evaluating management’s significant assumptions that support revenue and earnings projections, projected cash flows, and discount rate, and (iii) the audit effort involved in the use of professionals with specialized skill and knowledge.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Our audit procedures relating to the determination of the fair value of the Company’s reporting unit included the following,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Testing management’s process for determining the fair value of the reporting unit. These tests included: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appropriateness of the valuation methods used.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Testing the completeness, accuracy and relevance of data used by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Evaluating the reasonableness of significant assumptions, including forecasted revenue, forecasted cash flows, and the discount rate, and testing whether these forecasts were reasonable and consistent with historical performance and market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With the assistance of internal valuation specialists, evaluating the reasonableness of the valuation methods and assumptions used in the estimate.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 Baker Tilly US, LLP</w:t>
      </w:r>
    </w:p>
    <w:p>
      <w:pPr>
        <w:pStyle w:val="TextBody"/>
        <w:bidi w:val="0"/>
        <w:spacing w:before="120" w:after="283"/>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Irvine, California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March 12,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51460"/>
                <wp:effectExtent l="0" t="0" r="0" b="0"/>
                <wp:wrapNone/>
                <wp:docPr id="81" name="Frame8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791"/>
        <w:gridCol w:w="2244"/>
        <w:gridCol w:w="2178"/>
        <w:gridCol w:w="109"/>
        <w:gridCol w:w="109"/>
        <w:gridCol w:w="109"/>
        <w:gridCol w:w="211"/>
        <w:gridCol w:w="826"/>
        <w:gridCol w:w="109"/>
        <w:gridCol w:w="109"/>
        <w:gridCol w:w="109"/>
        <w:gridCol w:w="109"/>
        <w:gridCol w:w="211"/>
        <w:gridCol w:w="826"/>
        <w:gridCol w:w="155"/>
      </w:tblGrid>
      <w:tr>
        <w:trPr/>
        <w:tc>
          <w:tcPr>
            <w:tcW w:w="279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 $0.0001 par value; 75,000,000 shares authorized; no shares issued and outstanding at December 31,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 $0.0001 par value; 1,500,000,000 shares authorized; 109,990,343 shares issued and outstanding at December 31, 2025 and 99,033,110 shares issued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V Common Stock - $0.0001 par value; 500,000,000 shares authorized, 47,852,652 shares issued and outstanding at December 31, 2025 and 54,319,542 shares issued and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WM Technology,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2"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9908" w:type="dxa"/>
        <w:jc w:val="left"/>
        <w:tblInd w:w="0" w:type="dxa"/>
        <w:tblLayout w:type="fixed"/>
        <w:tblCellMar>
          <w:top w:w="28" w:type="dxa"/>
          <w:left w:w="28" w:type="dxa"/>
          <w:bottom w:w="28" w:type="dxa"/>
          <w:right w:w="28" w:type="dxa"/>
        </w:tblCellMar>
      </w:tblPr>
      <w:tblGrid>
        <w:gridCol w:w="2573"/>
        <w:gridCol w:w="2253"/>
        <w:gridCol w:w="2269"/>
        <w:gridCol w:w="241"/>
        <w:gridCol w:w="945"/>
        <w:gridCol w:w="109"/>
        <w:gridCol w:w="109"/>
        <w:gridCol w:w="109"/>
        <w:gridCol w:w="109"/>
        <w:gridCol w:w="211"/>
        <w:gridCol w:w="826"/>
        <w:gridCol w:w="154"/>
      </w:tblGrid>
      <w:tr>
        <w:trPr/>
        <w:tc>
          <w:tcPr>
            <w:tcW w:w="257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Years Ended December 31, </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96,254,679</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97,103,304</w:t>
            </w:r>
          </w:p>
        </w:tc>
      </w:tr>
    </w:tbl>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3"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3050" w:type="dxa"/>
        <w:jc w:val="center"/>
        <w:tblInd w:w="0" w:type="dxa"/>
        <w:tblLayout w:type="fixed"/>
        <w:tblCellMar>
          <w:top w:w="28" w:type="dxa"/>
          <w:left w:w="28" w:type="dxa"/>
          <w:bottom w:w="28" w:type="dxa"/>
          <w:right w:w="28" w:type="dxa"/>
        </w:tblCellMar>
      </w:tblPr>
      <w:tblGrid>
        <w:gridCol w:w="479"/>
        <w:gridCol w:w="368"/>
        <w:gridCol w:w="369"/>
        <w:gridCol w:w="533"/>
        <w:gridCol w:w="533"/>
        <w:gridCol w:w="211"/>
        <w:gridCol w:w="196"/>
        <w:gridCol w:w="346"/>
        <w:gridCol w:w="109"/>
        <w:gridCol w:w="109"/>
        <w:gridCol w:w="109"/>
        <w:gridCol w:w="109"/>
        <w:gridCol w:w="488"/>
        <w:gridCol w:w="488"/>
        <w:gridCol w:w="211"/>
        <w:gridCol w:w="196"/>
        <w:gridCol w:w="256"/>
        <w:gridCol w:w="109"/>
        <w:gridCol w:w="109"/>
        <w:gridCol w:w="109"/>
        <w:gridCol w:w="109"/>
        <w:gridCol w:w="196"/>
        <w:gridCol w:w="751"/>
        <w:gridCol w:w="109"/>
        <w:gridCol w:w="109"/>
        <w:gridCol w:w="109"/>
        <w:gridCol w:w="109"/>
        <w:gridCol w:w="228"/>
        <w:gridCol w:w="770"/>
        <w:gridCol w:w="128"/>
        <w:gridCol w:w="109"/>
        <w:gridCol w:w="109"/>
        <w:gridCol w:w="109"/>
        <w:gridCol w:w="234"/>
        <w:gridCol w:w="791"/>
        <w:gridCol w:w="131"/>
        <w:gridCol w:w="109"/>
        <w:gridCol w:w="109"/>
        <w:gridCol w:w="109"/>
        <w:gridCol w:w="268"/>
        <w:gridCol w:w="903"/>
        <w:gridCol w:w="150"/>
        <w:gridCol w:w="109"/>
        <w:gridCol w:w="109"/>
        <w:gridCol w:w="109"/>
        <w:gridCol w:w="109"/>
        <w:gridCol w:w="109"/>
        <w:gridCol w:w="109"/>
        <w:gridCol w:w="109"/>
        <w:gridCol w:w="196"/>
        <w:gridCol w:w="751"/>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Common Stock </w:t>
              <w:br/>
              <w:t>Class 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2023</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94,383,053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55,486,361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(64,518)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16,380</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86,771</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103,151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 vesting of restricted stock units, net of shares withheld for employee taxes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3,307,383 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shares issued - Class A Unit exchange from Class V Unit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1,166,819 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(1,166,819)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shares issued - Class P Unit exchange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99,033,110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54,319,542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(56,879)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36,077</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83,990</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120,067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and distribution adjustments to non-controlling interests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 vesting of restricted stock units, net of shares withheld for employee taxes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4,181,333 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shares issued - Class A Unit exchange from Class V Unit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6,466,890 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shares issued - Class P Unit exchange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309,010 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109,990,343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47,852,652</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112,076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(54,917)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57,175</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74,625</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131,800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4"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174" w:type="dxa"/>
        <w:jc w:val="left"/>
        <w:tblInd w:w="0" w:type="dxa"/>
        <w:tblLayout w:type="fixed"/>
        <w:tblCellMar>
          <w:top w:w="28" w:type="dxa"/>
          <w:left w:w="28" w:type="dxa"/>
          <w:bottom w:w="28" w:type="dxa"/>
          <w:right w:w="28" w:type="dxa"/>
        </w:tblCellMar>
      </w:tblPr>
      <w:tblGrid>
        <w:gridCol w:w="2429"/>
        <w:gridCol w:w="2138"/>
        <w:gridCol w:w="2153"/>
        <w:gridCol w:w="211"/>
        <w:gridCol w:w="721"/>
        <w:gridCol w:w="109"/>
        <w:gridCol w:w="109"/>
        <w:gridCol w:w="109"/>
        <w:gridCol w:w="109"/>
        <w:gridCol w:w="211"/>
        <w:gridCol w:w="72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warrant liability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 -use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 of related party note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12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5"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120" w:after="283"/>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tbl>
      <w:tblPr>
        <w:tblW w:w="9568" w:type="dxa"/>
        <w:jc w:val="left"/>
        <w:tblInd w:w="0" w:type="dxa"/>
        <w:tblLayout w:type="fixed"/>
        <w:tblCellMar>
          <w:top w:w="28" w:type="dxa"/>
          <w:left w:w="28" w:type="dxa"/>
          <w:bottom w:w="28" w:type="dxa"/>
          <w:right w:w="28" w:type="dxa"/>
        </w:tblCellMar>
      </w:tblPr>
      <w:tblGrid>
        <w:gridCol w:w="2586"/>
        <w:gridCol w:w="2271"/>
        <w:gridCol w:w="2283"/>
        <w:gridCol w:w="228"/>
        <w:gridCol w:w="667"/>
        <w:gridCol w:w="118"/>
        <w:gridCol w:w="118"/>
        <w:gridCol w:w="118"/>
        <w:gridCol w:w="118"/>
        <w:gridCol w:w="228"/>
        <w:gridCol w:w="667"/>
        <w:gridCol w:w="166"/>
      </w:tblGrid>
      <w:tr>
        <w:trPr/>
        <w:tc>
          <w:tcPr>
            <w:tcW w:w="258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for software development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assets included in accounts payable and accrued expenses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the lease liabilities and right-of-use assets due to lease modification</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6"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Business and Organization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base makes the Weedmaps marketplace highly valuable to its clients.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Weedmaps for Business, the Company’s SaaS offering, is a comprehensive set of eCommerce and compliance software solutions catered towards cannabis retailers, delivery services and brands that streamline front and back-end operations and help manage compliance needs. With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On the Closing Date, and in connection with the closing of the Business Combination (the “Closing”), Silver Spike was domesticated and continues as a Delaware corporation, changing its name to WM Technology,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WM Technology, Inc. and WMH LLC, including their wholly and majority owned subsidiaries. In conformity with GAAP, all significant intercompany accounts and transactions have been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7"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2025 and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estimates made by management include, among others, the allowance for credit losses, loss contingencies,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performance and stock-based compensation and the recognition and disclosure of contingent liabilities.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in a relatively new industry where laws and regulations vary significantly by jurisdiction. Currently, forty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However, in 2025, at least three ballot initiatives (Arizona, Massachusetts and Maine) were introduced to repeal all or some portion of each state’s laws permitting adult use sales, and Florida’s Attorney General has thus far successfully precluded adult</w:t>
        <w:noBreakHyphen/>
        <w:t>use legalization from being placed on the 2026 ballot.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pStyle w:val="TextBody"/>
        <w:bidi w:val="0"/>
        <w:spacing w:lineRule="auto" w:line="288" w:before="120" w:after="283"/>
        <w:jc w:val="both"/>
        <w:rPr/>
      </w:pPr>
      <w:r>
        <w:rPr>
          <w:rFonts w:ascii="Times New Roman;serif" w:hAnsi="Times New Roman;serif"/>
          <w:b w:val="false"/>
          <w:color w:val="000000"/>
          <w:sz w:val="20"/>
        </w:rPr>
        <w:t>The geographic concentration of the Company’s clients makes the Company vulnerable to a downturn in the local markets. Historically, the Company’s business operations have been located primarily in the State of California. See Note 3, “</w:t>
      </w:r>
      <w:r>
        <w:rPr>
          <w:rFonts w:ascii="Times New Roman;serif" w:hAnsi="Times New Roman;serif"/>
          <w:b w:val="false"/>
          <w:color w:val="000000"/>
          <w:sz w:val="20"/>
          <w:shd w:fill="FFFFFF" w:val="clear"/>
        </w:rPr>
        <w:t>Revenue from Contracts with Customers</w:t>
      </w:r>
      <w:r>
        <w:rPr>
          <w:rFonts w:ascii="Times New Roman;serif" w:hAnsi="Times New Roman;serif"/>
          <w:b w:val="false"/>
          <w:color w:val="000000"/>
          <w:sz w:val="20"/>
        </w:rPr>
        <w:t>,” to these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jc w:val="both"/>
        <w:rPr/>
      </w:pPr>
      <w:r>
        <w:rPr>
          <w:rFonts w:ascii="Times New Roman;serif" w:hAnsi="Times New Roman;serif"/>
          <w:b w:val="false"/>
          <w:color w:val="000000"/>
          <w:sz w:val="20"/>
        </w:rPr>
        <w:t>The Company follows the guidance in Accounting Standards Codification (“ASC”)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its financial assets and liabilities that are re-measured and reported at fair value at each reporting period. See Note 7, “Fair Value Measurements” to these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jc w:val="both"/>
        <w:rPr/>
      </w:pPr>
      <w:r>
        <w:rPr>
          <w:rFonts w:ascii="Times New Roman;serif" w:hAnsi="Times New Roman;serif"/>
          <w:b w:val="false"/>
          <w:color w:val="000000"/>
          <w:sz w:val="20"/>
        </w:rPr>
        <w:t xml:space="preserve">Cash and cash equivalents consist of cash and highly liquid investments that are readily convertible into cash and have original maturities of three months or less at the date of purchase. The Company had cash equivalents of $10.0 million and nil as of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respectively. See “Investments,” below for further discussion.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receivable is recorded when an unconditional right to invoice and receive payment exists. Accounts receivable represents amounts related to receivables from customers. Receivables are shown net of allowance for credit losses which is maintained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8"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pPr>
      <w:r>
        <w:rPr>
          <w:rFonts w:ascii="Times New Roman;serif" w:hAnsi="Times New Roman;serif"/>
          <w:b w:val="false"/>
          <w:color w:val="000000"/>
          <w:sz w:val="20"/>
        </w:rPr>
        <w:t>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serif" w:hAnsi="Times New Roman;serif"/>
          <w:b w:val="false"/>
          <w:i/>
          <w:color w:val="000000"/>
          <w:sz w:val="20"/>
        </w:rPr>
        <w:t>Financial Instruments – Credit Losses</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pStyle w:val="TextBody"/>
        <w:bidi w:val="0"/>
        <w:spacing w:lineRule="auto" w:line="288" w:before="120" w:after="283"/>
        <w:jc w:val="both"/>
        <w:rPr/>
      </w:pPr>
      <w:r>
        <w:rPr>
          <w:rFonts w:ascii="Times New Roman;serif" w:hAnsi="Times New Roman;serif"/>
          <w:b w:val="false"/>
          <w:color w:val="000000"/>
          <w:sz w:val="20"/>
        </w:rPr>
        <w:t xml:space="preserve">Account balances are written off against the allowance when it is determined that it is probable that the receivable will not be recovered. The Company had allowance for credit losses of $4.2 million and $1.2 million as of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respectively.</w:t>
      </w:r>
    </w:p>
    <w:p>
      <w:pPr>
        <w:pStyle w:val="TextBody"/>
        <w:bidi w:val="0"/>
        <w:spacing w:lineRule="auto" w:line="288" w:before="120" w:after="120"/>
        <w:jc w:val="both"/>
        <w:rPr/>
      </w:pPr>
      <w:r>
        <w:rPr>
          <w:rFonts w:ascii="Times New Roman;serif" w:hAnsi="Times New Roman;serif"/>
          <w:b w:val="false"/>
          <w:color w:val="000000"/>
          <w:sz w:val="20"/>
        </w:rPr>
        <w:t xml:space="preserve">As of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no customer accounted for more than 10% of the total gross accounts receivable outstanding.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allowance for credit losses:</w:t>
      </w:r>
    </w:p>
    <w:tbl>
      <w:tblPr>
        <w:tblW w:w="4948" w:type="dxa"/>
        <w:jc w:val="left"/>
        <w:tblInd w:w="0" w:type="dxa"/>
        <w:tblLayout w:type="fixed"/>
        <w:tblCellMar>
          <w:top w:w="28" w:type="dxa"/>
          <w:left w:w="28" w:type="dxa"/>
          <w:bottom w:w="28" w:type="dxa"/>
          <w:right w:w="28" w:type="dxa"/>
        </w:tblCellMar>
      </w:tblPr>
      <w:tblGrid>
        <w:gridCol w:w="912"/>
        <w:gridCol w:w="803"/>
        <w:gridCol w:w="805"/>
        <w:gridCol w:w="228"/>
        <w:gridCol w:w="667"/>
        <w:gridCol w:w="118"/>
        <w:gridCol w:w="118"/>
        <w:gridCol w:w="118"/>
        <w:gridCol w:w="118"/>
        <w:gridCol w:w="228"/>
        <w:gridCol w:w="667"/>
        <w:gridCol w:w="166"/>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beginning of year</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end of year</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Investments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Debt Securities</w:t>
      </w:r>
    </w:p>
    <w:p>
      <w:pPr>
        <w:pStyle w:val="TextBody"/>
        <w:bidi w:val="0"/>
        <w:spacing w:lineRule="auto" w:line="288" w:before="120" w:after="120"/>
        <w:jc w:val="both"/>
        <w:rPr/>
      </w:pPr>
      <w:r>
        <w:rPr>
          <w:rFonts w:ascii="Times New Roman;serif" w:hAnsi="Times New Roman;serif"/>
          <w:b w:val="false"/>
          <w:color w:val="000000"/>
          <w:sz w:val="20"/>
        </w:rPr>
        <w:t>Investments in debt securities are primarily comprised of U.S. Treasury Bills classified as available-for-sale investment securities. These investments have maturities less than 90 days and as such are classified as cash and cash equivalents on the consolidated balance sheet. The Company reports available-for-sale investments at fair value as of each balance sheet date in accordance with ASC 320, “</w:t>
      </w:r>
      <w:r>
        <w:rPr>
          <w:rFonts w:ascii="Times New Roman;serif" w:hAnsi="Times New Roman;serif"/>
          <w:b w:val="false"/>
          <w:i/>
          <w:color w:val="000000"/>
          <w:sz w:val="20"/>
        </w:rPr>
        <w:t>Investments – Debt Securities</w:t>
      </w:r>
      <w:r>
        <w:rPr>
          <w:color w:val="000000"/>
        </w:rPr>
        <w:t xml:space="preserve">” </w:t>
      </w:r>
      <w:r>
        <w:rPr>
          <w:rFonts w:ascii="Times New Roman;serif" w:hAnsi="Times New Roman;serif"/>
          <w:b w:val="false"/>
          <w:color w:val="000000"/>
          <w:sz w:val="20"/>
        </w:rPr>
        <w:t xml:space="preserve">and records any unrealized gains or losses as a component of stockholders’ equity. The cost of securities sold is determined on a specific identification basis and realized gains and losses upon disposition are included in other income (expense) within the consolidated statements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realized losses are recognized when the Company determines that a decline in value is other than temporary, which requires judgment regarding the amount and timing of recovery. For investments that are classified as available-for-sale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Fair value of available-for-sale investment securities are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Note 7, “Fair Value Measurements,” to these consolidated financial statements for additional information.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lineRule="auto" w:line="288" w:before="120" w:after="283"/>
        <w:jc w:val="both"/>
        <w:rPr/>
      </w:pPr>
      <w:r>
        <w:rPr>
          <w:rFonts w:ascii="Times New Roman;serif" w:hAnsi="Times New Roman;serif"/>
          <w:b w:val="false"/>
          <w:color w:val="000000"/>
          <w:sz w:val="20"/>
        </w:rPr>
        <w:t xml:space="preserve">Investments in equity securities that do not have a readily determinable fair value and qualify for the measurement alternative for equity investments provided in ASC 321, </w:t>
      </w:r>
      <w:r>
        <w:rPr>
          <w:rFonts w:ascii="Times New Roman;serif" w:hAnsi="Times New Roman;serif"/>
          <w:b w:val="false"/>
          <w:i/>
          <w:color w:val="000000"/>
          <w:sz w:val="20"/>
        </w:rPr>
        <w:t xml:space="preserve">Investments – Equity Securities </w:t>
      </w:r>
      <w:r>
        <w:rPr>
          <w:rFonts w:ascii="Times New Roman;serif" w:hAnsi="Times New Roman;serif"/>
          <w:b w:val="false"/>
          <w:color w:val="000000"/>
          <w:sz w:val="20"/>
        </w:rPr>
        <w:t xml:space="preserve">are accounted for at cost, less any impairment, plus or minus changes resulting from observable price changes in orderly transactions for an identical or similar investment of the same issuer. As of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the carrying value of the Company’s investments in equity securities without a readily determinable fair value were $0.0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performs a qualitative assessment at each reporting date to evaluate whether the investments in equity securities are impaired. When a qualitative assessment indicates that an investment is impaired, the investment is written down to its fair value. These impairment charges are included in asset impairment charges in the accompanying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89"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pPr>
      <w:r>
        <w:rPr>
          <w:rFonts w:ascii="Times New Roman;serif" w:hAnsi="Times New Roman;serif"/>
          <w:b w:val="false"/>
          <w:color w:val="000000"/>
          <w:sz w:val="20"/>
        </w:rPr>
        <w:t xml:space="preserve">operations. No impairment charges related to investments in equity securities were recorded for the years ended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carried at cost, less accumulated depreciation, amortization and asset impairment charges, and consist of internally developed software, computer equipment, motor vehicle,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consolidated statements of operations. </w:t>
      </w:r>
    </w:p>
    <w:p>
      <w:pPr>
        <w:pStyle w:val="TextBody"/>
        <w:bidi w:val="0"/>
        <w:spacing w:lineRule="auto" w:line="288" w:before="120" w:after="120"/>
        <w:jc w:val="both"/>
        <w:rPr/>
      </w:pPr>
      <w:r>
        <w:rPr>
          <w:rFonts w:ascii="Times New Roman;serif" w:hAnsi="Times New Roman;serif"/>
          <w:b w:val="false"/>
          <w:color w:val="000000"/>
          <w:sz w:val="20"/>
        </w:rPr>
        <w:t xml:space="preserve">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years ended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Capitalized Software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website and internal-use software development costs are included in property and equipment in the accompanying consolidated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of December 31, 2025 and 2024, the Company has </w:t>
      </w:r>
      <w:r>
        <w:rPr>
          <w:rFonts w:ascii="Times New Roman;serif" w:hAnsi="Times New Roman;serif"/>
          <w:b w:val="false"/>
          <w:color w:val="000000"/>
          <w:sz w:val="20"/>
        </w:rPr>
        <w:t>$24.2 million</w:t>
      </w:r>
      <w:r>
        <w:rPr>
          <w:color w:val="000000"/>
          <w:shd w:fill="FFFFFF" w:val="clear"/>
        </w:rPr>
        <w:t xml:space="preserve"> </w:t>
      </w:r>
      <w:r>
        <w:rPr>
          <w:rFonts w:ascii="Times New Roman;serif" w:hAnsi="Times New Roman;serif"/>
          <w:b w:val="false"/>
          <w:color w:val="000000"/>
          <w:sz w:val="20"/>
          <w:shd w:fill="FFFFFF" w:val="clear"/>
        </w:rPr>
        <w:t xml:space="preserve">and $23.1 million in capitalized software costs, net, </w:t>
      </w:r>
      <w:r>
        <w:rPr>
          <w:rFonts w:ascii="Times New Roman;serif" w:hAnsi="Times New Roman;serif"/>
          <w:b w:val="false"/>
          <w:color w:val="000000"/>
          <w:sz w:val="20"/>
        </w:rPr>
        <w:t xml:space="preserve">respectively which are recorded within property and equipment, net on the Company’s consolidated balance sheets. </w:t>
      </w:r>
      <w:r>
        <w:rPr>
          <w:rFonts w:ascii="Times New Roman;serif" w:hAnsi="Times New Roman;serif"/>
          <w:b w:val="false"/>
          <w:color w:val="000000"/>
          <w:sz w:val="20"/>
          <w:shd w:fill="FFFFFF" w:val="clear"/>
        </w:rPr>
        <w:t xml:space="preserve">For the years ended December 31, 2025 and 2024, the Company capitalized </w:t>
      </w:r>
      <w:r>
        <w:rPr>
          <w:rFonts w:ascii="Times New Roman;serif" w:hAnsi="Times New Roman;serif"/>
          <w:b w:val="false"/>
          <w:color w:val="000000"/>
          <w:sz w:val="20"/>
        </w:rPr>
        <w:t>$13.6 million and</w:t>
      </w:r>
      <w:r>
        <w:rPr>
          <w:color w:val="000000"/>
          <w:shd w:fill="FFFFFF" w:val="clear"/>
        </w:rPr>
        <w:t xml:space="preserve"> </w:t>
      </w:r>
      <w:r>
        <w:rPr>
          <w:rFonts w:ascii="Times New Roman;serif" w:hAnsi="Times New Roman;serif"/>
          <w:b w:val="false"/>
          <w:color w:val="000000"/>
          <w:sz w:val="20"/>
          <w:shd w:fill="FFFFFF" w:val="clear"/>
        </w:rPr>
        <w:t>$11.6 million, respectively,</w:t>
      </w:r>
      <w:r>
        <w:rPr>
          <w:color w:val="000000"/>
        </w:rPr>
        <w:t xml:space="preserve"> </w:t>
      </w:r>
      <w:r>
        <w:rPr>
          <w:rFonts w:ascii="Times New Roman;serif" w:hAnsi="Times New Roman;serif"/>
          <w:b w:val="false"/>
          <w:color w:val="000000"/>
          <w:sz w:val="20"/>
          <w:shd w:fill="FFFFFF" w:val="clear"/>
        </w:rPr>
        <w:t xml:space="preserve">of costs related to the development of software applications. During the years ended December 31, 2025 and 2024, the Company amortized </w:t>
      </w:r>
      <w:r>
        <w:rPr>
          <w:rFonts w:ascii="Times New Roman;serif" w:hAnsi="Times New Roman;serif"/>
          <w:b w:val="false"/>
          <w:color w:val="000000"/>
          <w:sz w:val="20"/>
        </w:rPr>
        <w:t>$12.4 million</w:t>
      </w:r>
      <w:r>
        <w:rPr>
          <w:color w:val="000000"/>
          <w:shd w:fill="FFFFFF" w:val="clear"/>
        </w:rPr>
        <w:t xml:space="preserve"> </w:t>
      </w:r>
      <w:r>
        <w:rPr>
          <w:rFonts w:ascii="Times New Roman;serif" w:hAnsi="Times New Roman;serif"/>
          <w:b w:val="false"/>
          <w:color w:val="000000"/>
          <w:sz w:val="20"/>
          <w:shd w:fill="FFFFFF" w:val="clear"/>
        </w:rPr>
        <w:t>and $11.7 million, respectively, of internal-use software development costs to subscription and support cost of revenues.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the impairment review. If the carrying value of the reporting unit exceeds its fair value, an impairment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0"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equal to the difference will be recorded. The Company recorded goodwill impairment of $7.1 million for the year ended December 31, 2025. No goodwill impairment charges were recorded for the year ended December 31, 2024. See Note 8, “Goodwill and Intangible Assets,” to these consolidated financial statements for additional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did not have any impairment charges related to intangible assets for the years ended December 31, 2025 and 2024. See Note 8, “Goodwill and Intangible Assets,” to these consolidated financial statements for additional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operating leases consist of office space located primarily in the United States. The Company does not have any leases classified as financing leases. </w:t>
      </w:r>
      <w:r>
        <w:rPr>
          <w:rFonts w:ascii="Times New Roman;serif" w:hAnsi="Times New Roman;serif"/>
          <w:b w:val="false"/>
          <w:color w:val="000000"/>
          <w:sz w:val="20"/>
        </w:rPr>
        <w:t>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calculating the right-of-use asset and lease liability, the Company elects to combine lease and non-lease components for all classes of assets. The Company excludes short-term leases having initial terms of 12 months or less as provided under ASC 842, “Leases,” as an accounting policy election and instead recognizes rent expense on a straight-line basis over the lease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The impairment charges of ROU assets are included in asset impairment charges in the consolidated statements of operations. See Note 5, “Leases,” to these consolidated financial statements for additional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Warrant Liability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2025,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1"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pPr>
      <w:r>
        <w:rPr>
          <w:rFonts w:ascii="Times New Roman;serif" w:hAnsi="Times New Roman;serif"/>
          <w:b w:val="false"/>
          <w:color w:val="000000"/>
          <w:sz w:val="20"/>
        </w:rPr>
        <w:t>The Company evaluated the Warrants under ASC 815-40</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i/>
          <w:color w:val="000000"/>
          <w:sz w:val="20"/>
        </w:rPr>
        <w:t>Derivatives and Hedging - Contracts in Entity’s Own Equity</w:t>
      </w:r>
      <w:r>
        <w:rPr>
          <w:rFonts w:ascii="Times New Roman;serif" w:hAnsi="Times New Roman;serif"/>
          <w:b w:val="false"/>
          <w:color w:val="000000"/>
          <w:sz w:val="20"/>
        </w:rPr>
        <w:t>, and concluded they do not meet the criteria to be classified in stockholders’ equity. Specifically, the exercise of the Warrants may be settled in cash upon the occurrence of a tender offer or exchange that involves 50% or more of the Company’s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11, “Warrant Liability,” to these consolidated financial statements for additional information.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entered into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15, “Income Taxes,” to these consolidated financial statements for additional information.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both"/>
        <w:rPr/>
      </w:pPr>
      <w:r>
        <w:rPr>
          <w:rFonts w:ascii="Times New Roman;serif" w:hAnsi="Times New Roman;serif"/>
          <w:b w:val="false"/>
          <w:color w:val="000000"/>
          <w:sz w:val="20"/>
        </w:rPr>
        <w:t>The Company recognizes revenue when the fundamental criteria for revenue recognition are met. In accord</w:t>
      </w:r>
      <w:r>
        <w:rPr>
          <w:rFonts w:ascii="Times New Roman;serif" w:hAnsi="Times New Roman;serif"/>
          <w:b w:val="false"/>
          <w:color w:val="000000"/>
          <w:sz w:val="20"/>
          <w:shd w:fill="FFFFFF" w:val="clear"/>
        </w:rPr>
        <w:t xml:space="preserve">ance with ASC Topic 606, </w:t>
      </w:r>
      <w:r>
        <w:rPr>
          <w:color w:val="000000"/>
          <w:shd w:fill="FFFFFF" w:val="clear"/>
        </w:rPr>
        <w:t>“</w:t>
      </w:r>
      <w:r>
        <w:rPr>
          <w:rFonts w:ascii="Times New Roman;serif" w:hAnsi="Times New Roman;serif"/>
          <w:b w:val="false"/>
          <w:i/>
          <w:color w:val="000000"/>
          <w:sz w:val="20"/>
          <w:shd w:fill="FFFFFF" w:val="clear"/>
        </w:rPr>
        <w:t>Revenue from Contracts with Customers,</w:t>
      </w:r>
      <w:r>
        <w:rPr>
          <w:color w:val="000000"/>
          <w:shd w:fill="FFFFFF" w:val="clear"/>
        </w:rPr>
        <w:t xml:space="preserve">”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w:t>
      </w:r>
      <w:r>
        <w:rPr>
          <w:rFonts w:ascii="Times New Roman;serif" w:hAnsi="Times New Roman;serif"/>
          <w:b w:val="false"/>
          <w:color w:val="000000"/>
          <w:sz w:val="20"/>
          <w:shd w:fill="FFFFFF" w:val="clear"/>
        </w:rPr>
        <w:t xml:space="preserve">.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the Company’s Together for Equity Access and Legislation program, through which the Company provides free software, advertising, educational materials and training programs to applicants or licenses under social equity licensing programs. The Company provides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the Company on the applicable state’s website. For the years ended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total transaction price adjustments issued w</w:t>
      </w:r>
      <w:r>
        <w:rPr>
          <w:rFonts w:ascii="Times New Roman;serif" w:hAnsi="Times New Roman;serif"/>
          <w:b w:val="false"/>
          <w:color w:val="000000"/>
          <w:sz w:val="20"/>
        </w:rPr>
        <w:t>as $7.9 million and</w:t>
      </w:r>
      <w:r>
        <w:rPr>
          <w:color w:val="000000"/>
          <w:shd w:fill="FFFFFF" w:val="clear"/>
        </w:rPr>
        <w:t xml:space="preserve"> </w:t>
      </w:r>
      <w:r>
        <w:rPr>
          <w:rFonts w:ascii="Times New Roman;serif" w:hAnsi="Times New Roman;serif"/>
          <w:b w:val="false"/>
          <w:color w:val="000000"/>
          <w:sz w:val="20"/>
          <w:shd w:fill="FFFFFF" w:val="clear"/>
        </w:rPr>
        <w:t>$5.5 million, respectively. For</w:t>
      </w:r>
      <w:r>
        <w:rPr>
          <w:color w:val="000000"/>
        </w:rPr>
        <w:t xml:space="preserve"> </w:t>
      </w:r>
      <w:r>
        <w:rPr>
          <w:rFonts w:ascii="Times New Roman;serif" w:hAnsi="Times New Roman;serif"/>
          <w:b w:val="false"/>
          <w:color w:val="000000"/>
          <w:sz w:val="20"/>
        </w:rPr>
        <w:t>clients that pay in advance for listing and other services, the Company records deferred revenue and recognizes revenue over the applicable subscription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are derived primarily from monthly subscriptions to Weedmaps for Business, Featured Listing and WM Deal products and other WM Ad solutions. The Company’s Weedmaps for Business subscriptions generally have one-month terms that automatically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2"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pPr>
      <w:r>
        <w:rPr>
          <w:rFonts w:ascii="Times New Roman;serif" w:hAnsi="Times New Roman;serif"/>
          <w:b w:val="false"/>
          <w:color w:val="000000"/>
          <w:sz w:val="20"/>
          <w:shd w:fill="FFFFFF" w:val="clear"/>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w:t>
      </w:r>
      <w:r>
        <w:rPr>
          <w:rFonts w:ascii="Times New Roman;serif" w:hAnsi="Times New Roman;serif"/>
          <w:b w:val="false"/>
          <w:color w:val="000000"/>
          <w:sz w:val="20"/>
        </w:rPr>
        <w:t>e Note 3, “Revenue from Contracts with Customers,” to these consolidated financial statements for additional information.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Cost of Revenues (Exclusive of Depreciation and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cost of revenue primarily consists of web hosting, internet service costs, credit card processing costs and other third party services.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expenses the cost of advertising in the period incurred. Advertising expense totaled $10.4 million and $10.7 million for the years ended December 31, 2025 and 2024, respectively, and is included in sales and marketing expense in the accompanying consolidated statements of operations.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measures fair value of employee stock-based compensation awards on the date of grant and allocates the related expense over the requisite service period. The fair value of restricted stock units and performance-based restricted stock units without market conditions is equal to the market price of the Company’s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the Company records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such stock-based awards are recognized as they occur and the Company records compensation cost over the derived service period. See Note 13, “Stock-based Compensation,” to these consolidated financial statements for additional information.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Employee Benefit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2025 and 2024, the Company recognized $1.9 million and $1.7 million, respectively, of expenses related to employer contributions for the Company’s 401(k) plan.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change in fair value of warrant liability, TRA liability remeasurement, interest income and other tax related expenses.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3"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strategies and recent and expected future results of operation. See Note 15, “Income Taxes,” to these consolidated financial statements for additional information.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Earnings (Loss)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is computed by dividing net income (loss) attributable to WM Technology, Inc. by the weighted-average number of shares of Class A Common Stock outstanding during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14, “Earnings Per Share,” for additional information on dilutive securities.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2025 and December 31, 2024, the Company had cash balances that exceeded the deposit insurance limit with five financial institutions. The Company believes that the risk of loss is not significant and has not experienced any losses in such accounts.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Financial Accounting Standards Board (“FASB”) issued ASU 2023-09, </w:t>
      </w:r>
      <w:r>
        <w:rPr>
          <w:color w:val="000000"/>
        </w:rPr>
        <w:t>“</w:t>
      </w:r>
      <w:r>
        <w:rPr>
          <w:rFonts w:ascii="Times New Roman;serif" w:hAnsi="Times New Roman;serif"/>
          <w:b w:val="false"/>
          <w:i/>
          <w:color w:val="000000"/>
          <w:sz w:val="20"/>
        </w:rPr>
        <w:t>Income Taxes - Improvements to Income Tax Disclosures”</w:t>
      </w:r>
      <w:r>
        <w:rPr>
          <w:color w:val="000000"/>
        </w:rPr>
        <w:t xml:space="preserve"> </w:t>
      </w:r>
      <w:r>
        <w:rPr>
          <w:rFonts w:ascii="Times New Roman;serif" w:hAnsi="Times New Roman;serif"/>
          <w:b w:val="false"/>
          <w:color w:val="000000"/>
          <w:sz w:val="20"/>
        </w:rPr>
        <w:t>requiring enhancements and further transparency to certain income tax disclosures, most notably the tax rate reconciliation and income taxes paid. This ASU is effective for annual reporting periods beginning after December 15, 2024 on a prospective basis and retrospective application is permitted. The Company adopted retrospectively this ASU as of December 31, 2025. See Note 15, “Income Taxes,” to these consolidated financial statements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reviewed other accounting pronouncements that became effective for the year ended December 31, 2025 and determined that either they were not applicable, or they did not have a material impact on the consolidated financial statements.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requiring additional disaggregated disclosures in the notes to financial statements for certain categories of expenses that are included on the face of the statement of income. This ASU is effective for annual reporting periods beginning after December 15, 2026 and interim reporting periods beginning after December 15, 2027. The Company is currently evaluating the impact of the adoption of this standard.</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color w:val="000000"/>
        </w:rPr>
        <w:t>“</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amends the guidance in ASC 350-40, Intangibles-Goodwill and Other-Internal-Use Software. The amendments modernize the recognition and disclosure framework for internal-use software costs, removing the previous “development stage” model and introducing a more judgment-based approach. This ASU is effective for annual reporting periods beginning after December 15, 2027, and interim reporting period within those annual reporting periods. The Company is currently evaluating the impact of the adoption of this standard.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reviewed other recently issued accounting pronouncements to be adopted in future periods and determined that they are not expected to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3.    Revenue from Contracts with Customers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a monthly subscription offering to retailer and brand clients as well as upsell and add-on offerings to licensed clients. The Company’s current Weedmaps for Business monthly subscription package includes: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WM Listings: A listing page with product menu for a retailer or brand on the Weedmaps marketplace, enabling the Company’s clients to be discovered by the marketplace’s users. This also allows clients to disclose their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4"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information, hours of operation, contact information, discount policies and other information that may be required under applicable state law.</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offers other add-on products for additional fees,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Featured Listings: Premium placement ad solutions on high visibility locations on the Weedmaps marketplace (desktop and mobile) to amplify the Company’s clients’ businesses and maximize clients’ listings and deal presence.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Other ads solutions: Includes banner ads and promotion tiles on the Company’s marketplace as well as banner ads that can be tied to keyword searches. These products provide clients with targeted ad solutions in highly visible slots across the Company’s digital surfaces.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TextBody"/>
        <w:bidi w:val="0"/>
        <w:spacing w:lineRule="auto" w:line="288" w:before="120" w:after="180"/>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disaggregated revenue information (in thousands):</w:t>
      </w:r>
    </w:p>
    <w:tbl>
      <w:tblPr>
        <w:tblW w:w="6743" w:type="dxa"/>
        <w:jc w:val="left"/>
        <w:tblInd w:w="0" w:type="dxa"/>
        <w:tblLayout w:type="fixed"/>
        <w:tblCellMar>
          <w:top w:w="28" w:type="dxa"/>
          <w:left w:w="28" w:type="dxa"/>
          <w:bottom w:w="28" w:type="dxa"/>
          <w:right w:w="28" w:type="dxa"/>
        </w:tblCellMar>
      </w:tblPr>
      <w:tblGrid>
        <w:gridCol w:w="1477"/>
        <w:gridCol w:w="1297"/>
        <w:gridCol w:w="1305"/>
        <w:gridCol w:w="211"/>
        <w:gridCol w:w="826"/>
        <w:gridCol w:w="109"/>
        <w:gridCol w:w="109"/>
        <w:gridCol w:w="109"/>
        <w:gridCol w:w="109"/>
        <w:gridCol w:w="211"/>
        <w:gridCol w:w="82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Featured and deal listings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Weedmaps for Business and other SaaS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ad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w:t>
            </w:r>
            <w:r>
              <w:rPr>
                <w:rFonts w:ascii="Times New Roman;serif" w:hAnsi="Times New Roman;serif"/>
                <w:b w:val="false"/>
                <w:color w:val="000000"/>
                <w:sz w:val="13"/>
              </w:rPr>
              <w:t>1</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5"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pPr>
      <w:r>
        <w:rPr>
          <w:rFonts w:ascii="Times New Roman;serif" w:hAnsi="Times New Roman;serif"/>
          <w:b w:val="false"/>
          <w:color w:val="000000"/>
          <w:sz w:val="12"/>
          <w:shd w:fill="FFFFFF" w:val="clear"/>
        </w:rPr>
        <w:t xml:space="preserve">1 </w:t>
      </w:r>
      <w:r>
        <w:rPr>
          <w:rFonts w:ascii="Times New Roman;serif" w:hAnsi="Times New Roman;serif"/>
          <w:b w:val="false"/>
          <w:color w:val="000000"/>
          <w:sz w:val="18"/>
          <w:shd w:fill="FFFFFF" w:val="clear"/>
        </w:rPr>
        <w:t>Revenues include transaction price adjustments of $7.9 million in 2025 and $5.5 million in 2024.</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deferred revenue balance as of December 31, 2025, 2024 and 2023 were $5.5 million, $5.4 million and $5.9 million, respectively. Deferred revenue primarily consists of billings or payments received in advance of revenue recognition from subscription offerings, as described above, and is recognized as the revenue recognition criteria are met, typically on a monthly basis. The Company generally invoices customers in advance on a monthly basis and performance obligations are satisfied over the next month. During 2025, the Company recorded additions to deferred revenue of $161.7 million and reductions to deferred revenue related to performance obligations satisfied during the period of $161.6 million. During 2024, the Company recorded additions to deferred revenue of $169.4 million and reductions to deferred revenue related to performance obligations satisfied during the period of $169.9 million. </w:t>
      </w:r>
    </w:p>
    <w:p>
      <w:pPr>
        <w:pStyle w:val="TextBody"/>
        <w:bidi w:val="0"/>
        <w:spacing w:lineRule="auto" w:line="288" w:before="120" w:after="283"/>
        <w:jc w:val="both"/>
        <w:rPr/>
      </w:pPr>
      <w:r>
        <w:rPr>
          <w:rFonts w:ascii="Times New Roman;serif" w:hAnsi="Times New Roman;serif"/>
          <w:b w:val="false"/>
          <w:color w:val="000000"/>
          <w:sz w:val="20"/>
        </w:rPr>
        <w:t xml:space="preserve">Advance payments from customers do not include significant financing components or </w:t>
      </w:r>
      <w:r>
        <w:rPr>
          <w:rFonts w:ascii="Times New Roman;serif" w:hAnsi="Times New Roman;serif"/>
          <w:b w:val="false"/>
          <w:color w:val="000000"/>
          <w:sz w:val="20"/>
          <w:shd w:fill="FFFFFF" w:val="clear"/>
        </w:rPr>
        <w:t>variable consideration and</w:t>
      </w:r>
      <w:r>
        <w:rPr>
          <w:color w:val="000000"/>
        </w:rPr>
        <w:t xml:space="preserve"> </w:t>
      </w:r>
      <w:r>
        <w:rPr>
          <w:rFonts w:ascii="Times New Roman;serif" w:hAnsi="Times New Roman;serif"/>
          <w:b w:val="false"/>
          <w:color w:val="000000"/>
          <w:sz w:val="20"/>
        </w:rPr>
        <w:t>there are generally no rights of return or refunds after the subscription period has passed.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 has been generated in the United States for the years ended December 31, 2025 and 2024. For the year ended December 31, 2025, approximately 56% of the Company’s revenue originated in California compared with 53%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4.     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its product offerings as similar, in close proximity, and have aggregated them into one reportable segment, which constitutes consolidated results. Revenue from customers is derived principally from monthly subscription packages and other add-on products. The Company’s chief operating decision maker (the “CODM”) is the Chief Executive Officer. The Company’s CODM reviews financial information on a consolidated basis for purposes of allocating resources and assessing financial performance, as well as for making strategic operational decisions and managing the organization. Revenue is used to monitor budget versus actual results in an effort to refine forecasts, control costs, and pricing strategies. The accounting policies for the segment are the same as those described in Note 2, “Summary of Significant Accounting Policies.”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 The majority of the Company’s revenue and total assets are within the United States. The CODM evaluates company-wide performance based on multiple performance measures (both GAAP and Non-GAAP measures), including, but not limited net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calculation of net income, which is the performance measure that is most consistent with GAAP, and the significant operating expenses included in this performance measure (in thousands):</w:t>
      </w:r>
    </w:p>
    <w:tbl>
      <w:tblPr>
        <w:tblW w:w="6959" w:type="dxa"/>
        <w:jc w:val="left"/>
        <w:tblInd w:w="0" w:type="dxa"/>
        <w:tblLayout w:type="fixed"/>
        <w:tblCellMar>
          <w:top w:w="28" w:type="dxa"/>
          <w:left w:w="28" w:type="dxa"/>
          <w:bottom w:w="28" w:type="dxa"/>
          <w:right w:w="28" w:type="dxa"/>
        </w:tblCellMar>
      </w:tblPr>
      <w:tblGrid>
        <w:gridCol w:w="1360"/>
        <w:gridCol w:w="1191"/>
        <w:gridCol w:w="1199"/>
        <w:gridCol w:w="211"/>
        <w:gridCol w:w="826"/>
        <w:gridCol w:w="109"/>
        <w:gridCol w:w="109"/>
        <w:gridCol w:w="109"/>
        <w:gridCol w:w="109"/>
        <w:gridCol w:w="211"/>
        <w:gridCol w:w="826"/>
        <w:gridCol w:w="109"/>
        <w:gridCol w:w="109"/>
        <w:gridCol w:w="109"/>
        <w:gridCol w:w="109"/>
        <w:gridCol w:w="109"/>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non-operating expense (income), net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change in fair value of warrant liability, change in TRA liability and other non-operating income and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reconciling items or adjustments between segment revenues, net income, total assets and consolidated revenues, net income, and total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6"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5.    Leases</w:t>
      </w:r>
    </w:p>
    <w:p>
      <w:pPr>
        <w:pStyle w:val="TextBody"/>
        <w:bidi w:val="0"/>
        <w:spacing w:lineRule="auto" w:line="288" w:before="0" w:after="0"/>
        <w:jc w:val="both"/>
        <w:rPr/>
      </w:pPr>
      <w:r>
        <w:rPr>
          <w:rFonts w:ascii="Times New Roman;serif" w:hAnsi="Times New Roman;serif"/>
          <w:b w:val="false"/>
          <w:color w:val="000000"/>
          <w:sz w:val="20"/>
        </w:rPr>
        <w:t>The Company follows the guidance u</w:t>
      </w:r>
      <w:r>
        <w:rPr>
          <w:rFonts w:ascii="Times New Roman;serif" w:hAnsi="Times New Roman;serif"/>
          <w:b w:val="false"/>
          <w:color w:val="000000"/>
          <w:sz w:val="20"/>
          <w:shd w:fill="FFFFFF" w:val="clear"/>
        </w:rPr>
        <w:t xml:space="preserve">nder ASC 842, </w:t>
      </w:r>
      <w:r>
        <w:rPr>
          <w:color w:val="000000"/>
          <w:shd w:fill="FFFFFF" w:val="clear"/>
        </w:rPr>
        <w:t>“</w:t>
      </w:r>
      <w:r>
        <w:rPr>
          <w:rFonts w:ascii="Times New Roman;serif" w:hAnsi="Times New Roman;serif"/>
          <w:b w:val="false"/>
          <w:i/>
          <w:color w:val="000000"/>
          <w:sz w:val="20"/>
          <w:shd w:fill="FFFFFF" w:val="clear"/>
        </w:rPr>
        <w:t xml:space="preserve">Leases” </w:t>
      </w:r>
      <w:r>
        <w:rPr>
          <w:rFonts w:ascii="Times New Roman;serif" w:hAnsi="Times New Roman;serif"/>
          <w:b w:val="false"/>
          <w:color w:val="000000"/>
          <w:sz w:val="20"/>
          <w:shd w:fill="FFFFFF" w:val="clear"/>
        </w:rPr>
        <w:t>for its operating leases. The Company’s operating leases consist of office space located primarily in the United States. The Company does not have any leases classified as financing leases.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components of lease related costs, net for the years ended </w:t>
      </w:r>
      <w:r>
        <w:rPr>
          <w:rFonts w:ascii="Times New Roman;serif" w:hAnsi="Times New Roman;serif"/>
          <w:b w:val="false"/>
          <w:color w:val="000000"/>
          <w:sz w:val="20"/>
        </w:rPr>
        <w:t>December 31, 2025 and 2024</w:t>
      </w:r>
      <w:r>
        <w:rPr>
          <w:color w:val="000000"/>
          <w:shd w:fill="FFFFFF" w:val="clear"/>
        </w:rPr>
        <w:t xml:space="preserve"> </w:t>
      </w:r>
      <w:r>
        <w:rPr>
          <w:rFonts w:ascii="Times New Roman;serif" w:hAnsi="Times New Roman;serif"/>
          <w:b w:val="false"/>
          <w:color w:val="000000"/>
          <w:sz w:val="20"/>
          <w:shd w:fill="FFFFFF" w:val="clear"/>
        </w:rPr>
        <w:t>are as follows (in thousands):</w:t>
      </w:r>
    </w:p>
    <w:tbl>
      <w:tblPr>
        <w:tblW w:w="4815" w:type="dxa"/>
        <w:jc w:val="left"/>
        <w:tblInd w:w="0" w:type="dxa"/>
        <w:tblLayout w:type="fixed"/>
        <w:tblCellMar>
          <w:top w:w="28" w:type="dxa"/>
          <w:left w:w="28" w:type="dxa"/>
          <w:bottom w:w="28" w:type="dxa"/>
          <w:right w:w="28" w:type="dxa"/>
        </w:tblCellMar>
      </w:tblPr>
      <w:tblGrid>
        <w:gridCol w:w="651"/>
        <w:gridCol w:w="572"/>
        <w:gridCol w:w="576"/>
        <w:gridCol w:w="233"/>
        <w:gridCol w:w="680"/>
        <w:gridCol w:w="120"/>
        <w:gridCol w:w="120"/>
        <w:gridCol w:w="120"/>
        <w:gridCol w:w="120"/>
        <w:gridCol w:w="233"/>
        <w:gridCol w:w="680"/>
        <w:gridCol w:w="120"/>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N</w:t>
      </w:r>
      <w:r>
        <w:rPr>
          <w:rFonts w:ascii="Times New Roman;serif" w:hAnsi="Times New Roman;serif"/>
          <w:b w:val="false"/>
          <w:color w:val="000000"/>
          <w:sz w:val="20"/>
          <w:shd w:fill="FFFFFF" w:val="clear"/>
        </w:rPr>
        <w:t xml:space="preserve">et rent expense is included in general and administrative expense in the accompanying consolidated statements of operations. During the years ended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the Company made cash payments of $6.4 million and $9.0 million, respectively, on its operating leases, all of which were included in cash flows from operating activities within the consolidated statements of cash flows.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Sublease rental income is recognized as a reduction to the related lease expense on a straight-line basis over the sublease term. For the years ended </w:t>
      </w:r>
      <w:r>
        <w:rPr>
          <w:rFonts w:ascii="Times New Roman;serif" w:hAnsi="Times New Roman;serif"/>
          <w:b w:val="false"/>
          <w:color w:val="000000"/>
          <w:sz w:val="20"/>
        </w:rPr>
        <w:t xml:space="preserve">December 31, 2025 and 2024, the Company recorded rent income related to a sublease of $0.9 million and $1.3 million, respectively. The sublease income for the year ended December 31, 2024 was related to </w:t>
      </w:r>
      <w:r>
        <w:rPr>
          <w:rFonts w:ascii="Times New Roman;serif" w:hAnsi="Times New Roman;serif"/>
          <w:b w:val="false"/>
          <w:color w:val="000000"/>
          <w:sz w:val="20"/>
          <w:shd w:fill="FFFFFF" w:val="clear"/>
        </w:rPr>
        <w:t xml:space="preserve">a sublease agreement with an affiliate of the Chief Executive Officer. </w:t>
      </w:r>
      <w:r>
        <w:rPr>
          <w:rFonts w:ascii="Times New Roman;serif" w:hAnsi="Times New Roman;serif"/>
          <w:b w:val="false"/>
          <w:color w:val="000000"/>
          <w:sz w:val="20"/>
        </w:rPr>
        <w:t>See Note 16, “Related Party Transactions,” to these consolidated financial statements for additional information.</w:t>
      </w:r>
    </w:p>
    <w:p>
      <w:pPr>
        <w:pStyle w:val="TextBody"/>
        <w:bidi w:val="0"/>
        <w:spacing w:lineRule="auto" w:line="288" w:before="120" w:after="12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s of December 31, 2025, future minimum payments for the next five years and thereafter are as follows (in thousands):</w:t>
      </w:r>
    </w:p>
    <w:tbl>
      <w:tblPr>
        <w:tblW w:w="3455" w:type="dxa"/>
        <w:jc w:val="left"/>
        <w:tblInd w:w="0" w:type="dxa"/>
        <w:tblLayout w:type="fixed"/>
        <w:tblCellMar>
          <w:top w:w="28" w:type="dxa"/>
          <w:left w:w="28" w:type="dxa"/>
          <w:bottom w:w="28" w:type="dxa"/>
          <w:right w:w="28" w:type="dxa"/>
        </w:tblCellMar>
      </w:tblPr>
      <w:tblGrid>
        <w:gridCol w:w="858"/>
        <w:gridCol w:w="753"/>
        <w:gridCol w:w="758"/>
        <w:gridCol w:w="211"/>
        <w:gridCol w:w="72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br/>
              <w:t>Leases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shd w:fill="FFFFFF" w:val="clear"/>
        </w:rPr>
        <w:t>As of December 31, 2025 and</w:t>
      </w:r>
      <w:r>
        <w:rPr>
          <w:color w:val="000000"/>
        </w:rPr>
        <w:t xml:space="preserve">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Company’s operating leases had a weighted average remaining lease term of 5.0 years and 6.0 years and a weighted-average discount rate of 9.98% and </w:t>
      </w:r>
      <w:r>
        <w:rPr>
          <w:rFonts w:ascii="Times New Roman;serif" w:hAnsi="Times New Roman;serif"/>
          <w:b w:val="false"/>
          <w:color w:val="000000"/>
          <w:sz w:val="20"/>
        </w:rPr>
        <w:t>9.98%, respectively</w:t>
      </w:r>
      <w:r>
        <w:rPr>
          <w:rFonts w:ascii="Times New Roman;serif" w:hAnsi="Times New Roman;serif"/>
          <w:b w:val="false"/>
          <w:color w:val="000000"/>
          <w:sz w:val="20"/>
          <w:shd w:fill="FFFFFF" w:val="clear"/>
        </w:rPr>
        <w:t>.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ROU assets were estimated using an income approach based on management’s forecast of future cash flows expected to be derived based on the sublease market rent. First, the Company tests the asset group for recoverability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7"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pStyle w:val="TextBody"/>
        <w:bidi w:val="0"/>
        <w:spacing w:lineRule="auto" w:line="288" w:before="120" w:after="120"/>
        <w:jc w:val="both"/>
        <w:rPr/>
      </w:pPr>
      <w:r>
        <w:rPr>
          <w:rFonts w:ascii="Times New Roman;serif" w:hAnsi="Times New Roman;serif"/>
          <w:b w:val="false"/>
          <w:color w:val="000000"/>
          <w:sz w:val="20"/>
        </w:rPr>
        <w:t xml:space="preserve">The Company did not have any ROU asset impairment charges for the years ended December 31, 2025 and 2024. </w:t>
      </w:r>
      <w:r>
        <w:rPr>
          <w:rFonts w:ascii="Times New Roman;serif" w:hAnsi="Times New Roman;serif"/>
          <w:b w:val="false"/>
          <w:color w:val="000000"/>
          <w:sz w:val="20"/>
          <w:shd w:fill="FFFFFF" w:val="clear"/>
        </w:rPr>
        <w:t>The ROU impairment charges are included in asset impairment charges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$3.0 million and the related non-cash ROU asset of $3.0 million. The lease classification remained as an operating lease. The Company also paid $0.1 million to terminate a lease agreement for one of the offices. In conjunction with the early lease termination, the Company reported a gain of $0.1 million which is recognized as a reduction to the related lease expense. The Company also de-recognized the remaining ROU asset of $0.2 million and a lease liability of $0.4 million on the consolidated balance sheet related to early lease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6.    Commitments and Contingencies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October 17, 2024, a putative shareholder class action complaint, captioned </w:t>
      </w:r>
      <w:r>
        <w:rPr>
          <w:rFonts w:ascii="Times New Roman;serif" w:hAnsi="Times New Roman;serif"/>
          <w:b w:val="false"/>
          <w:i/>
          <w:color w:val="000000"/>
          <w:sz w:val="20"/>
        </w:rPr>
        <w:t>Seret Ishak v. WM Technology, Inc. et al</w:t>
      </w:r>
      <w:r>
        <w:rPr>
          <w:rFonts w:ascii="Times New Roman;serif" w:hAnsi="Times New Roman;serif"/>
          <w:b w:val="false"/>
          <w:color w:val="000000"/>
          <w:sz w:val="20"/>
          <w:shd w:fill="FFFFFF" w:val="clear"/>
        </w:rPr>
        <w:t xml:space="preserve">., Case No. 2:24-cv-08959 (the “Securities Class Action”), was filed in the U.S. District Court for the Central District of California, naming the Company and certain former and current officers and/or directors of the Company and Silver Spike as defendants. The lawsuit alleges that the Company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the Company’s securities between May 25, 2021, and September 24, 2024, inclusive, and seeks unspecified monetary damages on behalf of the putative class and an award of costs and expenses, including attorneys’ fees. On May 12, 2025, the plaintiffs filed an amended class action complaint. On July 11, 2025, the defendants moved to dismiss the plaintiffs’ amended class action complaint. </w:t>
      </w:r>
      <w:r>
        <w:rPr>
          <w:rFonts w:ascii="Times New Roman;serif" w:hAnsi="Times New Roman;serif"/>
          <w:b w:val="false"/>
          <w:color w:val="000000"/>
          <w:sz w:val="20"/>
        </w:rPr>
        <w:t xml:space="preserve">On February 12, 2026, the parties filed a notice of settlement stating that they had reached an agreement in principle to fully settle all pending claims in the action and requesting the court to not rule on the pending motions to dismiss as they were now moot. On February 13, 2026, the court denied as moot the motions to dismiss and ordered lead plaintiff to file a motion for preliminary approval of the settlement by April 13, 2026. </w:t>
      </w:r>
      <w:r>
        <w:rPr>
          <w:rFonts w:ascii="Times New Roman;serif" w:hAnsi="Times New Roman;serif"/>
          <w:b w:val="false"/>
          <w:color w:val="000000"/>
          <w:sz w:val="20"/>
          <w:shd w:fill="FFFFFF" w:val="clear"/>
        </w:rPr>
        <w:t xml:space="preserve">The settlement remains subject to approval by the court and certain other conditions and contingencies out of our control. There can be no guarantee that all of these conditions and contingencies will occur. Should a material condition or contingency to the settlement fail to occur, one or both of the parties to the settlement may exercise their right to terminate the settlement agreement. The Company recorded an accrued liability of $2.8 million related to this preliminary settlement agreement, representing management's reasonable estimate of its settlement obligation. This liability is included in accounts payable and accrued expenses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 the consolidated balance sheets, with the corresponding expense recognized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rPr>
        <w:t>in general and administrative expense in the consolidated statement of operations</w:t>
      </w:r>
      <w:r>
        <w:rPr>
          <w:rFonts w:ascii="Times New Roman;serif" w:hAnsi="Times New Roman;serif"/>
          <w:b w:val="false"/>
          <w:color w:val="000000"/>
          <w:sz w:val="20"/>
          <w:shd w:fill="FFFFFF" w:val="clear"/>
        </w:rPr>
        <w:t>.</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November 8, 2024, a shareholder derivative action, captioned </w:t>
      </w:r>
      <w:r>
        <w:rPr>
          <w:rFonts w:ascii="Times New Roman;serif" w:hAnsi="Times New Roman;serif"/>
          <w:b w:val="false"/>
          <w:i/>
          <w:color w:val="000000"/>
          <w:sz w:val="20"/>
          <w:shd w:fill="FFFFFF" w:val="clear"/>
        </w:rPr>
        <w:t>DeGennaro v. Francis, et. al</w:t>
      </w:r>
      <w:r>
        <w:rPr>
          <w:rFonts w:ascii="Times New Roman;serif" w:hAnsi="Times New Roman;serif"/>
          <w:b w:val="false"/>
          <w:color w:val="000000"/>
          <w:sz w:val="20"/>
          <w:shd w:fill="FFFFFF" w:val="clear"/>
        </w:rPr>
        <w:t xml:space="preserve">, Case No. 8:24-cv-02454 (the “DeGennaro Action”), was filed in the U.S. District Court for the Central District of California against certain members of the Company’s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8"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restitution, corporate governance reforms, declaratory relief, and an award of costs and expenses to the derivative plaintiff, including attorneys’ fees.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Further, on November 18, 2024, a shareholder derivative action, captioned </w:t>
      </w:r>
      <w:r>
        <w:rPr>
          <w:rFonts w:ascii="Times New Roman;serif" w:hAnsi="Times New Roman;serif"/>
          <w:b w:val="false"/>
          <w:i/>
          <w:color w:val="000000"/>
          <w:sz w:val="20"/>
          <w:shd w:fill="FFFFFF" w:val="clear"/>
        </w:rPr>
        <w:t>Pearson v. Francis, et. al</w:t>
      </w:r>
      <w:r>
        <w:rPr>
          <w:rFonts w:ascii="Times New Roman;serif" w:hAnsi="Times New Roman;serif"/>
          <w:b w:val="false"/>
          <w:color w:val="000000"/>
          <w:sz w:val="20"/>
          <w:shd w:fill="FFFFFF" w:val="clear"/>
        </w:rPr>
        <w:t xml:space="preserve">, Case No. 8:24-cv-02525 (the “Pearson Action”), was filed in the U.S. District Court for the Central District of California against certain former and current members of the Company’s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 14(a) of the Exchange Act and Rule 14a-9 promulgated thereunder, as well as claims for breach of fiduciary duty, unjust enrichment, abuse of control, gross mismanagement, waste of corporate assets, and contribution under Sections 10(b) and 21D of the Exchange Act. The derivative complaint seeks unspecified damages on behalf of the Company, restitution, corporate governance reforms, declaratory relief, and an award of costs and expenses to the derivative plaintiff, including attorneys’ fees. On December 10, 2024, the U.S. District Court of the Central District of California issued an order consolidating the DeGennaro Action and the Pearson Action (the “Consolidated Derivative Action”). On October 3, 2025, the court granted the parties’ joint stipulation to stay the Consolidated Derivative Action until resolution of the motions to dismiss the Securities Class Action discussed above. </w:t>
      </w:r>
      <w:r>
        <w:rPr>
          <w:rFonts w:ascii="Times New Roman;serif" w:hAnsi="Times New Roman;serif"/>
          <w:b w:val="false"/>
          <w:color w:val="000000"/>
          <w:sz w:val="20"/>
        </w:rPr>
        <w:t xml:space="preserve">On February 17, 2026, in light of the notice of settlement in the Securities Class Action and the denial of the motions to dismiss as moot, the court ordered the parties to show cause regarding the continued stay of the Consolidated Derivative Action. On February 25, 2026, the court extended the stay to April 10, 2026 to provide the parties additional time to discuss a potential resolution to the </w:t>
      </w:r>
      <w:r>
        <w:rPr>
          <w:rFonts w:ascii="Times New Roman;serif" w:hAnsi="Times New Roman;serif"/>
          <w:b w:val="false"/>
          <w:color w:val="000000"/>
          <w:sz w:val="20"/>
          <w:shd w:fill="FFFFFF" w:val="clear"/>
        </w:rPr>
        <w:t>Consolidated Derivative Action</w:t>
      </w:r>
      <w:r>
        <w:rPr>
          <w:rFonts w:ascii="Times New Roman;serif" w:hAnsi="Times New Roman;serif"/>
          <w:b w:val="false"/>
          <w:color w:val="000000"/>
          <w:sz w:val="20"/>
        </w:rPr>
        <w:t xml:space="preserve">, pursuant to a court-entered stipulation by the parties. </w:t>
      </w:r>
      <w:r>
        <w:rPr>
          <w:rFonts w:ascii="Times New Roman;serif" w:hAnsi="Times New Roman;serif"/>
          <w:b w:val="false"/>
          <w:color w:val="000000"/>
          <w:sz w:val="20"/>
          <w:shd w:fill="FFFFFF" w:val="clear"/>
        </w:rPr>
        <w:t>At this early stage of the proceedings, the Company is unable to make any prediction regarding the outcome of the litigation.</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 Matter</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purchase obligations consist of agreements to purchase goods and services entered into in the ordinary course of business. The Company has non-cancelable purchase obligation agreements primarily relating to contracts with vendors in connection with Information Technology (“IT”) infrastructure and cloud computing services. </w:t>
      </w:r>
    </w:p>
    <w:p>
      <w:pPr>
        <w:pStyle w:val="TextBody"/>
        <w:bidi w:val="0"/>
        <w:spacing w:lineRule="auto" w:line="288" w:before="120" w:after="120"/>
        <w:jc w:val="both"/>
        <w:rPr/>
      </w:pPr>
      <w:r>
        <w:rPr>
          <w:rFonts w:ascii="Times New Roman;serif" w:hAnsi="Times New Roman;serif"/>
          <w:b w:val="false"/>
          <w:color w:val="000000"/>
          <w:sz w:val="20"/>
        </w:rPr>
        <w:t xml:space="preserve">The Company has minimum outstanding purchase obligations of $7.5 million in 2026 due under software license agreement related to the remaining period of the three-year AWS Enterprise agreement. </w:t>
      </w:r>
      <w:r>
        <w:rPr>
          <w:rFonts w:ascii="Times New Roman;serif" w:hAnsi="Times New Roman;serif"/>
          <w:b w:val="false"/>
          <w:color w:val="000000"/>
          <w:sz w:val="20"/>
          <w:shd w:fill="FFFFFF" w:val="clear"/>
        </w:rPr>
        <w:t xml:space="preserve">The Company has an obligation to pay the shortfall if it does not meet the specified minimum purchase obligations. During the year ended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the Company performed a review of its cloud infrastructure strategy prompted by a downward revision in forecasted server cost spend for the full fiscal year 2025 and 2026. The lower spend identified was attributable to server management optimization and efficiencies implemented during 2024 and 2025 and discounts received on prepayments under the AWS agreement.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99"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revised forecast, the Company identified a probable shortfall in the minimum purchase obligation of approximately $2.3 million.</w:t>
      </w:r>
    </w:p>
    <w:p>
      <w:pPr>
        <w:pStyle w:val="TextBody"/>
        <w:bidi w:val="0"/>
        <w:spacing w:lineRule="auto" w:line="288" w:before="120" w:after="120"/>
        <w:jc w:val="both"/>
        <w:rPr/>
      </w:pPr>
      <w:r>
        <w:rPr>
          <w:rFonts w:ascii="Times New Roman;serif" w:hAnsi="Times New Roman;serif"/>
          <w:b w:val="false"/>
          <w:color w:val="000000"/>
          <w:sz w:val="20"/>
        </w:rPr>
        <w:t xml:space="preserve">Under ASC 450 –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the Company evaluated whether a loss contingency should be recognized for non-cancellable commitments that will not provide future economic benefits. The Company determined that the unused portion of the AWS minimum commitment obligation is not probable of being recovered through usage or other means, and as such </w:t>
      </w:r>
      <w:r>
        <w:rPr>
          <w:rFonts w:ascii="Times New Roman;serif" w:hAnsi="Times New Roman;serif"/>
          <w:b w:val="false"/>
          <w:color w:val="000000"/>
          <w:sz w:val="20"/>
          <w:shd w:fill="FFFFFF" w:val="clear"/>
        </w:rPr>
        <w:t xml:space="preserve">recorded a loss contingency of $2.3 million in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which is </w:t>
      </w:r>
      <w:r>
        <w:rPr>
          <w:rFonts w:ascii="Times New Roman;serif" w:hAnsi="Times New Roman;serif"/>
          <w:b w:val="false"/>
          <w:color w:val="000000"/>
          <w:sz w:val="20"/>
        </w:rPr>
        <w:t xml:space="preserve">included in general and administrative expense in the consolidated statement of operations. As of December 31, 2025, the Company recorded amounts due to AWS of </w:t>
      </w:r>
      <w:r>
        <w:rPr>
          <w:rFonts w:ascii="Times New Roman;serif" w:hAnsi="Times New Roman;serif"/>
          <w:b w:val="false"/>
          <w:color w:val="000000"/>
          <w:sz w:val="20"/>
          <w:shd w:fill="FFFFFF" w:val="clear"/>
        </w:rPr>
        <w:t>$2.3 million</w:t>
      </w:r>
      <w:r>
        <w:rPr>
          <w:color w:val="000000"/>
        </w:rPr>
        <w:t xml:space="preserve"> </w:t>
      </w:r>
      <w:r>
        <w:rPr>
          <w:rFonts w:ascii="Times New Roman;serif" w:hAnsi="Times New Roman;serif"/>
          <w:b w:val="false"/>
          <w:color w:val="000000"/>
          <w:sz w:val="20"/>
        </w:rPr>
        <w:t xml:space="preserve">which is included in accounts payable and accrued expenses in these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The Company follows the guidance in ASC 820 –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its financial assets and liabilities that are re-measured and reported at fair value at each reporting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3: Unobservable inputs based on the Company assessment of the assumptions that market participants would use in pricing the asset or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assets and liabilities that are measured at fair value on a recurring basis at December 31, 2025 and 2024, and indicates the fair value hierarchy of the valuation inputs the Company utilized to determine such fair value (in thousands):</w:t>
      </w:r>
    </w:p>
    <w:tbl>
      <w:tblPr>
        <w:tblW w:w="9162" w:type="dxa"/>
        <w:jc w:val="left"/>
        <w:tblInd w:w="0" w:type="dxa"/>
        <w:tblLayout w:type="fixed"/>
        <w:tblCellMar>
          <w:top w:w="28" w:type="dxa"/>
          <w:left w:w="28" w:type="dxa"/>
          <w:bottom w:w="28" w:type="dxa"/>
          <w:right w:w="28" w:type="dxa"/>
        </w:tblCellMar>
      </w:tblPr>
      <w:tblGrid>
        <w:gridCol w:w="1404"/>
        <w:gridCol w:w="1231"/>
        <w:gridCol w:w="1249"/>
        <w:gridCol w:w="109"/>
        <w:gridCol w:w="109"/>
        <w:gridCol w:w="109"/>
        <w:gridCol w:w="195"/>
        <w:gridCol w:w="195"/>
        <w:gridCol w:w="196"/>
        <w:gridCol w:w="109"/>
        <w:gridCol w:w="109"/>
        <w:gridCol w:w="109"/>
        <w:gridCol w:w="349"/>
        <w:gridCol w:w="1195"/>
        <w:gridCol w:w="180"/>
        <w:gridCol w:w="109"/>
        <w:gridCol w:w="109"/>
        <w:gridCol w:w="109"/>
        <w:gridCol w:w="461"/>
        <w:gridCol w:w="1021"/>
        <w:gridCol w:w="242"/>
        <w:gridCol w:w="109"/>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carrying amount of cash equivalents held in the Company’s investment account was equal to or approximated fair value due to their short-term nature and proximity to current market rates. Cash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0"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consist of cash and highly liquid investments that are readily convertible into cash and have original maturities of three months or less at the date of purchase.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Warrant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the fair value of the warrant liabilities (in thousands):</w:t>
      </w:r>
    </w:p>
    <w:tbl>
      <w:tblPr>
        <w:tblW w:w="10205" w:type="dxa"/>
        <w:jc w:val="left"/>
        <w:tblInd w:w="0" w:type="dxa"/>
        <w:tblLayout w:type="fixed"/>
        <w:tblCellMar>
          <w:top w:w="28" w:type="dxa"/>
          <w:left w:w="28" w:type="dxa"/>
          <w:bottom w:w="28" w:type="dxa"/>
          <w:right w:w="28" w:type="dxa"/>
        </w:tblCellMar>
      </w:tblPr>
      <w:tblGrid>
        <w:gridCol w:w="1423"/>
        <w:gridCol w:w="1220"/>
        <w:gridCol w:w="1231"/>
        <w:gridCol w:w="394"/>
        <w:gridCol w:w="874"/>
        <w:gridCol w:w="207"/>
        <w:gridCol w:w="109"/>
        <w:gridCol w:w="109"/>
        <w:gridCol w:w="109"/>
        <w:gridCol w:w="653"/>
        <w:gridCol w:w="1443"/>
        <w:gridCol w:w="339"/>
        <w:gridCol w:w="109"/>
        <w:gridCol w:w="109"/>
        <w:gridCol w:w="109"/>
        <w:gridCol w:w="447"/>
        <w:gridCol w:w="988"/>
        <w:gridCol w:w="332"/>
      </w:tblGrid>
      <w:tr>
        <w:trPr/>
        <w:tc>
          <w:tcPr>
            <w:tcW w:w="142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beginning of period</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or other assumptions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23"/>
        <w:gridCol w:w="1220"/>
        <w:gridCol w:w="1231"/>
        <w:gridCol w:w="394"/>
        <w:gridCol w:w="874"/>
        <w:gridCol w:w="207"/>
        <w:gridCol w:w="109"/>
        <w:gridCol w:w="109"/>
        <w:gridCol w:w="109"/>
        <w:gridCol w:w="653"/>
        <w:gridCol w:w="1443"/>
        <w:gridCol w:w="339"/>
        <w:gridCol w:w="109"/>
        <w:gridCol w:w="109"/>
        <w:gridCol w:w="109"/>
        <w:gridCol w:w="447"/>
        <w:gridCol w:w="988"/>
        <w:gridCol w:w="332"/>
      </w:tblGrid>
      <w:tr>
        <w:trPr/>
        <w:tc>
          <w:tcPr>
            <w:tcW w:w="142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r>
      <w:tr>
        <w:trPr/>
        <w:tc>
          <w:tcPr>
            <w:tcW w:w="3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beginning of period</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r>
      <w:tr>
        <w:trPr/>
        <w:tc>
          <w:tcPr>
            <w:tcW w:w="3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or other assumptions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Public Warrants, based on the publicly listed trading price of such warrants as of the valuation date. Accordingly, the Public Warrants are classified as Level 1 financial instruments. The fair value of the Public Warrants were $0.1 million and $0.4 million as of December 31, 2025 and 2024, respectively.</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Private Placement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quantitative information regarding Level 3 fair value measurements inputs at their measurement dates:</w:t>
      </w:r>
    </w:p>
    <w:tbl>
      <w:tblPr>
        <w:tblW w:w="5991" w:type="dxa"/>
        <w:jc w:val="left"/>
        <w:tblInd w:w="0" w:type="dxa"/>
        <w:tblLayout w:type="fixed"/>
        <w:tblCellMar>
          <w:top w:w="28" w:type="dxa"/>
          <w:left w:w="28" w:type="dxa"/>
          <w:bottom w:w="28" w:type="dxa"/>
          <w:right w:w="28" w:type="dxa"/>
        </w:tblCellMar>
      </w:tblPr>
      <w:tblGrid>
        <w:gridCol w:w="669"/>
        <w:gridCol w:w="587"/>
        <w:gridCol w:w="588"/>
        <w:gridCol w:w="109"/>
        <w:gridCol w:w="109"/>
        <w:gridCol w:w="109"/>
        <w:gridCol w:w="331"/>
        <w:gridCol w:w="968"/>
        <w:gridCol w:w="425"/>
        <w:gridCol w:w="109"/>
        <w:gridCol w:w="109"/>
        <w:gridCol w:w="109"/>
        <w:gridCol w:w="326"/>
        <w:gridCol w:w="954"/>
        <w:gridCol w:w="489"/>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Significant changes in the volatility would result in a significant lower or higher fair value measurement, respectively. The fair value of the Private Placement Warrants were $0.1 million and $0.2 million as of December 31, 2025 and 2024, respectively. There were no transfers in or out of Level 3 from other levels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8.     Goodwill and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1"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 in carrying amount of goodwill was as follows (in thousands):</w:t>
      </w:r>
    </w:p>
    <w:tbl>
      <w:tblPr>
        <w:tblW w:w="4007" w:type="dxa"/>
        <w:jc w:val="left"/>
        <w:tblInd w:w="0" w:type="dxa"/>
        <w:tblLayout w:type="fixed"/>
        <w:tblCellMar>
          <w:top w:w="28" w:type="dxa"/>
          <w:left w:w="28" w:type="dxa"/>
          <w:bottom w:w="28" w:type="dxa"/>
          <w:right w:w="28" w:type="dxa"/>
        </w:tblCellMar>
      </w:tblPr>
      <w:tblGrid>
        <w:gridCol w:w="940"/>
        <w:gridCol w:w="826"/>
        <w:gridCol w:w="828"/>
        <w:gridCol w:w="109"/>
        <w:gridCol w:w="109"/>
        <w:gridCol w:w="109"/>
        <w:gridCol w:w="211"/>
        <w:gridCol w:w="72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 Impairment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w:t>
      </w:r>
    </w:p>
    <w:p>
      <w:pPr>
        <w:pStyle w:val="TextBody"/>
        <w:bidi w:val="0"/>
        <w:spacing w:lineRule="auto" w:line="288" w:before="120" w:after="283"/>
        <w:jc w:val="both"/>
        <w:rPr/>
      </w:pPr>
      <w:r>
        <w:rPr>
          <w:rFonts w:ascii="Times New Roman;serif" w:hAnsi="Times New Roman;serif"/>
          <w:b w:val="false"/>
          <w:color w:val="000000"/>
          <w:sz w:val="20"/>
        </w:rPr>
        <w:t>For the year ended December 31, 2025, due to a decline in the market capitalization, the Company opted to bypass the qualitative assessment and performed a quantitative assessment to test goodwill for impairment.</w:t>
      </w:r>
      <w:r>
        <w:rPr>
          <w:color w:val="000000"/>
          <w:shd w:fill="FFFFFF" w:val="clear"/>
        </w:rPr>
        <w:t xml:space="preserve"> </w:t>
      </w:r>
      <w:r>
        <w:rPr>
          <w:rFonts w:ascii="Times New Roman;serif" w:hAnsi="Times New Roman;serif"/>
          <w:b w:val="false"/>
          <w:color w:val="000000"/>
          <w:sz w:val="20"/>
          <w:shd w:fill="FFFFFF" w:val="clear"/>
        </w:rPr>
        <w:t>As part of the impairment assessment, the fair value of the reporting unit is estimated using a discounted cash flow valuation which incorporates assumptions regarding long-term growth rates, rev</w:t>
      </w:r>
      <w:r>
        <w:rPr>
          <w:rFonts w:ascii="Times New Roman;serif" w:hAnsi="Times New Roman;serif"/>
          <w:b w:val="false"/>
          <w:color w:val="000000"/>
          <w:sz w:val="20"/>
        </w:rPr>
        <w:t xml:space="preserve">enue and earnings projections, estimation of cash flows, discount rates and other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results of this analysis, the Company determined that the carrying value of the reporting unit exceeded the fair value, and therefore the Company recorded a goodwill impairment charge of $7.1 million during the year ended December 31, 2025. If the Company’s forecasts of cash flows or other key inputs are negatively revised in the future, the estimated fair value of the reporting unit would be adversely impacted, potentially leading to an additional impairment in the future that could materially affect the Company’s operating results. No goodwill impairment charges were recorded for the year ended December 31, 2024.</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December 31, 2025 and 2024 (in thousands):</w:t>
      </w:r>
    </w:p>
    <w:tbl>
      <w:tblPr>
        <w:tblW w:w="10205" w:type="dxa"/>
        <w:jc w:val="left"/>
        <w:tblInd w:w="0" w:type="dxa"/>
        <w:tblLayout w:type="fixed"/>
        <w:tblCellMar>
          <w:top w:w="28" w:type="dxa"/>
          <w:left w:w="28" w:type="dxa"/>
          <w:bottom w:w="28" w:type="dxa"/>
          <w:right w:w="28" w:type="dxa"/>
        </w:tblCellMar>
      </w:tblPr>
      <w:tblGrid>
        <w:gridCol w:w="738"/>
        <w:gridCol w:w="462"/>
        <w:gridCol w:w="466"/>
        <w:gridCol w:w="109"/>
        <w:gridCol w:w="109"/>
        <w:gridCol w:w="109"/>
        <w:gridCol w:w="906"/>
        <w:gridCol w:w="906"/>
        <w:gridCol w:w="908"/>
        <w:gridCol w:w="345"/>
        <w:gridCol w:w="1008"/>
        <w:gridCol w:w="178"/>
        <w:gridCol w:w="109"/>
        <w:gridCol w:w="109"/>
        <w:gridCol w:w="109"/>
        <w:gridCol w:w="405"/>
        <w:gridCol w:w="1215"/>
        <w:gridCol w:w="211"/>
        <w:gridCol w:w="109"/>
        <w:gridCol w:w="109"/>
        <w:gridCol w:w="109"/>
        <w:gridCol w:w="315"/>
        <w:gridCol w:w="923"/>
        <w:gridCol w:w="238"/>
      </w:tblGrid>
      <w:tr>
        <w:trPr/>
        <w:tc>
          <w:tcPr>
            <w:tcW w:w="7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(Years)</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Intangible Assets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domain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0"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8"/>
        <w:gridCol w:w="462"/>
        <w:gridCol w:w="466"/>
        <w:gridCol w:w="906"/>
        <w:gridCol w:w="906"/>
        <w:gridCol w:w="908"/>
        <w:gridCol w:w="109"/>
        <w:gridCol w:w="109"/>
        <w:gridCol w:w="109"/>
        <w:gridCol w:w="345"/>
        <w:gridCol w:w="1008"/>
        <w:gridCol w:w="178"/>
        <w:gridCol w:w="109"/>
        <w:gridCol w:w="109"/>
        <w:gridCol w:w="109"/>
        <w:gridCol w:w="405"/>
        <w:gridCol w:w="1215"/>
        <w:gridCol w:w="211"/>
        <w:gridCol w:w="109"/>
        <w:gridCol w:w="109"/>
        <w:gridCol w:w="109"/>
        <w:gridCol w:w="315"/>
        <w:gridCol w:w="923"/>
        <w:gridCol w:w="238"/>
      </w:tblGrid>
      <w:tr>
        <w:trPr/>
        <w:tc>
          <w:tcPr>
            <w:tcW w:w="7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Intangible Assets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domain names</w:t>
            </w:r>
          </w:p>
        </w:tc>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2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Amortization expense for intangible assets were $0.6 million and $0.6 million, respectively for the </w:t>
      </w:r>
      <w:r>
        <w:rPr>
          <w:rFonts w:ascii="Times New Roman;serif" w:hAnsi="Times New Roman;serif"/>
          <w:b w:val="false"/>
          <w:color w:val="000000"/>
          <w:sz w:val="20"/>
          <w:shd w:fill="FFFFFF" w:val="clear"/>
        </w:rPr>
        <w:t xml:space="preserve">years ended </w:t>
      </w:r>
      <w:r>
        <w:rPr>
          <w:rFonts w:ascii="Times New Roman;serif" w:hAnsi="Times New Roman;serif"/>
          <w:b w:val="false"/>
          <w:color w:val="000000"/>
          <w:sz w:val="20"/>
        </w:rPr>
        <w:t xml:space="preserve">December 31, 2025 and 2024. No intangible asset impairment charges have been recorded for the years ended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885"/>
                <wp:effectExtent l="0" t="0" r="0" b="0"/>
                <wp:wrapNone/>
                <wp:docPr id="102" name="Frame1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future amortization expense of intangible assets as of December 31, 2025 is as follows (in thousands):</w:t>
      </w:r>
    </w:p>
    <w:tbl>
      <w:tblPr>
        <w:tblW w:w="3883"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277"/>
        <w:gridCol w:w="810"/>
        <w:gridCol w:w="20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Prepaid Expenses and Other Current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as of December 31, 2025 and 2024 consisted of the following (in thousands):</w:t>
      </w:r>
    </w:p>
    <w:tbl>
      <w:tblPr>
        <w:tblW w:w="8092" w:type="dxa"/>
        <w:jc w:val="center"/>
        <w:tblInd w:w="0" w:type="dxa"/>
        <w:tblLayout w:type="fixed"/>
        <w:tblCellMar>
          <w:top w:w="28" w:type="dxa"/>
          <w:left w:w="28" w:type="dxa"/>
          <w:bottom w:w="28" w:type="dxa"/>
          <w:right w:w="28" w:type="dxa"/>
        </w:tblCellMar>
      </w:tblPr>
      <w:tblGrid>
        <w:gridCol w:w="1428"/>
        <w:gridCol w:w="1256"/>
        <w:gridCol w:w="1261"/>
        <w:gridCol w:w="109"/>
        <w:gridCol w:w="109"/>
        <w:gridCol w:w="109"/>
        <w:gridCol w:w="387"/>
        <w:gridCol w:w="1135"/>
        <w:gridCol w:w="202"/>
        <w:gridCol w:w="109"/>
        <w:gridCol w:w="109"/>
        <w:gridCol w:w="109"/>
        <w:gridCol w:w="380"/>
        <w:gridCol w:w="1110"/>
        <w:gridCol w:w="279"/>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and 2024, $0.7 million and nil impairment charges were recognized related to capitalized implementation costs for a cloud computing arrangement that the Company has determined is not probable to be completed and placed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Accounts Payable and Accrued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as of December 31, 2025 and 2024 consisted of the following (in thousands):</w:t>
      </w:r>
    </w:p>
    <w:tbl>
      <w:tblPr>
        <w:tblW w:w="8108" w:type="dxa"/>
        <w:jc w:val="center"/>
        <w:tblInd w:w="0" w:type="dxa"/>
        <w:tblLayout w:type="fixed"/>
        <w:tblCellMar>
          <w:top w:w="28" w:type="dxa"/>
          <w:left w:w="28" w:type="dxa"/>
          <w:bottom w:w="28" w:type="dxa"/>
          <w:right w:w="28" w:type="dxa"/>
        </w:tblCellMar>
      </w:tblPr>
      <w:tblGrid>
        <w:gridCol w:w="1432"/>
        <w:gridCol w:w="1262"/>
        <w:gridCol w:w="1266"/>
        <w:gridCol w:w="109"/>
        <w:gridCol w:w="109"/>
        <w:gridCol w:w="109"/>
        <w:gridCol w:w="349"/>
        <w:gridCol w:w="1195"/>
        <w:gridCol w:w="180"/>
        <w:gridCol w:w="109"/>
        <w:gridCol w:w="109"/>
        <w:gridCol w:w="109"/>
        <w:gridCol w:w="344"/>
        <w:gridCol w:w="1175"/>
        <w:gridCol w:w="251"/>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 and other accrued liabilities</w:t>
            </w:r>
            <w:r>
              <w:rPr>
                <w:rFonts w:ascii="Times New Roman;serif" w:hAnsi="Times New Roman;serif"/>
                <w:b w:val="false"/>
                <w:color w:val="000000"/>
                <w:sz w:val="13"/>
              </w:rPr>
              <w:t>1</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 and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9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As of December 31, 2025, the account payable and other accrued liabilities included </w:t>
      </w:r>
      <w:r>
        <w:rPr>
          <w:rFonts w:ascii="Times New Roman;serif" w:hAnsi="Times New Roman;serif"/>
          <w:b w:val="false"/>
          <w:color w:val="000000"/>
          <w:sz w:val="20"/>
          <w:shd w:fill="FFFFFF" w:val="clear"/>
        </w:rPr>
        <w:t xml:space="preserve">$2.3 million in </w:t>
      </w:r>
      <w:r>
        <w:rPr>
          <w:rFonts w:ascii="Times New Roman;serif" w:hAnsi="Times New Roman;serif"/>
          <w:b w:val="false"/>
          <w:color w:val="000000"/>
          <w:sz w:val="20"/>
        </w:rPr>
        <w:t>loss contingency due to a purchase obligation shortfall stemming from the AWS minimum commitment obligation that is not probable of being recovered through usage or other means and $2.8 million in legal settlement liabilities. See Note 6, “Commitments and Contingencies” to these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Warrant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there were 12,499,973 Public Warrants outstanding and 7,000,000 Private Placement Warrants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3"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exercise its redemption right even if it is unable to register or qualify the underlying securities for sale under all applicable state securities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pStyle w:val="TextBody"/>
        <w:bidi w:val="0"/>
        <w:spacing w:lineRule="auto" w:line="288" w:before="120" w:after="120"/>
        <w:jc w:val="both"/>
        <w:rPr/>
      </w:pPr>
      <w:r>
        <w:rPr>
          <w:rFonts w:ascii="Times New Roman;serif" w:hAnsi="Times New Roman;serif"/>
          <w:b w:val="false"/>
          <w:color w:val="000000"/>
          <w:sz w:val="20"/>
        </w:rPr>
        <w:t xml:space="preserve">The Company concluded the Public Warrants and Private Placement Warrants, or the Warrants, meet the definition of a derivative under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 described in Note 2) and are recorded as liabilities. Upon the Closing, the fair value of the Warrants was recorded on the balance sheet. The fair value of the Warrants are remeasured as of each balance sheet date. The Company recorded non-cash gain of $0.4 million in the consolidated statements of operations for the year ended December 31, 2025. The Company recorded no gain or loss from remeasurement for the </w:t>
      </w:r>
      <w:r>
        <w:rPr>
          <w:rFonts w:ascii="Times New Roman;serif" w:hAnsi="Times New Roman;serif"/>
          <w:b w:val="false"/>
          <w:color w:val="000000"/>
          <w:sz w:val="20"/>
          <w:shd w:fill="FFFFFF" w:val="clear"/>
        </w:rPr>
        <w:t xml:space="preserve">year ended </w:t>
      </w:r>
      <w:r>
        <w:rPr>
          <w:rFonts w:ascii="Times New Roman;serif" w:hAnsi="Times New Roman;serif"/>
          <w:b w:val="false"/>
          <w:color w:val="000000"/>
          <w:sz w:val="20"/>
        </w:rPr>
        <w:t>December 31, 2024. For additional information, see Note 7,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Equity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885"/>
                <wp:effectExtent l="0" t="0" r="0" b="0"/>
                <wp:wrapNone/>
                <wp:docPr id="104" name="Frame1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Rights upon Liquidation, Dissolution and Winding-Up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Preemptive or Other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Class V Common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holders of the Class V Common Stock will not participate in any dividends declared by the Company’s board of directors.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Rights upon Liquidation, Dissolution and Winding-Up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Class V Common Stock are not entitled to receive any of the Company’s assets.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Preemptive or Other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holders of shares of Class V Common Stock do not have preemptive, subscription, redemption or conversion rights. There will be no redemption or sinking fund provisions applicable to the Class V Common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Issuance and Retirement of Class V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2025, there were no shares of preferred stock issued or outstanding.</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non-controlling interest represents the Units held by holders other than the Company. As of December 31, 2025 and 2024, the non-controlling interests owned 30.8% and 36.7% of the Units outstanding, respectively. The non-controlling interests’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885"/>
                <wp:effectExtent l="0" t="0" r="0" b="0"/>
                <wp:wrapNone/>
                <wp:docPr id="105"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ownership percentage can fluctuate over time, including as the WMH LLC equity holders elect to exchange Units for Class A Common Stock. During the year ended December 31, 2025, 6.5 million shares of Class V Common Stock were exchanged on a one-to-one basis to shares of Class A Common Stock. The Company has consolidated the financial position and results of operations of WMH LLC and reflected the proportionate interest held by the WMH LLC Unit equity holders as non-    controlling interests. See Note 15, “Income Taxes,”’ and the consolidated statement of equity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WM Holding Company, LLC Equity Incentive Plan</w:t>
      </w:r>
    </w:p>
    <w:p>
      <w:pPr>
        <w:pStyle w:val="TextBody"/>
        <w:bidi w:val="0"/>
        <w:spacing w:lineRule="auto" w:line="288" w:before="120" w:after="283"/>
        <w:jc w:val="both"/>
        <w:rPr/>
      </w:pPr>
      <w:r>
        <w:rPr>
          <w:rFonts w:ascii="Times New Roman;serif" w:hAnsi="Times New Roman;serif"/>
          <w:b w:val="false"/>
          <w:color w:val="000000"/>
          <w:sz w:val="20"/>
        </w:rPr>
        <w:t xml:space="preserve">The Company has accounted for the issuance of Class A-3 and Class B Units issued under the WM Holding Company, LLC Equity Incentive Plan in accordance with ASC 718 - </w:t>
      </w:r>
      <w:r>
        <w:rPr>
          <w:rFonts w:ascii="Times New Roman;serif" w:hAnsi="Times New Roman;serif"/>
          <w:b w:val="false"/>
          <w:i/>
          <w:color w:val="000000"/>
          <w:sz w:val="20"/>
        </w:rPr>
        <w:t>Stock Based Compensation</w:t>
      </w:r>
      <w:r>
        <w:rPr>
          <w:rFonts w:ascii="Times New Roman;serif" w:hAnsi="Times New Roman;serif"/>
          <w:b w:val="false"/>
          <w:color w:val="000000"/>
          <w:sz w:val="20"/>
        </w:rPr>
        <w:t>. The Company considered the limitation on the exercisability of the Class A-3 and Class B Units to be a performance condition and recorded compensation cost when it becomes probable that the performance condition will be met.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Class P Unit activity for the periods presented is as follows:</w:t>
      </w:r>
    </w:p>
    <w:tbl>
      <w:tblPr>
        <w:tblW w:w="5762" w:type="dxa"/>
        <w:jc w:val="left"/>
        <w:tblInd w:w="0" w:type="dxa"/>
        <w:tblLayout w:type="fixed"/>
        <w:tblCellMar>
          <w:top w:w="28" w:type="dxa"/>
          <w:left w:w="28" w:type="dxa"/>
          <w:bottom w:w="28" w:type="dxa"/>
          <w:right w:w="28" w:type="dxa"/>
        </w:tblCellMar>
      </w:tblPr>
      <w:tblGrid>
        <w:gridCol w:w="1413"/>
        <w:gridCol w:w="1240"/>
        <w:gridCol w:w="1247"/>
        <w:gridCol w:w="109"/>
        <w:gridCol w:w="109"/>
        <w:gridCol w:w="109"/>
        <w:gridCol w:w="450"/>
        <w:gridCol w:w="450"/>
        <w:gridCol w:w="635"/>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Class P Units,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14,403,732</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Exchanged for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Class P Units,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all the outstanding Class P Units have been vested and as such, there is no remaining unrecognized stock-based compensation expense for non-vested Class P Units. For the years ended December 31, 2025 and 2024, the Company recorded stock-based compensation expense for the Class P Units of $0.0 million and $0.2 million,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WM Technology, Inc. Equity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2025, 48,307,514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2025, 22,856,490 shares of Class A Common Stock are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885"/>
                <wp:effectExtent l="0" t="0" r="0" b="0"/>
                <wp:wrapNone/>
                <wp:docPr id="106" name="Frame10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restricted stock unit (“RSU”) activity for the year ended December 31, 2025 is as follows:</w:t>
      </w:r>
    </w:p>
    <w:tbl>
      <w:tblPr>
        <w:tblW w:w="8729"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525"/>
        <w:gridCol w:w="525"/>
        <w:gridCol w:w="501"/>
        <w:gridCol w:w="109"/>
        <w:gridCol w:w="109"/>
        <w:gridCol w:w="109"/>
        <w:gridCol w:w="881"/>
        <w:gridCol w:w="2135"/>
        <w:gridCol w:w="64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(4,183,252)</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(811,325)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As of December 31, 2025, unrecognized stock-based compensation expense for non-vested RSUs was $7.0 million, which is expected to be recognized over a weighted-average period of 2.0 years. For the </w:t>
      </w:r>
      <w:r>
        <w:rPr>
          <w:rFonts w:ascii="Times New Roman;serif" w:hAnsi="Times New Roman;serif"/>
          <w:b w:val="false"/>
          <w:color w:val="000000"/>
          <w:sz w:val="20"/>
          <w:shd w:fill="FFFFFF" w:val="clear"/>
        </w:rPr>
        <w:t xml:space="preserve">years ended </w:t>
      </w:r>
      <w:r>
        <w:rPr>
          <w:rFonts w:ascii="Times New Roman;serif" w:hAnsi="Times New Roman;serif"/>
          <w:b w:val="false"/>
          <w:color w:val="000000"/>
          <w:sz w:val="20"/>
        </w:rPr>
        <w:t>December 31, 2025 and 2024, the Company recorded stock-based compensation expense for the RSUs of $6.9 million and $8.8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performance-based restricted stock units (“PRSUs”). For the awards with the Company’s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awards with market performance conditions, the vesting of the award is dependent upon the attainment of a target stock price. The Company recognizes stock-based compensation expense for awards with market conditions over the derived service period of the awards. The estimated fair value and derived service period for the awards with market conditions are calculated using a Monte Carlo simulation. Assumptions used in valuing awards with market conditions include the performance period, grant-date stock price, expected volatility, risk-free rate and cost of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a PRSU market condition award of 4,342,391 units was granted to the Company’s Chief Executive Officer that will vest based upon achieving certain target prices for the Company’s common stock. Achievement of the target prices will be determined using the volume weighted average closing price of the Company’s Class A common stock over a 30 trading-day period. Any unvested PRSUs remaining after December 31, 2027 will be forfeited. If service is terminated prior to December 31, 2027, all unvested PRSUs will be forfeited.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in estimating the value of the PRSUs granted in November 2024.</w:t>
      </w:r>
    </w:p>
    <w:tbl>
      <w:tblPr>
        <w:tblW w:w="7045" w:type="dxa"/>
        <w:jc w:val="left"/>
        <w:tblInd w:w="0" w:type="dxa"/>
        <w:tblLayout w:type="fixed"/>
        <w:tblCellMar>
          <w:top w:w="28" w:type="dxa"/>
          <w:left w:w="28" w:type="dxa"/>
          <w:bottom w:w="28" w:type="dxa"/>
          <w:right w:w="28" w:type="dxa"/>
        </w:tblCellMar>
      </w:tblPr>
      <w:tblGrid>
        <w:gridCol w:w="1174"/>
        <w:gridCol w:w="1024"/>
        <w:gridCol w:w="1041"/>
        <w:gridCol w:w="109"/>
        <w:gridCol w:w="109"/>
        <w:gridCol w:w="109"/>
        <w:gridCol w:w="1017"/>
        <w:gridCol w:w="1017"/>
        <w:gridCol w:w="1445"/>
      </w:tblGrid>
      <w:tr>
        <w:trPr/>
        <w:tc>
          <w:tcPr>
            <w:tcW w:w="117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November 07, 2024</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07, 2024 - December 31, 2027</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4,342,391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$0.77</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 at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Volatility at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85.61%</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PRSU activity for the year ended December 31, 2025 is as follows:</w:t>
      </w:r>
    </w:p>
    <w:tbl>
      <w:tblPr>
        <w:tblW w:w="8796"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539"/>
        <w:gridCol w:w="539"/>
        <w:gridCol w:w="541"/>
        <w:gridCol w:w="109"/>
        <w:gridCol w:w="109"/>
        <w:gridCol w:w="109"/>
        <w:gridCol w:w="1071"/>
        <w:gridCol w:w="1071"/>
        <w:gridCol w:w="1517"/>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As of December 31, 2025, the unrecognized stock-based compensation expense for non-vested PRSUs was $0.6 million, which is expected to be recognized over a weighted-average period of 0.7 years. For the </w:t>
      </w:r>
      <w:r>
        <w:rPr>
          <w:rFonts w:ascii="Times New Roman;serif" w:hAnsi="Times New Roman;serif"/>
          <w:b w:val="false"/>
          <w:color w:val="000000"/>
          <w:sz w:val="20"/>
          <w:shd w:fill="FFFFFF" w:val="clear"/>
        </w:rPr>
        <w:t xml:space="preserve">year ended </w:t>
      </w:r>
      <w:r>
        <w:rPr>
          <w:rFonts w:ascii="Times New Roman;serif" w:hAnsi="Times New Roman;serif"/>
          <w:b w:val="false"/>
          <w:color w:val="000000"/>
          <w:sz w:val="20"/>
        </w:rPr>
        <w:t xml:space="preserve">December 31,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885"/>
                <wp:effectExtent l="0" t="0" r="0" b="0"/>
                <wp:wrapNone/>
                <wp:docPr id="107" name="Frame1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pPr>
      <w:r>
        <w:rPr>
          <w:rFonts w:ascii="Times New Roman;serif" w:hAnsi="Times New Roman;serif"/>
          <w:b w:val="false"/>
          <w:color w:val="000000"/>
          <w:sz w:val="20"/>
        </w:rPr>
        <w:t xml:space="preserve">recorded stock-based compensation expense of $0.9 million related to the PRSUs. For the </w:t>
      </w:r>
      <w:r>
        <w:rPr>
          <w:rFonts w:ascii="Times New Roman;serif" w:hAnsi="Times New Roman;serif"/>
          <w:b w:val="false"/>
          <w:color w:val="000000"/>
          <w:sz w:val="20"/>
          <w:shd w:fill="FFFFFF" w:val="clear"/>
        </w:rPr>
        <w:t xml:space="preserve">year ended </w:t>
      </w:r>
      <w:r>
        <w:rPr>
          <w:rFonts w:ascii="Times New Roman;serif" w:hAnsi="Times New Roman;serif"/>
          <w:b w:val="false"/>
          <w:color w:val="000000"/>
          <w:sz w:val="20"/>
        </w:rPr>
        <w:t>December 31, 2024, the Company recorded stock-based compensation credit of $0.2 million related to the PRSUs.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cost related to the RSUs, PRSUs and Class P Units in the following expense categories on the consolidated statements of operations (in thousands):</w:t>
      </w:r>
    </w:p>
    <w:p>
      <w:pPr>
        <w:pStyle w:val="TextBody"/>
        <w:bidi w:val="0"/>
        <w:spacing w:before="0" w:after="0"/>
        <w:jc w:val="both"/>
        <w:rPr/>
      </w:pPr>
      <w:r>
        <w:rPr/>
      </w:r>
    </w:p>
    <w:tbl>
      <w:tblPr>
        <w:tblW w:w="6190" w:type="dxa"/>
        <w:jc w:val="left"/>
        <w:tblInd w:w="0" w:type="dxa"/>
        <w:tblLayout w:type="fixed"/>
        <w:tblCellMar>
          <w:top w:w="28" w:type="dxa"/>
          <w:left w:w="28" w:type="dxa"/>
          <w:bottom w:w="28" w:type="dxa"/>
          <w:right w:w="28" w:type="dxa"/>
        </w:tblCellMar>
      </w:tblPr>
      <w:tblGrid>
        <w:gridCol w:w="1360"/>
        <w:gridCol w:w="1198"/>
        <w:gridCol w:w="1206"/>
        <w:gridCol w:w="218"/>
        <w:gridCol w:w="637"/>
        <w:gridCol w:w="112"/>
        <w:gridCol w:w="112"/>
        <w:gridCol w:w="112"/>
        <w:gridCol w:w="112"/>
        <w:gridCol w:w="218"/>
        <w:gridCol w:w="746"/>
        <w:gridCol w:w="159"/>
      </w:tblGrid>
      <w:tr>
        <w:trPr/>
        <w:tc>
          <w:tcPr>
            <w:tcW w:w="13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capitalized to software development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Earnings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income per share of Class A Common Stock is computed by dividing net earnings attributable to WM Technology, Inc. by the weighted-average number of shares of Class A Common Stock outstanding during the period. Diluted income per share of Class A Common Stock adjusts basic net income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computation of income per share attributable to WM Technology, Inc. and weighted-average shares of the Company’s Class A Common Stock outstanding are as follows for the years ended December 31, 2025 and 2024 (amounts in thousands, except for share and per share amounts):</w:t>
      </w:r>
    </w:p>
    <w:tbl>
      <w:tblPr>
        <w:tblW w:w="10190" w:type="dxa"/>
        <w:jc w:val="left"/>
        <w:tblInd w:w="0" w:type="dxa"/>
        <w:tblLayout w:type="fixed"/>
        <w:tblCellMar>
          <w:top w:w="28" w:type="dxa"/>
          <w:left w:w="28" w:type="dxa"/>
          <w:bottom w:w="28" w:type="dxa"/>
          <w:right w:w="28" w:type="dxa"/>
        </w:tblCellMar>
      </w:tblPr>
      <w:tblGrid>
        <w:gridCol w:w="2743"/>
        <w:gridCol w:w="2410"/>
        <w:gridCol w:w="2437"/>
        <w:gridCol w:w="257"/>
        <w:gridCol w:w="750"/>
        <w:gridCol w:w="134"/>
        <w:gridCol w:w="112"/>
        <w:gridCol w:w="112"/>
        <w:gridCol w:w="112"/>
        <w:gridCol w:w="218"/>
        <w:gridCol w:w="746"/>
        <w:gridCol w:w="159"/>
      </w:tblGrid>
      <w:tr>
        <w:trPr/>
        <w:tc>
          <w:tcPr>
            <w:tcW w:w="2743"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 after the Business Combination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 Class A Common Stock - basic and diluted</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106,572,365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96,254,679</w:t>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securities: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units¹</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1,644,948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847,767</w:t>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diluted</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108,217,313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97,103,304</w:t>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of Class A Common Stock:</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 common Stock - basic</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 common Stock - diluted</w:t>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¹ Calculated using the treasury stock method. </w:t>
      </w:r>
    </w:p>
    <w:p>
      <w:pPr>
        <w:pStyle w:val="TextBody"/>
        <w:bidi w:val="0"/>
        <w:spacing w:lineRule="auto" w:line="288" w:before="120" w:after="283"/>
        <w:jc w:val="both"/>
        <w:rPr/>
      </w:pPr>
      <w:r>
        <w:rPr>
          <w:rFonts w:ascii="Times New Roman;serif" w:hAnsi="Times New Roman;serif"/>
          <w:b w:val="false"/>
          <w:color w:val="000000"/>
          <w:sz w:val="20"/>
        </w:rPr>
        <w:t xml:space="preserve">Shares of the Class V Common Stock do not participate in the earnings of the Company and are therefore not participating securities. As such, separate presentation of basic and diluted earnings per share of Class V Common Stock under the two-class method has not been presented. </w:t>
      </w:r>
      <w:r>
        <w:rPr>
          <w:rFonts w:ascii="Times New Roman;serif" w:hAnsi="Times New Roman;serif"/>
          <w:b w:val="false"/>
          <w:color w:val="000000"/>
          <w:sz w:val="20"/>
          <w:shd w:fill="FFFFFF" w:val="clear"/>
        </w:rPr>
        <w:t xml:space="preserve">However, shares of the Class V Common Stock outstanding for the period are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885"/>
                <wp:effectExtent l="0" t="0" r="0" b="0"/>
                <wp:wrapNone/>
                <wp:docPr id="108" name="Frame10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potentially dilutive shares of Class A common stock under application of the if-converted method and are included in the computation of diluted earnings per share, except when the effect would be anti-dilutive.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securities from its computation of diluted shares outstanding for the periods presented, as their effect would have been anti-dilutive:</w:t>
      </w:r>
    </w:p>
    <w:tbl>
      <w:tblPr>
        <w:tblW w:w="6225" w:type="dxa"/>
        <w:jc w:val="left"/>
        <w:tblInd w:w="0" w:type="dxa"/>
        <w:tblLayout w:type="fixed"/>
        <w:tblCellMar>
          <w:top w:w="28" w:type="dxa"/>
          <w:left w:w="28" w:type="dxa"/>
          <w:bottom w:w="28" w:type="dxa"/>
          <w:right w:w="28" w:type="dxa"/>
        </w:tblCellMar>
      </w:tblPr>
      <w:tblGrid>
        <w:gridCol w:w="848"/>
        <w:gridCol w:w="742"/>
        <w:gridCol w:w="750"/>
        <w:gridCol w:w="109"/>
        <w:gridCol w:w="109"/>
        <w:gridCol w:w="109"/>
        <w:gridCol w:w="668"/>
        <w:gridCol w:w="413"/>
        <w:gridCol w:w="258"/>
        <w:gridCol w:w="258"/>
        <w:gridCol w:w="258"/>
        <w:gridCol w:w="258"/>
        <w:gridCol w:w="668"/>
        <w:gridCol w:w="413"/>
        <w:gridCol w:w="364"/>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V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47,852,652 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54,319,542 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14,403,732 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4,387,977 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6,504,918 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15.     Income Taxes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Income Before Income Tax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income before taxes are as follows (in thousands):</w:t>
      </w:r>
    </w:p>
    <w:tbl>
      <w:tblPr>
        <w:tblW w:w="4811" w:type="dxa"/>
        <w:jc w:val="left"/>
        <w:tblInd w:w="0" w:type="dxa"/>
        <w:tblLayout w:type="fixed"/>
        <w:tblCellMar>
          <w:top w:w="28" w:type="dxa"/>
          <w:left w:w="28" w:type="dxa"/>
          <w:bottom w:w="28" w:type="dxa"/>
          <w:right w:w="28" w:type="dxa"/>
        </w:tblCellMar>
      </w:tblPr>
      <w:tblGrid>
        <w:gridCol w:w="864"/>
        <w:gridCol w:w="759"/>
        <w:gridCol w:w="762"/>
        <w:gridCol w:w="218"/>
        <w:gridCol w:w="637"/>
        <w:gridCol w:w="112"/>
        <w:gridCol w:w="112"/>
        <w:gridCol w:w="112"/>
        <w:gridCol w:w="112"/>
        <w:gridCol w:w="218"/>
        <w:gridCol w:w="746"/>
        <w:gridCol w:w="159"/>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Income Tax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885"/>
                <wp:effectExtent l="0" t="0" r="0" b="0"/>
                <wp:wrapNone/>
                <wp:docPr id="109" name="Frame10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4705" w:type="dxa"/>
        <w:jc w:val="left"/>
        <w:tblInd w:w="0" w:type="dxa"/>
        <w:tblLayout w:type="fixed"/>
        <w:tblCellMar>
          <w:top w:w="28" w:type="dxa"/>
          <w:left w:w="28" w:type="dxa"/>
          <w:bottom w:w="28" w:type="dxa"/>
          <w:right w:w="28" w:type="dxa"/>
        </w:tblCellMar>
      </w:tblPr>
      <w:tblGrid>
        <w:gridCol w:w="820"/>
        <w:gridCol w:w="721"/>
        <w:gridCol w:w="739"/>
        <w:gridCol w:w="288"/>
        <w:gridCol w:w="554"/>
        <w:gridCol w:w="148"/>
        <w:gridCol w:w="148"/>
        <w:gridCol w:w="148"/>
        <w:gridCol w:w="148"/>
        <w:gridCol w:w="288"/>
        <w:gridCol w:w="493"/>
        <w:gridCol w:w="210"/>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change in the Company’s income tax provision during the years ended December 31, 2025 and 2024 were due to the continuation of recording a full valuation allowance on our deferred tax assets and continued remeasurement of the related TRA liability.</w:t>
      </w:r>
    </w:p>
    <w:p>
      <w:pPr>
        <w:pStyle w:val="TextBody"/>
        <w:bidi w:val="0"/>
        <w:spacing w:lineRule="auto" w:line="288" w:before="120" w:after="283"/>
        <w:jc w:val="both"/>
        <w:rPr/>
      </w:pPr>
      <w:r>
        <w:rPr>
          <w:rFonts w:ascii="Times New Roman;serif" w:hAnsi="Times New Roman;serif"/>
          <w:b w:val="false"/>
          <w:color w:val="000000"/>
          <w:sz w:val="20"/>
        </w:rPr>
        <w:t>The following reconciles the differences between income taxes computed at the federal statutory rate and the provision for income taxes, under newly adopted ASU 2023-09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which we adopted for the year ended 2025 on a retrospective basis (in thousands):</w:t>
      </w:r>
    </w:p>
    <w:tbl>
      <w:tblPr>
        <w:tblW w:w="8778" w:type="dxa"/>
        <w:jc w:val="left"/>
        <w:tblInd w:w="0" w:type="dxa"/>
        <w:tblLayout w:type="fixed"/>
        <w:tblCellMar>
          <w:top w:w="28" w:type="dxa"/>
          <w:left w:w="28" w:type="dxa"/>
          <w:bottom w:w="28" w:type="dxa"/>
          <w:right w:w="28" w:type="dxa"/>
        </w:tblCellMar>
      </w:tblPr>
      <w:tblGrid>
        <w:gridCol w:w="1558"/>
        <w:gridCol w:w="1370"/>
        <w:gridCol w:w="1377"/>
        <w:gridCol w:w="215"/>
        <w:gridCol w:w="475"/>
        <w:gridCol w:w="109"/>
        <w:gridCol w:w="109"/>
        <w:gridCol w:w="109"/>
        <w:gridCol w:w="109"/>
        <w:gridCol w:w="291"/>
        <w:gridCol w:w="294"/>
        <w:gridCol w:w="271"/>
        <w:gridCol w:w="109"/>
        <w:gridCol w:w="109"/>
        <w:gridCol w:w="109"/>
        <w:gridCol w:w="211"/>
        <w:gridCol w:w="616"/>
        <w:gridCol w:w="109"/>
        <w:gridCol w:w="109"/>
        <w:gridCol w:w="109"/>
        <w:gridCol w:w="109"/>
        <w:gridCol w:w="291"/>
        <w:gridCol w:w="294"/>
        <w:gridCol w:w="316"/>
      </w:tblGrid>
      <w:tr>
        <w:trPr/>
        <w:tc>
          <w:tcPr>
            <w:tcW w:w="15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statutory rate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blended statutory rate</w:t>
            </w:r>
            <w:r>
              <w:rPr>
                <w:rFonts w:ascii="Times New Roman;serif" w:hAnsi="Times New Roman;serif"/>
                <w:b w:val="false"/>
                <w:color w:val="000000"/>
                <w:sz w:val="13"/>
              </w:rPr>
              <w:t>(1)</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taxed to owners of non-controlling interests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impact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permanent items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valuation allowance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revaluation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Fines and penalties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State taxes in California comprise the majority of the state and local taxes for each of the years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885"/>
                <wp:effectExtent l="0" t="0" r="0" b="0"/>
                <wp:wrapNone/>
                <wp:docPr id="110" name="Frame10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Deferred Income Taxes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Deferred tax assets and liabilities reflect the net tax effects of net operating loss and tax credit carryforwards and temporary differences between the carrying amount of assets and liabilities for financial reporting and the amounts used for tax purposes.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significant components of the net deferred tax assets were as follows (in thousands):</w:t>
      </w:r>
    </w:p>
    <w:tbl>
      <w:tblPr>
        <w:tblW w:w="6842" w:type="dxa"/>
        <w:jc w:val="left"/>
        <w:tblInd w:w="0" w:type="dxa"/>
        <w:tblLayout w:type="fixed"/>
        <w:tblCellMar>
          <w:top w:w="28" w:type="dxa"/>
          <w:left w:w="28" w:type="dxa"/>
          <w:bottom w:w="28" w:type="dxa"/>
          <w:right w:w="28" w:type="dxa"/>
        </w:tblCellMar>
      </w:tblPr>
      <w:tblGrid>
        <w:gridCol w:w="898"/>
        <w:gridCol w:w="787"/>
        <w:gridCol w:w="790"/>
        <w:gridCol w:w="109"/>
        <w:gridCol w:w="109"/>
        <w:gridCol w:w="109"/>
        <w:gridCol w:w="317"/>
        <w:gridCol w:w="1244"/>
        <w:gridCol w:w="164"/>
        <w:gridCol w:w="109"/>
        <w:gridCol w:w="109"/>
        <w:gridCol w:w="109"/>
        <w:gridCol w:w="317"/>
        <w:gridCol w:w="1244"/>
        <w:gridCol w:w="164"/>
        <w:gridCol w:w="109"/>
        <w:gridCol w:w="154"/>
      </w:tblGrid>
      <w:tr>
        <w:trPr/>
        <w:tc>
          <w:tcPr>
            <w:tcW w:w="89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Investment in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109,435 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120,258 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36,631 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36,908 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operating loss carryovers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32,373 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20,973 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Tax credit carryovers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7,001 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5,303 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shd w:fill="CCEEFF" w:val="clear"/>
              </w:rPr>
            </w:pPr>
            <w:r>
              <w:rPr>
                <w:color w:val="000000"/>
                <w:shd w:fill="CCEEFF" w:val="clear"/>
              </w:rPr>
              <w:t> </w:t>
            </w:r>
            <w:r>
              <w:rPr>
                <w:rFonts w:ascii="Times New Roman;serif" w:hAnsi="Times New Roman;serif"/>
                <w:b w:val="false"/>
                <w:color w:val="000000"/>
                <w:sz w:val="20"/>
                <w:shd w:fill="CCEEFF" w:val="clear"/>
              </w:rPr>
              <w:t>Total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185,903 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183,976 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Less: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(185,903)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(183,976)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Net 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shd w:fill="CCEEFF" w:val="clear"/>
              </w:rPr>
            </w:pPr>
            <w:r>
              <w:rPr>
                <w:color w:val="000000"/>
                <w:shd w:fill="CCEEFF" w:val="clear"/>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Company’s deferred tax asset is primarily attributable to future tax amortization deductions of tax basis created from the </w:t>
      </w:r>
      <w:r>
        <w:rPr>
          <w:rFonts w:ascii="Times New Roman;serif" w:hAnsi="Times New Roman;serif"/>
          <w:b w:val="false"/>
          <w:color w:val="000000"/>
          <w:sz w:val="20"/>
        </w:rPr>
        <w:t xml:space="preserve">Business Combination, subsequent redemptions and exchanges of WMH Units, and future TRA payments. These deferred tax assets generally amortize over </w:t>
      </w:r>
      <w:r>
        <w:rPr>
          <w:rFonts w:ascii="Times New Roman;serif" w:hAnsi="Times New Roman;serif"/>
          <w:b w:val="false"/>
          <w:color w:val="000000"/>
          <w:sz w:val="20"/>
          <w:shd w:fill="FFFFFF" w:val="clear"/>
        </w:rPr>
        <w:t>15 years b</w:t>
      </w:r>
      <w:r>
        <w:rPr>
          <w:rFonts w:ascii="Times New Roman;serif" w:hAnsi="Times New Roman;serif"/>
          <w:b w:val="false"/>
          <w:color w:val="000000"/>
          <w:sz w:val="20"/>
        </w:rPr>
        <w:t>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pStyle w:val="TextBody"/>
        <w:bidi w:val="0"/>
        <w:spacing w:lineRule="auto" w:line="288" w:before="120" w:after="283"/>
        <w:jc w:val="both"/>
        <w:rPr/>
      </w:pPr>
      <w:r>
        <w:rPr>
          <w:rFonts w:ascii="Times New Roman;serif" w:hAnsi="Times New Roman;serif"/>
          <w:b w:val="false"/>
          <w:color w:val="000000"/>
          <w:sz w:val="20"/>
          <w:shd w:fill="FFFFFF" w:val="clear"/>
        </w:rPr>
        <w:t>The valuation allowance increased $1.9 million and decreased $2.7 million for th</w:t>
      </w:r>
      <w:r>
        <w:rPr>
          <w:rFonts w:ascii="Times New Roman;serif" w:hAnsi="Times New Roman;serif"/>
          <w:b w:val="false"/>
          <w:color w:val="000000"/>
          <w:sz w:val="20"/>
        </w:rPr>
        <w:t>e years ende</w:t>
      </w:r>
      <w:r>
        <w:rPr>
          <w:rFonts w:ascii="Times New Roman;serif" w:hAnsi="Times New Roman;serif"/>
          <w:b w:val="false"/>
          <w:color w:val="000000"/>
          <w:sz w:val="20"/>
          <w:shd w:fill="FFFFFF" w:val="clear"/>
        </w:rPr>
        <w:t xml:space="preserve">d December 31,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Realization of deferred tax assets is dependent on future earning, if any, the timing of which are uncertain. Accordingly, the net deferred tax assets have been fully offset by a valuation allowance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pStyle w:val="TextBody"/>
        <w:bidi w:val="0"/>
        <w:spacing w:lineRule="auto" w:line="288" w:before="0" w:after="0"/>
        <w:jc w:val="both"/>
        <w:rPr/>
      </w:pPr>
      <w:r>
        <w:rPr>
          <w:rFonts w:ascii="Times New Roman;serif" w:hAnsi="Times New Roman;serif"/>
          <w:b w:val="false"/>
          <w:color w:val="000000"/>
          <w:sz w:val="20"/>
        </w:rPr>
        <w:t xml:space="preserve">Based on the weight of all available evidence, both positive and negative, the Company determined during the fourth quarter of 2022 that a full valuation allowance was required against its net deferred tax assets.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2023 and fluctuation in both historical book operating results and future expectations. For the years ended December 31, 2025 and 2024, management conducted a similar analysis, and determined that a full valuation allowance was still required based on a more likely than not standard. Payment with respect to the TRA liability was not probable, resulting from </w:t>
      </w:r>
      <w:r>
        <w:rPr>
          <w:rFonts w:ascii="Times New Roman;serif" w:hAnsi="Times New Roman;serif"/>
          <w:b w:val="false"/>
          <w:color w:val="000000"/>
          <w:sz w:val="20"/>
          <w:shd w:fill="FFFFFF" w:val="clear"/>
        </w:rPr>
        <w:t>the full valuation allowance. As of December 31, 2025 and 2024, the TRA liability was $2.7 million and $4.4 million, respectively.</w:t>
      </w:r>
    </w:p>
    <w:p>
      <w:pPr>
        <w:pStyle w:val="TextBody"/>
        <w:bidi w:val="0"/>
        <w:spacing w:lineRule="auto" w:line="288" w:before="120" w:after="120"/>
        <w:jc w:val="both"/>
        <w:rPr/>
      </w:pPr>
      <w:r>
        <w:rPr>
          <w:rFonts w:ascii="Times New Roman;serif" w:hAnsi="Times New Roman;serif"/>
          <w:b w:val="false"/>
          <w:color w:val="000000"/>
          <w:sz w:val="20"/>
        </w:rPr>
        <w:t xml:space="preserve">The Company will continue to evaluate the realization of the TRA tax attributes, and in the future, management may conclude that it is more likely than not that the Company will be able to utilize the deferred tax assets that are subject to the TRA, and therefore that the TRA liability is probable of payment. If the TRA liability is reinstated, the payments would be substantial. Assuming a reinstatement of the TRA liability, there are several assumptions that would be relevant in the ultimate determination of the amount of our TRA liability, such as, no material changes in relevant tax law, that there are no future redemptions or exchanges to Class A Units and that we earn sufficient taxable income to realize all tax benefits that are subject to the TRA. Under these assumptions, the tax savings associated with acquisitions of Legacy WMH common units in the Business Combination and subsequent exchanges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equal approximately </w:t>
      </w:r>
      <w:r>
        <w:rPr>
          <w:rFonts w:ascii="Times New Roman;serif" w:hAnsi="Times New Roman;serif"/>
          <w:b w:val="false"/>
          <w:color w:val="000000"/>
          <w:sz w:val="20"/>
          <w:shd w:fill="FFFFFF" w:val="clear"/>
        </w:rPr>
        <w:t xml:space="preserve">$165.0 million, determined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885"/>
                <wp:effectExtent l="0" t="0" r="0" b="0"/>
                <wp:wrapNone/>
                <wp:docPr id="111" name="Frame1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718acea977064dc1b02b20ad37d8dc3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of December 31, 2025. Under this scenario, we would be required to pay certain Class A Unit holders approximately 85% of such amount, or $138.9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federal and state net operating loss (“NOL”) carryforwards of approximately $121.0 million and $109.5 million, respectively, available to reduce future taxable income, if any. The federal NOLs carry forward indefinitely and the state NOLs will begin to expire in 2041.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and California research and development (“R&amp;D”) tax credit carryforwards of $6.1 million and $3.0 million, respectively, available to reduce future tax. Federal R&amp;D credits begin to expire in 2041 and California R&amp;D credits carry forward indefinitely.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Utilization of the Company's NOL carryforwards and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5%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could result in a change of control as defined by Section 382.</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legislation formally titled “An Act to Provide for Reconciliation Pursuant to Title II of H. Con. Res. 14”), commonly referred to as the One Big Beautiful Bill Act (“OBBBA”). The OBBBA includes significant tax law changes, primarily extending or modifying various provisions originally enacted under the 2017 Tax Cuts and Jobs Act.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OBBBA includes business tax provisions that are relevant to the Company such as the restoration of immediate expensing of domestic research and experimental expenditures incurred in tax years beginning after 2024, accelerated deduction of certain capitalized domestic research and experimental expenditures incurred in prior tax years and the permanent reinstatement of 100% bonus depreciation for qualified property placed in service after January 19, 2025. As result of the OBBBA, the Company benefits from accelerating deductions of previously capitalized domestic research and development costs such that it does not have any significant income taxes. The Company has recognized the effects of the OBBBA in the third quarter of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Unrecognized Tax Benefits</w:t>
      </w:r>
    </w:p>
    <w:p>
      <w:pPr>
        <w:pStyle w:val="TextBody"/>
        <w:bidi w:val="0"/>
        <w:spacing w:lineRule="auto" w:line="288" w:before="120" w:after="283"/>
        <w:jc w:val="both"/>
        <w:rPr/>
      </w:pPr>
      <w:r>
        <w:rPr>
          <w:rFonts w:ascii="Times New Roman;serif" w:hAnsi="Times New Roman;serif"/>
          <w:b w:val="false"/>
          <w:color w:val="000000"/>
          <w:sz w:val="20"/>
        </w:rPr>
        <w:t xml:space="preserve">The Company follows the provisions of FASB ASC 740-10, </w:t>
      </w:r>
      <w:r>
        <w:rPr>
          <w:rFonts w:ascii="Times New Roman;serif" w:hAnsi="Times New Roman;serif"/>
          <w:b w:val="false"/>
          <w:i/>
          <w:color w:val="000000"/>
          <w:sz w:val="20"/>
        </w:rPr>
        <w:t>Accounting for Uncertainty in Income Taxes</w:t>
      </w:r>
      <w:r>
        <w:rPr>
          <w:rFonts w:ascii="Times New Roman;serif" w:hAnsi="Times New Roman;serif"/>
          <w:b w:val="false"/>
          <w:color w:val="000000"/>
          <w:sz w:val="20"/>
        </w:rPr>
        <w:t>. ASC 740-10 prescribes a comprehensive model for the recognition, measurement, presentation and disclosure in financial statements of any uncertain tax positions that have been taken or expected to be taken on a tax return.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both accrued interest and penalties related to unrecognized tax benefits in income tax expense. The Company has not recorded any interest and penalties on any unrecognized tax benefits since its inception. Tax years 2021 through 2024 remain open to examination by major taxing jurisdictions to which the Company is subject, which is primarily in the United States (U.S.), as carryforward attributes generated in prior years may still be adjusted upon examination by the Internal Revenue Service (IRS) or state tax authorities if they have or will be used in a future period. The Company files income tax returns in the U.S. federal and various state jurisdictions. There are currently no federal or state audits in progress by the IRS or any other jurisdictions for any tax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tabular reconciliation of the total amounts of unrecognized tax benefits (in thousands):</w:t>
      </w:r>
    </w:p>
    <w:tbl>
      <w:tblPr>
        <w:tblW w:w="9442" w:type="dxa"/>
        <w:jc w:val="left"/>
        <w:tblInd w:w="0" w:type="dxa"/>
        <w:tblLayout w:type="fixed"/>
        <w:tblCellMar>
          <w:top w:w="28" w:type="dxa"/>
          <w:left w:w="28" w:type="dxa"/>
          <w:bottom w:w="28" w:type="dxa"/>
          <w:right w:w="28" w:type="dxa"/>
        </w:tblCellMar>
      </w:tblPr>
      <w:tblGrid>
        <w:gridCol w:w="1761"/>
        <w:gridCol w:w="1545"/>
        <w:gridCol w:w="1553"/>
        <w:gridCol w:w="109"/>
        <w:gridCol w:w="109"/>
        <w:gridCol w:w="109"/>
        <w:gridCol w:w="387"/>
        <w:gridCol w:w="1135"/>
        <w:gridCol w:w="202"/>
        <w:gridCol w:w="109"/>
        <w:gridCol w:w="109"/>
        <w:gridCol w:w="109"/>
        <w:gridCol w:w="387"/>
        <w:gridCol w:w="1135"/>
        <w:gridCol w:w="202"/>
        <w:gridCol w:w="109"/>
        <w:gridCol w:w="109"/>
        <w:gridCol w:w="109"/>
        <w:gridCol w:w="154"/>
      </w:tblGrid>
      <w:tr>
        <w:trPr/>
        <w:tc>
          <w:tcPr>
            <w:tcW w:w="176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Additions/reductions related to prior year tax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Additions/reductions related to current year tax 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lineRule="auto" w:line="288" w:before="120" w:after="283"/>
        <w:jc w:val="both"/>
        <w:rPr/>
      </w:pPr>
      <w:r>
        <w:rPr>
          <w:rFonts w:ascii="Times New Roman;serif" w:hAnsi="Times New Roman;serif"/>
          <w:b w:val="false"/>
          <w:color w:val="000000"/>
          <w:sz w:val="20"/>
          <w:shd w:fill="FFFFFF" w:val="clear"/>
        </w:rPr>
        <w:t>During the second quarter of 2022, the Company entered into a sublease agreement with an affiliate of the Chief Executive Officer. The sublease commenced on June 1, 2022, and expired on October 31, 2</w:t>
      </w:r>
      <w:r>
        <w:rPr>
          <w:rFonts w:ascii="Times New Roman;serif" w:hAnsi="Times New Roman;serif"/>
          <w:b w:val="false"/>
          <w:color w:val="000000"/>
          <w:sz w:val="20"/>
        </w:rPr>
        <w:t xml:space="preserve">024. The monthly base rent, after the 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885"/>
                <wp:effectExtent l="0" t="0" r="0" b="0"/>
                <wp:wrapNone/>
                <wp:docPr id="112" name="Frame1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pPr>
      <w:r>
        <w:rPr>
          <w:rFonts w:ascii="Times New Roman;serif" w:hAnsi="Times New Roman;serif"/>
          <w:b w:val="false"/>
          <w:color w:val="000000"/>
          <w:sz w:val="20"/>
        </w:rPr>
        <w:t xml:space="preserve">abatement period for the first four months, was $69,000. As of </w:t>
      </w:r>
      <w:r>
        <w:rPr>
          <w:rFonts w:ascii="Times New Roman;serif" w:hAnsi="Times New Roman;serif"/>
          <w:b w:val="false"/>
          <w:color w:val="000000"/>
          <w:sz w:val="20"/>
          <w:shd w:fill="FFFFFF" w:val="clear"/>
        </w:rPr>
        <w:t>December 31, 2025 and 2024</w:t>
      </w:r>
      <w:r>
        <w:rPr>
          <w:rFonts w:ascii="Times New Roman;serif" w:hAnsi="Times New Roman;serif"/>
          <w:b w:val="false"/>
          <w:color w:val="000000"/>
          <w:sz w:val="20"/>
        </w:rPr>
        <w:t xml:space="preserve">, there was no outstanding rent receivable. </w:t>
      </w:r>
      <w:r>
        <w:rPr>
          <w:rFonts w:ascii="Times New Roman;serif" w:hAnsi="Times New Roman;serif"/>
          <w:b w:val="false"/>
          <w:color w:val="000000"/>
          <w:sz w:val="20"/>
          <w:shd w:fill="FFFFFF" w:val="clear"/>
        </w:rPr>
        <w:t>For the years ended December 31, 2025 and 2024, income on the sublease from the related party trans</w:t>
      </w:r>
      <w:r>
        <w:rPr>
          <w:rFonts w:ascii="Times New Roman;serif" w:hAnsi="Times New Roman;serif"/>
          <w:b w:val="false"/>
          <w:color w:val="000000"/>
          <w:sz w:val="20"/>
        </w:rPr>
        <w:t>actions were nil and $0.6 million</w:t>
      </w:r>
      <w:r>
        <w:rPr>
          <w:rFonts w:ascii="Times New Roman;serif" w:hAnsi="Times New Roman;serif"/>
          <w:b w:val="false"/>
          <w:color w:val="000000"/>
          <w:sz w:val="20"/>
          <w:shd w:fill="FFFFFF" w:val="clear"/>
        </w:rPr>
        <w:t>, respectively. The income on sublease is netted with rent expense and included in general and administrative expenses on the consolidated statements of operations.</w:t>
      </w:r>
    </w:p>
    <w:p>
      <w:pPr>
        <w:pStyle w:val="TextBody"/>
        <w:bidi w:val="0"/>
        <w:spacing w:lineRule="auto" w:line="288" w:before="120" w:after="283"/>
        <w:jc w:val="both"/>
        <w:rPr/>
      </w:pPr>
      <w:r>
        <w:rPr>
          <w:rFonts w:ascii="Times New Roman;serif" w:hAnsi="Times New Roman;serif"/>
          <w:b w:val="false"/>
          <w:color w:val="000000"/>
          <w:sz w:val="20"/>
        </w:rPr>
        <w:t xml:space="preserve">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and maturing on December 31, 2025. In an event of default, the outstanding principal amount shall bear interest for the entire period during which the principal balance is unpaid at a rate which is equal to 10% per annum. As of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the remaining balance of the promissory note receivable was $0.1 million and $0.4 million, respectively and included in prepaid expenses and other current assets on the consolidated balance sheets. For the years ended December 31,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interest income on the promissory note were less than $0.1 million, which is included in other income (expense), net on the consolidated statement of operations. </w:t>
      </w:r>
    </w:p>
    <w:p>
      <w:pPr>
        <w:pStyle w:val="TextBody"/>
        <w:bidi w:val="0"/>
        <w:spacing w:lineRule="auto" w:line="288" w:before="120" w:after="283"/>
        <w:jc w:val="both"/>
        <w:rPr/>
      </w:pPr>
      <w:r>
        <w:rPr>
          <w:rFonts w:ascii="Times New Roman;serif" w:hAnsi="Times New Roman;serif"/>
          <w:b w:val="false"/>
          <w:color w:val="000000"/>
          <w:sz w:val="20"/>
          <w:shd w:fill="FFFFFF" w:val="clear"/>
        </w:rPr>
        <w:t>During the year ended</w:t>
      </w:r>
      <w:r>
        <w:rPr>
          <w:color w:val="000000"/>
        </w:rPr>
        <w:t xml:space="preserve"> </w:t>
      </w:r>
      <w:r>
        <w:rPr>
          <w:rFonts w:ascii="Times New Roman;serif" w:hAnsi="Times New Roman;serif"/>
          <w:b w:val="false"/>
          <w:color w:val="000000"/>
          <w:sz w:val="20"/>
        </w:rPr>
        <w:t xml:space="preserve">December 31, 2025 and </w:t>
      </w:r>
      <w:r>
        <w:rPr>
          <w:rFonts w:ascii="Times New Roman;serif" w:hAnsi="Times New Roman;serif"/>
          <w:b w:val="false"/>
          <w:color w:val="000000"/>
          <w:sz w:val="20"/>
          <w:shd w:fill="FFFFFF" w:val="clear"/>
        </w:rPr>
        <w:t>2024, the Company reimbursed $0.4 million and $0.2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Nasdaq Delisting Notice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4, 2026, the Company received a letter from the Listing Qualifications Department of The Nasdaq Stock Market LLC (“Nasdaq”) notifying the Company that, for the last 30 consecutive business days, the closing bid price for the Company’s Class A common stock, par value $0.0001 per share (the “Common Stock”), was below $1.00 per share, which is the minimum closing bid price required for continued listing on the Nasdaq Global Market pursuant to Nasdaq Listing Rule 5450(a)(1) (the “Notice”). This Notice is a notice of deficiency, not delisting, and has no immediate effect on the listing of the Company’s Common Stock, and the Company’s Common Stock will continue to trade on The Nasdaq Global Select Market under the symbol “MAPS” at this time, subject to the Company’s compliance with the other Nasdaq listing requirements.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Nasdaq Listing Rule 5810(c)(3)(A), the Company is provided a compliance period of 180 calendar days from the date of the Notice, or until August 3, 2026, to regain compliance with the minimum closing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by effecting a reverse stock split, if necessary. If the Company does not regain compliance within the allotted compliance periods, including any extensions that may be granted by Nasdaq, the Company’s stock will be subject to delisting. The Company would have the right to appeal a determination to delist the Company’s Common Stock, and the Company’s Common Stock would remain listed on the Nasdaq Global Select Market until the completion of the appeal process.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intends to monitor the closing bid price of its stock and assess potential actions to regain compliance. While the Company plans to review all available options, there can be no assurance that the Company will regain compliance with the minimum bid price requirement during the 180-day compliance period, secure a second 180-day period to regain compliance, or maintain compliance with the other Nasdaq listing requirements.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Legal Settlement In Principle</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February 12, 2026, The Company reached an agreement in principle to fully settle all pending claims in the action for a putative shareholder class action complaint, captioned </w:t>
      </w:r>
      <w:r>
        <w:rPr>
          <w:rFonts w:ascii="Times New Roman;serif" w:hAnsi="Times New Roman;serif"/>
          <w:b w:val="false"/>
          <w:i/>
          <w:color w:val="000000"/>
          <w:sz w:val="20"/>
          <w:shd w:fill="FFFFFF" w:val="clear"/>
        </w:rPr>
        <w:t>Seret Ishak v. WM Technology, Inc. et al</w:t>
      </w:r>
      <w:r>
        <w:rPr>
          <w:rFonts w:ascii="Times New Roman;serif" w:hAnsi="Times New Roman;serif"/>
          <w:b w:val="false"/>
          <w:color w:val="000000"/>
          <w:sz w:val="20"/>
          <w:shd w:fill="FFFFFF" w:val="clear"/>
        </w:rPr>
        <w:t xml:space="preserve">., Case No. 2:24-cv-08959. The settlement remains subject to approval by the court and certain other conditions and contingencies out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885"/>
                <wp:effectExtent l="0" t="0" r="0" b="0"/>
                <wp:wrapNone/>
                <wp:docPr id="113" name="Frame1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control. The Company recorded an accrued liability of $2.8 million related to this preliminary settlement agreement, representing management's reasonable estimate of its settlement obligation. This liability is included in accounts payable and accrued expenses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in the consolidated balance sheets, with the corresponding expense recognized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rPr>
        <w:t>in general and administrative expense in the consolidated statement of operations</w:t>
      </w:r>
      <w:r>
        <w:rPr>
          <w:rFonts w:ascii="Times New Roman;serif" w:hAnsi="Times New Roman;serif"/>
          <w:b w:val="false"/>
          <w:color w:val="000000"/>
          <w:sz w:val="20"/>
          <w:shd w:fill="FFFFFF" w:val="clear"/>
        </w:rPr>
        <w:t>. For additional information, see Note 6, “Commitments and Contingencies.”</w:t>
      </w:r>
    </w:p>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885"/>
                <wp:effectExtent l="0" t="0" r="0" b="0"/>
                <wp:wrapNone/>
                <wp:docPr id="114" name="Frame1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4"/>
        </w:rPr>
        <w:t>Exhibit 10.22</w:t>
      </w:r>
      <w:r>
        <w:rPr>
          <w:color w:val="000000"/>
        </w:rPr>
        <w:t xml:space="preserve">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drawing>
          <wp:inline distT="0" distB="0" distL="0" distR="0">
            <wp:extent cx="2105025" cy="447675"/>
            <wp:effectExtent l="0" t="0" r="0" b="0"/>
            <wp:docPr id="1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 descr=""/>
                    <pic:cNvPicPr>
                      <a:picLocks noChangeAspect="1" noChangeArrowheads="1"/>
                    </pic:cNvPicPr>
                  </pic:nvPicPr>
                  <pic:blipFill>
                    <a:blip r:embed="rId77"/>
                    <a:stretch>
                      <a:fillRect/>
                    </a:stretch>
                  </pic:blipFill>
                  <pic:spPr bwMode="auto">
                    <a:xfrm>
                      <a:off x="0" y="0"/>
                      <a:ext cx="2105025" cy="447675"/>
                    </a:xfrm>
                    <a:prstGeom prst="rect">
                      <a:avLst/>
                    </a:prstGeom>
                  </pic:spPr>
                </pic:pic>
              </a:graphicData>
            </a:graphic>
          </wp:inline>
        </w:drawing>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Conversion Agreement</w:t>
      </w:r>
    </w:p>
    <w:p>
      <w:pPr>
        <w:pStyle w:val="TextBody"/>
        <w:bidi w:val="0"/>
        <w:spacing w:lineRule="auto" w:line="288" w:before="120" w:after="120"/>
        <w:jc w:val="left"/>
        <w:rPr/>
      </w:pPr>
      <w:r>
        <w:rPr>
          <w:rFonts w:ascii="Times New Roman;serif" w:hAnsi="Times New Roman;serif"/>
          <w:b w:val="false"/>
          <w:color w:val="000000"/>
          <w:sz w:val="22"/>
        </w:rPr>
        <w:t>January</w:t>
      </w:r>
      <w:r>
        <w:rPr>
          <w:color w:val="000000"/>
        </w:rPr>
        <w:t xml:space="preserve"> </w:t>
      </w:r>
      <w:r>
        <w:rPr>
          <w:rFonts w:ascii="Times New Roman;serif" w:hAnsi="Times New Roman;serif"/>
          <w:b w:val="false"/>
          <w:color w:val="000000"/>
          <w:sz w:val="22"/>
        </w:rPr>
        <w:t>29,</w:t>
      </w:r>
      <w:r>
        <w:rPr>
          <w:color w:val="000000"/>
        </w:rPr>
        <w:t xml:space="preserve"> </w:t>
      </w:r>
      <w:r>
        <w:rPr>
          <w:rFonts w:ascii="Times New Roman;serif" w:hAnsi="Times New Roman;serif"/>
          <w:b w:val="false"/>
          <w:color w:val="000000"/>
          <w:sz w:val="24"/>
        </w:rPr>
        <w:t>2026</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Doug Francis</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WM Technology, Inc.</w:t>
      </w:r>
    </w:p>
    <w:p>
      <w:pPr>
        <w:pStyle w:val="TextBody"/>
        <w:bidi w:val="0"/>
        <w:spacing w:before="120" w:after="120"/>
        <w:jc w:val="left"/>
        <w:rPr/>
      </w:pPr>
      <w:r>
        <w:rPr/>
      </w:r>
    </w:p>
    <w:p>
      <w:pPr>
        <w:pStyle w:val="TextBody"/>
        <w:bidi w:val="0"/>
        <w:spacing w:lineRule="auto" w:line="288" w:before="120" w:after="120"/>
        <w:jc w:val="left"/>
        <w:rPr/>
      </w:pPr>
      <w:r>
        <w:rPr>
          <w:rFonts w:ascii="Times New Roman;serif" w:hAnsi="Times New Roman;serif"/>
          <w:b w:val="false"/>
          <w:color w:val="000000"/>
          <w:sz w:val="22"/>
        </w:rPr>
        <w:t>Dear</w:t>
      </w:r>
      <w:r>
        <w:rPr>
          <w:color w:val="000000"/>
        </w:rPr>
        <w:t xml:space="preserve"> </w:t>
      </w:r>
      <w:r>
        <w:rPr>
          <w:rFonts w:ascii="Times New Roman;serif" w:hAnsi="Times New Roman;serif"/>
          <w:b w:val="false"/>
          <w:color w:val="000000"/>
          <w:sz w:val="24"/>
        </w:rPr>
        <w:t>Doug,</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order facilitate the employment of Susan Echard (“Echard”) by WM Technology, Inc. (the “Company”) effective as of January 30, 2026 (the “Effective Date”), the Company agrees to provide to SeatonHill Partners, LP (“SeatonHill”) the following compensation (the “Recruitment Compensation”): a recruitment fee of $341,550 to be invoiced on the Effective Date and due within 30 days of the Effective Date.</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As consideration for the Recruitment Compensation paid by the Company to SeatonHill, SeatonHill hereby:</w:t>
      </w:r>
    </w:p>
    <w:p>
      <w:pPr>
        <w:pStyle w:val="TextBody"/>
        <w:bidi w:val="0"/>
        <w:spacing w:lineRule="auto" w:line="288" w:before="120" w:after="12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Releases the Company from any and all liabilities associated with its hiring of Echard under terms of Exhibit A, Section 4 of the Executive Services Agreement (the “ESA”) dated as of July 16, 2023 between the Company and SeatonHill and represents and warrants that no provision of any agreement between SeatonHill and Echard shall interfere in any way with Echard’s duties as a employee of the Company.</w:t>
      </w:r>
    </w:p>
    <w:p>
      <w:pPr>
        <w:pStyle w:val="TextBody"/>
        <w:bidi w:val="0"/>
        <w:spacing w:lineRule="auto" w:line="288" w:before="120" w:after="120"/>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4"/>
        </w:rPr>
        <w:t>Releases Echard from her obligations under Section 10.8(c) of the Agreement of Limited Partnership of SeatonHill Partners, LP (the “Partnership Agreement”) between Echard and SeatonHill to the extent that her recruitment and employment by the Company would otherwise result in her non-compliance with the Partnership Agreement.</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parties agree that the ESA will be terminated effective close of business January 31, 2026.</w:t>
      </w:r>
    </w:p>
    <w:p>
      <w:pPr>
        <w:pStyle w:val="TextBody"/>
        <w:bidi w:val="0"/>
        <w:spacing w:before="120" w:after="120"/>
        <w:jc w:val="left"/>
        <w:rPr/>
      </w:pPr>
      <w:r>
        <w:rPr/>
      </w:r>
    </w:p>
    <w:p>
      <w:pPr>
        <w:pStyle w:val="TextBody"/>
        <w:bidi w:val="0"/>
        <w:spacing w:lineRule="auto" w:line="288" w:before="120" w:after="120"/>
        <w:ind w:left="0" w:right="0" w:firstLine="365"/>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180" w:after="180"/>
        <w:jc w:val="left"/>
        <w:rPr/>
      </w:pPr>
      <w:r>
        <w:rPr/>
      </w:r>
    </w:p>
    <w:p>
      <w:pPr>
        <w:pStyle w:val="TextBody"/>
        <w:bidi w:val="0"/>
        <w:spacing w:before="180" w:after="180"/>
        <w:jc w:val="left"/>
        <w:rPr/>
      </w:pPr>
      <w:r>
        <w:rPr/>
      </w:r>
    </w:p>
    <w:p>
      <w:pPr>
        <w:pStyle w:val="TextBody"/>
        <w:bidi w:val="0"/>
        <w:spacing w:before="180" w:after="180"/>
        <w:jc w:val="left"/>
        <w:rPr/>
      </w:pPr>
      <w:r>
        <w:rPr/>
      </w:r>
    </w:p>
    <w:p>
      <w:pPr>
        <w:pStyle w:val="TextBody"/>
        <w:bidi w:val="0"/>
        <w:spacing w:before="180" w:after="180"/>
        <w:jc w:val="left"/>
        <w:rPr/>
      </w:pPr>
      <w:r>
        <w:rPr/>
      </w:r>
    </w:p>
    <w:p>
      <w:pPr>
        <w:pStyle w:val="TextBody"/>
        <w:bidi w:val="0"/>
        <w:spacing w:before="180" w:after="1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4"/>
        </w:rPr>
        <w:t>Exhibit 10.22</w:t>
      </w:r>
      <w:r>
        <w:rPr>
          <w:color w:val="000000"/>
        </w:rPr>
        <w:t xml:space="preserve"> </w:t>
      </w:r>
    </w:p>
    <w:p>
      <w:pPr>
        <w:pStyle w:val="TextBody"/>
        <w:bidi w:val="0"/>
        <w:spacing w:before="0" w:after="0"/>
        <w:jc w:val="left"/>
        <w:rPr/>
      </w:pPr>
      <w:r>
        <w:rPr/>
      </w:r>
    </w:p>
    <w:p>
      <w:pPr>
        <w:pStyle w:val="TextBody"/>
        <w:bidi w:val="0"/>
        <w:spacing w:before="0" w:after="0"/>
        <w:jc w:val="center"/>
        <w:rPr/>
      </w:pPr>
      <w:r>
        <w:rPr/>
      </w:r>
    </w:p>
    <w:tbl>
      <w:tblPr>
        <w:tblW w:w="6355" w:type="dxa"/>
        <w:jc w:val="left"/>
        <w:tblInd w:w="0" w:type="dxa"/>
        <w:tblLayout w:type="fixed"/>
        <w:tblCellMar>
          <w:top w:w="28" w:type="dxa"/>
          <w:left w:w="28" w:type="dxa"/>
          <w:bottom w:w="28" w:type="dxa"/>
          <w:right w:w="28" w:type="dxa"/>
        </w:tblCellMar>
      </w:tblPr>
      <w:tblGrid>
        <w:gridCol w:w="1325"/>
        <w:gridCol w:w="1163"/>
        <w:gridCol w:w="1171"/>
        <w:gridCol w:w="109"/>
        <w:gridCol w:w="109"/>
        <w:gridCol w:w="109"/>
        <w:gridCol w:w="692"/>
        <w:gridCol w:w="692"/>
        <w:gridCol w:w="985"/>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SeatonHill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SeatonHill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WM Technology, Inc.</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Its: 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J. Gregory Coffey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Doug Francis</w:t>
            </w:r>
          </w:p>
        </w:tc>
      </w:tr>
      <w:tr>
        <w:trPr/>
        <w:tc>
          <w:tcPr>
            <w:tcW w:w="3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Gregory Coffey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Doug Francis</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Susan Echard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Susan Echard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Susan Echard</w:t>
            </w:r>
          </w:p>
        </w:tc>
      </w:tr>
    </w:tbl>
    <w:p>
      <w:pPr>
        <w:pStyle w:val="TextBody"/>
        <w:bidi w:val="0"/>
        <w:spacing w:before="180" w:after="180"/>
        <w:ind w:left="0" w:right="0" w:hanging="5760"/>
        <w:jc w:val="left"/>
        <w:rPr/>
      </w:pPr>
      <w:r>
        <w:rPr/>
      </w:r>
    </w:p>
    <w:p>
      <w:pPr>
        <w:pStyle w:val="TextBody"/>
        <w:bidi w:val="0"/>
        <w:spacing w:before="180" w:after="180"/>
        <w:ind w:left="0" w:right="0" w:hanging="5760"/>
        <w:jc w:val="left"/>
        <w:rPr/>
      </w:pPr>
      <w:r>
        <w:rPr/>
      </w:r>
    </w:p>
    <w:p>
      <w:pPr>
        <w:pStyle w:val="TextBody"/>
        <w:bidi w:val="0"/>
        <w:spacing w:before="18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List of Subsidiaries of the Registrant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284" w:type="dxa"/>
        <w:jc w:val="center"/>
        <w:tblInd w:w="0" w:type="dxa"/>
        <w:tblLayout w:type="fixed"/>
        <w:tblCellMar>
          <w:top w:w="28" w:type="dxa"/>
          <w:left w:w="28" w:type="dxa"/>
          <w:bottom w:w="28" w:type="dxa"/>
          <w:right w:w="28" w:type="dxa"/>
        </w:tblCellMar>
      </w:tblPr>
      <w:tblGrid>
        <w:gridCol w:w="1347"/>
        <w:gridCol w:w="1183"/>
        <w:gridCol w:w="1189"/>
        <w:gridCol w:w="751"/>
        <w:gridCol w:w="751"/>
        <w:gridCol w:w="1063"/>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Name</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Organization</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Holding Company, LLC</w:t>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Weedmaps Spain, S.L.U.</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Weedmaps Germany GmbH</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Ghost Management Group,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GMG Holdco, Inc.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Weedmaps Media,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Discovery Opco,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Enterprise,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Marketplace,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Canada Holdings, Inc.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Museum,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Teal,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Retail,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 One Software (Canada), Inc.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 Logistics Holding Company,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Loyalty,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In-Store Solutions,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Canncurrent,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 Green,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Livery Desk,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Headie, LLC</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Consent of Independent Registered Public Accounting Firm</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Statements on Form S-3 (No. 333-257774, and No. 333-261466) and Form S-8 (No. 333-285958, No. 333-259072, No. 333-267744, No. 333-270647 and No. 333-281087) of WM Technology, Inc. (the “Company”) of our report dated March 12, 2026, relating to the consolidated financial statements of the Company and the effectiveness of internal control over financial reporting of the Company (which report expresses an unqualified opinion on the consolidated financial statements and an adverse opinion on the effectiveness of internal control over financial reporting due to material weaknesses), appearing in this Annual Report on Form 10-K of the Company for the year ended December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 Baker Tilly US, LLP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Irvine, California</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March 12, 2026</w:t>
      </w:r>
    </w:p>
    <w:p>
      <w:pPr>
        <w:pStyle w:val="TextBody"/>
        <w:bidi w:val="0"/>
        <w:spacing w:before="0" w:after="0"/>
        <w:jc w:val="left"/>
        <w:rPr/>
      </w:pPr>
      <w:r>
        <w:rPr/>
      </w:r>
    </w:p>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Douglas Francis, certify that:</w:t>
      </w:r>
    </w:p>
    <w:p>
      <w:pPr>
        <w:pStyle w:val="TextBody"/>
        <w:bidi w:val="0"/>
        <w:spacing w:lineRule="auto" w:line="288" w:before="160" w:after="16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Annual Report on Form 10-K of WM Technology, Inc.;</w:t>
      </w:r>
    </w:p>
    <w:p>
      <w:pPr>
        <w:pStyle w:val="TextBody"/>
        <w:bidi w:val="0"/>
        <w:spacing w:lineRule="auto" w:line="288" w:before="160" w:after="16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left"/>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Any fraud, whether or not material, that involves management or other employees who have a significant role in the registrant's internal control over financial reporting.</w:t>
      </w:r>
    </w:p>
    <w:tbl>
      <w:tblPr>
        <w:tblW w:w="587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5"/>
        <w:gridCol w:w="155"/>
        <w:gridCol w:w="155"/>
        <w:gridCol w:w="155"/>
        <w:gridCol w:w="155"/>
        <w:gridCol w:w="155"/>
        <w:gridCol w:w="155"/>
        <w:gridCol w:w="155"/>
        <w:gridCol w:w="155"/>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5"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Susan Echard, certify that:</w:t>
      </w:r>
    </w:p>
    <w:p>
      <w:pPr>
        <w:pStyle w:val="TextBody"/>
        <w:bidi w:val="0"/>
        <w:spacing w:lineRule="auto" w:line="288" w:before="160" w:after="16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Annual Report on Form 10-K of WM Technology, Inc.;</w:t>
      </w:r>
    </w:p>
    <w:p>
      <w:pPr>
        <w:pStyle w:val="TextBody"/>
        <w:bidi w:val="0"/>
        <w:spacing w:lineRule="auto" w:line="288" w:before="160" w:after="16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left"/>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Any fraud, whether or not material, that involves management or other employees who have a significant role in the registrant's internal control over financial reporting.</w:t>
      </w:r>
    </w:p>
    <w:tbl>
      <w:tblPr>
        <w:tblW w:w="86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5"/>
        <w:gridCol w:w="155"/>
        <w:gridCol w:w="155"/>
        <w:gridCol w:w="155"/>
        <w:gridCol w:w="155"/>
        <w:gridCol w:w="155"/>
        <w:gridCol w:w="155"/>
        <w:gridCol w:w="155"/>
        <w:gridCol w:w="155"/>
        <w:gridCol w:w="109"/>
        <w:gridCol w:w="109"/>
        <w:gridCol w:w="109"/>
        <w:gridCol w:w="109"/>
        <w:gridCol w:w="109"/>
        <w:gridCol w:w="109"/>
        <w:gridCol w:w="109"/>
        <w:gridCol w:w="109"/>
        <w:gridCol w:w="109"/>
        <w:gridCol w:w="563"/>
        <w:gridCol w:w="563"/>
        <w:gridCol w:w="563"/>
        <w:gridCol w:w="563"/>
        <w:gridCol w:w="563"/>
        <w:gridCol w:w="563"/>
        <w:gridCol w:w="563"/>
        <w:gridCol w:w="563"/>
        <w:gridCol w:w="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927"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5"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Douglas Francis, the Chief Executive Officer of WM Technology, Inc., certify, pursuant to 18 U.S.C. Section 1350, as adopted pursuant to Section 906 of the Sarbanes-Oxley Act of 2002, that the Annual Report on Form 10-K of WM Technology, Inc. for the annual period ended December 31, 2025, fully complies with the requirements of Section 13(a) or 15(d) of the Securities Exchange Act of 1934 and that the information contained in such Annual Report on Form 10-K fairly presents, in all material respects, the financial condition and results of operations of WM Technology, Inc.</w:t>
      </w:r>
    </w:p>
    <w:tbl>
      <w:tblPr>
        <w:tblW w:w="5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5"/>
        <w:gridCol w:w="155"/>
        <w:gridCol w:w="155"/>
        <w:gridCol w:w="155"/>
        <w:gridCol w:w="155"/>
        <w:gridCol w:w="155"/>
        <w:gridCol w:w="155"/>
        <w:gridCol w:w="155"/>
        <w:gridCol w:w="155"/>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Susan Echard, the Chief Financial Officer of WM Technology, Inc., certify, pursuant to 18 U.S.C. Section 1350, as adopted pursuant to Section 906 of the Sarbanes-Oxley Act of 2002, that the Annual Report on Form 10-K of WM Technology, Inc. for the annual period ended December 31, 2025, fully complies with the requirements of Section 13(a) or 15(d) of the Securities Exchange Act of 1934, and that the information contained in such Annual Report on Form 10-K fairly presents, in all material respects, the financial condition and results of operations of WM Technology, Inc.</w:t>
      </w:r>
    </w:p>
    <w:tbl>
      <w:tblPr>
        <w:tblW w:w="86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5"/>
        <w:gridCol w:w="155"/>
        <w:gridCol w:w="155"/>
        <w:gridCol w:w="155"/>
        <w:gridCol w:w="155"/>
        <w:gridCol w:w="155"/>
        <w:gridCol w:w="155"/>
        <w:gridCol w:w="155"/>
        <w:gridCol w:w="155"/>
        <w:gridCol w:w="109"/>
        <w:gridCol w:w="109"/>
        <w:gridCol w:w="109"/>
        <w:gridCol w:w="109"/>
        <w:gridCol w:w="109"/>
        <w:gridCol w:w="109"/>
        <w:gridCol w:w="109"/>
        <w:gridCol w:w="109"/>
        <w:gridCol w:w="109"/>
        <w:gridCol w:w="563"/>
        <w:gridCol w:w="563"/>
        <w:gridCol w:w="563"/>
        <w:gridCol w:w="563"/>
        <w:gridCol w:w="563"/>
        <w:gridCol w:w="563"/>
        <w:gridCol w:w="563"/>
        <w:gridCol w:w="563"/>
        <w:gridCol w:w="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12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Annual Report on Form 10-K of WM Technology, Inc. for the annual period ended December 31, 2025, is not deemed filed with the Securities and Exchange Commission and is not to be incorporated by reference into any filing of WM Technology, Inc. under the Securities Act of 1933, as amended, or the Securities Exchange Act of 1934, as amended (whether made before or after the date of such Annual Report on Form 10-K),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79474/000095010320024045/dp142700_ex0201.htm" TargetMode="External"/><Relationship Id="rId4" Type="http://schemas.openxmlformats.org/officeDocument/2006/relationships/hyperlink" Target="https://www.sec.gov/Archives/edgar/data/1779474/000095010320024045/dp142700_ex0201.htm" TargetMode="External"/><Relationship Id="rId5" Type="http://schemas.openxmlformats.org/officeDocument/2006/relationships/hyperlink" Target="https://www.sec.gov/Archives/edgar/data/1779474/000114036121021785/brhc10025756_ex3-1.htm" TargetMode="External"/><Relationship Id="rId6" Type="http://schemas.openxmlformats.org/officeDocument/2006/relationships/hyperlink" Target="https://www.sec.gov/Archives/edgar/data/1779474/000114036121021785/brhc10025756_ex3-1.htm" TargetMode="External"/><Relationship Id="rId7" Type="http://schemas.openxmlformats.org/officeDocument/2006/relationships/hyperlink" Target="https://www.sec.gov/Archives/edgar/data/1779474/000114036121021785/brhc10025756_ex3-2.htm" TargetMode="External"/><Relationship Id="rId8" Type="http://schemas.openxmlformats.org/officeDocument/2006/relationships/hyperlink" Target="https://www.sec.gov/Archives/edgar/data/1779474/000114036121021785/brhc10025756_ex3-2.htm" TargetMode="External"/><Relationship Id="rId9" Type="http://schemas.openxmlformats.org/officeDocument/2006/relationships/hyperlink" Target="https://www.sec.gov/Archives/edgar/data/1779474/000114036121021785/brhc10025756_ex4-1.htm" TargetMode="External"/><Relationship Id="rId10" Type="http://schemas.openxmlformats.org/officeDocument/2006/relationships/hyperlink" Target="https://www.sec.gov/Archives/edgar/data/1779474/000114036121021785/brhc10025756_ex4-1.htm" TargetMode="External"/><Relationship Id="rId11" Type="http://schemas.openxmlformats.org/officeDocument/2006/relationships/hyperlink" Target="https://www.sec.gov/Archives/edgar/data/1779474/000114036121021785/brhc10025756_ex4-2.htm" TargetMode="External"/><Relationship Id="rId12" Type="http://schemas.openxmlformats.org/officeDocument/2006/relationships/hyperlink" Target="https://www.sec.gov/Archives/edgar/data/1779474/000114036121021785/brhc10025756_ex4-2.htm" TargetMode="External"/><Relationship Id="rId13" Type="http://schemas.openxmlformats.org/officeDocument/2006/relationships/hyperlink" Target="https://www.sec.gov/Archives/edgar/data/1779474/000095010319010751/dp111173_ex0401.htm" TargetMode="External"/><Relationship Id="rId14" Type="http://schemas.openxmlformats.org/officeDocument/2006/relationships/hyperlink" Target="https://www.sec.gov/Archives/edgar/data/1779474/000095010319010751/dp111173_ex0401.htm" TargetMode="External"/><Relationship Id="rId15" Type="http://schemas.openxmlformats.org/officeDocument/2006/relationships/hyperlink" Target="https://www.sec.gov/Archives/edgar/data/1779474/000177947422000010/exhibit45descriptionofsecu.htm" TargetMode="External"/><Relationship Id="rId16" Type="http://schemas.openxmlformats.org/officeDocument/2006/relationships/hyperlink" Target="https://www.sec.gov/Archives/edgar/data/1779474/000177947422000010/exhibit45descriptionofsecu.htm" TargetMode="External"/><Relationship Id="rId17" Type="http://schemas.openxmlformats.org/officeDocument/2006/relationships/hyperlink" Target="https://www.sec.gov/Archives/edgar/data/1779474/000114036121021785/brhc10025756_ex10-1.htm" TargetMode="External"/><Relationship Id="rId18" Type="http://schemas.openxmlformats.org/officeDocument/2006/relationships/hyperlink" Target="https://www.sec.gov/Archives/edgar/data/1779474/000114036121021785/brhc10025756_ex10-1.htm" TargetMode="External"/><Relationship Id="rId19" Type="http://schemas.openxmlformats.org/officeDocument/2006/relationships/hyperlink" Target="https://www.sec.gov/Archives/edgar/data/1779474/000114036121021785/brhc10025756_ex10-2.htm" TargetMode="External"/><Relationship Id="rId20" Type="http://schemas.openxmlformats.org/officeDocument/2006/relationships/hyperlink" Target="https://www.sec.gov/Archives/edgar/data/1779474/000114036121021785/brhc10025756_ex10-2.htm" TargetMode="External"/><Relationship Id="rId21" Type="http://schemas.openxmlformats.org/officeDocument/2006/relationships/hyperlink" Target="https://www.sec.gov/Archives/edgar/data/1779474/000114036121021785/brhc10025756_ex10-3.htm" TargetMode="External"/><Relationship Id="rId22" Type="http://schemas.openxmlformats.org/officeDocument/2006/relationships/hyperlink" Target="https://www.sec.gov/Archives/edgar/data/1779474/000114036121021785/brhc10025756_ex10-3.htm" TargetMode="External"/><Relationship Id="rId23" Type="http://schemas.openxmlformats.org/officeDocument/2006/relationships/hyperlink" Target="https://www.sec.gov/Archives/edgar/data/1779474/000095010320024045/dp142700_ex1001.htm" TargetMode="External"/><Relationship Id="rId24" Type="http://schemas.openxmlformats.org/officeDocument/2006/relationships/hyperlink" Target="https://www.sec.gov/Archives/edgar/data/1779474/000095010320024045/dp142700_ex1001.htm" TargetMode="External"/><Relationship Id="rId25" Type="http://schemas.openxmlformats.org/officeDocument/2006/relationships/hyperlink" Target="https://www.sec.gov/Archives/edgar/data/1779474/000114036121021785/brhc10025756_ex10-5.htm" TargetMode="External"/><Relationship Id="rId26" Type="http://schemas.openxmlformats.org/officeDocument/2006/relationships/hyperlink" Target="https://www.sec.gov/Archives/edgar/data/1779474/000114036121021785/brhc10025756_ex10-5.htm" TargetMode="External"/><Relationship Id="rId27" Type="http://schemas.openxmlformats.org/officeDocument/2006/relationships/hyperlink" Target="https://www.sec.gov/Archives/edgar/data/1779474/000114036121021785/brhc10025756_ex10-6.htm" TargetMode="External"/><Relationship Id="rId28" Type="http://schemas.openxmlformats.org/officeDocument/2006/relationships/hyperlink" Target="https://www.sec.gov/Archives/edgar/data/1779474/000114036121021785/brhc10025756_ex10-6.htm" TargetMode="External"/><Relationship Id="rId29" Type="http://schemas.openxmlformats.org/officeDocument/2006/relationships/hyperlink" Target="https://www.sec.gov/Archives/edgar/data/1779474/000114036121021785/brhc10025756_ex10-7.htm" TargetMode="External"/><Relationship Id="rId30" Type="http://schemas.openxmlformats.org/officeDocument/2006/relationships/hyperlink" Target="https://www.sec.gov/Archives/edgar/data/1779474/000114036121021785/brhc10025756_ex10-7.htm" TargetMode="External"/><Relationship Id="rId31" Type="http://schemas.openxmlformats.org/officeDocument/2006/relationships/hyperlink" Target="https://www.sec.gov/Archives/edgar/data/1779474/000114036121021785/brhc10025756_ex10-7a.htm" TargetMode="External"/><Relationship Id="rId32" Type="http://schemas.openxmlformats.org/officeDocument/2006/relationships/hyperlink" Target="https://www.sec.gov/Archives/edgar/data/1779474/000114036121021785/brhc10025756_ex10-7a.htm" TargetMode="External"/><Relationship Id="rId33" Type="http://schemas.openxmlformats.org/officeDocument/2006/relationships/hyperlink" Target="https://www.sec.gov/Archives/edgar/data/1779474/000114036121021785/brhc10025756_ex10-7b.htm" TargetMode="External"/><Relationship Id="rId34" Type="http://schemas.openxmlformats.org/officeDocument/2006/relationships/hyperlink" Target="https://www.sec.gov/Archives/edgar/data/1779474/000114036121021785/brhc10025756_ex10-7b.htm" TargetMode="External"/><Relationship Id="rId35" Type="http://schemas.openxmlformats.org/officeDocument/2006/relationships/hyperlink" Target="https://www.sec.gov/Archives/edgar/data/1779474/000114036121021785/brhc10025756_ex10-8.htm" TargetMode="External"/><Relationship Id="rId36" Type="http://schemas.openxmlformats.org/officeDocument/2006/relationships/hyperlink" Target="https://www.sec.gov/Archives/edgar/data/1779474/000114036121021785/brhc10025756_ex10-8.htm" TargetMode="External"/><Relationship Id="rId37" Type="http://schemas.openxmlformats.org/officeDocument/2006/relationships/hyperlink" Target="https://www.sec.gov/Archives/edgar/data/1779474/000114036121021785/brhc10025756_ex10-12.htm" TargetMode="External"/><Relationship Id="rId38" Type="http://schemas.openxmlformats.org/officeDocument/2006/relationships/hyperlink" Target="https://www.sec.gov/Archives/edgar/data/1779474/000114036121021785/brhc10025756_ex10-12.htm" TargetMode="External"/><Relationship Id="rId39" Type="http://schemas.openxmlformats.org/officeDocument/2006/relationships/hyperlink" Target="https://www.sec.gov/Archives/edgar/data/1779474/000114036121021785/brhc10025756_ex10-13.htm" TargetMode="External"/><Relationship Id="rId40" Type="http://schemas.openxmlformats.org/officeDocument/2006/relationships/hyperlink" Target="https://www.sec.gov/Archives/edgar/data/1779474/000114036121021785/brhc10025756_ex10-13.htm" TargetMode="External"/><Relationship Id="rId41" Type="http://schemas.openxmlformats.org/officeDocument/2006/relationships/hyperlink" Target="https://www.sec.gov/Archives/edgar/data/1779474/000114036121021785/brhc10025756_ex10-14.htm" TargetMode="External"/><Relationship Id="rId42" Type="http://schemas.openxmlformats.org/officeDocument/2006/relationships/hyperlink" Target="https://www.sec.gov/Archives/edgar/data/1779474/000114036121021785/brhc10025756_ex10-14.htm" TargetMode="External"/><Relationship Id="rId43" Type="http://schemas.openxmlformats.org/officeDocument/2006/relationships/hyperlink" Target="https://www.sec.gov/Archives/edgar/data/1779474/000114036121021785/brhc10025756_ex10-15.htm" TargetMode="External"/><Relationship Id="rId44" Type="http://schemas.openxmlformats.org/officeDocument/2006/relationships/hyperlink" Target="https://www.sec.gov/Archives/edgar/data/1779474/000114036121021785/brhc10025756_ex10-15.htm" TargetMode="External"/><Relationship Id="rId45" Type="http://schemas.openxmlformats.org/officeDocument/2006/relationships/hyperlink" Target="https://www.sec.gov/Archives/edgar/data/1779474/000114036121021785/brhc10025756_ex10-16.htm" TargetMode="External"/><Relationship Id="rId46" Type="http://schemas.openxmlformats.org/officeDocument/2006/relationships/hyperlink" Target="https://www.sec.gov/Archives/edgar/data/1779474/000114036121021785/brhc10025756_ex10-16.htm" TargetMode="External"/><Relationship Id="rId47" Type="http://schemas.openxmlformats.org/officeDocument/2006/relationships/hyperlink" Target="https://www.sec.gov/Archives/edgar/data/1779474/000177947424000062/a102fifthamendmenttoleaseb.htm" TargetMode="External"/><Relationship Id="rId48" Type="http://schemas.openxmlformats.org/officeDocument/2006/relationships/hyperlink" Target="https://www.sec.gov/Archives/edgar/data/1779474/000177947424000062/a102fifthamendmenttoleaseb.htm" TargetMode="External"/><Relationship Id="rId49" Type="http://schemas.openxmlformats.org/officeDocument/2006/relationships/hyperlink" Target="https://www.sec.gov/Archives/edgar/data/1779474/000177947426000003/exhibit103wmtechnology-non.htm" TargetMode="External"/><Relationship Id="rId50" Type="http://schemas.openxmlformats.org/officeDocument/2006/relationships/hyperlink" Target="https://www.sec.gov/Archives/edgar/data/1779474/000177947426000003/exhibit103wmtechnology-non.htm" TargetMode="External"/><Relationship Id="rId51" Type="http://schemas.openxmlformats.org/officeDocument/2006/relationships/hyperlink" Target="https://www.sec.gov/Archives/edgar/data/1779474/000177947424000062/a103offerofemployment-fran.htm" TargetMode="External"/><Relationship Id="rId52" Type="http://schemas.openxmlformats.org/officeDocument/2006/relationships/hyperlink" Target="https://www.sec.gov/Archives/edgar/data/1779474/000177947424000062/a103offerofemployment-fran.htm" TargetMode="External"/><Relationship Id="rId53" Type="http://schemas.openxmlformats.org/officeDocument/2006/relationships/hyperlink" Target="https://www.sec.gov/Archives/edgar/data/1779474/000177947425000007/exhibit1019sarahgriffisoff.htm" TargetMode="External"/><Relationship Id="rId54" Type="http://schemas.openxmlformats.org/officeDocument/2006/relationships/hyperlink" Target="https://www.sec.gov/Archives/edgar/data/1779474/000177947425000007/exhibit1019sarahgriffisoff.htm" TargetMode="External"/><Relationship Id="rId55" Type="http://schemas.openxmlformats.org/officeDocument/2006/relationships/hyperlink" Target="https://www.sec.gov/Archives/edgar/data/1779474/000177947424000023/exhibit1020briancamiresoff.htm" TargetMode="External"/><Relationship Id="rId56" Type="http://schemas.openxmlformats.org/officeDocument/2006/relationships/hyperlink" Target="https://www.sec.gov/Archives/edgar/data/1779474/000177947424000023/exhibit1020briancamiresoff.htm" TargetMode="External"/><Relationship Id="rId57" Type="http://schemas.openxmlformats.org/officeDocument/2006/relationships/hyperlink" Target="https://www.sec.gov/Archives/edgar/data/1779474/000177947426000003/exhibit101offerletter-susa.htm" TargetMode="External"/><Relationship Id="rId58" Type="http://schemas.openxmlformats.org/officeDocument/2006/relationships/hyperlink" Target="https://www.sec.gov/Archives/edgar/data/1779474/000177947426000003/exhibit101offerletter-susa.htm" TargetMode="External"/><Relationship Id="rId59" Type="http://schemas.openxmlformats.org/officeDocument/2006/relationships/hyperlink" Target="https://www.sec.gov/Archives/edgar/data/1779474/000177947426000003/exhibit101offerletter-susa.htm" TargetMode="External"/><Relationship Id="rId60" Type="http://schemas.openxmlformats.org/officeDocument/2006/relationships/hyperlink" Target="https://www.sec.gov/Archives/edgar/data/1779474/000177947426000003/exhibit101offerletter-susa.htm" TargetMode="External"/><Relationship Id="rId61" Type="http://schemas.openxmlformats.org/officeDocument/2006/relationships/hyperlink" Target="https://www.sec.gov/Archives/edgar/data/1779474/000177947426000003/exhibit101offerletter-susa.htm" TargetMode="External"/><Relationship Id="rId62" Type="http://schemas.openxmlformats.org/officeDocument/2006/relationships/hyperlink" Target="https://www.sec.gov/Archives/edgar/data/1779474/000177947426000003/exhibit101offerletter-susa.htm" TargetMode="External"/><Relationship Id="rId63" Type="http://schemas.openxmlformats.org/officeDocument/2006/relationships/hyperlink" Target="https://www.sec.gov/Archives/edgar/data/1779474/000177947426000003/exhibit101offerletter-susa.htm" TargetMode="External"/><Relationship Id="rId64" Type="http://schemas.openxmlformats.org/officeDocument/2006/relationships/hyperlink" Target="https://www.sec.gov/Archives/edgar/data/1779474/000177947426000003/exhibit101offerletter-susa.htm" TargetMode="External"/><Relationship Id="rId65" Type="http://schemas.openxmlformats.org/officeDocument/2006/relationships/hyperlink" Target="https://www.sec.gov/Archives/edgar/data/1779474/000177947426000003/exhibit101offerletter-susa.htm" TargetMode="External"/><Relationship Id="rId66" Type="http://schemas.openxmlformats.org/officeDocument/2006/relationships/hyperlink" Target="https://www.sec.gov/Archives/edgar/data/1779474/000177947423000062/exhibit101q223.htm" TargetMode="External"/><Relationship Id="rId67" Type="http://schemas.openxmlformats.org/officeDocument/2006/relationships/hyperlink" Target="https://www.sec.gov/Archives/edgar/data/1779474/000177947423000062/exhibit101q223.htm" TargetMode="External"/><Relationship Id="rId68" Type="http://schemas.openxmlformats.org/officeDocument/2006/relationships/hyperlink" Target="https://www.sec.gov/Archives/edgar/data/1779474/000177947424000023/exhibit1023seatonhillresou.htm" TargetMode="External"/><Relationship Id="rId69" Type="http://schemas.openxmlformats.org/officeDocument/2006/relationships/hyperlink" Target="https://www.sec.gov/Archives/edgar/data/1779474/000177947424000023/exhibit1023seatonhillresou.htm" TargetMode="External"/><Relationship Id="rId70" Type="http://schemas.openxmlformats.org/officeDocument/2006/relationships/hyperlink" Target="https://www.sec.gov/Archives/edgar/data/1779474/000177947426000003/exhibit102wmtechnology-sev.htm" TargetMode="External"/><Relationship Id="rId71" Type="http://schemas.openxmlformats.org/officeDocument/2006/relationships/hyperlink" Target="https://www.sec.gov/Archives/edgar/data/1779474/000177947426000003/exhibit102wmtechnology-sev.htm" TargetMode="External"/><Relationship Id="rId72" Type="http://schemas.openxmlformats.org/officeDocument/2006/relationships/hyperlink" Target="https://www.sec.gov/Archives/edgar/data/1779474/000177947426000003/exhibit102wmtechnology-sev.htm" TargetMode="External"/><Relationship Id="rId73" Type="http://schemas.openxmlformats.org/officeDocument/2006/relationships/hyperlink" Target="https://www.sec.gov/Archives/edgar/data/1779474/000177947425000007/exhibit191insidertradingpo.htm" TargetMode="External"/><Relationship Id="rId74" Type="http://schemas.openxmlformats.org/officeDocument/2006/relationships/hyperlink" Target="https://www.sec.gov/Archives/edgar/data/1779474/000177947425000007/exhibit191insidertradingpo.htm" TargetMode="External"/><Relationship Id="rId75" Type="http://schemas.openxmlformats.org/officeDocument/2006/relationships/hyperlink" Target="https://www.sec.gov/Archives/edgar/data/1779474/000177947424000023/exhibit97incentivecompensa.htm" TargetMode="External"/><Relationship Id="rId76" Type="http://schemas.openxmlformats.org/officeDocument/2006/relationships/hyperlink" Target="https://www.sec.gov/Archives/edgar/data/1779474/000177947424000023/exhibit97incentivecompensa.htm" TargetMode="External"/><Relationship Id="rId77" Type="http://schemas.openxmlformats.org/officeDocument/2006/relationships/image" Target="media/image2.jpeg"/><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82534</Words>
  <Characters>462590</Characters>
  <CharactersWithSpaces>542908</CharactersWithSpaces>
  <Paragraphs>3717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