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Ira J. Schacter</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0000FF"/>
        </w:rPr>
        <w:t>200 Liberty Street,</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10281</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212-504-6000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Justin Hartfield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19,339,746.00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10,040,150.00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19,339,746.00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10,040,150.00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29,379,896.00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7 and Row 9 include 61,679 shares of Class A common stock and 19,278,067 shares of Class V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stock. (2) Row 8 and Row 10 include 8,469,191 shares of Class V common stock held directly by Ghost Media, LLC</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("Ghost Media") and 1,570,959 shares of Class V common stock held directly by WM Founders Legacy II, LLC</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("WMFL II"). Ghost Media is controlled by Mr. Justin Hartfield and Mr. Douglas Francis, and WMFL II is controlled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by Mr. Hartfield. Accordingly, Mr. Hartfield may be deemed to be a beneficial owner of the shares held by Ghost</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Media and WMFL II. (3) Row 11 includes shares of Class A common stock and Class V common stock. (4) The percentage in Row 13 is calculated based on a total of 154,373,308 shares of the Issuer's Class A common stock and Class V common stock outstanding as of May 1, 2025, as reported in the Issuer's Quarterly Report on Form 10-Q for the fiscal quarter ended March 31, 2025 (the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Douglas Francis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12,626,906.00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19,229,789.00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12,626,906.00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19,229,789.00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31,856,695.00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7 and Row 9 include 8,886,513 shares of Class A common stock and 3,740,393 shares of Class V common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(2) Row 8 and Row 10 include 8,691,425 shares of Class V common stock held directly by the Rebecca Francis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Legacy Trust dated 5/14/24 (the "Trust"), 8,469,191 shares of Class V common stock held directly by Ghost Media,</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1,468,555 shares of Class V common stock held directly by WM Founders Legacy I, LLC ("WMFL I") and 600,618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shares of Class V common stock held directly by Genco Incentives LLC ("Genco"). Mr. Francis is the Investment</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Trustee of the Trust, Ghost Media is controlled by Mr. Hartfield and Mr. Francis, and WMFL I and Genco are controlled by Mr. Francis. Accordingly, Mr. Francis may be deemed to be a beneficial owner of the shares held by the Trust, Ghost Media, WMFL I and Genco. (3) Row 7, Row 9 and Row 11 include 4,342,391 shares of Class A common stock underlying restricted stock units which were granted to Mr. Francis on November 7, 2024 and which began vesting in roughly equal quarterly installments over 3 years beginning on February 15, 2025, subject to his continuous employment by the Issuer. (4) The percentage in Row 13 is calculated based on a total of 154,373,308 shares of the Issuer's Class A common stock and Class V common stock outstanding as of May 1, 2025, as reported in the 10-Q, plus 361,865 shares of Class A common stock underlying the portion of the restricted stock units discussed above which vested on May 15, 2025, plus 3,618,661 shares of Class A common stock underlying the remaining portion of restricted stock units discussed above which have not yet vested.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Rebecca Francis Legacy Trust dated 5/14/24</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355" w:right="339" w:bottom="0" w:gutter="0" w:footer="0" w:header="0"/>
        </w:sectPr>
      </w:pPr>
    </w:p>
    <w:bookmarkStart w:id="3" w:name="page4"/>
    <w:bookmarkEnd w:id="3"/>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8,691,425.00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8,691,425.00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8,691,425.00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8 and Row 10 include shares of Class V common stock which are held directly by the Trust. Mr. Francis is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Investment Trustee of the Trust. Accordingly, Mr. Francis may be deemed to be a beneficial owner of the shares held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by the Trust. (2) Row 11 includes shares of Class V common stock. (3) The percentage in Row 13 is calculated based</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on a total of 154,373,308 shares of the Issuer's Class A common stock and Class V common stock outstanding as of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May 1, 2025, as reported in the 10-Q.</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Ghost Media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2" w:right="339" w:bottom="46" w:gutter="0" w:footer="0" w:header="0"/>
        </w:sectPr>
      </w:pPr>
    </w:p>
    <w:bookmarkStart w:id="4" w:name="page5"/>
    <w:bookmarkEnd w:id="4"/>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8,469,191.00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8,469,191.00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8,469,191.00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8 and Row 10 include shares of Class V common stock which are held directly by Ghost Media. Ghost Media</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is controlled by Mr. Hartfield and Mr. Francis. Accordingly, Mr. Hartfield and Mr. Francis may be deemed to be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beneficial owners of the shares held by Ghost Media. (2) Row 11 includes shares of Class V common stock. (3)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percentage in Row 13 is calculated based on a total of 154,373,308 shares of the Issuer's Class A common stock and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Class V common stock outstanding as of May 1, 2025, as reported in the 10-Q.</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WM Founders Legacy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1,468,555.00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30" w:orient="portrait"/>
          <w:cols w:equalWidth="0" w:num="1">
            <w:col w:w="11240"/>
          </w:cols>
          <w:pgMar w:left="320" w:top="112" w:right="339" w:bottom="0" w:gutter="0" w:footer="0" w:header="0"/>
        </w:sectPr>
      </w:pPr>
    </w:p>
    <w:bookmarkStart w:id="5" w:name="page6"/>
    <w:bookmarkEnd w:id="5"/>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1,468,555.00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1,468,555.00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8 and Row 10 include shares of Class V common stock held directly by WMFL I. WMFL I is controlled by</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Mr. Francis. Accordingly, Mr. Francis may be deemed to be beneficial owner of the shares held by WMFL I. (2) Row</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 includes shares of Class V common stock. (3) The percentage in Row 13 is calculated based on a total of</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154,373,308 shares of the Issuer's Class A common stock and Class V common stock outstanding as of May 1, 2025,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as reported in the 10-Q.</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WM Founders Legacy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1,570,959.00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1,570,959.00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1,570,959.00</w:t>
      </w:r>
    </w:p>
    <w:p>
      <w:pPr>
        <w:sectPr>
          <w:pgSz w:w="11900" w:h="16838" w:orient="portrait"/>
          <w:cols w:equalWidth="0" w:num="2">
            <w:col w:w="1100" w:space="60"/>
            <w:col w:w="10080"/>
          </w:cols>
          <w:pgMar w:left="320" w:top="355" w:right="339" w:bottom="0" w:gutter="0" w:footer="0" w:header="0"/>
          <w:type w:val="continuous"/>
        </w:sectPr>
      </w:pPr>
    </w:p>
    <w:bookmarkStart w:id="6" w:name="page7"/>
    <w:bookmarkEnd w:id="6"/>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8 and Row 10 include shares of Class V common stock held directly by WMFL II. WMFL II is controlled by</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Mr. Hartfield. Accordingly, Mr. Hartfield may be deemed to be beneficial owner of the shares held by WMFL II. (2)</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Row 11 includes shares of Class V common stock. (3) The percentage in Row 13 is calculated based on a total of</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154,373,308 shares of the Issuer's Class A common stock and Class V common stock outstanding as of May 1, 2025,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as reported in the 10-Q.</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Genco Incentives,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5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600,618.00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600,618.00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600,618.00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ectPr>
          <w:pgSz w:w="11900" w:h="16838" w:orient="portrait"/>
          <w:cols w:equalWidth="0" w:num="2">
            <w:col w:w="1100" w:space="60"/>
            <w:col w:w="10080"/>
          </w:cols>
          <w:pgMar w:left="320" w:top="111" w:right="339" w:bottom="57"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1" w:right="339" w:bottom="57"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Row 8 and Row 10 include shares of Class V common stock which are held directly by Genco. Genco is controlled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by Mr. Francis. Accordingly, Mr. Francis may be deemed to be beneficial owner of the shares held by Genco. (2) Row</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 includes shares of Class V common stock. (3) The percentage in Row 13 is calculated based on a total of</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154,373,308 shares of the Issuer's Class A common stock and Class V common stock outstanding as of May 1, 2025,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as reported in the 10-Q.</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8901 E. Pima Center Parkway, Suite 145, Scottsdale, ARIZONA , 85258.</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with the Securities and Exchange Commission on June 28, 2021 relating to the Class A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and Class V common stock of the Issuer, as amended by Amendment No. 1 thereto filed on May 31, 2024 and Amendment No. 2 filed on December 18, 2024 (collectively, the "Original Schedule 13D" and, as amended and supplemented by this Amendment, this "Schedule 13D"). Unless otherwise amended hereby, all information previously filed on the Original Schedule 13D remains in effect. Information given in response to each item shall be deemed incorporated by reference in all other items, as applicable. Capitalized terms not defined in this Amendment have the meanings ascribed to them in the Original Schedule 13D. The Reporting Persons expressly disclaim status as</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 "group" for purposes of this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60"/>
        <w:spacing w:after="0" w:line="253" w:lineRule="auto"/>
        <w:rPr>
          <w:sz w:val="20"/>
          <w:szCs w:val="20"/>
          <w:color w:val="auto"/>
        </w:rPr>
      </w:pPr>
      <w:r>
        <w:rPr>
          <w:rFonts w:ascii="Times New Roman" w:cs="Times New Roman" w:eastAsia="Times New Roman" w:hAnsi="Times New Roman"/>
          <w:sz w:val="21"/>
          <w:szCs w:val="21"/>
          <w:color w:val="auto"/>
        </w:rPr>
        <w:t>Item 2(a) of the Original Schedule 13D is hereby amended and restated in its entirety as follows: (a) The persons and entities filing this statement are Justin Hartfield ("Mr. Hartfield"), Douglas Francis ("Mr. Francis"), Rebecca Francis</w:t>
      </w:r>
    </w:p>
    <w:p>
      <w:pPr>
        <w:spacing w:after="0" w:line="1" w:lineRule="exact"/>
        <w:rPr>
          <w:sz w:val="20"/>
          <w:szCs w:val="20"/>
          <w:color w:val="auto"/>
        </w:rPr>
      </w:pPr>
    </w:p>
    <w:p>
      <w:pPr>
        <w:jc w:val="both"/>
        <w:ind w:left="960" w:right="760" w:hanging="912"/>
        <w:spacing w:after="0" w:line="235"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Legacy Trust dated 5/14/24 (the "Trust"), Ghost Media, LLC ("Ghost Media"), WM Founders Legacy I, LLC ("WMFL I"), WM Founders Legacy II, LLC ("WMFL II) and Genco Incentives, LLC ("Genco") (collectively referred to as the "Reporting Persons").</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00"/>
        <w:spacing w:after="0" w:line="244" w:lineRule="auto"/>
        <w:rPr>
          <w:sz w:val="20"/>
          <w:szCs w:val="20"/>
          <w:color w:val="auto"/>
        </w:rPr>
      </w:pPr>
      <w:r>
        <w:rPr>
          <w:rFonts w:ascii="Times New Roman" w:cs="Times New Roman" w:eastAsia="Times New Roman" w:hAnsi="Times New Roman"/>
          <w:sz w:val="21"/>
          <w:szCs w:val="21"/>
          <w:color w:val="auto"/>
        </w:rPr>
        <w:t>Item 4 of the Original Schedule 13D is hereby amended and supplemented by the addition of the following: On June 23, 2025, Mr. Francis and Mr. Hartfield delivered a letter (the "Letter of Withdrawal") to the Special Committee of the Board, pursuant to which, effective immediately, the Reporting Persons withdrew their non-binding Proposal previously delivered to the Board on December 17, 2024. The foregoing description of the Letter of Withdrawal is qualified in its entirety by reference to the Letter of Withdrawal, a copy of which is attached hereto as Exhibit 99.8, and is incorporated into this Item 4 by reference. The Reporting Persons may continue to, consider and evaluate one or more plans, proposals or potential transactions which may result in one or more of the actions specified in clauses</w:t>
      </w:r>
    </w:p>
    <w:p>
      <w:pPr>
        <w:spacing w:after="0" w:line="6" w:lineRule="exact"/>
        <w:rPr>
          <w:sz w:val="20"/>
          <w:szCs w:val="20"/>
          <w:color w:val="auto"/>
        </w:rPr>
      </w:pPr>
    </w:p>
    <w:p>
      <w:pPr>
        <w:ind w:left="960" w:right="520" w:firstLine="6"/>
        <w:spacing w:after="0" w:line="234" w:lineRule="auto"/>
        <w:tabs>
          <w:tab w:leader="none" w:pos="12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of the Act, including, but not limited to, an extraordinary corporate transaction, such as a merger, reorganization or liquidation, sale of a material amount of assets of the Issuer or its subsidiaries, or other transactions which might have the effect of causing the Class A common stock to become eligible for termination of registration under Section 12(g) of the Act.</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Item 5(a) of the Original Schedule 13D is hereby amended and restated in its entirety as follows: The information set</w:t>
      </w:r>
    </w:p>
    <w:p>
      <w:pPr>
        <w:spacing w:after="0" w:line="26" w:lineRule="exact"/>
        <w:rPr>
          <w:sz w:val="20"/>
          <w:szCs w:val="20"/>
          <w:color w:val="auto"/>
        </w:rPr>
      </w:pPr>
    </w:p>
    <w:p>
      <w:pPr>
        <w:ind w:left="960" w:right="780" w:hanging="912"/>
        <w:spacing w:after="0" w:line="237" w:lineRule="auto"/>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 in rows (7) through (13) of, and the comments to, the cover pages of this Amendment is incorporated by reference into this Item 5(a).</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5(b) of the Original Schedule 13D is hereby amended and restated in its entirety as follows: The information set</w:t>
      </w:r>
    </w:p>
    <w:p>
      <w:pPr>
        <w:spacing w:after="0" w:line="25" w:lineRule="exact"/>
        <w:rPr>
          <w:rFonts w:ascii="Times New Roman" w:cs="Times New Roman" w:eastAsia="Times New Roman" w:hAnsi="Times New Roman"/>
          <w:sz w:val="22"/>
          <w:szCs w:val="22"/>
          <w:color w:val="auto"/>
        </w:rPr>
      </w:pPr>
    </w:p>
    <w:p>
      <w:pPr>
        <w:ind w:left="960" w:right="780" w:hanging="912"/>
        <w:spacing w:after="0" w:line="237" w:lineRule="auto"/>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 in rows (7) through (13) of, and the comments to, the cover pages of this Amendment is incorporated by reference into this Item 5(b).</w:t>
      </w:r>
    </w:p>
    <w:p>
      <w:pPr>
        <w:spacing w:after="0" w:line="16" w:lineRule="exact"/>
        <w:rPr>
          <w:rFonts w:ascii="Times New Roman" w:cs="Times New Roman" w:eastAsia="Times New Roman" w:hAnsi="Times New Roman"/>
          <w:sz w:val="22"/>
          <w:szCs w:val="22"/>
          <w:color w:val="auto"/>
        </w:rPr>
      </w:pPr>
    </w:p>
    <w:p>
      <w:pPr>
        <w:ind w:left="960" w:right="4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of the Original Schedule 13D is hereby amended and supplemented by the addition of the following: On December 31, 2024, Mr. Francis transferred 8,691,425 shares of Class V common stock to the Trust for estate planning purposes. On February 18, 2025 and May 16, 2025, Mr. Francis sold 92,328 shares of Class A common</w:t>
      </w:r>
    </w:p>
    <w:p>
      <w:pPr>
        <w:spacing w:after="0" w:line="1" w:lineRule="exact"/>
        <w:rPr>
          <w:rFonts w:ascii="Times New Roman" w:cs="Times New Roman" w:eastAsia="Times New Roman" w:hAnsi="Times New Roman"/>
          <w:sz w:val="22"/>
          <w:szCs w:val="22"/>
          <w:color w:val="auto"/>
        </w:rPr>
      </w:pPr>
    </w:p>
    <w:p>
      <w:pPr>
        <w:ind w:left="960" w:right="340" w:hanging="912"/>
        <w:spacing w:after="0" w:line="196" w:lineRule="auto"/>
        <w:tabs>
          <w:tab w:leader="none" w:pos="960" w:val="left"/>
        </w:tabs>
        <w:numPr>
          <w:ilvl w:val="0"/>
          <w:numId w:val="1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stock and 155,897 shares of Class A common stock, respectively, in order to cover tax withholding obligations in connection with the vesting of restricted stock units, as well as any related brokerage commission fees. These sales satisfied the tax withholding obligations to be funded by a "sell to cover" transaction and do not represent a discretionary trade by the Reporting Person. Other than the foregoing, there have been no other transactions by the Reporting Persons in the securities of the Issuer that were effected within the past 60 days.</w:t>
      </w:r>
    </w:p>
    <w:p>
      <w:pPr>
        <w:sectPr>
          <w:pgSz w:w="11900" w:h="16838" w:orient="portrait"/>
          <w:cols w:equalWidth="0" w:num="1">
            <w:col w:w="11240"/>
          </w:cols>
          <w:pgMar w:left="320" w:top="111" w:right="339" w:bottom="0" w:gutter="0" w:footer="0" w:header="0"/>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5" w:lineRule="exact"/>
        <w:rPr>
          <w:sz w:val="20"/>
          <w:szCs w:val="20"/>
          <w:color w:val="auto"/>
        </w:rPr>
      </w:pPr>
    </w:p>
    <w:p>
      <w:pPr>
        <w:ind w:left="920" w:right="60"/>
        <w:spacing w:after="0" w:line="239" w:lineRule="auto"/>
        <w:rPr>
          <w:sz w:val="20"/>
          <w:szCs w:val="20"/>
          <w:color w:val="auto"/>
        </w:rPr>
      </w:pPr>
      <w:r>
        <w:rPr>
          <w:rFonts w:ascii="Times New Roman" w:cs="Times New Roman" w:eastAsia="Times New Roman" w:hAnsi="Times New Roman"/>
          <w:sz w:val="22"/>
          <w:szCs w:val="22"/>
          <w:color w:val="auto"/>
        </w:rPr>
        <w:t>Item 7 of the Original Schedule 13D is hereby amended and supplemented by adding the following exhibits to Item 7 of the Original Schedule 13D: Exhibit Description of Exhibits Number 99.8 Letter of Withdrawal, dated as of June 23, 2025, from certain of the Reporting Persons to the Board of Directors of the Issuer 99.9 Joint Filing Statement, dated as of June 23, 2025</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Justin Hartfield</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Hartfield</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Justin Hartfield</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Douglas Francis</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Francis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Douglas Francis</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Rebecca Francis Legacy Trust dated 5/14/24</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Francis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Rebecca Francis Legacy Trust dated 5/14/24/</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 Trustee</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Ghost Media Group, LLC</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Francis</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Ghost Media, LLC/Manager</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WM Founders Legacy I,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Francis</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WM Founders Legacy I, LLC/Manager</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WM Founders Legacy II,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Justin Hartfield</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WM Founders Legacy II, LLC/Manager</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Genco Incentives, LLC</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Francis</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Genco Incentives, LLC/Manager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ectPr>
          <w:pgSz w:w="11900" w:h="16838" w:orient="portrait"/>
          <w:cols w:equalWidth="0" w:num="1">
            <w:col w:w="11140"/>
          </w:cols>
          <w:pgMar w:left="360" w:top="111" w:right="3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99.8</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Discovery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Special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submitted our non-binding proposal to acquire all of the outstanding shares of common stock (Class A and Class V) of WM Technology,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we do not currently own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on December 17, 2024. Since that time, end-market dynamics and valuations in the licensed cannabis industry as well as risks to the broader US economy have changed materially. As a result of these external factors, we can no longer support and must withdraw the Proposal.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remain passionate about the Company and continue to believe in the benefits of a transaction for all stakeholders. We plan to continue to evaluate the situation and may submit an alternative proposal reflecting current market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Doug Francis</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Justin Hartfield</w:t>
            </w:r>
          </w:p>
        </w:tc>
        <w:tc>
          <w:tcPr>
            <w:tcW w:w="5620" w:type="dxa"/>
            <w:vAlign w:val="bottom"/>
          </w:tcPr>
          <w:p>
            <w:pPr>
              <w:spacing w:after="0"/>
              <w:rPr>
                <w:sz w:val="20"/>
                <w:szCs w:val="20"/>
                <w:color w:val="auto"/>
              </w:rPr>
            </w:pP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 Francis and Justin Hartfield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5620" w:type="dxa"/>
            <w:vAlign w:val="bottom"/>
          </w:tcPr>
          <w:p>
            <w:pPr>
              <w:spacing w:after="0"/>
              <w:rPr>
                <w:sz w:val="16"/>
                <w:szCs w:val="16"/>
                <w:color w:val="auto"/>
              </w:rPr>
            </w:pP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Co-Founders of WM Technology, Inc.</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75"/>
        </w:trPr>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99.9</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hereby agrees to the joint filing, along with all other such undersigned, on behalf of the Reporting Persons (as defined in the joint filing), of a statement on Schedule 13D (including amendments thereto) with respect to the Class A common stock and Class V common stock of WM Technology, Inc., and that this agreement be included as an Exhibit 99.9 to such joint filing. This agreement may be executed in any number of counterparts, all of which taken together shall constitute one and the same instrument. The undersigned acknowledge that each shall be responsible for the timely filing of any amendments, and for the completeness and accuracy of the information concerning him or it contained herein and therein, but shall not be responsible for the completeness and accuracy of the information concerning the others.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Justin Hartfield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Rebecca Francis Legacy Trust dated 5/14/24</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Douglas Francis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Investment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Ghost Media,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Douglas Francis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WM Founders Legacy 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Douglas Francis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WM Founders Legacy II,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Justin Hartfield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Genco Incentives,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Douglas Francis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4"/>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6"/>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3"/>
      <w:numFmt w:val="bullet"/>
      <w:start w:val="1"/>
    </w:lvl>
  </w:abstractNum>
  <w:abstractNum w:abstractNumId="13">
    <w:nsid w:val="6B68079A"/>
    <w:multiLevelType w:val="hybridMultilevel"/>
    <w:lvl w:ilvl="0">
      <w:lvlJc w:val="left"/>
      <w:lvlText w:val="2"/>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2025-06-23T16:06:54Z</dcterms:created>
  <dcterms:modified xsi:type="dcterms:W3CDTF">2025-06-23T16:06:54Z</dcterms:modified>
</cp:coreProperties>
</file>