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Freeman Brenda</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 DISCOVERY</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IRVINE</w:t>
            </w:r>
          </w:p>
        </w:tc>
        <w:tc>
          <w:tcPr>
            <w:tcW w:w="1140" w:type="dxa"/>
            <w:vAlign w:val="bottom"/>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WM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MAPS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2480" w:type="dxa"/>
            <w:vAlign w:val="bottom"/>
            <w:gridSpan w:val="3"/>
          </w:tcPr>
          <w:p>
            <w:pPr>
              <w:ind w:left="80"/>
              <w:spacing w:after="0"/>
              <w:rPr>
                <w:sz w:val="20"/>
                <w:szCs w:val="20"/>
                <w:color w:val="auto"/>
              </w:rPr>
            </w:pPr>
            <w:r>
              <w:rPr>
                <w:rFonts w:ascii="Arial" w:cs="Arial" w:eastAsia="Arial" w:hAnsi="Arial"/>
                <w:sz w:val="17"/>
                <w:szCs w:val="17"/>
                <w:color w:val="0000FF"/>
              </w:rPr>
              <w:t>10/01/2023</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28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10/01/2023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312,500</w:t>
            </w:r>
            <w:r>
              <w:rPr>
                <w:rFonts w:ascii="Arial" w:cs="Arial" w:eastAsia="Arial" w:hAnsi="Arial"/>
                <w:sz w:val="22"/>
                <w:szCs w:val="22"/>
                <w:color w:val="008000"/>
                <w:w w:val="85"/>
                <w:vertAlign w:val="superscript"/>
              </w:rPr>
              <w:t>(1)</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589,627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of Common Stock underlying restricted stock units ("RSUs"). Each RSU represents the contingent right to receive one share of the Issuer's Common Stock. The RSUs will fully vest in equal annual installments on the date of each remaining annual meeting of stockholders that is part of the Reporting Person's current term, beginning with the annual meeting that is following the Issuer's next annual meeting of stockholders subsequent to the effectiveness of this RSU grant, subject to acceleration, and subject to the Reporting Person's Continuous Service (as defined in the Issuer's 2021 Equity Incentive Plan) through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Brenda Freeman, by /s/ Ron</w:t>
            </w:r>
          </w:p>
        </w:tc>
        <w:tc>
          <w:tcPr>
            <w:tcW w:w="16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10/03/2023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w w:val="98"/>
              </w:rPr>
              <w:t>A. Metzger, Attorney-in-Fact</w:t>
            </w:r>
          </w:p>
        </w:tc>
        <w:tc>
          <w:tcPr>
            <w:tcW w:w="8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20"/>
                <w:szCs w:val="20"/>
                <w:color w:val="auto"/>
              </w:rPr>
            </w:pP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53153"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2023-10-03T18:13:00Z</dcterms:created>
  <dcterms:modified xsi:type="dcterms:W3CDTF">2023-10-03T18:13:00Z</dcterms:modified>
</cp:coreProperties>
</file>