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Griffis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8"/>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1,800,000</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1,800,000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1/3rd of the RSUs shall vest on February 15, 2026 and 1/12th of the remaining RSUs shall vest on each Quarterly Date (defined as each of February 15, May 15, August 15 and November 15) thereafter, subject to the recipient's Continuous Service (as defined in the Issuers 2021 Equity Incentive Plan)".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Sarah Griffis, by /s/ Brian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01/08/2025</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Camire, Attorney-in-Fact</w:t>
            </w:r>
          </w:p>
        </w:tc>
        <w:tc>
          <w:tcPr>
            <w:tcW w:w="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80" w:type="dxa"/>
            <w:vAlign w:val="bottom"/>
            <w:tcBorders>
              <w:top w:val="single" w:sz="8" w:color="auto"/>
              <w:bottom w:val="single" w:sz="8" w:color="auto"/>
            </w:tcBorders>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1436"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2025-01-08T19:38:00Z</dcterms:created>
  <dcterms:modified xsi:type="dcterms:W3CDTF">2025-01-08T19:38:00Z</dcterms:modified>
</cp:coreProperties>
</file>