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center"/>
        <w:rPr/>
      </w:pPr>
      <w:r>
        <w:rPr/>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February 26, 2024</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the Company’s Current Report on Form 8-K filed on July 20, 2023, Mary Hoitt was appointed as interim Chief Financial Officer (“CFO”) of WM Technology, Inc. (the “Company”) pursuant to an executive services agreement (the “Executive Services Agreement”), dated July 16, 2023, entered into by and between the Company and SeatonHill Partners, LP (“SeatonHill”) a leading national CFO services firm that also offers project based financial leadership.</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2024, SeatonHill informed the Company that it was removing Ms. Hoitt as the CFO Partner (as defined in the Executive Services Agreement) under the Executive Services Agreement and replacing her with Susan Echard, a partner at SeatonHill, effective immediately.</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01, 2024, the Board of Directors of the Company appointed Susan Echard, age 59, as interim CFO, to replace Ms. Hoitt, effective as of February 26, 2024, until a permanent CFO is identified. In such role, Ms. Echard will serve as the Company’s interim principal financial officer and principal accounting officer.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Ms. Echard has served as a partner at SeatonHill since February 2021.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Ms. Echard was appointed as interim CFO pursuant to the Executive Services Agreement. As previously disclosed on a Current Report on Form 8-K, dated July 20, 2023, under the Executive Services Agreement, the Company will pay SeatonHill a retainer of $60,000 a month, or at the option of the Company, $3,000 per day. In addition, the Company will directly pay or reimburse SeatonHill for reasonable expenses incurred by Ms. Echard in connection with her service to the Company. The Agreement also requires the Company to indemnify Ms. Echard and SeatonHill in connection with the performance of services for the Company. The Agreement has an indefinite term and is terminable by either party upon 30 days’ advance written notice.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Executive Services Agreement is qualified in its entirety by reference to the full text of the Executive Services Agreement, which was filed as an exhibit to the Company’s Quarterly Report on Form 10-Q for the quarter ending June 30, 2023, filed by the Company on August 9, 2023.</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herein, there are no arrangements or understandings between Ms. Echard and any other person pursuant to which Ms. Echard was selected as an officer of the Company, and Ms. Echard has no direct or indirect material interest in any transaction required to be disclosed pursuant to Item 404(a) of Regulation S-K. Ms. Echard does not have any family relationship with any director or executive officer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68" w:before="0" w:after="0"/>
        <w:jc w:val="left"/>
        <w:rPr/>
      </w:pPr>
      <w:r>
        <w:rPr>
          <w:rFonts w:ascii="Times New Roman;sans-serif" w:hAnsi="Times New Roman;sans-serif"/>
          <w:b/>
          <w:color w:val="000000"/>
          <w:sz w:val="20"/>
        </w:rPr>
        <w:t xml:space="preserve">(d) Exhibits. </w:t>
      </w:r>
      <w:r>
        <w:rPr>
          <w:rFonts w:ascii="Times New Roman;sans-serif" w:hAnsi="Times New Roman;sans-serif"/>
          <w:b w:val="false"/>
          <w:color w:val="000000"/>
          <w:sz w:val="20"/>
        </w:rPr>
        <w:t>The following exhibits are filed with this Current Report on Form 8-K:</w:t>
      </w:r>
    </w:p>
    <w:tbl>
      <w:tblPr>
        <w:tblW w:w="7363" w:type="dxa"/>
        <w:jc w:val="left"/>
        <w:tblInd w:w="0" w:type="dxa"/>
        <w:tblLayout w:type="fixed"/>
        <w:tblCellMar>
          <w:top w:w="28" w:type="dxa"/>
          <w:left w:w="28" w:type="dxa"/>
          <w:bottom w:w="28" w:type="dxa"/>
          <w:right w:w="28" w:type="dxa"/>
        </w:tblCellMar>
      </w:tblPr>
      <w:tblGrid>
        <w:gridCol w:w="157"/>
        <w:gridCol w:w="138"/>
        <w:gridCol w:w="141"/>
        <w:gridCol w:w="109"/>
        <w:gridCol w:w="109"/>
        <w:gridCol w:w="109"/>
        <w:gridCol w:w="1928"/>
        <w:gridCol w:w="1928"/>
        <w:gridCol w:w="2744"/>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4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734" w:type="dxa"/>
        <w:jc w:val="left"/>
        <w:tblInd w:w="0" w:type="dxa"/>
        <w:tblLayout w:type="fixed"/>
        <w:tblCellMar>
          <w:top w:w="28" w:type="dxa"/>
          <w:left w:w="28" w:type="dxa"/>
          <w:bottom w:w="28" w:type="dxa"/>
          <w:right w:w="28" w:type="dxa"/>
        </w:tblCellMar>
      </w:tblPr>
      <w:tblGrid>
        <w:gridCol w:w="350"/>
        <w:gridCol w:w="308"/>
        <w:gridCol w:w="308"/>
        <w:gridCol w:w="308"/>
        <w:gridCol w:w="308"/>
        <w:gridCol w:w="308"/>
        <w:gridCol w:w="383"/>
        <w:gridCol w:w="383"/>
        <w:gridCol w:w="383"/>
        <w:gridCol w:w="495"/>
        <w:gridCol w:w="495"/>
        <w:gridCol w:w="705"/>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89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1, 2024</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Francis</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Francis</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w:t>
            </w:r>
          </w:p>
        </w:tc>
      </w:tr>
      <w:tr>
        <w:trPr/>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1000</Words>
  <Characters>5400</Characters>
  <CharactersWithSpaces>6338</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