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0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0"/>
        </w:trPr>
        <w:tc>
          <w:tcPr>
            <w:tcW w:w="900" w:type="dxa"/>
            <w:vAlign w:val="bottom"/>
          </w:tcPr>
          <w:p>
            <w:pPr>
              <w:spacing w:after="0"/>
              <w:rPr>
                <w:sz w:val="21"/>
                <w:szCs w:val="21"/>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402"/>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19"/>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 2025, there were 105,053,766 shares of the registrant’s Class A common stock outstanding and 49,319,542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0"/>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0"/>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9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2025 and 2024</w:t>
            </w:r>
          </w:p>
        </w:tc>
        <w:tc>
          <w:tcPr>
            <w:tcW w:w="1600" w:type="dxa"/>
            <w:vAlign w:val="bottom"/>
          </w:tcPr>
          <w:p>
            <w:pPr>
              <w:spacing w:after="0"/>
              <w:rPr>
                <w:sz w:val="17"/>
                <w:szCs w:val="17"/>
                <w:color w:val="auto"/>
              </w:rPr>
            </w:pP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Months Ended March 31, 2025 and 2024</w:t>
            </w:r>
          </w:p>
        </w:tc>
        <w:tc>
          <w:tcPr>
            <w:tcW w:w="1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Cash Flows for the Three Months Ended March 31, 2025 and 2024</w:t>
            </w:r>
          </w:p>
        </w:tc>
        <w:tc>
          <w:tcPr>
            <w:tcW w:w="1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640" w:type="dxa"/>
            <w:vAlign w:val="bottom"/>
            <w:gridSpan w:val="7"/>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gridSpan w:val="2"/>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8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Market LLC (“Nasdaq”);</w:t>
      </w:r>
    </w:p>
    <w:p>
      <w:pPr>
        <w:spacing w:after="0" w:line="103"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war, or terrorist attack;</w:t>
      </w:r>
    </w:p>
    <w:p>
      <w:pPr>
        <w:spacing w:after="0" w:line="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and hemp industries;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2024, filed with the SEC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March 13, 2025.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 YOU CAN FIND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we post through these channels is not a part of this Quarterly Report on Form 10-Q. Any updates to the list of disclosure channels through which we will announce information will be posted on the investor relations page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26,601</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105,053,766</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March 31, 2025 and 99,033,110 shares issued and</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49,319,542 shares</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March 31, 2025 and 54,319,542 shares issued and outstanding at</w:t>
            </w: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92,941</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(56,879)</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36,077</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83,990</w:t>
            </w:r>
          </w:p>
        </w:tc>
      </w:tr>
      <w:tr>
        <w:trPr>
          <w:trHeight w:val="223"/>
        </w:trPr>
        <w:tc>
          <w:tcPr>
            <w:tcW w:w="7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120,067</w:t>
            </w: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5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9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9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92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r>
      <w:tr>
        <w:trPr>
          <w:trHeight w:val="257"/>
        </w:trPr>
        <w:tc>
          <w:tcPr>
            <w:tcW w:w="7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9"/>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29"/>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r>
      <w:tr>
        <w:trPr>
          <w:trHeight w:val="229"/>
        </w:trPr>
        <w:tc>
          <w:tcPr>
            <w:tcW w:w="7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23"/>
        </w:trPr>
        <w:tc>
          <w:tcPr>
            <w:tcW w:w="7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7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7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30"/>
        </w:trPr>
        <w:tc>
          <w:tcPr>
            <w:tcW w:w="7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7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48"/>
        </w:trPr>
        <w:tc>
          <w:tcPr>
            <w:tcW w:w="7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0"/>
        </w:trPr>
        <w:tc>
          <w:tcPr>
            <w:tcW w:w="72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720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104,041,260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94,704,164</w:t>
            </w:r>
          </w:p>
        </w:tc>
      </w:tr>
      <w:tr>
        <w:trPr>
          <w:trHeight w:val="229"/>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106,991,698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-4053840</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Issuance of common stock - vesting of</w:t>
      </w:r>
    </w:p>
    <w:p>
      <w:pPr>
        <w:spacing w:after="0" w:line="4" w:lineRule="exact"/>
        <w:rPr>
          <w:sz w:val="20"/>
          <w:szCs w:val="20"/>
          <w:color w:val="auto"/>
        </w:rPr>
      </w:pPr>
    </w:p>
    <w:p>
      <w:pPr>
        <w:ind w:left="180" w:right="220"/>
        <w:spacing w:after="0" w:line="229" w:lineRule="auto"/>
        <w:rPr>
          <w:sz w:val="20"/>
          <w:szCs w:val="20"/>
          <w:color w:val="auto"/>
        </w:rPr>
      </w:pPr>
      <w:r>
        <w:rPr>
          <w:rFonts w:ascii="Times New Roman" w:cs="Times New Roman" w:eastAsia="Times New Roman" w:hAnsi="Times New Roman"/>
          <w:sz w:val="14"/>
          <w:szCs w:val="14"/>
          <w:color w:val="auto"/>
        </w:rPr>
        <w:t>restricted stock units, net of shares withheld for taxes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Distributions</w:t>
      </w:r>
    </w:p>
    <w:p>
      <w:pPr>
        <w:spacing w:after="0" w:line="42" w:lineRule="exact"/>
        <w:rPr>
          <w:sz w:val="20"/>
          <w:szCs w:val="20"/>
          <w:color w:val="auto"/>
        </w:rPr>
      </w:pPr>
    </w:p>
    <w:p>
      <w:pPr>
        <w:ind w:left="180" w:right="120"/>
        <w:spacing w:after="0" w:line="251" w:lineRule="auto"/>
        <w:rPr>
          <w:sz w:val="20"/>
          <w:szCs w:val="20"/>
          <w:color w:val="auto"/>
        </w:rPr>
      </w:pPr>
      <w:r>
        <w:rPr>
          <w:rFonts w:ascii="Times New Roman" w:cs="Times New Roman" w:eastAsia="Times New Roman" w:hAnsi="Times New Roman"/>
          <w:sz w:val="14"/>
          <w:szCs w:val="14"/>
          <w:color w:val="auto"/>
        </w:rPr>
        <w:t>Issuance of common stock - Class A Unit exchange</w:t>
      </w:r>
    </w:p>
    <w:p>
      <w:pPr>
        <w:spacing w:after="0" w:line="1" w:lineRule="exact"/>
        <w:rPr>
          <w:sz w:val="20"/>
          <w:szCs w:val="20"/>
          <w:color w:val="auto"/>
        </w:rPr>
      </w:pPr>
    </w:p>
    <w:p>
      <w:pPr>
        <w:ind w:left="180" w:right="140"/>
        <w:spacing w:after="0" w:line="251" w:lineRule="auto"/>
        <w:rPr>
          <w:sz w:val="20"/>
          <w:szCs w:val="20"/>
          <w:color w:val="auto"/>
        </w:rPr>
      </w:pPr>
      <w:r>
        <w:rPr>
          <w:rFonts w:ascii="Times New Roman" w:cs="Times New Roman" w:eastAsia="Times New Roman" w:hAnsi="Times New Roman"/>
          <w:sz w:val="14"/>
          <w:szCs w:val="14"/>
          <w:color w:val="auto"/>
        </w:rPr>
        <w:t>Issuance of common stock - Class P Unit exchange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income</w:t>
      </w:r>
    </w:p>
    <w:p>
      <w:pPr>
        <w:spacing w:after="0" w:line="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5511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0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8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0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99,033,110</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54,319,542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92,941</w:t>
            </w:r>
          </w:p>
        </w:tc>
        <w:tc>
          <w:tcPr>
            <w:tcW w:w="22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36,077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83,990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120,067</w:t>
            </w:r>
          </w:p>
        </w:tc>
        <w:tc>
          <w:tcPr>
            <w:tcW w:w="0" w:type="dxa"/>
            <w:vAlign w:val="bottom"/>
          </w:tcPr>
          <w:p>
            <w:pPr>
              <w:spacing w:after="0"/>
              <w:rPr>
                <w:sz w:val="1"/>
                <w:szCs w:val="1"/>
                <w:color w:val="auto"/>
              </w:rPr>
            </w:pPr>
          </w:p>
        </w:tc>
      </w:tr>
      <w:tr>
        <w:trPr>
          <w:trHeight w:val="19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2,457</w:t>
            </w:r>
          </w:p>
        </w:tc>
        <w:tc>
          <w:tcPr>
            <w:tcW w:w="0" w:type="dxa"/>
            <w:vAlign w:val="bottom"/>
          </w:tcPr>
          <w:p>
            <w:pPr>
              <w:spacing w:after="0"/>
              <w:rPr>
                <w:sz w:val="1"/>
                <w:szCs w:val="1"/>
                <w:color w:val="auto"/>
              </w:rPr>
            </w:pPr>
          </w:p>
        </w:tc>
      </w:tr>
      <w:tr>
        <w:trPr>
          <w:trHeight w:val="486"/>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711,646</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338"/>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309,010</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105,053,766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49,319,542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103,682</w:t>
            </w:r>
          </w:p>
        </w:tc>
        <w:tc>
          <w:tcPr>
            <w:tcW w:w="22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48,465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75,251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123,716</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-1431290</wp:posOffset>
            </wp:positionV>
            <wp:extent cx="70719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-1165225</wp:posOffset>
            </wp:positionV>
            <wp:extent cx="707199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30861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-728345</wp:posOffset>
            </wp:positionV>
            <wp:extent cx="707199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-299720</wp:posOffset>
            </wp:positionV>
            <wp:extent cx="707199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120"/>
            <w:col w:w="8680"/>
          </w:cols>
          <w:pgMar w:left="320" w:top="229" w:right="379" w:bottom="1440" w:gutter="0" w:footer="0" w:header="0"/>
        </w:sectPr>
      </w:pP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94,383,053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103,151</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628,941</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withheld for taxes</w:t>
            </w: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 Class P Unit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39,741</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w:t>
            </w: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95,051,735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1"/>
        </w:trPr>
        <w:tc>
          <w:tcPr>
            <w:tcW w:w="7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38"/>
        </w:trPr>
        <w:tc>
          <w:tcPr>
            <w:tcW w:w="7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tax receivable agreement liability</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lease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(recovery) for credit losses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r>
      <w:tr>
        <w:trPr>
          <w:trHeight w:val="253"/>
        </w:trPr>
        <w:tc>
          <w:tcPr>
            <w:tcW w:w="7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Capitalized software and expenditures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199"/>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repayment of related party note</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53"/>
        </w:trPr>
        <w:tc>
          <w:tcPr>
            <w:tcW w:w="7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34,350</w:t>
            </w: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35,717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7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8"/>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capitalized for software development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0"/>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assets included in accounts payable and accrued expenses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-5079365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2024, filed with the SEC on March 13, 2025. The condensed consolidated financial statements of the Company include all adjustments of a normal recurring nature which, in the opinion of management, are necessary for a fair statement of the Company’s financial position as of March 31, 2025, and results of its operations and its cash flows for the interim periods presented. Certain prior period amounts have been reclassified to conform to the current period presentation. The results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for the three months ended March 31, 2025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2025 and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follows the guidance in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6, “Fair Value Measurements” to these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Accounts receivable represents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$1.1 million and $1.2 million as of March 31, 2025 and December 31,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no customer accounted for more than 10% of the total gross accounts receivable outstanding.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4"/>
        </w:trPr>
        <w:tc>
          <w:tcPr>
            <w:tcW w:w="7200" w:type="dxa"/>
            <w:vAlign w:val="bottom"/>
          </w:tcPr>
          <w:p>
            <w:pPr>
              <w:spacing w:after="0"/>
              <w:rPr>
                <w:sz w:val="24"/>
                <w:szCs w:val="24"/>
                <w:color w:val="auto"/>
              </w:rPr>
            </w:pPr>
          </w:p>
        </w:tc>
        <w:tc>
          <w:tcPr>
            <w:tcW w:w="33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March 31, 2025 and December 31, 2024, the carrying value of the Company’s investments in equity securities without a readily determinable fair value were $0.0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 to investments in equity securities were recorded for the three months ended March 31,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condensed consolidated statements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amortized $3.0 million and $2.5 million, respectively, of internal-use software development costs included in depreciation and amortization expense in the accompanying condensed consolidated statements of operations. As of March 31, 2025 and December 31, 2024, the Company has $23.5 million and $23.1 million in capitalized software costs, net, respectively which are recorded within property and equipment, net on the Company’s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If the carrying value of the reporting unit exceeds its fair value, an impairment loss equal to the difference will be recorded. No goodwill impairment charges were recorded for the three months ended March 31, 2025 and 2024.</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7, “Intangible Assets,” to these condensed consolidated financial statements for additional information. No intangible asset impairment charges have been recorded for the three months ended March 31,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liability and the amortization of the right-of-use asset results in front-loaded expense over the lease term. Variable lease expenses are recorded when incurred.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provided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an accounting policy election, and instead recognizes rent expense on a straight-line basis over the lease term.</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Net rent expense for the three months ended March 31, 2025 and 2024 was $1.9 million and $2.2 million, respectively and is included in general and administrative expense in the accompanying condensed consolidated statements of operations.</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March 31, 2025 and 2024, the Company recorded rent income related to a sublease of $0.2 million and $0.5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2025,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10, “Warrant Liability,” to these condensed consolidated financial statements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the TRA with continuing members that provides for a payment to the continuing Class A Unit holders of 85% of the amount of tax benefits, if any, that the Company realizes, or 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March 31, 2025 and December 31, 2024, the TRA liability was $5.0 million and $4.4 million, respectively. For the three months ended March 31, 2025 and 2024, the Company recognized a loss of $0.5 million and $0.5 million, respectively, related to the remeasurement of the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For the three months ended March 31, 2025 and 2024, total transaction price adjustments issued was $1.8 million and $1.3 million, respectively. For clients that pay in advance for listing and other services, the Company records deferred revenue and recognizes revenue over the applicable subscription term.</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transferring additional service in the event the customer is delinquent. See Note 3, “Revenue from Contracts with Customers,” to these condensed consolidated financial statements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$1.9 million and $2.5 million for the three months ended March 31, 2025 and 2024, respectively, and is included in sales and marketing expense in the accompanying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12, “Stock-based Compensation,” to these condensed consolidated financial statements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March 31, 2025 and 2024, the Company expensed $0.7 million and $0.5 million, respectively, related to employer contributions for the Company’s 401(k) saving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expected future deductions or taxable income may have a material impact on the level of income tax valuation allowances.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ending December 31, 2024 and for three months ended March 31, 2025, the Company conducted similar analyses, and determined that a full valuation allowance was still required. As of March 31, 2025 and December 31, 2024, the TRA liability was $5.0 million and $4.4 million, respectively.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the Company recorded less than $0.1 million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13, “Earnings Per Share,” for additional information on dilutive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March 31, 2025, the Company had cash balances that exceeded the deposit insurance limit with five financial institutions. The Company believes that the risk of loss is not significant and has not experienced any losses in such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to Reportable Segment Disclosure”, which is intended to improve reportable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2023 and interim periods within fiscal years beginning after December 15, 2024. The Company adopted this ASU as of December 31, 2024. See Note 4, “Segment Reporting,” for additional reportable segment disclosure.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reviewed other accounting pronouncements that became effective for fiscal year 2025 and determined that either they were not applicable, or they did not have a material impact on the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annual reporting periods beginning after December 15, 2024 on a prospective basis and retrospective application is permitted. The Company is currently evaluating the impact of the adoption of this standard.</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condensed consolidated financial statements.</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54" w:lineRule="exact"/>
        <w:rPr>
          <w:sz w:val="20"/>
          <w:szCs w:val="20"/>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the Company’s clients’ businesses and maximize clients’ listings and deal presence.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ind w:left="1300" w:hanging="320"/>
        <w:spacing w:after="0" w:line="28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8"/>
          <w:szCs w:val="18"/>
          <w:color w:val="auto"/>
        </w:rPr>
      </w:pPr>
    </w:p>
    <w:p>
      <w:pPr>
        <w:jc w:val="both"/>
        <w:ind w:left="1300" w:right="20" w:hanging="320"/>
        <w:spacing w:after="0" w:line="281"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ads solutions: Includes banner ads and promotion tiles on the Company’s marketplace as well as banner ads that can be tied to keyword searches. These products provide clients with targeted ad solutions in highly visible slots across the Company’s digital surfaces.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revenues information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8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41,448</w:t>
            </w:r>
          </w:p>
        </w:tc>
      </w:tr>
      <w:tr>
        <w:trPr>
          <w:trHeight w:val="229"/>
        </w:trPr>
        <w:tc>
          <w:tcPr>
            <w:tcW w:w="7200" w:type="dxa"/>
            <w:vAlign w:val="bottom"/>
            <w:shd w:val="clear" w:color="auto" w:fill="CCEEFF"/>
          </w:tcPr>
          <w:p>
            <w:pPr>
              <w:jc w:val="right"/>
              <w:ind w:right="5770"/>
              <w:spacing w:after="0"/>
              <w:rPr>
                <w:sz w:val="20"/>
                <w:szCs w:val="20"/>
                <w:color w:val="auto"/>
              </w:rPr>
            </w:pPr>
            <w:r>
              <w:rPr>
                <w:rFonts w:ascii="Times New Roman" w:cs="Times New Roman" w:eastAsia="Times New Roman" w:hAnsi="Times New Roman"/>
                <w:sz w:val="18"/>
                <w:szCs w:val="18"/>
                <w:color w:val="auto"/>
                <w:w w:val="99"/>
              </w:rPr>
              <w:t>Other ad solutions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23"/>
        </w:trPr>
        <w:tc>
          <w:tcPr>
            <w:tcW w:w="7200" w:type="dxa"/>
            <w:vAlign w:val="bottom"/>
          </w:tcPr>
          <w:p>
            <w:pPr>
              <w:jc w:val="right"/>
              <w:ind w:right="5750"/>
              <w:spacing w:after="0" w:line="223" w:lineRule="exact"/>
              <w:rPr>
                <w:sz w:val="20"/>
                <w:szCs w:val="20"/>
                <w:color w:val="auto"/>
              </w:rPr>
            </w:pPr>
            <w:r>
              <w:rPr>
                <w:rFonts w:ascii="Times New Roman" w:cs="Times New Roman" w:eastAsia="Times New Roman" w:hAnsi="Times New Roman"/>
                <w:sz w:val="18"/>
                <w:szCs w:val="18"/>
                <w:color w:val="auto"/>
              </w:rPr>
              <w:t>Total revenues</w:t>
            </w:r>
            <w:r>
              <w:rPr>
                <w:rFonts w:ascii="Times New Roman" w:cs="Times New Roman" w:eastAsia="Times New Roman" w:hAnsi="Times New Roman"/>
                <w:sz w:val="23"/>
                <w:szCs w:val="23"/>
                <w:color w:val="auto"/>
                <w:vertAlign w:val="superscript"/>
              </w:rPr>
              <w:t>1</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44,389</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100" w:hanging="92"/>
        <w:spacing w:after="0" w:line="220" w:lineRule="auto"/>
        <w:tabs>
          <w:tab w:leader="none" w:pos="1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include transaction price adjustments of $1.8 million and $1.3 million, respectively, for three months ended March 31, 2025 and 2024.</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March 31, 2025 and December 31, 2024 was $5.0 million and $5.4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months ended March 31, 2025 and 2024. For three months ended March 31, 2025, approximately 55% of the Company’s revenue originated in California compared with 52% of the for the three months ended March 31, 2024.</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The accounting policies for the segment are the same as those described in Note 2, “Summary of Significant Accounting Policies.”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the calculation of net income, which is the performance measure that is most consistent with GAAP, and the significant operating expenses included in this performance measure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29"/>
        </w:trPr>
        <w:tc>
          <w:tcPr>
            <w:tcW w:w="7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non-operating expense (income), net</w:t>
            </w:r>
            <w:r>
              <w:rPr>
                <w:rFonts w:ascii="Times New Roman" w:cs="Times New Roman" w:eastAsia="Times New Roman" w:hAnsi="Times New Roman"/>
                <w:sz w:val="23"/>
                <w:szCs w:val="23"/>
                <w:color w:val="auto"/>
                <w:vertAlign w:val="superscript"/>
              </w:rPr>
              <w:t>(1)</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1"/>
        </w:trPr>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change in fair value of warrant liability, change in the TRA liability and other non-operating income and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reconciling items or adjustments between segment revenues, net income, total assets and consolidated revenues, net income, and total assets.</w:t>
      </w:r>
    </w:p>
    <w:p>
      <w:pPr>
        <w:spacing w:after="0" w:line="1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 al</w:t>
      </w:r>
      <w:r>
        <w:rPr>
          <w:rFonts w:ascii="Times New Roman" w:cs="Times New Roman" w:eastAsia="Times New Roman" w:hAnsi="Times New Roman"/>
          <w:sz w:val="18"/>
          <w:szCs w:val="18"/>
          <w:color w:val="auto"/>
        </w:rPr>
        <w:t>., Case No. 2:24-cv-08959,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the Company’s securities between May 25, 2021, and September 24, 2024, inclusive, and seeks unspecified monetary damages on behalf of the putative class and an award of costs and expenses, including attorneys’ fees. At this early stage of the proceedings, the Company is unable to make any prediction regarding the outcome of the litigation.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November 8, 2024, a shareholder derivative action, captioned </w:t>
      </w:r>
      <w:r>
        <w:rPr>
          <w:rFonts w:ascii="Times New Roman" w:cs="Times New Roman" w:eastAsia="Times New Roman" w:hAnsi="Times New Roman"/>
          <w:sz w:val="18"/>
          <w:szCs w:val="18"/>
          <w:i w:val="1"/>
          <w:iCs w:val="1"/>
          <w:color w:val="auto"/>
        </w:rPr>
        <w:t>DeGennaro v. Francis, et. al</w:t>
      </w:r>
      <w:r>
        <w:rPr>
          <w:rFonts w:ascii="Times New Roman" w:cs="Times New Roman" w:eastAsia="Times New Roman" w:hAnsi="Times New Roman"/>
          <w:sz w:val="18"/>
          <w:szCs w:val="18"/>
          <w:color w:val="auto"/>
        </w:rPr>
        <w:t>, Case No. 8:24-cv-02454 (the “DeGennaro Action”),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Further, on November 18, 2024, a shareholder derivative action, captioned </w:t>
      </w:r>
      <w:r>
        <w:rPr>
          <w:rFonts w:ascii="Times New Roman" w:cs="Times New Roman" w:eastAsia="Times New Roman" w:hAnsi="Times New Roman"/>
          <w:sz w:val="18"/>
          <w:szCs w:val="18"/>
          <w:i w:val="1"/>
          <w:iCs w:val="1"/>
          <w:color w:val="auto"/>
        </w:rPr>
        <w:t>Pearson v. Francis, et. al</w:t>
      </w:r>
      <w:r>
        <w:rPr>
          <w:rFonts w:ascii="Times New Roman" w:cs="Times New Roman" w:eastAsia="Times New Roman" w:hAnsi="Times New Roman"/>
          <w:sz w:val="18"/>
          <w:szCs w:val="18"/>
          <w:color w:val="auto"/>
        </w:rPr>
        <w:t>, Case No. 8:24-cv-02525 (the “Pearson Action”), was filed in the U.S. District Court for the Central District of California against certain former and current members of the Company’s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of fiduciary duty, unjust enrichment, abuse of control, gross mismanagement, waste of corporate assets, and contribution under Sections 10(b) and 21D of the Exchange Act. The derivative complaint seeks unspecified damages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restitution, corporate governance reforms, declaratory relief, and an award of costs and expenses to the derivative plaintiff, including attorneys’ fees. On December 10, 2024, the U.S. District Court of the Central District of California issued an order consolidating the DeGennaro and Pearson shareholder derivative actions. At this early stage of the proceedings, the Company is unable to make any prediction regarding the outcome of the litigation.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$5.6 million for the remaining nine months in 2025 and $7.5 million in 2026, due under software license agreements, of which the majority relates to the Company’s remaining period of a three-year AWS Enterprise agreement.</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indicates the fair value hierarchy of the valuation inputs the Company utilized to determine such fair value (in thousands):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-625475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-625475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-625475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14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Private Placement</w:t>
            </w: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Warrant Liabilities</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Private Placement</w:t>
            </w:r>
          </w:p>
        </w:tc>
        <w:tc>
          <w:tcPr>
            <w:tcW w:w="120" w:type="dxa"/>
            <w:vAlign w:val="bottom"/>
          </w:tcPr>
          <w:p>
            <w:pPr>
              <w:spacing w:after="0"/>
              <w:rPr>
                <w:sz w:val="15"/>
                <w:szCs w:val="15"/>
                <w:color w:val="auto"/>
              </w:rPr>
            </w:pPr>
          </w:p>
        </w:tc>
        <w:tc>
          <w:tcPr>
            <w:tcW w:w="1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Warrant Liabilities</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-1877060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-487680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-487680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$0.4 million as of March 31, 2025 and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 The fair value of the Private Placement Warrants was $0.2 million as of March 31, 2025 and December 31, 2024. There were no transfers in or out of Level 3 from other levels in the fair value hierarchy.</w:t>
      </w:r>
    </w:p>
    <w:p>
      <w:pPr>
        <w:spacing w:after="0" w:line="6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March 31, 2025 and December 31, 2024, respectively. No goodwill impairment charges were recorded for the three months ended March 31,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March 31, 2025 and December 31, 2024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6"/>
                <w:szCs w:val="16"/>
                <w:color w:val="auto"/>
              </w:rPr>
            </w:pPr>
          </w:p>
        </w:tc>
        <w:tc>
          <w:tcPr>
            <w:tcW w:w="14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$0.1 million, respectively, for the three months ended March 31, 2025 and 2024. The estimated future amortization expense of intangible assets as of March 31, 2025 is as follows (in thousands):</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Remaining period in 2025 (nine months)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4"/>
        </w:trPr>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1"/>
        </w:trPr>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-1062355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-770890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-479425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-187960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March 31, 2025 and December 31, 2024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48"/>
        </w:trPr>
        <w:tc>
          <w:tcPr>
            <w:tcW w:w="7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-779145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-779145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charges were recognized for the three months ended March 31, 2025 and 2024, related to capitalized implementation costs for a cloud computing arrangement.</w:t>
      </w:r>
    </w:p>
    <w:p>
      <w:pPr>
        <w:spacing w:after="0" w:line="50"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as of March 31, 2025 and December 31, 2024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 and bonuses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employee expenses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20,102</w:t>
            </w: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-925195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-925195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there were 12,499,973 Public Warrants outstanding and 7,000,000 Private Placement Warrants outstanding.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 balance sheet date, which resulted in no gain or loss from remeasurement for the three months ended March 31, 2025 and non-cash loss of $0.9 million on the condensed consolidated statements of operations for three months ended March 31, 2024, respectively. For additional information, see Note 6, “Fair Value Measurements.”</w:t>
      </w:r>
    </w:p>
    <w:p>
      <w:pPr>
        <w:spacing w:after="0" w:line="71"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V Common Stock are not entitled to receive any of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2025, there were no shares of preferred stock issued or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March 31, 2025 and December 31, 2024, the noncontrolling interests owned 32.9% and 36.7% of the Units outstanding, respectively. The noncontrolling interests’ ownership percentage can fluctuate over time, including as the WMH LLC equity holders elect to exchange Units for Class A Common Stock. During the three months ended March 31, 2025, 5 million shares of Class V Common Stock were exchanged on a one-to-one basis to shares of Class A Common stock. The Company has consolidated the financial position and results of operations of WMH LLC and reflected the proportionate interest held by the WMH LLC Unit equity holders as noncontrolling interests. See condensed consolidated statement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Class P Unit activity for the three months ended March 31, 2025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14,403,732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March 31, 2025</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13,803,732</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March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13,803,732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all the outstanding Class P Units have been vested and as such, there is no remaining unrecognized stock-based compensation expense for non-vested Class P Units. For the three months ended March 31, 2025 and 2024, the Company recorded stock-based compensation expense for the Class P Units of $– million and $0.1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2025, 48,307,514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2025, 23,626,755 shares of Class A Common Stock are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three months ended March 31,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7,946,908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3,600,000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9"/>
              </w:rPr>
              <w:t>(712,165)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99"/>
              </w:rPr>
              <w:t>(217,955)</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10,616,788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unrecognized stock-based compensation expense for non-vested RSUs was $12.1 million, which is expected to be recognized over a weighted-average period of 2.2 years. For the three months ended March 31, 2025 and 2024, the Company recorded stock-based compensation expense for the RSUs of $2.0 million and $2.7 million,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assumptions used in estimating the value of the PRSUs granted in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November 07, 2024</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07, 2024 - December 31, 2027</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Granted</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4,342,391</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Stock Price</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$0.77</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at Valuation Date</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18.00%</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 at Valuation Date</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85.61%</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PRSU activity for the three months ended March 31, 2025 is as follows:</w:t>
            </w: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tcPr>
          <w:p>
            <w:pPr>
              <w:spacing w:after="0"/>
              <w:rPr>
                <w:sz w:val="24"/>
                <w:szCs w:val="24"/>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March 31, 2025, the unrecognized stock-based compensation expense for non-vested PRSUs was $1.3 million, which is expected to be recognized over a weighted-average period of 1.4 years. For the three months ended March 31, 2025 and 2024, the Company recorded stock-based compensation expense for the PRSUs of $0.2 million and $0.0 million, respectively.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RSUs, PRSUs, and Class P Units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3"/>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0"/>
        </w:trPr>
        <w:tc>
          <w:tcPr>
            <w:tcW w:w="7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-933450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income per share attributable to WM Technology, Inc. and weighted-average shares of the Company’s Class A Common Stock outstanding are as follows for the three months ended March 31, 2025 and 2024 (amounts in thousands, except for share and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after the Business Combination</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196"/>
        </w:trPr>
        <w:tc>
          <w:tcPr>
            <w:tcW w:w="78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attributable to WM Technology, Inc. Class A Common Stock - basic and diluted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104,041,260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94,704,164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1,319,188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106,991,698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Class A Common Stock:</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Calculated using the treasury stock method.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three months ended March 31, 2025 and 2024, as their effect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0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Shares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49,319,542</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13,803,732</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14,679,507</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4,020,267</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6,495,170</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outstanding</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27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March 31, 2025 and December 31, 2024, there was no outstanding rent receivable. For the three months ended March 31, 2025 and 2024, income on the sublease with related party were $0.0 million and $0.2 million, respectively. The income on sublease is netted with rent expense and included in general and administrative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March 31, 2025 and December 31, 2024, the remaining balance of the promissory note receivable was $0.4 million and included in prepaid expenses and other current assets on the consolidated balance sheets. For the three months ended March 31, 2025 and 2024, interest income on the promissory note was less than $0.1 million, which is included in other income (expense),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WM Technology, Inc. should be read in conjunction with our condensed consolidated financial statements and related notes included in this Quarterly Report on Form 10-Q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herein and in our Annual Report on Form 10-K for the year ended December 31, 2024.</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three months ended March 31, 2025 and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p>
    <w:p>
      <w:pPr>
        <w:spacing w:after="0" w:line="6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$44.6 million as compared to $44.4 million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5,179, as compared to 4,937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revenues per paying client was $2,871, as compared to $2,997 in the prior year.</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income was $2.5 million as compared to $2.0 million in the prior year.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$10.1 million.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5,179 average monthly paying clients during the three months ended March 31, 2025, on the supply-side of our marketplace. These paying clients include retailers, brands and other client types (such as doctors). Further, these clients, who can choose to purchase multiple listings solutions for each business, had purchased approximately 8,400 listing pages as of March 31,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March 31, 2025,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monetize new solutions to extend the functionality of our platform. These investments serve to deepen the consumer experience with our platform and continue to provide a high level of support to our business clients.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table summarize our financial performance for three months ended March 31, 2025 compared to our financial performance for the three months ended March 31, 2024. For a detailed discussion of our results of operations, see “Results of Operations”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7200" w:type="dxa"/>
            <w:vAlign w:val="bottom"/>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r>
      <w:tr>
        <w:trPr>
          <w:trHeight w:val="169"/>
        </w:trPr>
        <w:tc>
          <w:tcPr>
            <w:tcW w:w="7200" w:type="dxa"/>
            <w:vAlign w:val="bottom"/>
          </w:tcPr>
          <w:p>
            <w:pPr>
              <w:spacing w:after="0"/>
              <w:rPr>
                <w:sz w:val="14"/>
                <w:szCs w:val="14"/>
                <w:color w:val="auto"/>
              </w:rPr>
            </w:pPr>
          </w:p>
        </w:tc>
        <w:tc>
          <w:tcPr>
            <w:tcW w:w="404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(dollars in thousands, except for revenues per</w:t>
            </w:r>
          </w:p>
        </w:tc>
      </w:tr>
      <w:tr>
        <w:trPr>
          <w:trHeight w:val="241"/>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paying client)</w:t>
            </w:r>
          </w:p>
        </w:tc>
        <w:tc>
          <w:tcPr>
            <w:tcW w:w="680" w:type="dxa"/>
            <w:vAlign w:val="bottom"/>
          </w:tcPr>
          <w:p>
            <w:pPr>
              <w:spacing w:after="0"/>
              <w:rPr>
                <w:sz w:val="20"/>
                <w:szCs w:val="20"/>
                <w:color w:val="auto"/>
              </w:rPr>
            </w:pPr>
          </w:p>
        </w:tc>
      </w:tr>
      <w:tr>
        <w:trPr>
          <w:trHeight w:val="23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44,612</w:t>
            </w:r>
          </w:p>
        </w:tc>
        <w:tc>
          <w:tcPr>
            <w:tcW w:w="1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33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5,415</w:t>
            </w:r>
          </w:p>
        </w:tc>
        <w:tc>
          <w:tcPr>
            <w:tcW w:w="1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3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10,137</w:t>
            </w:r>
          </w:p>
        </w:tc>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33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revenues per paying client</w:t>
            </w:r>
            <w:r>
              <w:rPr>
                <w:rFonts w:ascii="Times New Roman" w:cs="Times New Roman" w:eastAsia="Times New Roman" w:hAnsi="Times New Roman"/>
                <w:sz w:val="23"/>
                <w:szCs w:val="23"/>
                <w:color w:val="auto"/>
                <w:vertAlign w:val="superscript"/>
              </w:rPr>
              <w:t>(2)</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1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42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p>
        </w:tc>
        <w:tc>
          <w:tcPr>
            <w:tcW w:w="12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1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6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ind w:left="340" w:right="20" w:hanging="332"/>
        <w:spacing w:after="0" w:line="262"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pacing w:after="0" w:line="16"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revenues” to “Revenue”. For additional information, see “Basis of Presentation” and “Revenue Recognition” of Note 2. “Summary of Significant Accounting Policies,” of our consolidated financial statements included in our Annual Report on Form 10-K for the year ended December 31, 2024 filed with the SEC on March 13, 2025.</w:t>
      </w:r>
    </w:p>
    <w:p>
      <w:pPr>
        <w:spacing w:after="0" w:line="17"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Revenues Per Paying Client</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decrease in our average monthly revenues per paying client for the three months ended March 31, 2025 compared to the same period in 2024 was primarily due to spend declines in established markets driven by continued industry challenges, such as price deflation and ongoing consolidation, which was partially offset by new client acquisitions across certain markets.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monthly paying clients for the three months ended March 31, 2025 increased 5% to 5,179 average monthly paying clients from 4,937 average monthly paying clients in the same period in 2024. The increase in average monthly paying clients in the three months ended March 31, 2025 as compared to the same period in 2024 was primarily due to new client acquisitions across certain markets.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to EBITDA and Adjusted EBITDA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are prepared in accordance with GAAP. For more information regarding the components within our net income, see “Components of Our Results of Operations”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March 31, 2025 was $2.5 million compared to $2.0 million for the three months ended March 31, 2024. The increase in net income was primarily due to an increase in revenue of $0.2 million, an increase in other income of $0.8 million and change in fair value of warrant liability of $0.9 million, partially offset by an increase in operating expenses of $1.3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asset impairment charges, change in the TRA liability and other non-cash, unusual and/or infrequent costs in the case of Adjusted EBITDA. Below we have provided a reconciliation of net income (the most directly comparable GAAP financial measure) to EBITDA; and from EBITDA to Adjusted EBITDA.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net income to non-GAAP EBITDA and Adjusted EBITDA is as follows:</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6960" w:type="dxa"/>
            <w:vAlign w:val="bottom"/>
          </w:tcPr>
          <w:p>
            <w:pPr>
              <w:spacing w:after="0"/>
              <w:rPr>
                <w:sz w:val="24"/>
                <w:szCs w:val="24"/>
                <w:color w:val="auto"/>
              </w:rPr>
            </w:pPr>
          </w:p>
        </w:tc>
        <w:tc>
          <w:tcPr>
            <w:tcW w:w="3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4"/>
                <w:szCs w:val="24"/>
                <w:color w:val="auto"/>
              </w:rPr>
            </w:pPr>
          </w:p>
        </w:tc>
      </w:tr>
      <w:tr>
        <w:trPr>
          <w:trHeight w:val="27"/>
        </w:trPr>
        <w:tc>
          <w:tcPr>
            <w:tcW w:w="69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6960" w:type="dxa"/>
            <w:vAlign w:val="bottom"/>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r>
      <w:tr>
        <w:trPr>
          <w:trHeight w:val="223"/>
        </w:trPr>
        <w:tc>
          <w:tcPr>
            <w:tcW w:w="6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3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69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Legal settlements and other legal costs</w:t>
            </w:r>
            <w:r>
              <w:rPr>
                <w:rFonts w:ascii="Times New Roman" w:cs="Times New Roman" w:eastAsia="Times New Roman" w:hAnsi="Times New Roman"/>
                <w:sz w:val="23"/>
                <w:szCs w:val="23"/>
                <w:color w:val="auto"/>
                <w:vertAlign w:val="superscript"/>
              </w:rPr>
              <w:t>(1)</w:t>
            </w: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9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Reduction in force expense</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left="80" w:hanging="80"/>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As of March 31, 2025, represents legal and advisory fees related to ongoing litigation related to shareholder derivative actions, and as of March 31, 2024, represents legal and advisory fees related to the SEC enforcement matter and SEC settlement. See Note 5, “Commitments and Contingencies” to our condensed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0" w:hanging="72"/>
        <w:spacing w:after="0" w:line="235" w:lineRule="auto"/>
        <w:tabs>
          <w:tab w:leader="none" w:pos="1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first quarter of 2025, we incurred severance charges included in general and administrative expense in the condensed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current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16-year operating history to enter new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greater financial, technical and other resources than existing market participants. Our current and future competitors may also enjoy other competitive advantages, such as greater name recognition, more offerings and larger marketing budgets.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our costs and expenses, including those associated with the operation of our technical infrastructure as well as components of our operating expenses, are generally less variable in nature and may not correlate to changes in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political contributions, interest income, interest expense, financing fees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three months ended March 31, 2025 compared to three months ended March 31, 2024 is presented below.</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sets forth our results of operations for the periods presented and express the relationship of certain line items as a percentage of revenues for those periods. The period-to-period comparison of financial results is not necessarily indicative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Revenue</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Revenue</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10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2,241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8,948</w:t>
            </w:r>
          </w:p>
        </w:tc>
        <w:tc>
          <w:tcPr>
            <w:tcW w:w="10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8,004</w:t>
            </w:r>
          </w:p>
        </w:tc>
        <w:tc>
          <w:tcPr>
            <w:tcW w:w="100" w:type="dxa"/>
            <w:vAlign w:val="bottom"/>
          </w:tcPr>
          <w:p>
            <w:pPr>
              <w:spacing w:after="0"/>
              <w:rPr>
                <w:sz w:val="19"/>
                <w:szCs w:val="19"/>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3,321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2,647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5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2,494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and 2024</w:t>
            </w: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44,612</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by $0.2 million or 1% for the three months ended March 31, 2025 compared to the same period in 2024. The increase was primarily due to an increase in revenues from our Weedmaps for Business of $0.4 million and an increase in revenues from other WM Ad solutions of $0.8 million, partially offset by a decrease in revenues from our Featured Listing and WM Deal products of $1.0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Featured Listing and WM Deal products, Weedmaps for Business and other ad solutions represented approximately 61%, 31% and 8% our total revenues,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24"/>
                <w:szCs w:val="24"/>
                <w:color w:val="auto"/>
              </w:rPr>
            </w:pPr>
          </w:p>
        </w:tc>
        <w:tc>
          <w:tcPr>
            <w:tcW w:w="11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4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19,451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16,526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41,965</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40,628</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
        </w:trPr>
        <w:tc>
          <w:tcPr>
            <w:tcW w:w="1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cost of revenues for the three months ended March 31, 2025 compared to the same period in 2024 of $0.1 million was primarily related to a decrease of $0.1 million in server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sales and marketing expenses for the three months ended March 31, 2025 compared to the same period in 2024 was primarily related to decreases in advertising expense of $0.6 million and personnel-related costs of $0.1 million. The decrease in personnel-related costs was primarily related to a decrease in stock-based compensation expense of $0.1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product development expenses for the three months ended March 31, 2025 compared to the same period in 2024 was primarily due to a decrease in personnel-related costs of $1.4 million, partially offset by an increase in outside service expense of $0.2 million. The decrease in personnel-related costs was primarily related to decreases in salaries and wages of $0.6 million, bonus expense of $0.3 million, payroll tax expense of $0.3 million and stock-based compensation expense of $0.2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2025 compared to the same period in 2024 was primarily due to increases in outside service expense of $1.1 million, provision (recovery) for credit losses of $1.0 million, severance expense of $0.5 million, software expense of $0.4 million, salaries and wages of $0.3 million, bonus expense of $0.1 million and employee benefits of $0.4 million, partially offset by rent and facilities expense of $0.2 million, stock-based compensation expense of $0.3 million and other expense of $0.3 million. The increase in outside service was due to the ongoing litigation related shareholder derivative actions and the increase in severance costs was related to certain reduction in force actions taken by our management. In the first quarter 2025, the Company recorded $1.0 million in severance, of which $0.9 million was associated with a recent workforce reduction and treated as a one-time addback to adjusted EBITDA. This compares to $0.5 million in severance recorded in the first quarter of the prior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for the three months ended March 31, 2025 compared to the same period in 2024 was primarily due to an increase in depreciation of $0.4 million related to capitalized software development.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4820" w:type="dxa"/>
            <w:vAlign w:val="bottom"/>
          </w:tcPr>
          <w:p>
            <w:pPr>
              <w:spacing w:after="0"/>
              <w:rPr>
                <w:sz w:val="24"/>
                <w:szCs w:val="24"/>
                <w:color w:val="auto"/>
              </w:rPr>
            </w:pPr>
          </w:p>
        </w:tc>
        <w:tc>
          <w:tcPr>
            <w:tcW w:w="32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(1,793)</w:t>
            </w:r>
          </w:p>
        </w:tc>
        <w:tc>
          <w:tcPr>
            <w:tcW w:w="8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886"/>
        </w:trPr>
        <w:tc>
          <w:tcPr>
            <w:tcW w:w="482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other income (expense), net for the three months ended March 31, 2025 compared to the same period in 2024 was primarily due to comparatively favorable changes in fair value of warrant liability of $0.9 million, an increase in interest income of $0.4 million and a decrease in other tax expenses of $0.4 million.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4920" w:type="dxa"/>
            <w:vAlign w:val="bottom"/>
          </w:tcPr>
          <w:p>
            <w:pPr>
              <w:spacing w:after="0"/>
              <w:rPr>
                <w:sz w:val="24"/>
                <w:szCs w:val="24"/>
                <w:color w:val="auto"/>
              </w:rPr>
            </w:pPr>
          </w:p>
        </w:tc>
        <w:tc>
          <w:tcPr>
            <w:tcW w:w="2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23"/>
        </w:trPr>
        <w:tc>
          <w:tcPr>
            <w:tcW w:w="4920" w:type="dxa"/>
            <w:vAlign w:val="bottom"/>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we recorded less than $0.1 million in income tax provisions due to the impact of the full valuation allowance on its net deferred assets. See Note 2, “Summary of Significant Accounting Policies—Income Taxes,” for further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10,681</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39,870</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and December 31, 2024, we had cash of $53.3 million and $52.0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and working capital on hand at March 31, 2025,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938"/>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6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28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5,664</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7,402</w:t>
            </w: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(4,540)</w:t>
            </w:r>
          </w:p>
        </w:tc>
      </w:tr>
      <w:tr>
        <w:trPr>
          <w:trHeight w:val="22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(1,495)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adjusted for certain non-cash items, including depreciation and amortization, change in fair value of warrant liability, change in TRA liability, amortization of right-of-use lease assets, stock-based compensation, provision (recovery) for credit losses and the effect of changes in working capital.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is affected by changes in operating assets, such as accounts receivable which, is impacted by the timing of customer billings and related collections from our customers. In 2024, operating cash flow increased due to a focused effort on collecting significant outstanding accounts receivable. At the end of 2023, we had significant past due accounts, and we were successful with collecting the majority of them in 2024. This resulted in a higher-than-normal cash influx that is not expected to recur in 2025. Net cash provided by operating activities is also impacted by effects of changes in operating liabilities such as accounts payable and accrued expenses due to timing of payments; accrued personnel costs which are impacted by employee performance targets and the timing of payments related to employee bonus incentives.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$5.7 million, which resulted from net income of $2.5 million, together with net cash outflows of $3.8 million from changes in operating assets and liabilities, and non-cash items of $7.0 million, consisting of depreciation and amortization of $3.3 million, stock-based compensation of $2.2 million, amortization of right-of-use lease assets of $0.6 million, and change in the TRA liability of $0.5 million, and provision for credit losses of $0.3 million. Net cash outflows from changes in operating assets and liabilities for the three months ended March 31, 2025 was primarily due to a decrease in accounts payable and accrued expenses of $1.1 million, a decrease in operating lease liabilities of $0.9 million, an increase in prepaid expenses and other current assets of $0.6 million, a decrease in deferred revenue of $0.4 million, and an increase in accounts receivable of $0.9 million. The changes in operating assets and liabilities are mostly due to fluctuations in timing of cash receipts and payments.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$7.4 million, which resulted from net income of $2.0 million, together with net cash outflows of $2.2 million from changes in operating assets and liabilities, and non-cash items of $7.7 million, consisting of depreciation and amortization of $2.9 million, fair value of warrant liability of $0.9 million, stock-based compensation of $2.8 million, amortization of right-of-use lease assets of $1.2 million and change in the TRA liability of $0.5 million, partially offset by provision (recovery) for credit losses of $0.7 million. Net cash outflows from changes in operating assets and liabilities for the three months ended March 31, 2024 were primarily due to a decrease in accounts payable and accrued expenses of $3.7 million and a decrease in operating lease liabilities of $1.7 million, an increase in prepaid expenses and other current assets of $0.7 million, a decrease in deferred revenue of $0.1 million, partially offset by a decrease in accounts receivables of $3.9 million. The changes in operating assets and liabilities are mostly due to fluctuations in timing of cash receipts and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$3.7 million, which resulted from $3.7 million cash paid for capital expenditures which include purchases of property and equipment and capitalized software development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$4.5 million, which resulted from $4.5 million cash paid for capital expenditures which include purchases of property and equipment and capitalized software development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outflows from financing activities for the three months ended March 31, 2025 was $0.7 million, which primarily consists of $0.7 million in distributions payments to members of WMH LLC.</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outflows from financing activities for three months ended March 31, 2024 was $1.5 million, which primarily consists of $1.6 million in distributions payments to members of WMH LLC, and $0.1 million in proceeds from collection of related party note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significant changes to our critical accounting policies and estimates from those disclosed in “Part I. Item 7. Management’s Discussion and Analysis of Financial Condition and Results of Operations” in our Annual Report on Form 10-K for the year ended December 31, 2024 that was filed with the SEC on March 13,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“Summary of Significant Accounting Policies,” such standards will not have a material impact on our condensed consolidated financial statements or do not otherwise apply to our current operations.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Item 305 of Regulation S-K.</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foregoing in mind, our chief executive officer and chief financial officer (“Certifying Officers”) evaluated the effectiveness of our disclosure controls and procedures as of March 31, 2025, pursuant to Rule 13a-15(b) under the Exchange Act. Based on the evaluation, our chief executive officer and chief financial officer have concluded that as of March 31, 2025, our disclosure controls and procedures were not effective due to the ongoing material weaknesses in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appropriate authorizations; and (3) provide reasonable assurance regarding prevention or timely detection of unauthorized acquisition, use or disposition of our assets that could have a material effect on our financial statements.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March 31, 2025, using the criteria set forth by the Committee of Sponsoring Organizations of the Treadway Commission (COSO) in Internal Control — Integrated Framework (2013). Based on the evaluation, our chief executive officer and chief financial officer have concluded that as of March 31, 2025,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have an ongoing entity-level material weakness that was identified in the years ended December 31, 2023 and 2022, and for which remediation efforts continued in the year ended December 31, 2024 as further described below.</w:t>
      </w:r>
    </w:p>
    <w:p>
      <w:pPr>
        <w:spacing w:after="0" w:line="54" w:lineRule="exact"/>
        <w:rPr>
          <w:sz w:val="20"/>
          <w:szCs w:val="20"/>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entity-level material weakness contributed to material weaknesses within our system of internal control over financial reporting as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Unremediated material weaknesses identified in the years ended December 31, 2024, 2023 and 2022</w:t>
      </w:r>
    </w:p>
    <w:p>
      <w:pPr>
        <w:spacing w:after="0" w:line="119" w:lineRule="exact"/>
        <w:rPr>
          <w:sz w:val="20"/>
          <w:szCs w:val="20"/>
          <w:color w:val="auto"/>
        </w:rPr>
      </w:pPr>
    </w:p>
    <w:p>
      <w:pPr>
        <w:jc w:val="both"/>
        <w:ind w:left="660" w:hanging="328"/>
        <w:spacing w:after="0" w:line="25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Moss Adams, LLP, has issued an audit report on the our internal control over financial reporting, which appears in Part IV, Item 15 of our Annual Report on Form 10-K for the year ended December 31, 2024, filed with the SEC on March 13,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 to Address Ongoing Material Weaknesses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remediation efforts for material weaknesses identified in both the current and prior years are still ongoing. To date, we have taken the following actions to remediate certain aspects of the material weaknesses described above that, as of December 31, 2024, had not yet been fully implemented or had not been in place for a sufficient period of time to demonstrate that they were having their desired effect:</w:t>
      </w:r>
    </w:p>
    <w:p>
      <w:pPr>
        <w:spacing w:after="0" w:line="68"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design and operation of controls related to revenue recognition including the identification of performance obligations and establishment of policies over the order-to-cash cycle, including policies over our treatment of cash basis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Segregating access in our ERP system and certain on-premise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certain key positions in our finance and technology organizations with individuals possessing public company knowledge and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configuration of our new ERP system, which will replace our legacy ERP system in year ended December 31, 2025.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developers’ administrative access from production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ability for certain users, including developers, to access other users’ accounts.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audit trails to log and monitor system configuration and data changes made by users to detect erroneous or unauthorized changes.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5, "Commitments and Contingencies—Litigation" to our condensed consolidated financial statements included herein is incorporated by reference into this Item 1.</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under the caption “Risk Factors” in Part I, Item 1A of our Annual Report on Form 10-K for the year ended December 31, 2024 (our “2024 Form 10-K”) when making investment decisions regarding our securities. The risk factors that were disclosed in our 2024 Form 10-K have not materially changed since the date of our 2024 Form 10-K was filed.</w:t>
      </w:r>
    </w:p>
    <w:p>
      <w:pPr>
        <w:spacing w:after="0" w:line="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120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no.</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89"/>
        </w:trPr>
        <w:tc>
          <w:tcPr>
            <w:tcW w:w="660" w:type="dxa"/>
            <w:vAlign w:val="bottom"/>
            <w:gridSpan w:val="4"/>
            <w:shd w:val="clear" w:color="auto" w:fill="CCEEFF"/>
          </w:tcPr>
          <w:p>
            <w:pPr>
              <w:jc w:val="center"/>
              <w:ind w:left="350"/>
              <w:spacing w:after="0" w:line="189" w:lineRule="exact"/>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1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Incorporation of the Company</w:t>
              </w:r>
            </w:hyperlink>
          </w:p>
        </w:tc>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001-39021</w:t>
            </w:r>
          </w:p>
        </w:tc>
        <w:tc>
          <w:tcPr>
            <w:tcW w:w="11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June 22, 2021</w:t>
            </w: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189"/>
        </w:trPr>
        <w:tc>
          <w:tcPr>
            <w:tcW w:w="660" w:type="dxa"/>
            <w:vAlign w:val="bottom"/>
            <w:gridSpan w:val="4"/>
          </w:tcPr>
          <w:p>
            <w:pPr>
              <w:jc w:val="center"/>
              <w:ind w:left="350"/>
              <w:spacing w:after="0" w:line="189" w:lineRule="exact"/>
              <w:rPr>
                <w:rFonts w:ascii="Times New Roman" w:cs="Times New Roman" w:eastAsia="Times New Roman" w:hAnsi="Times New Roman"/>
                <w:sz w:val="18"/>
                <w:szCs w:val="18"/>
                <w:color w:val="0000FF"/>
                <w:w w:val="97"/>
              </w:rPr>
            </w:pPr>
            <w:hyperlink r:id="rId7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60" w:type="dxa"/>
            <w:vAlign w:val="bottom"/>
            <w:gridSpan w:val="12"/>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Bylaws of the Company</w:t>
              </w:r>
            </w:hyperlink>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001-39021</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June 22, 2021</w:t>
            </w:r>
          </w:p>
        </w:tc>
      </w:tr>
      <w:tr>
        <w:trPr>
          <w:trHeight w:val="48"/>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189"/>
        </w:trPr>
        <w:tc>
          <w:tcPr>
            <w:tcW w:w="760" w:type="dxa"/>
            <w:vAlign w:val="bottom"/>
            <w:gridSpan w:val="6"/>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shd w:val="clear" w:color="auto" w:fill="CCEEFF"/>
          </w:tcPr>
          <w:p>
            <w:pPr>
              <w:spacing w:after="0"/>
              <w:rPr>
                <w:sz w:val="16"/>
                <w:szCs w:val="16"/>
                <w:color w:val="auto"/>
              </w:rPr>
            </w:pPr>
          </w:p>
        </w:tc>
        <w:tc>
          <w:tcPr>
            <w:tcW w:w="51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3"/>
        </w:trPr>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940" w:type="dxa"/>
            <w:vAlign w:val="bottom"/>
            <w:tcBorders>
              <w:top w:val="single" w:sz="8" w:color="0000FF"/>
              <w:bottom w:val="single" w:sz="8" w:color="0000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20" w:type="dxa"/>
            <w:vAlign w:val="bottom"/>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3"/>
        </w:trPr>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gridSpan w:val="6"/>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16"/>
                <w:szCs w:val="16"/>
                <w:color w:val="auto"/>
              </w:rPr>
            </w:pPr>
          </w:p>
        </w:tc>
        <w:tc>
          <w:tcPr>
            <w:tcW w:w="51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3"/>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2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8"/>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189"/>
        </w:trPr>
        <w:tc>
          <w:tcPr>
            <w:tcW w:w="1200" w:type="dxa"/>
            <w:vAlign w:val="bottom"/>
            <w:gridSpan w:val="7"/>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1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the Principal Executive Officer and Principal</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3"/>
        </w:trPr>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80" w:type="dxa"/>
            <w:vAlign w:val="bottom"/>
            <w:tcBorders>
              <w:top w:val="single" w:sz="8" w:color="0000FF"/>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Financial Officer pursuant to 18 U.S.C. Section 1350, as adopted</w:t>
            </w:r>
          </w:p>
        </w:tc>
        <w:tc>
          <w:tcPr>
            <w:tcW w:w="16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r>
      <w:tr>
        <w:trPr>
          <w:trHeight w:val="183"/>
        </w:trPr>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940" w:type="dxa"/>
            <w:vAlign w:val="bottom"/>
            <w:tcBorders>
              <w:top w:val="single" w:sz="8" w:color="0000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20" w:type="dxa"/>
            <w:vAlign w:val="bottom"/>
            <w:tcBorders>
              <w:top w:val="single" w:sz="8" w:color="CCEEFF"/>
            </w:tcBorders>
            <w:gridSpan w:val="5"/>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175"/>
        </w:trPr>
        <w:tc>
          <w:tcPr>
            <w:tcW w:w="1200" w:type="dxa"/>
            <w:vAlign w:val="bottom"/>
            <w:gridSpan w:val="7"/>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6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1200" w:type="dxa"/>
            <w:vAlign w:val="bottom"/>
            <w:gridSpan w:val="7"/>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51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12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1200" w:type="dxa"/>
            <w:vAlign w:val="bottom"/>
            <w:gridSpan w:val="7"/>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12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1200" w:type="dxa"/>
            <w:vAlign w:val="bottom"/>
            <w:gridSpan w:val="7"/>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101.PRE</w:t>
            </w:r>
          </w:p>
        </w:tc>
        <w:tc>
          <w:tcPr>
            <w:tcW w:w="51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1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bl>
    <w:p>
      <w:pPr>
        <w:ind w:left="1200" w:right="5120" w:hanging="787"/>
        <w:spacing w:after="0" w:line="234"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9" w:lineRule="exact"/>
        <w:rPr>
          <w:sz w:val="20"/>
          <w:szCs w:val="20"/>
          <w:color w:val="auto"/>
        </w:rPr>
      </w:pPr>
    </w:p>
    <w:p>
      <w:pPr>
        <w:jc w:val="both"/>
        <w:ind w:left="1220" w:right="20" w:hanging="226"/>
        <w:spacing w:after="0" w:line="245"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20" w:type="dxa"/>
            <w:vAlign w:val="bottom"/>
            <w:gridSpan w:val="3"/>
          </w:tcPr>
          <w:p>
            <w:pPr>
              <w:ind w:left="244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8, 2025</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Douglas Francis</w:t>
            </w:r>
          </w:p>
        </w:tc>
      </w:tr>
      <w:tr>
        <w:trPr>
          <w:trHeight w:val="218"/>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8, 2025</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Susan Echard</w:t>
            </w:r>
          </w:p>
        </w:tc>
      </w:tr>
      <w:tr>
        <w:trPr>
          <w:trHeight w:val="218"/>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Susan Echard</w:t>
            </w:r>
          </w:p>
        </w:tc>
      </w:tr>
      <w:tr>
        <w:trPr>
          <w:trHeight w:val="228"/>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1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911"/>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1220"/>
          </w:cols>
          <w:pgMar w:left="320" w:top="229"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171"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7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7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tabs>
          <w:tab w:leader="none" w:pos="1080" w:val="left"/>
          <w:tab w:leader="none" w:pos="662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1114425</wp:posOffset>
            </wp:positionV>
            <wp:extent cx="2151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272" w:gutter="0" w:footer="0" w:header="0"/>
        </w:sectPr>
      </w:pPr>
    </w:p>
    <w:p>
      <w:pPr>
        <w:spacing w:after="0" w:line="200" w:lineRule="exact"/>
        <w:rPr>
          <w:sz w:val="20"/>
          <w:szCs w:val="20"/>
          <w:color w:val="auto"/>
        </w:rPr>
      </w:pPr>
    </w:p>
    <w:p>
      <w:pPr>
        <w:spacing w:after="0" w:line="3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272" w:gutter="0" w:footer="0" w:header="0"/>
          <w:type w:val="continuous"/>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Echard, certify that:</w:t>
      </w:r>
    </w:p>
    <w:p>
      <w:pPr>
        <w:spacing w:after="0" w:line="171"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7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7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0"/>
        <w:spacing w:after="0"/>
        <w:tabs>
          <w:tab w:leader="none" w:pos="760" w:val="left"/>
          <w:tab w:leader="none" w:pos="6580" w:val="left"/>
          <w:tab w:leader="none" w:pos="7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1114425</wp:posOffset>
            </wp:positionV>
            <wp:extent cx="22459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Susan Echard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413" w:right="3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EXECUTIVE CHAIR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Douglas Francis, the Chief Executive Officer of WM Technology, Inc., certify, pursuant to 18 U.S.C. Section 1350, as adopted pursuant to Section 906 of the Sarbanes-Oxley Act of 2002, that the Quarterly Report on Form 10-Q of WM Technology, Inc. for the quarterly period ended March 31, 2025,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Susan Echard, the Chief Financial Officer of WM Technology, Inc., certify, pursuant to 18 U.S.C. Section 1350, as adopted pursuant to Section 906 of the Sarbanes-Oxley Act of 2002, that the Quarterly Report on Form 10-Q of WM Technology, Inc. for the quarterly period ended March 31, 2025,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3488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Susan Echard</w:t>
      </w:r>
    </w:p>
    <w:p>
      <w:pPr>
        <w:spacing w:after="0" w:line="10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1"/>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8" Type="http://schemas.openxmlformats.org/officeDocument/2006/relationships/hyperlink" Target="https://www.sec.gov/Archives/edgar/data/1779474/000114036121021785/brhc10025756_ex3-1.htm" TargetMode="External"/><Relationship Id="rId79" Type="http://schemas.openxmlformats.org/officeDocument/2006/relationships/hyperlink" Target="https://www.sec.gov/Archives/edgar/data/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2025-05-08T15:56:51Z</dcterms:created>
  <dcterms:modified xsi:type="dcterms:W3CDTF">2025-05-08T15:56:51Z</dcterms:modified>
</cp:coreProperties>
</file>