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29, 2024</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POST-EFFECTIVE AMENDMENT NO. 4</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TO</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S-3</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ON</w:t>
      </w:r>
    </w:p>
    <w:p>
      <w:pPr>
        <w:jc w:val="center"/>
        <w:ind w:right="40"/>
        <w:spacing w:after="0" w:line="236" w:lineRule="auto"/>
        <w:rPr>
          <w:sz w:val="20"/>
          <w:szCs w:val="20"/>
          <w:color w:val="auto"/>
        </w:rPr>
      </w:pPr>
      <w:r>
        <w:rPr>
          <w:rFonts w:ascii="Times New Roman" w:cs="Times New Roman" w:eastAsia="Times New Roman" w:hAnsi="Times New Roman"/>
          <w:sz w:val="20"/>
          <w:szCs w:val="20"/>
          <w:b w:val="1"/>
          <w:bCs w:val="1"/>
          <w:color w:val="auto"/>
        </w:rPr>
        <w:t>FORM S-1</w:t>
      </w:r>
    </w:p>
    <w:p>
      <w:pPr>
        <w:jc w:val="center"/>
        <w:ind w:right="4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29845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8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WM Technology,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00" w:type="dxa"/>
            <w:vAlign w:val="bottom"/>
          </w:tcPr>
          <w:p>
            <w:pPr>
              <w:jc w:val="right"/>
              <w:ind w:right="1325"/>
              <w:spacing w:after="0"/>
              <w:rPr>
                <w:sz w:val="20"/>
                <w:szCs w:val="20"/>
                <w:color w:val="auto"/>
              </w:rPr>
            </w:pPr>
            <w:r>
              <w:rPr>
                <w:rFonts w:ascii="Times New Roman" w:cs="Times New Roman" w:eastAsia="Times New Roman" w:hAnsi="Times New Roman"/>
                <w:sz w:val="14"/>
                <w:szCs w:val="14"/>
                <w:b w:val="1"/>
                <w:bCs w:val="1"/>
                <w:color w:val="auto"/>
              </w:rPr>
              <w:t>7372</w:t>
            </w:r>
          </w:p>
        </w:tc>
        <w:tc>
          <w:tcPr>
            <w:tcW w:w="200" w:type="dxa"/>
            <w:vAlign w:val="bottom"/>
          </w:tcPr>
          <w:p>
            <w:pPr>
              <w:spacing w:after="0"/>
              <w:rPr>
                <w:sz w:val="16"/>
                <w:szCs w:val="16"/>
                <w:color w:val="auto"/>
              </w:rPr>
            </w:pPr>
          </w:p>
        </w:tc>
        <w:tc>
          <w:tcPr>
            <w:tcW w:w="3120" w:type="dxa"/>
            <w:vAlign w:val="bottom"/>
          </w:tcPr>
          <w:p>
            <w:pPr>
              <w:jc w:val="right"/>
              <w:ind w:right="1145"/>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37"/>
        </w:trPr>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192"/>
        </w:trPr>
        <w:tc>
          <w:tcPr>
            <w:tcW w:w="330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330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(Primary Standard Industrial</w:t>
            </w:r>
          </w:p>
        </w:tc>
        <w:tc>
          <w:tcPr>
            <w:tcW w:w="312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(I.R.S. Employer</w:t>
            </w:r>
          </w:p>
        </w:tc>
      </w:tr>
      <w:tr>
        <w:trPr>
          <w:trHeight w:val="198"/>
        </w:trPr>
        <w:tc>
          <w:tcPr>
            <w:tcW w:w="330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Classification Code No.)</w:t>
            </w:r>
          </w:p>
        </w:tc>
        <w:tc>
          <w:tcPr>
            <w:tcW w:w="3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Identification No.)</w:t>
            </w:r>
          </w:p>
        </w:tc>
      </w:tr>
    </w:tbl>
    <w:p>
      <w:pPr>
        <w:spacing w:after="0" w:line="54" w:lineRule="exact"/>
        <w:rPr>
          <w:sz w:val="24"/>
          <w:szCs w:val="24"/>
          <w:color w:val="auto"/>
        </w:rPr>
      </w:pPr>
    </w:p>
    <w:p>
      <w:pPr>
        <w:ind w:left="4620" w:hanging="193"/>
        <w:spacing w:after="0"/>
        <w:tabs>
          <w:tab w:leader="none" w:pos="4620" w:val="left"/>
        </w:tabs>
        <w:numPr>
          <w:ilvl w:val="0"/>
          <w:numId w:val="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Discovery</w:t>
      </w:r>
    </w:p>
    <w:p>
      <w:pPr>
        <w:spacing w:after="0" w:line="9" w:lineRule="exact"/>
        <w:rPr>
          <w:rFonts w:ascii="Times New Roman" w:cs="Times New Roman" w:eastAsia="Times New Roman" w:hAnsi="Times New Roman"/>
          <w:sz w:val="15"/>
          <w:szCs w:val="15"/>
          <w:b w:val="1"/>
          <w:bCs w:val="1"/>
          <w:color w:val="auto"/>
        </w:rPr>
      </w:pPr>
    </w:p>
    <w:p>
      <w:pPr>
        <w:ind w:left="406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Irvine, California 92618</w:t>
      </w:r>
    </w:p>
    <w:p>
      <w:pPr>
        <w:ind w:left="422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Tel: (844) 933-3627</w:t>
      </w:r>
    </w:p>
    <w:p>
      <w:pPr>
        <w:ind w:left="1140"/>
        <w:spacing w:after="0"/>
        <w:rPr>
          <w:sz w:val="20"/>
          <w:szCs w:val="20"/>
          <w:color w:val="auto"/>
        </w:rPr>
      </w:pPr>
      <w:r>
        <w:rPr>
          <w:rFonts w:ascii="Times New Roman" w:cs="Times New Roman" w:eastAsia="Times New Roman" w:hAnsi="Times New Roman"/>
          <w:sz w:val="15"/>
          <w:szCs w:val="15"/>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Brian Camire</w:t>
      </w: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General Counsel</w:t>
      </w:r>
    </w:p>
    <w:p>
      <w:pPr>
        <w:jc w:val="center"/>
        <w:ind w:right="40"/>
        <w:spacing w:after="0" w:line="225" w:lineRule="auto"/>
        <w:rPr>
          <w:sz w:val="20"/>
          <w:szCs w:val="20"/>
          <w:color w:val="auto"/>
        </w:rPr>
      </w:pPr>
      <w:r>
        <w:rPr>
          <w:rFonts w:ascii="Times New Roman" w:cs="Times New Roman" w:eastAsia="Times New Roman" w:hAnsi="Times New Roman"/>
          <w:sz w:val="15"/>
          <w:szCs w:val="15"/>
          <w:b w:val="1"/>
          <w:bCs w:val="1"/>
          <w:color w:val="auto"/>
        </w:rPr>
        <w:t>WM Technology, Inc.</w:t>
      </w:r>
    </w:p>
    <w:p>
      <w:pPr>
        <w:ind w:left="4620" w:hanging="193"/>
        <w:spacing w:after="0" w:line="225" w:lineRule="auto"/>
        <w:tabs>
          <w:tab w:leader="none" w:pos="4620" w:val="left"/>
        </w:tabs>
        <w:numPr>
          <w:ilvl w:val="0"/>
          <w:numId w:val="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Discovery</w:t>
      </w:r>
    </w:p>
    <w:p>
      <w:pPr>
        <w:ind w:left="406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Irvine, California 92618</w:t>
      </w:r>
    </w:p>
    <w:p>
      <w:pPr>
        <w:ind w:left="422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Tel: (844) 933-3627</w:t>
      </w:r>
    </w:p>
    <w:p>
      <w:pPr>
        <w:jc w:val="center"/>
        <w:spacing w:after="0"/>
        <w:rPr>
          <w:sz w:val="20"/>
          <w:szCs w:val="20"/>
          <w:color w:val="auto"/>
        </w:rPr>
      </w:pPr>
      <w:r>
        <w:rPr>
          <w:rFonts w:ascii="Times New Roman" w:cs="Times New Roman" w:eastAsia="Times New Roman" w:hAnsi="Times New Roman"/>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Copies to:</w:t>
      </w: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Dave Peinsipp</w:t>
      </w:r>
    </w:p>
    <w:p>
      <w:pPr>
        <w:jc w:val="center"/>
        <w:ind w:right="20"/>
        <w:spacing w:after="0" w:line="225" w:lineRule="auto"/>
        <w:rPr>
          <w:sz w:val="20"/>
          <w:szCs w:val="20"/>
          <w:color w:val="auto"/>
        </w:rPr>
      </w:pPr>
      <w:r>
        <w:rPr>
          <w:rFonts w:ascii="Times New Roman" w:cs="Times New Roman" w:eastAsia="Times New Roman" w:hAnsi="Times New Roman"/>
          <w:sz w:val="15"/>
          <w:szCs w:val="15"/>
          <w:b w:val="1"/>
          <w:bCs w:val="1"/>
          <w:color w:val="auto"/>
        </w:rPr>
        <w:t>Kristin VanderPas</w:t>
      </w:r>
    </w:p>
    <w:p>
      <w:pPr>
        <w:jc w:val="center"/>
        <w:ind w:right="40"/>
        <w:spacing w:after="0" w:line="225" w:lineRule="auto"/>
        <w:rPr>
          <w:sz w:val="20"/>
          <w:szCs w:val="20"/>
          <w:color w:val="auto"/>
        </w:rPr>
      </w:pPr>
      <w:r>
        <w:rPr>
          <w:rFonts w:ascii="Times New Roman" w:cs="Times New Roman" w:eastAsia="Times New Roman" w:hAnsi="Times New Roman"/>
          <w:sz w:val="15"/>
          <w:szCs w:val="15"/>
          <w:b w:val="1"/>
          <w:bCs w:val="1"/>
          <w:color w:val="auto"/>
        </w:rPr>
        <w:t>Peter Byrne</w:t>
      </w:r>
    </w:p>
    <w:p>
      <w:pPr>
        <w:jc w:val="center"/>
        <w:ind w:right="20"/>
        <w:spacing w:after="0" w:line="220" w:lineRule="auto"/>
        <w:rPr>
          <w:sz w:val="20"/>
          <w:szCs w:val="20"/>
          <w:color w:val="auto"/>
        </w:rPr>
      </w:pPr>
      <w:r>
        <w:rPr>
          <w:rFonts w:ascii="Times New Roman" w:cs="Times New Roman" w:eastAsia="Times New Roman" w:hAnsi="Times New Roman"/>
          <w:sz w:val="15"/>
          <w:szCs w:val="15"/>
          <w:b w:val="1"/>
          <w:bCs w:val="1"/>
          <w:color w:val="auto"/>
        </w:rPr>
        <w:t>Cooley LLP</w:t>
      </w:r>
    </w:p>
    <w:p>
      <w:pPr>
        <w:jc w:val="center"/>
        <w:ind w:right="40"/>
        <w:spacing w:after="0" w:line="183" w:lineRule="auto"/>
        <w:rPr>
          <w:sz w:val="20"/>
          <w:szCs w:val="20"/>
          <w:color w:val="auto"/>
        </w:rPr>
      </w:pPr>
      <w:r>
        <w:rPr>
          <w:rFonts w:ascii="Times New Roman" w:cs="Times New Roman" w:eastAsia="Times New Roman" w:hAnsi="Times New Roman"/>
          <w:sz w:val="14"/>
          <w:szCs w:val="14"/>
          <w:b w:val="1"/>
          <w:bCs w:val="1"/>
          <w:color w:val="auto"/>
        </w:rPr>
        <w:t>3 Embarcadero Center, 20</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jc w:val="center"/>
        <w:ind w:right="40"/>
        <w:spacing w:after="0" w:line="226" w:lineRule="auto"/>
        <w:rPr>
          <w:sz w:val="20"/>
          <w:szCs w:val="20"/>
          <w:color w:val="auto"/>
        </w:rPr>
      </w:pPr>
      <w:r>
        <w:rPr>
          <w:rFonts w:ascii="Times New Roman" w:cs="Times New Roman" w:eastAsia="Times New Roman" w:hAnsi="Times New Roman"/>
          <w:sz w:val="15"/>
          <w:szCs w:val="15"/>
          <w:b w:val="1"/>
          <w:bCs w:val="1"/>
          <w:color w:val="auto"/>
        </w:rPr>
        <w:t>San Francisco, California 94111</w:t>
      </w:r>
    </w:p>
    <w:p>
      <w:pPr>
        <w:jc w:val="center"/>
        <w:spacing w:after="0"/>
        <w:rPr>
          <w:sz w:val="20"/>
          <w:szCs w:val="20"/>
          <w:color w:val="auto"/>
        </w:rPr>
      </w:pPr>
      <w:r>
        <w:rPr>
          <w:rFonts w:ascii="Times New Roman" w:cs="Times New Roman" w:eastAsia="Times New Roman" w:hAnsi="Times New Roman"/>
          <w:sz w:val="15"/>
          <w:szCs w:val="15"/>
          <w:b w:val="1"/>
          <w:bCs w:val="1"/>
          <w:color w:val="auto"/>
        </w:rPr>
        <w:t>Tel: (415)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03" w:lineRule="exact"/>
        <w:rPr>
          <w:sz w:val="24"/>
          <w:szCs w:val="24"/>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the effective date of this registration statement.</w:t>
      </w: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jc w:val="both"/>
        <w:ind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jc w:val="both"/>
        <w:ind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6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75"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321945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184785</wp:posOffset>
            </wp:positionV>
            <wp:extent cx="61722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765"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WM Technology, Inc., a Delaware corporation (the “Company”), filed a Registration Statement on Form S-1 on December 2, 2021, which was declared effective on December 10,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(as amended and supplemented, the “Form S-1 Registration Statement”).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Post-Effective Amendment No. 4 to the Form S-3 Registration Statement on Form S-1 is being filed by the Company to convert the Form S-3 Registration Statement into a registration statement on Form S-1 (“Post-Effective Amendment No. 4”).</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Form S-3 Registration Statement and the prospectus contained therein. No additional securities are being registered under this Post-Effective Amendment No. 4. All applicable registration fees were paid at the time of the original filing of the Form S-1 Registration Statement.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May 24, 2024, the Company filed its Annual Report on Form 10-K for the fiscal year ended December 31, 2023 (the “Annual Report on Form 10-K”). Interested parties should refer to such Annual Report on Form 10-K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72" w:lineRule="exact"/>
        <w:rPr>
          <w:sz w:val="20"/>
          <w:szCs w:val="20"/>
          <w:color w:val="auto"/>
        </w:rPr>
      </w:pPr>
    </w:p>
    <w:p>
      <w:pPr>
        <w:ind w:left="400"/>
        <w:spacing w:after="0"/>
        <w:tabs>
          <w:tab w:leader="none" w:pos="4220" w:val="left"/>
        </w:tabs>
        <w:rPr>
          <w:sz w:val="20"/>
          <w:szCs w:val="20"/>
          <w:color w:val="auto"/>
        </w:rPr>
      </w:pPr>
      <w:r>
        <w:rPr>
          <w:rFonts w:ascii="Times New Roman" w:cs="Times New Roman" w:eastAsia="Times New Roman" w:hAnsi="Times New Roman"/>
          <w:sz w:val="18"/>
          <w:szCs w:val="18"/>
          <w:b w:val="1"/>
          <w:bCs w:val="1"/>
          <w:color w:val="FC0014"/>
        </w:rPr>
        <w:t>PRELIMINARY PROSPECTUS</w:t>
      </w:r>
      <w:r>
        <w:rPr>
          <w:sz w:val="20"/>
          <w:szCs w:val="20"/>
          <w:color w:val="auto"/>
        </w:rPr>
        <w:tab/>
      </w:r>
      <w:r>
        <w:rPr>
          <w:rFonts w:ascii="Times New Roman" w:cs="Times New Roman" w:eastAsia="Times New Roman" w:hAnsi="Times New Roman"/>
          <w:sz w:val="17"/>
          <w:szCs w:val="17"/>
          <w:b w:val="1"/>
          <w:bCs w:val="1"/>
          <w:color w:val="FC0014"/>
        </w:rPr>
        <w:t>SUBJECT TO COMPLETION—DATED 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242570</wp:posOffset>
            </wp:positionV>
            <wp:extent cx="3429000" cy="1020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1,938,798 Shares of Class A Common Stock</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99" w:lineRule="exact"/>
        <w:rPr>
          <w:sz w:val="20"/>
          <w:szCs w:val="20"/>
          <w:color w:val="auto"/>
        </w:rPr>
      </w:pPr>
    </w:p>
    <w:p>
      <w:pPr>
        <w:jc w:val="both"/>
        <w:ind w:left="400" w:right="419"/>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88"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shares of Class A Common Stock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of Class A Common Stock in the section entitled “Plan of Distribution.”</w:t>
      </w:r>
    </w:p>
    <w:p>
      <w:pPr>
        <w:spacing w:after="0" w:line="81"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July 22 2024, the closing price of our Class A Common Stock was $1.03.</w:t>
      </w:r>
    </w:p>
    <w:p>
      <w:pPr>
        <w:spacing w:after="0" w:line="54"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54"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138"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w w:val="92"/>
              </w:rPr>
              <w:t>iii</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tcPr>
          <w:p>
            <w:pPr>
              <w:spacing w:after="0"/>
              <w:rPr>
                <w:sz w:val="17"/>
                <w:szCs w:val="17"/>
                <w:color w:val="auto"/>
              </w:rPr>
            </w:pPr>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67</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79</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88</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102</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109</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81"/>
              </w:rPr>
              <w:t>111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w w:val="96"/>
              </w:rPr>
              <w:t>119</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123</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125</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125</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125</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INDEX TO FINANCIAL STATEMENTS</w:t>
            </w: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F-1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w w:val="96"/>
              </w:rPr>
              <w:t>II-1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96"/>
              </w:rPr>
              <w:t>II-7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-4885690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periods, “Legacy WMH” and when referred to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occurrence of a catastrophic event, including but not limited to severe weather, war, or terrorist attack;</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actually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8" w:lineRule="exact"/>
        <w:rPr>
          <w:sz w:val="20"/>
          <w:szCs w:val="20"/>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achieve profitability in the future.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the illicit cannabis market could impact our ability to succeed.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56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employee operations and organization effectively, our brand, business and operating results could be harmed.</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33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333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banking relations, and we may have difficulty accessing or consistently maintaining banking or other financial services due to our connection with the cannabis industry.</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drive engagement on our platform, as well as changes to our user engagement and advertising strategy and practices, pose risks to our business.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of the internet continues to develop, and unfavorable changes could substantially harm our business and operating results.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certain of our Public Warrants have been, and may continue to be, volatile, and the value of our Class A Common Stock and such Warrants may decline.</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2773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27730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58" w:lineRule="exact"/>
        <w:rPr>
          <w:sz w:val="20"/>
          <w:szCs w:val="20"/>
          <w:color w:val="auto"/>
        </w:rPr>
      </w:pPr>
    </w:p>
    <w:p>
      <w:pPr>
        <w:ind w:left="1320"/>
        <w:spacing w:after="0" w:line="286" w:lineRule="auto"/>
        <w:rPr>
          <w:sz w:val="20"/>
          <w:szCs w:val="20"/>
          <w:color w:val="auto"/>
        </w:rPr>
      </w:pPr>
      <w:r>
        <w:rPr>
          <w:rFonts w:ascii="Times New Roman" w:cs="Times New Roman" w:eastAsia="Times New Roman" w:hAnsi="Times New Roman"/>
          <w:sz w:val="18"/>
          <w:szCs w:val="18"/>
          <w:b w:val="1"/>
          <w:bCs w:val="1"/>
          <w:color w:val="auto"/>
        </w:rPr>
        <w:t>Shares of Class A Common Stock Offered by the Selling Securityholders</w:t>
      </w:r>
    </w:p>
    <w:p>
      <w:pPr>
        <w:spacing w:after="0" w:line="1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1,938,798 shares of Class A Common Stock.</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w:t>
      </w:r>
    </w:p>
    <w:p>
      <w:pPr>
        <w:spacing w:after="0" w:line="104" w:lineRule="exact"/>
        <w:rPr>
          <w:sz w:val="20"/>
          <w:szCs w:val="20"/>
          <w:color w:val="auto"/>
        </w:rPr>
      </w:pPr>
    </w:p>
    <w:p>
      <w:pPr>
        <w:sectPr>
          <w:pgSz w:w="11900" w:h="16838" w:orient="portrait"/>
          <w:cols w:equalWidth="0" w:num="2">
            <w:col w:w="5040" w:space="60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Our Class A Common Stock is currently traded on</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Nasdaq under the symbol “MAPS.”</w:t>
            </w:r>
          </w:p>
        </w:tc>
      </w:tr>
      <w:tr>
        <w:trPr>
          <w:trHeight w:val="333"/>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See  the  section  entitled  “Risk  Factors”  and  other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r>
      <w:tr>
        <w:trPr>
          <w:trHeight w:val="226"/>
        </w:trPr>
        <w:tc>
          <w:tcPr>
            <w:tcW w:w="1080" w:type="dxa"/>
            <w:vAlign w:val="bottom"/>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achieve profitability in the future.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81" w:lineRule="exact"/>
        <w:rPr>
          <w:sz w:val="20"/>
          <w:szCs w:val="20"/>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continued investment in our current marketing efforts and future marketing initiatives;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employees, including in our product and engineering teams;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domestically and internationally in an effort to increase our consumer and client usage, client base and our sales to our clients;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increased investment in the ongoing development of our existing products;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any acquired companies into our operations;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continued compliance with various regulations applicable to public companies and cannabis industry businesses and other work arising from the growth and maturity of our company.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of our products and solutions.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the illicit cannabis market could impact our ability to succeed.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our performance may be affected by factors unique to the California market.</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received two subpoenas from the SEC’s Division of Enforcement requesting additional information and documents. In addition, the SEC issued subpoenas to several of our current and former employees seeking their testimony, and their testimony occurred in July and August of 2023. Such investigations and their results are inherently uncertain, but could give rise to penalties or other sanctions against us, as well as negative publicity and reputational harm. Regardless of the outcome, such proceedings can have an adverse impact on us because of legal costs, diversion of management resources and other factors. See Part I, Item 3. Legal Proceedings to our Annual Report on Form 10-K for more information.</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18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Department of Justice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Although cannabis is a restricted controlled substance under the federal CSA, U.S. states have legalized cannabis to varying degrees through state-specific regulatory frameworks.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Laws and regulations affecting the cannabis industry in states and territories of the United States are continually changing. Any change or even the speed of changes could require us to incur substantial costs associated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5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5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disparate and rapidly evolving regulatory regimes imposed by U.S. federal, state and local and other non-U.S. governments around the world applicable to cannabis and cannabis-related businesses;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rapidly evolving trends in the cannabis industry and the way consumers and cannabis industry businesses interact with technology;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increasing our base of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preserve and build our brand while upgrading our existing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attracting, hiring and retaining qualified personnel to manage operations;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the cannabis industry if sales of cannabis expand significantly beyond a regulated model;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commodification of the cannabis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executing our business and marketing strategies;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5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w:t>
      </w:r>
    </w:p>
    <w:p>
      <w:pPr>
        <w:spacing w:after="0" w:line="3"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18"/>
          <w:szCs w:val="18"/>
          <w:color w:val="auto"/>
        </w:rPr>
        <w:t>Control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9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consolidated financial statements included in our Annual Report on Form 10-K for additional information.</w:t>
      </w:r>
    </w:p>
    <w:p>
      <w:pPr>
        <w:spacing w:after="0" w:line="91" w:lineRule="exact"/>
        <w:rPr>
          <w:sz w:val="20"/>
          <w:szCs w:val="20"/>
          <w:color w:val="auto"/>
        </w:rPr>
      </w:pPr>
    </w:p>
    <w:p>
      <w:pPr>
        <w:ind w:left="460" w:right="299" w:hanging="168"/>
        <w:spacing w:after="0" w:line="195" w:lineRule="auto"/>
        <w:tabs>
          <w:tab w:leader="none" w:pos="46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2021, the Bureau of Cannabis Control merged with two other state agencies regulating California cannabis to form the Department of Cannabis Control, which presently regulates all California commercial cannabis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34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75"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including alternative revenue streams;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 from competitors’ products;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including those applicable to any political action committees affiliated with us and to our registered lobbying activities;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17"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timeliness of our clients’ delivery businesses;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clients or products identified through our platform;</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16, 2024, President Biden announced that the U.S. Attorney General initiated proceedings to transfer cannabis from Schedule I to Schedule III, through an NPRM published on May 21, 2024. This decision is expected to have far-reaching implications that are not yet fully understood. For example, rescheduling may increase competitors in this space if non-cannabis technology companies who have previously avoided the space now decide to enter the market.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employee operations and organization effectively, our brand, business and operating results could be harmed.</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future success depends on our continued ability to recruit, train, retain and motivate key personnel, including Doug Francis, our Executive Chair and Principal Executive Officer; Brian Camire, our General Counsel; and Duncan Grazier, our Chief Technology Officer.</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particular, Doug Francis, co-founder and Executive Chair, has been and will continue to take a more active role in leading WM Technology until we appoint our next chief executive officer. In addition, since July 2023 we have had and continue to have an interim Chief Financial Officer, which, as noted in our Notification of Late Filing on Form 12b-25 with the SEC, has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30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suspended from December 2021 to February 2022, in March 2022 and in November 2022 for a short period.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system and the payment systems of our clients depend on third-party providers and are subject to evolving laws and regulations.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8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4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84" w:lineRule="exact"/>
        <w:rPr>
          <w:sz w:val="20"/>
          <w:szCs w:val="20"/>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decreased our usage of or discontinued;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aggregating or misappropriating data from our websites.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2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 actual or perceived security incident could damage our reputation and brand, result in decreased utilization of our platform or prevent users from using our platform, expose us to fines and penalties, government investigations 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35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8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75"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consumers and retain existing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 compete illegal cannabis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including the material weakness that we have identified.</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314"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3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80"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tax requirements of multiple jurisdictions;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our content effectively in foreign languages;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foreign locations;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the United States and otherwise preventing us from freely moving cash;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of 1977, as amended, the U.K. Bribery Act 2010, the Corruption of Public Officials Act (Canada), and similar laws in other jurisdictions;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economic sanctions administered by the U.S. Department of Commerce Bureau of Industry and Security and the U.S. Treasury Department’s Office of Foreign Assets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6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8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 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9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brought against us as a result of content we provide.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claims based on the content published to our platform.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33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33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deemed responsible for the collection and remittance of state sales taxes or other indirect taxes.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foreign jurisdictions.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our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6"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material weakness related to the design and maintenance of effective process-level controls related to the order-to-cash cycle resulted in the misapplication of the Company’s revenue recognition policies related to the cash collection of a certain subset of its customers that had been placed on a cash basis and, in turn, the restatement of our unaudited condensed consolidated financial statements as of and for the three months ended March 31, 2023, six months ended June 30, 2023 and nine months ended September 30, 2023. 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See the section entitled “Item 9A. Controls and Procedures” of our Annual Report on Form 10-K.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the year ended December 31, 2023.</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320"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discussed in Note 2 to our consolidated financial statements included in our Annual Report on Form 10-K,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9"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In this discussion of risks related to our organizational structure, references to “we,” “us” and “our” generally refer to WM Technology Inc.</w:t>
      </w:r>
    </w:p>
    <w:p>
      <w:pPr>
        <w:spacing w:after="0" w:line="29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18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the TRA. Payments under the TRA are not conditioned on the WMH LLC Class A equity holders’ continued ownership of us. See Note 16, “Income Taxes,” to our consolidated financial statements included in our Annual Report on Form 10-K.</w:t>
      </w:r>
    </w:p>
    <w:p>
      <w:pPr>
        <w:spacing w:after="0" w:line="30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8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4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Cannabis, other than hemp (defined by the U.S. government as </w:t>
      </w:r>
      <w:r>
        <w:rPr>
          <w:rFonts w:ascii="Times New Roman" w:cs="Times New Roman" w:eastAsia="Times New Roman" w:hAnsi="Times New Roman"/>
          <w:sz w:val="18"/>
          <w:szCs w:val="18"/>
          <w:i w:val="1"/>
          <w:iCs w:val="1"/>
          <w:color w:val="auto"/>
        </w:rPr>
        <w:t>Cannabis sativa</w:t>
      </w:r>
      <w:r>
        <w:rPr>
          <w:rFonts w:ascii="Times New Roman" w:cs="Times New Roman" w:eastAsia="Times New Roman" w:hAnsi="Times New Roman"/>
          <w:sz w:val="18"/>
          <w:szCs w:val="18"/>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 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9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5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Participating in transactions involving proceeds derived from cannabis may constitute criminal money laundering.</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regulatory compliance.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Synthetic or hemp-derived products may compete with cannabis use and products.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5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employees and investors who are not U.S. citizens may face constraints on cross-border travel into the United States.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our affiliates, executive officers, directors and their respective affiliates as a group beneficially own approximately 22.3%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9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17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68"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221"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5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and the Public Warrants have been and may continue to be subject to wide fluctuations in response to numerous factors, many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conclusion of legal proceedings that involve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joint ventures;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capital-raising activities or commitments;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financial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including short selling of our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civil unrest, war, foreign invasions, terrorism, or public health crises, or responses to such events.</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7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or reduce our net income.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 financial reporting and any additional material weaknesses or significant deficiency in the internal control over financial</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35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339"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“MAPS” and “MAPSW”, respectively. As of July 22, 2024, there were 96,948,250 shares of Class A Common Stock issued and outstanding and 55,486,361 shares of our Class V common stock (the “Class V Common Stock”) issued and outstanding. No market exists for the Class V Common Stock.</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July 22, 2024, there were 115 holders of record of our Class A Common Stock, 12 holders of record of our Class V Common Stock and 2 holders of record of our Public Warrants.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Note Regarding Forward-Looking Statements” and “Risk Factors” and elsewhere in this prospectus.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p>
    <w:p>
      <w:pPr>
        <w:spacing w:after="0" w:line="121"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$44.4 million as compared to $46.4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4,937, as compared to 5,641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 per paying clients was $2,997, as compared to $2,743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$2.0 million as compared to net loss of $4.0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$9.6 million.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2023 Financial Highlights</w:t>
      </w:r>
    </w:p>
    <w:p>
      <w:pPr>
        <w:spacing w:after="0" w:line="121"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$188.0 million as compared to $215.5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5,419, as compared to 5,457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 per paying client was $2,891, as compared to $3,291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$15.7 million as compared to $82.7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$36.9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totaled $34.4 million as of December 31, 2023, with no long-term debt.</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4,937 average monthly paying business clients during the three months ended March 31, 2024 on the supply-side of our marketplace. These paying clients include retailers, brands and other client types (such as doctors). Further, these clients, who can choose to purchase multiple listings solutions for each business, had purchased approximately 7,800 listing pages as of March 31, 2024.</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March 31,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financial performance for three months ended March 31, 2024 compared with the same period in 2023 and for the year ended December 31, 2023 compared to our financial performance for the years ended December 31, 2022 and 2021. For a detailed discussion of our results of operations, see “Results of Operations for the Three Months Ended March 31, 2024 and 2023” and “Results of Operations for the Years Ended December 31, 2023, 2022 and 2021”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2024 and 2023</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58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27"/>
        </w:trPr>
        <w:tc>
          <w:tcPr>
            <w:tcW w:w="5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9"/>
                <w:szCs w:val="19"/>
                <w:color w:val="auto"/>
              </w:rPr>
            </w:pPr>
          </w:p>
        </w:tc>
        <w:tc>
          <w:tcPr>
            <w:tcW w:w="8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5820" w:type="dxa"/>
            <w:vAlign w:val="bottom"/>
          </w:tcPr>
          <w:p>
            <w:pPr>
              <w:spacing w:after="0"/>
              <w:rPr>
                <w:sz w:val="4"/>
                <w:szCs w:val="4"/>
                <w:color w:val="auto"/>
              </w:rPr>
            </w:pPr>
          </w:p>
        </w:tc>
        <w:tc>
          <w:tcPr>
            <w:tcW w:w="2600" w:type="dxa"/>
            <w:vAlign w:val="bottom"/>
            <w:tcBorders>
              <w:bottom w:val="single" w:sz="8" w:color="auto"/>
            </w:tcBorders>
            <w:gridSpan w:val="4"/>
          </w:tcPr>
          <w:p>
            <w:pPr>
              <w:spacing w:after="0"/>
              <w:rPr>
                <w:sz w:val="4"/>
                <w:szCs w:val="4"/>
                <w:color w:val="auto"/>
              </w:rPr>
            </w:pPr>
          </w:p>
        </w:tc>
      </w:tr>
      <w:tr>
        <w:trPr>
          <w:trHeight w:val="185"/>
        </w:trPr>
        <w:tc>
          <w:tcPr>
            <w:tcW w:w="582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w:t>
            </w:r>
          </w:p>
        </w:tc>
      </w:tr>
      <w:tr>
        <w:trPr>
          <w:trHeight w:val="190"/>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per paying client)</w:t>
            </w:r>
          </w:p>
        </w:tc>
      </w:tr>
      <w:tr>
        <w:trPr>
          <w:trHeight w:val="50"/>
        </w:trPr>
        <w:tc>
          <w:tcPr>
            <w:tcW w:w="582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1300" w:type="dxa"/>
            <w:vAlign w:val="bottom"/>
            <w:gridSpan w:val="2"/>
          </w:tcPr>
          <w:p>
            <w:pPr>
              <w:spacing w:after="0"/>
              <w:rPr>
                <w:sz w:val="4"/>
                <w:szCs w:val="4"/>
                <w:color w:val="auto"/>
              </w:rPr>
            </w:pPr>
          </w:p>
        </w:tc>
      </w:tr>
      <w:tr>
        <w:trPr>
          <w:trHeight w:val="37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(1)</w:t>
            </w:r>
          </w:p>
        </w:tc>
        <w:tc>
          <w:tcPr>
            <w:tcW w:w="130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$44,389</w:t>
            </w:r>
          </w:p>
        </w:tc>
        <w:tc>
          <w:tcPr>
            <w:tcW w:w="130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$46,416</w:t>
            </w:r>
          </w:p>
        </w:tc>
      </w:tr>
      <w:tr>
        <w:trPr>
          <w:trHeight w:val="27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1,959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98"/>
              </w:rPr>
              <w:t>(3,969)</w:t>
            </w:r>
          </w:p>
        </w:tc>
      </w:tr>
      <w:tr>
        <w:trPr>
          <w:trHeight w:val="54"/>
        </w:trPr>
        <w:tc>
          <w:tcPr>
            <w:tcW w:w="5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6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(2)</w:t>
            </w:r>
          </w:p>
        </w:tc>
        <w:tc>
          <w:tcPr>
            <w:tcW w:w="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4,894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(802)</w:t>
            </w:r>
          </w:p>
        </w:tc>
      </w:tr>
      <w:tr>
        <w:trPr>
          <w:trHeight w:val="36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9,599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7,130</w:t>
            </w:r>
          </w:p>
        </w:tc>
      </w:tr>
      <w:tr>
        <w:trPr>
          <w:trHeight w:val="36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9"/>
                <w:szCs w:val="29"/>
                <w:color w:val="auto"/>
                <w:vertAlign w:val="superscript"/>
              </w:rPr>
              <w:t>(1)(3)</w:t>
            </w:r>
          </w:p>
        </w:tc>
        <w:tc>
          <w:tcPr>
            <w:tcW w:w="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2,997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2,743</w:t>
            </w:r>
          </w:p>
        </w:tc>
      </w:tr>
      <w:tr>
        <w:trPr>
          <w:trHeight w:val="43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(4)</w:t>
            </w:r>
          </w:p>
        </w:tc>
        <w:tc>
          <w:tcPr>
            <w:tcW w:w="420" w:type="dxa"/>
            <w:vAlign w:val="bottom"/>
          </w:tcPr>
          <w:p>
            <w:pPr>
              <w:spacing w:after="0"/>
              <w:rPr>
                <w:sz w:val="24"/>
                <w:szCs w:val="24"/>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4,937</w:t>
            </w:r>
          </w:p>
        </w:tc>
        <w:tc>
          <w:tcPr>
            <w:tcW w:w="500" w:type="dxa"/>
            <w:vAlign w:val="bottom"/>
          </w:tcPr>
          <w:p>
            <w:pPr>
              <w:spacing w:after="0"/>
              <w:rPr>
                <w:sz w:val="24"/>
                <w:szCs w:val="24"/>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-1697355</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jc w:val="both"/>
        <w:ind w:left="640" w:right="29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revenues have been retrospectively adjusted to reflect the restatement of previously reported revenue. See Note 2, “Summary of Significant Accounting Policies,” to our condensed consolidated financial statements included in our Quarterly Report on Form 10-Q for the period ended March 31, 2024 (the “Quarterly Report on Form 10-Q”) for further information.</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below.</w:t>
      </w:r>
    </w:p>
    <w:p>
      <w:pPr>
        <w:ind w:left="640" w:right="3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 per paying client is defined as the average monthly revenue for any particular period divided by the average monthly paying clients in the same respective period.</w:t>
      </w:r>
    </w:p>
    <w:p>
      <w:pPr>
        <w:ind w:left="640" w:right="29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2022 and 2021</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50"/>
        </w:trPr>
        <w:tc>
          <w:tcPr>
            <w:tcW w:w="4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7"/>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4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gridSpan w:val="5"/>
          </w:tcPr>
          <w:p>
            <w:pPr>
              <w:spacing w:after="0"/>
              <w:rPr>
                <w:sz w:val="4"/>
                <w:szCs w:val="4"/>
                <w:color w:val="auto"/>
              </w:rPr>
            </w:pPr>
          </w:p>
        </w:tc>
      </w:tr>
      <w:tr>
        <w:trPr>
          <w:trHeight w:val="185"/>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5"/>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w:t>
            </w:r>
          </w:p>
        </w:tc>
      </w:t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paying client)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51"/>
        </w:trPr>
        <w:tc>
          <w:tcPr>
            <w:tcW w:w="490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182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r>
      <w:tr>
        <w:trPr>
          <w:trHeight w:val="318"/>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60" w:type="dxa"/>
            <w:vAlign w:val="bottom"/>
            <w:tcBorders>
              <w:bottom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$187,993</w:t>
            </w:r>
          </w:p>
        </w:tc>
        <w:tc>
          <w:tcPr>
            <w:tcW w:w="1820" w:type="dxa"/>
            <w:vAlign w:val="bottom"/>
            <w:tcBorders>
              <w:bottom w:val="single" w:sz="8" w:color="CCEEFF"/>
            </w:tcBorders>
            <w:gridSpan w:val="2"/>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$215,531</w:t>
            </w:r>
          </w:p>
        </w:tc>
        <w:tc>
          <w:tcPr>
            <w:tcW w:w="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$193,146</w:t>
            </w:r>
          </w:p>
        </w:tc>
      </w:tr>
      <w:tr>
        <w:trPr>
          <w:trHeight w:val="27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w w:val="97"/>
              </w:rPr>
              <w:t>(82,651)</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$152,218</w:t>
            </w:r>
          </w:p>
        </w:tc>
      </w:tr>
      <w:tr>
        <w:trPr>
          <w:trHeight w:val="54"/>
        </w:trPr>
        <w:tc>
          <w:tcPr>
            <w:tcW w:w="4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r>
      <w:tr>
        <w:trPr>
          <w:trHeight w:val="3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(3,534)</w:t>
            </w:r>
          </w:p>
        </w:tc>
        <w:tc>
          <w:tcPr>
            <w:tcW w:w="1820" w:type="dxa"/>
            <w:vAlign w:val="bottom"/>
            <w:gridSpan w:val="2"/>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$107,924</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$156,042</w:t>
            </w:r>
          </w:p>
        </w:tc>
      </w:tr>
      <w:tr>
        <w:trPr>
          <w:trHeight w:val="36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36,907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(9,633)</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31,698</w:t>
            </w:r>
          </w:p>
        </w:tc>
      </w:tr>
      <w:tr>
        <w:trPr>
          <w:trHeight w:val="36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2,891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3,291</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43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4"/>
                <w:szCs w:val="24"/>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5,419</w:t>
            </w:r>
          </w:p>
        </w:tc>
        <w:tc>
          <w:tcPr>
            <w:tcW w:w="660" w:type="dxa"/>
            <w:vAlign w:val="bottom"/>
          </w:tcPr>
          <w:p>
            <w:pPr>
              <w:spacing w:after="0"/>
              <w:rPr>
                <w:sz w:val="24"/>
                <w:szCs w:val="24"/>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5,457</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-1671955</wp:posOffset>
            </wp:positionV>
            <wp:extent cx="3600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-1671955</wp:posOffset>
            </wp:positionV>
            <wp:extent cx="3600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jc w:val="both"/>
        <w:ind w:left="640" w:right="29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 per paying client is defined as the average monthly revenue for any particular period divided by the average monthly paying clients in the same respective period.</w:t>
      </w:r>
    </w:p>
    <w:p>
      <w:pPr>
        <w:ind w:left="640" w:right="29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March 31, 2024 was $2.0 million compared to net loss of $4.0 million for the three months ended March 31, 2023. The increase in net income was primarily due to decrease in operating expenses of $9.9 million, which was partially offset by a decrease in revenue of $2.0 million and unfavorable change in fair value of warrant liability of $1.6 million.</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68" w:lineRule="exact"/>
        <w:rPr>
          <w:sz w:val="20"/>
          <w:szCs w:val="20"/>
          <w:color w:val="auto"/>
        </w:rPr>
      </w:pPr>
    </w:p>
    <w:p>
      <w:pPr>
        <w:jc w:val="both"/>
        <w:ind w:left="2000" w:right="1320" w:hanging="348"/>
        <w:spacing w:after="0" w:line="266" w:lineRule="auto"/>
        <w:tabs>
          <w:tab w:leader="none" w:pos="2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54" w:lineRule="exact"/>
        <w:rPr>
          <w:sz w:val="20"/>
          <w:szCs w:val="20"/>
          <w:color w:val="auto"/>
        </w:rPr>
      </w:pPr>
    </w:p>
    <w:p>
      <w:pPr>
        <w:ind w:left="1300" w:right="13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2024 and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1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13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gridSpan w:val="11"/>
          </w:tcPr>
          <w:p>
            <w:pPr>
              <w:jc w:val="right"/>
              <w:ind w:right="19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13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$1,959</w:t>
            </w:r>
          </w:p>
        </w:tc>
        <w:tc>
          <w:tcPr>
            <w:tcW w:w="3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gridSpan w:val="5"/>
          </w:tcPr>
          <w:p>
            <w:pPr>
              <w:jc w:val="right"/>
              <w:ind w:right="152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gridSpan w:val="5"/>
          </w:tcPr>
          <w:p>
            <w:pPr>
              <w:jc w:val="right"/>
              <w:ind w:right="152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1300" w:type="dxa"/>
            <w:vAlign w:val="bottom"/>
          </w:tcPr>
          <w:p>
            <w:pPr>
              <w:spacing w:after="0"/>
              <w:rPr>
                <w:sz w:val="5"/>
                <w:szCs w:val="5"/>
                <w:color w:val="auto"/>
              </w:rPr>
            </w:pPr>
          </w:p>
        </w:tc>
        <w:tc>
          <w:tcPr>
            <w:tcW w:w="4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4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3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4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3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43"/>
        </w:trPr>
        <w:tc>
          <w:tcPr>
            <w:tcW w:w="1300" w:type="dxa"/>
            <w:vAlign w:val="bottom"/>
          </w:tcPr>
          <w:p>
            <w:pPr>
              <w:spacing w:after="0"/>
              <w:rPr>
                <w:sz w:val="21"/>
                <w:szCs w:val="21"/>
                <w:color w:val="auto"/>
              </w:rPr>
            </w:pP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61"/>
        </w:trPr>
        <w:tc>
          <w:tcPr>
            <w:tcW w:w="1300" w:type="dxa"/>
            <w:vAlign w:val="bottom"/>
          </w:tcPr>
          <w:p>
            <w:pPr>
              <w:spacing w:after="0"/>
              <w:rPr>
                <w:sz w:val="5"/>
                <w:szCs w:val="5"/>
                <w:color w:val="auto"/>
              </w:rPr>
            </w:pPr>
          </w:p>
        </w:tc>
        <w:tc>
          <w:tcPr>
            <w:tcW w:w="49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9,599</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$ 7,130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80"/>
        </w:trPr>
        <w:tc>
          <w:tcPr>
            <w:tcW w:w="13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2023, 2022 and 2021</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5"/>
        </w:trPr>
        <w:tc>
          <w:tcPr>
            <w:tcW w:w="1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14"/>
          </w:tcPr>
          <w:p>
            <w:pPr>
              <w:jc w:val="right"/>
              <w:ind w:right="1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13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300" w:type="dxa"/>
            <w:vAlign w:val="bottom"/>
            <w:tcBorders>
              <w:bottom w:val="single" w:sz="8" w:color="CCEEFF"/>
            </w:tcBorders>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(82,651)</w:t>
            </w: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2"/>
                <w:szCs w:val="22"/>
                <w:color w:val="auto"/>
              </w:rPr>
            </w:pPr>
          </w:p>
        </w:tc>
        <w:tc>
          <w:tcPr>
            <w:tcW w:w="130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179,077</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11,498</w:t>
            </w: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gridSpan w:val="5"/>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13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2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(3,534)</w:t>
            </w:r>
          </w:p>
        </w:tc>
        <w:tc>
          <w:tcPr>
            <w:tcW w:w="1300" w:type="dxa"/>
            <w:vAlign w:val="bottom"/>
            <w:tcBorders>
              <w:bottom w:val="single" w:sz="8" w:color="CCEEFF"/>
            </w:tcBorders>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107,924</w:t>
            </w:r>
          </w:p>
        </w:tc>
        <w:tc>
          <w:tcPr>
            <w:tcW w:w="94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156,042</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tcPr>
          <w:p>
            <w:pPr>
              <w:spacing w:after="0"/>
              <w:rPr>
                <w:sz w:val="22"/>
                <w:szCs w:val="22"/>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2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(1,505)</w:t>
            </w:r>
          </w:p>
        </w:tc>
        <w:tc>
          <w:tcPr>
            <w:tcW w:w="1300" w:type="dxa"/>
            <w:vAlign w:val="bottom"/>
            <w:tcBorders>
              <w:bottom w:val="single" w:sz="8" w:color="CCEEFF"/>
            </w:tcBorders>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(25,370)</w:t>
            </w:r>
          </w:p>
        </w:tc>
        <w:tc>
          <w:tcPr>
            <w:tcW w:w="9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440" w:type="dxa"/>
            <w:vAlign w:val="bottom"/>
          </w:tcPr>
          <w:p>
            <w:pPr>
              <w:spacing w:after="0"/>
              <w:rPr>
                <w:sz w:val="22"/>
                <w:szCs w:val="22"/>
                <w:color w:val="auto"/>
              </w:rPr>
            </w:pPr>
          </w:p>
        </w:tc>
        <w:tc>
          <w:tcPr>
            <w:tcW w:w="7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24,403</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10,119</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4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w:t>
            </w: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80" w:type="dxa"/>
            <w:vAlign w:val="bottom"/>
          </w:tcPr>
          <w:p>
            <w:pPr>
              <w:spacing w:after="0"/>
              <w:rPr>
                <w:sz w:val="22"/>
                <w:szCs w:val="22"/>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122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(3,705)</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(142,352)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gridSpan w:val="5"/>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13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r>
      <w:tr>
        <w:trPr>
          <w:trHeight w:val="256"/>
        </w:trPr>
        <w:tc>
          <w:tcPr>
            <w:tcW w:w="1300" w:type="dxa"/>
            <w:vAlign w:val="bottom"/>
          </w:tcPr>
          <w:p>
            <w:pPr>
              <w:spacing w:after="0"/>
              <w:rPr>
                <w:sz w:val="22"/>
                <w:szCs w:val="22"/>
                <w:color w:val="auto"/>
              </w:rPr>
            </w:pP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4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2"/>
                <w:szCs w:val="22"/>
                <w:color w:val="auto"/>
              </w:rPr>
            </w:pPr>
          </w:p>
        </w:tc>
      </w:tr>
      <w:tr>
        <w:trPr>
          <w:trHeight w:val="48"/>
        </w:trPr>
        <w:tc>
          <w:tcPr>
            <w:tcW w:w="1300" w:type="dxa"/>
            <w:vAlign w:val="bottom"/>
          </w:tcPr>
          <w:p>
            <w:pPr>
              <w:spacing w:after="0"/>
              <w:rPr>
                <w:sz w:val="4"/>
                <w:szCs w:val="4"/>
                <w:color w:val="auto"/>
              </w:rPr>
            </w:pPr>
          </w:p>
        </w:tc>
        <w:tc>
          <w:tcPr>
            <w:tcW w:w="49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83"/>
        </w:trPr>
        <w:tc>
          <w:tcPr>
            <w:tcW w:w="13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$ 36,907</w:t>
            </w:r>
          </w:p>
        </w:tc>
        <w:tc>
          <w:tcPr>
            <w:tcW w:w="120" w:type="dxa"/>
            <w:vAlign w:val="bottom"/>
          </w:tcPr>
          <w:p>
            <w:pPr>
              <w:spacing w:after="0"/>
              <w:rPr>
                <w:sz w:val="24"/>
                <w:szCs w:val="24"/>
                <w:color w:val="auto"/>
              </w:rPr>
            </w:pPr>
          </w:p>
        </w:tc>
        <w:tc>
          <w:tcPr>
            <w:tcW w:w="13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  (9,633)</w:t>
            </w:r>
          </w:p>
        </w:tc>
        <w:tc>
          <w:tcPr>
            <w:tcW w:w="9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  31,698</w:t>
            </w:r>
          </w:p>
        </w:tc>
        <w:tc>
          <w:tcPr>
            <w:tcW w:w="1300" w:type="dxa"/>
            <w:vAlign w:val="bottom"/>
          </w:tcPr>
          <w:p>
            <w:pPr>
              <w:spacing w:after="0"/>
              <w:rPr>
                <w:sz w:val="24"/>
                <w:szCs w:val="24"/>
                <w:color w:val="auto"/>
              </w:rPr>
            </w:pPr>
          </w:p>
        </w:tc>
      </w:tr>
      <w:tr>
        <w:trPr>
          <w:trHeight w:val="466"/>
        </w:trPr>
        <w:tc>
          <w:tcPr>
            <w:tcW w:w="62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-7002780</wp:posOffset>
            </wp:positionV>
            <wp:extent cx="2057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5440680</wp:posOffset>
            </wp:positionH>
            <wp:positionV relativeFrom="paragraph">
              <wp:posOffset>-3710940</wp:posOffset>
            </wp:positionV>
            <wp:extent cx="2228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-3710940</wp:posOffset>
            </wp:positionV>
            <wp:extent cx="2228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ectPr>
          <w:pgSz w:w="11900" w:h="16838" w:orient="portrait"/>
          <w:cols w:equalWidth="0" w:num="1">
            <w:col w:w="11020"/>
          </w:cols>
          <w:pgMar w:left="440" w:top="263" w:right="439" w:bottom="69"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Revenue Per Paying Client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increase in our average monthly revenue per paying client for the three months ended March 31, 2024 compared to the same period in 2023 was due to sunset of certain products, which had lower average monthly spending clients, in the fourth quarter of 2023.</w:t>
      </w:r>
    </w:p>
    <w:p>
      <w:pPr>
        <w:spacing w:after="0" w:line="22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50800</wp:posOffset>
            </wp:positionV>
            <wp:extent cx="13462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16" w:lineRule="exact"/>
        <w:rPr>
          <w:sz w:val="20"/>
          <w:szCs w:val="20"/>
          <w:color w:val="auto"/>
        </w:rPr>
      </w:pPr>
    </w:p>
    <w:p>
      <w:pPr>
        <w:ind w:left="694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50800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50800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revenue per paying client</w:t>
            </w:r>
          </w:p>
        </w:tc>
        <w:tc>
          <w:tcPr>
            <w:tcW w:w="9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$2,997</w:t>
            </w:r>
          </w:p>
        </w:tc>
        <w:tc>
          <w:tcPr>
            <w:tcW w:w="2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$2,743</w:t>
            </w:r>
          </w:p>
        </w:tc>
      </w:tr>
      <w:tr>
        <w:trPr>
          <w:trHeight w:val="54"/>
        </w:trPr>
        <w:tc>
          <w:tcPr>
            <w:tcW w:w="63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decline in our average monthly revenue per paying client for the years ended December 31, 2023 was due to spend declines in established markets. We expected these pressures given the continued liquidity challenges that clients are facing.</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three months ended March 31, 2024 decreased 12% to 4,937 average monthly paying clients from 5,641 average monthly paying clients in the same period in 2023. The decrease in average monthly paying clients in the three months ended March 31, 2024 as compared to the same period in 2023 was primarily due to elevated churn as a result of the cannabis industry facing price deflation.</w:t>
      </w:r>
    </w:p>
    <w:p>
      <w:pPr>
        <w:spacing w:after="0" w:line="200"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50800</wp:posOffset>
            </wp:positionV>
            <wp:extent cx="13462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16" w:lineRule="exact"/>
        <w:rPr>
          <w:sz w:val="20"/>
          <w:szCs w:val="20"/>
          <w:color w:val="auto"/>
        </w:rPr>
      </w:pPr>
    </w:p>
    <w:p>
      <w:pPr>
        <w:ind w:left="694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50800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50800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9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4,937</w:t>
            </w:r>
          </w:p>
        </w:tc>
        <w:tc>
          <w:tcPr>
            <w:tcW w:w="2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5,641</w:t>
            </w:r>
          </w:p>
        </w:tc>
      </w:tr>
      <w:tr>
        <w:trPr>
          <w:trHeight w:val="54"/>
        </w:trPr>
        <w:tc>
          <w:tcPr>
            <w:tcW w:w="63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doubtful accounts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Charges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Asset impairment charges primarily consist of impairment of ROU assets related to our operating leases, impairment of intangible assets, impairment of equity securities and impairment of property and equipment.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discharge of holdback obligation related to prior acquisition, changes in fair value of warrant liability, change in TRA liability, transaction related bonus, legal settlements and other legal costs, reduction in force, and interest expense.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condensed consolidated financial statements included in our Quarterly Report on Form 10-Q for further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2024 and 2023</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gridSpan w:val="10"/>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5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318"/>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7"/>
        </w:trPr>
        <w:tc>
          <w:tcPr>
            <w:tcW w:w="51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Pr>
          <w:p>
            <w:pPr>
              <w:spacing w:after="0"/>
              <w:rPr>
                <w:sz w:val="19"/>
                <w:szCs w:val="19"/>
                <w:color w:val="auto"/>
              </w:rPr>
            </w:pPr>
          </w:p>
        </w:tc>
        <w:tc>
          <w:tcPr>
            <w:tcW w:w="7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51"/>
        </w:trPr>
        <w:tc>
          <w:tcPr>
            <w:tcW w:w="5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20" w:type="dxa"/>
            <w:vAlign w:val="bottom"/>
            <w:gridSpan w:val="11"/>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50"/>
        </w:trPr>
        <w:tc>
          <w:tcPr>
            <w:tcW w:w="5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$44,389</w:t>
            </w:r>
          </w:p>
        </w:tc>
        <w:tc>
          <w:tcPr>
            <w:tcW w:w="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$46,416</w:t>
            </w:r>
          </w:p>
        </w:tc>
        <w:tc>
          <w:tcPr>
            <w:tcW w:w="8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54"/>
        </w:trPr>
        <w:tc>
          <w:tcPr>
            <w:tcW w:w="5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60" w:type="dxa"/>
            <w:vAlign w:val="bottom"/>
          </w:tcPr>
          <w:p>
            <w:pPr>
              <w:spacing w:after="0"/>
              <w:rPr>
                <w:sz w:val="23"/>
                <w:szCs w:val="23"/>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160" w:type="dxa"/>
            <w:vAlign w:val="bottom"/>
          </w:tcPr>
          <w:p>
            <w:pPr>
              <w:spacing w:after="0"/>
              <w:rPr>
                <w:sz w:val="23"/>
                <w:szCs w:val="23"/>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r>
      <w:tr>
        <w:trPr>
          <w:trHeight w:val="54"/>
        </w:trPr>
        <w:tc>
          <w:tcPr>
            <w:tcW w:w="5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60" w:type="dxa"/>
            <w:vAlign w:val="bottom"/>
          </w:tcPr>
          <w:p>
            <w:pPr>
              <w:spacing w:after="0"/>
              <w:rPr>
                <w:sz w:val="23"/>
                <w:szCs w:val="23"/>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60" w:type="dxa"/>
            <w:vAlign w:val="bottom"/>
          </w:tcPr>
          <w:p>
            <w:pPr>
              <w:spacing w:after="0"/>
              <w:rPr>
                <w:sz w:val="23"/>
                <w:szCs w:val="23"/>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54"/>
        </w:trPr>
        <w:tc>
          <w:tcPr>
            <w:tcW w:w="5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6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6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61"/>
        </w:trPr>
        <w:tc>
          <w:tcPr>
            <w:tcW w:w="5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60" w:type="dxa"/>
            <w:vAlign w:val="bottom"/>
          </w:tcPr>
          <w:p>
            <w:pPr>
              <w:spacing w:after="0"/>
              <w:rPr>
                <w:sz w:val="23"/>
                <w:szCs w:val="23"/>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160" w:type="dxa"/>
            <w:vAlign w:val="bottom"/>
          </w:tcPr>
          <w:p>
            <w:pPr>
              <w:spacing w:after="0"/>
              <w:rPr>
                <w:sz w:val="23"/>
                <w:szCs w:val="23"/>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r>
      <w:tr>
        <w:trPr>
          <w:trHeight w:val="61"/>
        </w:trPr>
        <w:tc>
          <w:tcPr>
            <w:tcW w:w="51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318"/>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(4,148)</w:t>
            </w:r>
          </w:p>
        </w:tc>
        <w:tc>
          <w:tcPr>
            <w:tcW w:w="8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54"/>
        </w:trPr>
        <w:tc>
          <w:tcPr>
            <w:tcW w:w="5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w:t>
            </w:r>
          </w:p>
        </w:tc>
        <w:tc>
          <w:tcPr>
            <w:tcW w:w="8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23"/>
                <w:szCs w:val="23"/>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61"/>
        </w:trPr>
        <w:tc>
          <w:tcPr>
            <w:tcW w:w="5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6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(3,969)</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54"/>
        </w:trPr>
        <w:tc>
          <w:tcPr>
            <w:tcW w:w="5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60" w:type="dxa"/>
            <w:vAlign w:val="bottom"/>
          </w:tcPr>
          <w:p>
            <w:pPr>
              <w:spacing w:after="0"/>
              <w:rPr>
                <w:sz w:val="24"/>
                <w:szCs w:val="24"/>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(3,969)</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54"/>
        </w:trPr>
        <w:tc>
          <w:tcPr>
            <w:tcW w:w="5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6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61"/>
        </w:trPr>
        <w:tc>
          <w:tcPr>
            <w:tcW w:w="5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$ 1,240</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(2,475)</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-3950970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-3950970</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-3950970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31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revenues and general and administrative expenses have been retrospectively adjusted to reflect the restatement of previously reported revenue and credit losses. See Note 2, “Summary of Significant Accounting Policies,” to our condensed consolidated financial statements included in our Quarterly Report on Form 10-Q for further information.</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r>
      <w:tr>
        <w:trPr>
          <w:trHeight w:val="50"/>
        </w:trPr>
        <w:tc>
          <w:tcPr>
            <w:tcW w:w="50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8"/>
        </w:trPr>
        <w:tc>
          <w:tcPr>
            <w:tcW w:w="5020" w:type="dxa"/>
            <w:vAlign w:val="bottom"/>
          </w:tcPr>
          <w:p>
            <w:pPr>
              <w:spacing w:after="0"/>
              <w:rPr>
                <w:sz w:val="24"/>
                <w:szCs w:val="24"/>
                <w:color w:val="auto"/>
              </w:rPr>
            </w:pPr>
          </w:p>
        </w:tc>
        <w:tc>
          <w:tcPr>
            <w:tcW w:w="9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3"/>
                <w:szCs w:val="23"/>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6"/>
        </w:trPr>
        <w:tc>
          <w:tcPr>
            <w:tcW w:w="5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9"/>
                <w:szCs w:val="19"/>
                <w:color w:val="auto"/>
              </w:rPr>
            </w:pPr>
          </w:p>
        </w:tc>
      </w:tr>
      <w:tr>
        <w:trPr>
          <w:trHeight w:val="51"/>
        </w:trPr>
        <w:tc>
          <w:tcPr>
            <w:tcW w:w="5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8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$44,389</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$46,416</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97"/>
              </w:rPr>
              <w:t>$(2,027)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w:t>
            </w:r>
          </w:p>
        </w:tc>
      </w:tr>
      <w:tr>
        <w:trPr>
          <w:trHeight w:val="54"/>
        </w:trPr>
        <w:tc>
          <w:tcPr>
            <w:tcW w:w="50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-402590</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-402590</wp:posOffset>
            </wp:positionV>
            <wp:extent cx="102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-402590</wp:posOffset>
            </wp:positionV>
            <wp:extent cx="102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revenues have been retrospectively adjusted to reflect the restatement of previously reported revenue. See Note 2, “Summary of Significant Accounting Policies,” to our condensed consolidated financial statements included in our Quarterly Report on Form 10-Q for further information.</w:t>
      </w:r>
    </w:p>
    <w:p>
      <w:pPr>
        <w:spacing w:after="0" w:line="7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Total revenues decreased by $2.0 million or 4% for the three months ended March 31, 2024 compared to the same period in 2023. The decrease was primarily due to a decrease in revenue from our Featured Listing and WM Deal products of $4.1 million, partially offset by an increase in revenue from our Weedmaps for Business of $2.0 million and an increase in revenue from other WM Ad solutions of $0.1 million.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Featured Listing and WM Deal products, Weedmaps for Business and other ad solutions represented approximately 63%, 30% and 7%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2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1"/>
        </w:trPr>
        <w:tc>
          <w:tcPr>
            <w:tcW w:w="49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317"/>
        </w:trPr>
        <w:tc>
          <w:tcPr>
            <w:tcW w:w="4960" w:type="dxa"/>
            <w:vAlign w:val="bottom"/>
          </w:tcPr>
          <w:p>
            <w:pPr>
              <w:spacing w:after="0"/>
              <w:rPr>
                <w:sz w:val="24"/>
                <w:szCs w:val="24"/>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3"/>
                <w:szCs w:val="23"/>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1"/>
        </w:trPr>
        <w:tc>
          <w:tcPr>
            <w:tcW w:w="4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$ 2,302</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$ 3,494</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$(1,192)</w:t>
            </w:r>
          </w:p>
        </w:tc>
        <w:tc>
          <w:tcPr>
            <w:tcW w:w="4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(34)%</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12,060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(2,426)</w:t>
            </w: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(20)%</w:t>
            </w:r>
          </w:p>
        </w:tc>
      </w:tr>
      <w:tr>
        <w:trPr>
          <w:trHeight w:val="54"/>
        </w:trPr>
        <w:tc>
          <w:tcPr>
            <w:tcW w:w="4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10,934</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(1,705)</w:t>
            </w:r>
          </w:p>
        </w:tc>
        <w:tc>
          <w:tcPr>
            <w:tcW w:w="4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(16)%</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20,909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(4,383)</w:t>
            </w: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(21)%</w:t>
            </w:r>
          </w:p>
        </w:tc>
      </w:tr>
      <w:tr>
        <w:trPr>
          <w:trHeight w:val="54"/>
        </w:trPr>
        <w:tc>
          <w:tcPr>
            <w:tcW w:w="4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61"/>
        </w:trPr>
        <w:tc>
          <w:tcPr>
            <w:tcW w:w="49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40,628</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50,564</w:t>
            </w:r>
          </w:p>
        </w:tc>
        <w:tc>
          <w:tcPr>
            <w:tcW w:w="160" w:type="dxa"/>
            <w:vAlign w:val="bottom"/>
          </w:tcPr>
          <w:p>
            <w:pPr>
              <w:spacing w:after="0"/>
              <w:rPr>
                <w:sz w:val="23"/>
                <w:szCs w:val="2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(9,936)</w:t>
            </w: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(20)%</w:t>
            </w:r>
          </w:p>
        </w:tc>
      </w:tr>
      <w:tr>
        <w:trPr>
          <w:trHeight w:val="20"/>
        </w:trPr>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5140325</wp:posOffset>
            </wp:positionH>
            <wp:positionV relativeFrom="paragraph">
              <wp:posOffset>-1414145</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-1414145</wp:posOffset>
            </wp:positionV>
            <wp:extent cx="102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-1414145</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general and administrative expenses have been retrospectively adjusted to reflect the restatement of previously reported credit losses. See Note 2, “Summary of Significant Accounting Policies,” to our condensed consolidated financial statements included in our Quarterly Report on Form 10-Q for further information.</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was $2.3 million or 5% of net revenues, for the three months ended March 31, 2024 compared to $3.5 million, or 8% of net revenues, for the same period in 2023. The decrease of $1.2 million was primarily related to a decrease of $0.9 million for cost of revenues associated with multi-channel marketing and cloud communication platforms primarily due to the sunset of WM CRM, WM Screens and WM AdSuite and a decrease of $0.3 million in server costs.</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$3.6 million, outside services expense of $0.3 million, branding and advertising expenses of $0.3 million, partially offset by an increase in web advertising of $1.0 million, an increase in print and products expense of $0.4 million and an increase in events expense of $0.2 million. The decrease in personnel-related costs was primarily related to a decrease in transaction related bonuses of $1.8 million and the impact of a reduction in workforce, including decreases in salaries and wages of $1.0 million and stock-based compensation expense of $0.5 million.</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a decrease in personnel-related costs of $2.0 million, partially offset by an increase in outside services expense of $0.2 million. The decrease in personnel-related costs was primarily related to the impact of a reduction in workforce, including decreases in salaries and wages of $1.1 million and stock-based compensation expense of $0.3 million and a decrease in transaction related bonuses of $1.0 million.</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(benefit) for credit losses of $1.1 million, stock-based compensation expense of $0.7 million, salaries and wages of $0.7 million, insurance expense of $0.5 million, software expense of $0.5 million, employee benefits expense of $0.3 million, professional fees of $0.2 million and facilities expense of $0.2 million.</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lower amortization expense related to intangible assets that have been fully amortized of 0.5 million, partially offset by an increase in depreciation of $0.1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1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9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49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(850)</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$ 725</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$(1,575)</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(543)</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3"/>
                <w:szCs w:val="2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(443)%</w:t>
            </w:r>
          </w:p>
        </w:tc>
      </w:tr>
      <w:tr>
        <w:trPr>
          <w:trHeight w:val="54"/>
        </w:trPr>
        <w:tc>
          <w:tcPr>
            <w:tcW w:w="4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(400)</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61"/>
        </w:trPr>
        <w:tc>
          <w:tcPr>
            <w:tcW w:w="49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$(1,793)</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$ 179</w:t>
            </w:r>
          </w:p>
        </w:tc>
        <w:tc>
          <w:tcPr>
            <w:tcW w:w="140" w:type="dxa"/>
            <w:vAlign w:val="bottom"/>
          </w:tcPr>
          <w:p>
            <w:pPr>
              <w:spacing w:after="0"/>
              <w:rPr>
                <w:sz w:val="24"/>
                <w:szCs w:val="24"/>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$(1,972)</w:t>
            </w:r>
          </w:p>
        </w:tc>
        <w:tc>
          <w:tcPr>
            <w:tcW w:w="1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-1002030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-1002030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comparatively unfavorable changes in fair value of warrant liability of $1.6 million.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1"/>
        </w:trPr>
        <w:tc>
          <w:tcPr>
            <w:tcW w:w="52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7"/>
        </w:trPr>
        <w:tc>
          <w:tcPr>
            <w:tcW w:w="5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2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7"/>
        </w:trPr>
        <w:tc>
          <w:tcPr>
            <w:tcW w:w="5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51"/>
        </w:trPr>
        <w:tc>
          <w:tcPr>
            <w:tcW w:w="5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8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7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w:t>
            </w: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-402590</wp:posOffset>
            </wp:positionV>
            <wp:extent cx="1543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-402590</wp:posOffset>
            </wp:positionV>
            <wp:extent cx="1631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March 31, 2023, the Company recorded $9 thousand in income tax provisions due to the impact of the full valuation allowance on its net deferred assets. See Note 2, “Summary of Significant Accounting Policies,” to our consolidated financial statements included in our Quarterly Report on Form 10-Q for further information.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6040" w:type="dxa"/>
            <w:vAlign w:val="bottom"/>
          </w:tcPr>
          <w:p>
            <w:pPr>
              <w:spacing w:after="0"/>
              <w:rPr>
                <w:sz w:val="4"/>
                <w:szCs w:val="4"/>
                <w:color w:val="auto"/>
              </w:rPr>
            </w:pPr>
          </w:p>
        </w:tc>
        <w:tc>
          <w:tcPr>
            <w:tcW w:w="2380" w:type="dxa"/>
            <w:vAlign w:val="bottom"/>
            <w:tcBorders>
              <w:bottom w:val="single" w:sz="8" w:color="auto"/>
            </w:tcBorders>
            <w:gridSpan w:val="2"/>
          </w:tcPr>
          <w:p>
            <w:pPr>
              <w:spacing w:after="0"/>
              <w:rPr>
                <w:sz w:val="4"/>
                <w:szCs w:val="4"/>
                <w:color w:val="auto"/>
              </w:rPr>
            </w:pPr>
          </w:p>
        </w:tc>
      </w:tr>
      <w:tr>
        <w:trPr>
          <w:trHeight w:val="227"/>
        </w:trPr>
        <w:tc>
          <w:tcPr>
            <w:tcW w:w="6040" w:type="dxa"/>
            <w:vAlign w:val="bottom"/>
          </w:tcPr>
          <w:p>
            <w:pPr>
              <w:spacing w:after="0"/>
              <w:rPr>
                <w:sz w:val="19"/>
                <w:szCs w:val="19"/>
                <w:color w:val="auto"/>
              </w:rPr>
            </w:pPr>
          </w:p>
        </w:tc>
        <w:tc>
          <w:tcPr>
            <w:tcW w:w="2380" w:type="dxa"/>
            <w:vAlign w:val="bottom"/>
            <w:gridSpan w:val="2"/>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$35,717</w:t>
            </w:r>
          </w:p>
        </w:tc>
        <w:tc>
          <w:tcPr>
            <w:tcW w:w="130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$34,350</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7,893</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11,158</w:t>
            </w:r>
          </w:p>
        </w:tc>
      </w:tr>
      <w:tr>
        <w:trPr>
          <w:trHeight w:val="54"/>
        </w:trPr>
        <w:tc>
          <w:tcPr>
            <w:tcW w:w="6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20,266</w:t>
            </w:r>
          </w:p>
        </w:tc>
        <w:tc>
          <w:tcPr>
            <w:tcW w:w="13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17,771</w:t>
            </w:r>
          </w:p>
        </w:tc>
      </w:tr>
      <w:tr>
        <w:trPr>
          <w:trHeight w:val="54"/>
        </w:trPr>
        <w:tc>
          <w:tcPr>
            <w:tcW w:w="604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-814070</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March 31, 2024 and December 31, 2023, we had cash of $35.7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March 31,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1"/>
        </w:trPr>
        <w:tc>
          <w:tcPr>
            <w:tcW w:w="6300" w:type="dxa"/>
            <w:vAlign w:val="bottom"/>
          </w:tcPr>
          <w:p>
            <w:pPr>
              <w:spacing w:after="0"/>
              <w:rPr>
                <w:sz w:val="4"/>
                <w:szCs w:val="4"/>
                <w:color w:val="auto"/>
              </w:rPr>
            </w:pPr>
          </w:p>
        </w:tc>
        <w:tc>
          <w:tcPr>
            <w:tcW w:w="2120" w:type="dxa"/>
            <w:vAlign w:val="bottom"/>
            <w:tcBorders>
              <w:bottom w:val="single" w:sz="8" w:color="auto"/>
            </w:tcBorders>
            <w:gridSpan w:val="2"/>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18"/>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$ 7,402</w:t>
            </w:r>
          </w:p>
        </w:tc>
        <w:tc>
          <w:tcPr>
            <w:tcW w:w="1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$ 2,157</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$(4,540)</w:t>
            </w: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$(3,226)</w:t>
            </w:r>
          </w:p>
        </w:tc>
      </w:tr>
      <w:tr>
        <w:trPr>
          <w:trHeight w:val="54"/>
        </w:trPr>
        <w:tc>
          <w:tcPr>
            <w:tcW w:w="6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$(1,495)</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$(1,612)</w:t>
            </w:r>
          </w:p>
        </w:tc>
      </w:tr>
      <w:tr>
        <w:trPr>
          <w:trHeight w:val="54"/>
        </w:trPr>
        <w:tc>
          <w:tcPr>
            <w:tcW w:w="63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-813435</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stock-based compensation, deferred taxes, provision (benefit) for credit losses, net of recoveries and the effect of changes in working capital.</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$7.4 million, which resulted from net income of $2.0 million, together with net cash outflows of $2.2 million from changes in operating assets and liabilities, and non-cash items of $7.7 million, consisting of depreciation and amortization of $2.9 million, fair value of warrant liability of $0.9 million, stock-based compensation of $2.8 million, amortization of right-of-use lease assets of $1.2 million, and change in tax receivable agreement of $0.5 million, partially offset by provision (benefit) for credit losses, net of recoveries of $0.7 million. Net cash outflows from changes in operating assets and liabilities was primarily due to a decrease in accounts payable and accrued expenses of $3.7 million, a decrease in operating lease liabilities of $1.7 million, an increase in prepaid expenses and other current assets of $0.7 million, a decrease in deferred revenue of $0.1 million, partially offset by a decrease in accounts receivable of $3.9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2023 was $2.2 million, which resulted from net loss of approximately $4.0 million, together with net cash outflows of approximately $2.4 million from changes in operating assets and liabilities, and non-cash items of $8.5 million, consisting of depreciation and amortization of $3.2 million, fair value of warrant liability of $0.7 million, stock-based compensation of $4.4 million, amortization of right-of-use lease assets of $1.2 million, provision (benefit) for credit losses of $0.4 million and change in tax receivable agreement of $0.1 million.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cash outflows from changes in operating assets and liabilities were primarily due to a decrease in accounts payable and accrued expenses of $5.1 million and a decrease in operating lease liabilities of $1.5 million, offset by a decrease in accounts receivables of $1.7 million, an increase in deferred revenue of $0.1 million and a decrease in prepaid expenses and other current assets of $2.4 million. The changes in operating assets and liabilities are mostly due to fluctuations in timing of cash receipts and payments.</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2024 was $4.5 million, which resulted from $4.5 million cash paid for capital expenditures which include purchases of property and equipment and capitalized software development costs.</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2023 was $3.2 million, which resulted from $3.2 million cash paid for purchases of property and equipment, which includes capitalized software development cost.</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Cash outflows from financing activities for the three months ended March 31, 2024 was $1.5 million, which primarily consists of $1.6 million in distributions payments to members of WMH LLC and $0.1 million in proceeds from collection of related party note receivable.</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Cash outflows from financing activities for three months ended March 31, 2023 was $1.6 million, which primarily consists of $1.5 million in repayments of insurance premium financing, $0.3 million in distributions payments to members of WMH LLC, and $0.1 million in proceeds from collection of related party note receivable.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51"/>
        </w:trPr>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Pr>
          <w:p>
            <w:pPr>
              <w:spacing w:after="0"/>
              <w:rPr>
                <w:sz w:val="19"/>
                <w:szCs w:val="19"/>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50"/>
        </w:trPr>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1"/>
        </w:trPr>
        <w:tc>
          <w:tcPr>
            <w:tcW w:w="47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$187,993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$ 215,531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2"/>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68"/>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25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80" w:type="dxa"/>
            <w:vAlign w:val="bottom"/>
          </w:tcPr>
          <w:p>
            <w:pPr>
              <w:spacing w:after="0"/>
              <w:rPr>
                <w:sz w:val="22"/>
                <w:szCs w:val="22"/>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61"/>
        </w:trPr>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7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8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280" w:type="dxa"/>
            <w:vAlign w:val="bottom"/>
            <w:shd w:val="clear" w:color="auto" w:fill="CCEEFF"/>
          </w:tcPr>
          <w:p>
            <w:pPr>
              <w:spacing w:after="0"/>
              <w:rPr>
                <w:sz w:val="23"/>
                <w:szCs w:val="23"/>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(18,457)</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(69,622)</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r>
      <w:tr>
        <w:trPr>
          <w:trHeight w:val="25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tcPr>
          <w:p>
            <w:pPr>
              <w:spacing w:after="0"/>
              <w:rPr>
                <w:sz w:val="22"/>
                <w:szCs w:val="22"/>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(1,674)</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61"/>
        </w:trPr>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318"/>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(15,634)</w:t>
            </w: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96,426</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r>
      <w:tr>
        <w:trPr>
          <w:trHeight w:val="25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280" w:type="dxa"/>
            <w:vAlign w:val="bottom"/>
          </w:tcPr>
          <w:p>
            <w:pPr>
              <w:spacing w:after="0"/>
              <w:rPr>
                <w:sz w:val="22"/>
                <w:szCs w:val="22"/>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r>
      <w:tr>
        <w:trPr>
          <w:trHeight w:val="61"/>
        </w:trPr>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318"/>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(15,727)</w:t>
            </w: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(82,651)</w:t>
            </w:r>
          </w:p>
        </w:tc>
        <w:tc>
          <w:tcPr>
            <w:tcW w:w="7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25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0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280" w:type="dxa"/>
            <w:vAlign w:val="bottom"/>
          </w:tcPr>
          <w:p>
            <w:pPr>
              <w:spacing w:after="0"/>
              <w:rPr>
                <w:sz w:val="22"/>
                <w:szCs w:val="22"/>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61"/>
        </w:trPr>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7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WM Technology,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(9,898)</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(115,989)</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r>
      <w:tr>
        <w:trPr>
          <w:trHeight w:val="48"/>
        </w:trPr>
        <w:tc>
          <w:tcPr>
            <w:tcW w:w="4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-4328160</wp:posOffset>
            </wp:positionV>
            <wp:extent cx="1200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-4328160</wp:posOffset>
            </wp:positionV>
            <wp:extent cx="120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-4328160</wp:posOffset>
            </wp:positionV>
            <wp:extent cx="1200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disaggregated net revenue information:</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Pr>
          <w:p>
            <w:pPr>
              <w:spacing w:after="0"/>
              <w:rPr>
                <w:sz w:val="16"/>
                <w:szCs w:val="16"/>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r>
      <w:tr>
        <w:trPr>
          <w:trHeight w:val="50"/>
        </w:trPr>
        <w:tc>
          <w:tcPr>
            <w:tcW w:w="47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7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7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7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50"/>
        </w:trPr>
        <w:tc>
          <w:tcPr>
            <w:tcW w:w="4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$(27,538)</w:t>
            </w:r>
          </w:p>
        </w:tc>
        <w:tc>
          <w:tcPr>
            <w:tcW w:w="3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w:t>
            </w:r>
          </w:p>
        </w:tc>
      </w:tr>
      <w:tr>
        <w:trPr>
          <w:trHeight w:val="54"/>
        </w:trPr>
        <w:tc>
          <w:tcPr>
            <w:tcW w:w="47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-402590</wp:posOffset>
            </wp:positionV>
            <wp:extent cx="1885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-402590</wp:posOffset>
            </wp:positionV>
            <wp:extent cx="1885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revenues decreased by $27.5 million, or 13%, for the year ended December 31, 2023 compared to the same period in 2022. The decrease was primarily driven by a decrease in average monthly revenue per paying client primarily as a result of a decrease in revenue from our Featured Listings and WM Deal products of $23.1 million, Weedmaps for Business of $3.9 million and other WM Ad solutions of $0.5 million.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featured and deal listings, Weedmaps for Business and other ad solutions represented 67%, 25% and 8% of our total net revenues, respectively.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 expenses are primarily driven by the reduction in employee headcount. As of December 31, 2023, we had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771"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440 full-time employees and 19 temporary employees, 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6"/>
                <w:szCs w:val="16"/>
                <w:color w:val="auto"/>
              </w:rPr>
            </w:pPr>
          </w:p>
        </w:tc>
        <w:tc>
          <w:tcPr>
            <w:tcW w:w="14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0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000" w:type="dxa"/>
            <w:vAlign w:val="bottom"/>
          </w:tcPr>
          <w:p>
            <w:pPr>
              <w:spacing w:after="0"/>
              <w:rPr>
                <w:sz w:val="19"/>
                <w:szCs w:val="19"/>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50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50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$ 12,527</w:t>
            </w:r>
          </w:p>
        </w:tc>
        <w:tc>
          <w:tcPr>
            <w:tcW w:w="3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$ 15,407</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(2,880)</w:t>
            </w: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(35,551)</w:t>
            </w:r>
          </w:p>
        </w:tc>
        <w:tc>
          <w:tcPr>
            <w:tcW w:w="20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54"/>
        </w:trPr>
        <w:tc>
          <w:tcPr>
            <w:tcW w:w="50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3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(14,519)</w:t>
            </w: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(46,474)</w:t>
            </w:r>
          </w:p>
        </w:tc>
        <w:tc>
          <w:tcPr>
            <w:tcW w:w="20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54"/>
        </w:trPr>
        <w:tc>
          <w:tcPr>
            <w:tcW w:w="50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3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34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465%</w:t>
            </w:r>
          </w:p>
        </w:tc>
      </w:tr>
      <w:tr>
        <w:trPr>
          <w:trHeight w:val="61"/>
        </w:trPr>
        <w:tc>
          <w:tcPr>
            <w:tcW w:w="50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27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206,450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285,153</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(78,703)</w:t>
            </w: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48"/>
        </w:trPr>
        <w:tc>
          <w:tcPr>
            <w:tcW w:w="5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-1653540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-1653540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 and wages of $12.1 million, bonus expense of $5.5 million, stock-based compensation expense of $3.7 million and payroll tax expense of $0.7 million and a decrease in transaction related bonuses of $4.9 million.</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 $1.9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4, “Leases,” to our consolidated financial statements included in our Annual Report on Form 10-K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76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15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1"/>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$ 25,370</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(23,865)</w:t>
            </w: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(143,608)</w:t>
            </w:r>
          </w:p>
        </w:tc>
        <w:tc>
          <w:tcPr>
            <w:tcW w:w="200" w:type="dxa"/>
            <w:vAlign w:val="bottom"/>
          </w:tcPr>
          <w:p>
            <w:pPr>
              <w:spacing w:after="0"/>
              <w:rPr>
                <w:sz w:val="23"/>
                <w:szCs w:val="23"/>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r>
      <w:tr>
        <w:trPr>
          <w:trHeight w:val="54"/>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2,574</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$ 2,823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166,048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(163,225)</w:t>
            </w:r>
          </w:p>
        </w:tc>
        <w:tc>
          <w:tcPr>
            <w:tcW w:w="2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-1010920</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-1010920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15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9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9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8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$93</w:t>
            </w: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$179,077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$(178,984)</w:t>
            </w: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r>
      <w:tr>
        <w:trPr>
          <w:trHeight w:val="54"/>
        </w:trPr>
        <w:tc>
          <w:tcPr>
            <w:tcW w:w="49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-402590</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-402590</wp:posOffset>
            </wp:positionV>
            <wp:extent cx="1200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consolidated financial statements included in our Annual Report on Form 10-K.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50"/>
        </w:trPr>
        <w:tc>
          <w:tcPr>
            <w:tcW w:w="6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27"/>
        </w:trPr>
        <w:tc>
          <w:tcPr>
            <w:tcW w:w="6740" w:type="dxa"/>
            <w:vAlign w:val="bottom"/>
          </w:tcPr>
          <w:p>
            <w:pPr>
              <w:spacing w:after="0"/>
              <w:rPr>
                <w:sz w:val="19"/>
                <w:szCs w:val="19"/>
                <w:color w:val="auto"/>
              </w:rPr>
            </w:pPr>
          </w:p>
        </w:tc>
        <w:tc>
          <w:tcPr>
            <w:tcW w:w="8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6740" w:type="dxa"/>
            <w:vAlign w:val="bottom"/>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r>
      <w:tr>
        <w:trPr>
          <w:trHeight w:val="227"/>
        </w:trPr>
        <w:tc>
          <w:tcPr>
            <w:tcW w:w="674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18"/>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tcBorders>
              <w:bottom w:val="single" w:sz="8" w:color="CCEEFF"/>
            </w:tcBorders>
            <w:shd w:val="clear" w:color="auto" w:fill="CCEEFF"/>
          </w:tcPr>
          <w:p>
            <w:pPr>
              <w:jc w:val="center"/>
              <w:ind w:right="179"/>
              <w:spacing w:after="0"/>
              <w:rPr>
                <w:sz w:val="20"/>
                <w:szCs w:val="20"/>
                <w:color w:val="auto"/>
              </w:rPr>
            </w:pPr>
            <w:r>
              <w:rPr>
                <w:rFonts w:ascii="Times New Roman" w:cs="Times New Roman" w:eastAsia="Times New Roman" w:hAnsi="Times New Roman"/>
                <w:sz w:val="18"/>
                <w:szCs w:val="18"/>
                <w:color w:val="auto"/>
                <w:w w:val="99"/>
              </w:rPr>
              <w:t>$34,350</w:t>
            </w:r>
          </w:p>
        </w:tc>
        <w:tc>
          <w:tcPr>
            <w:tcW w:w="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$28,583</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tcPr>
          <w:p>
            <w:pPr>
              <w:jc w:val="center"/>
              <w:ind w:right="179"/>
              <w:spacing w:after="0"/>
              <w:rPr>
                <w:sz w:val="20"/>
                <w:szCs w:val="20"/>
                <w:color w:val="auto"/>
              </w:rPr>
            </w:pPr>
            <w:r>
              <w:rPr>
                <w:rFonts w:ascii="Times New Roman" w:cs="Times New Roman" w:eastAsia="Times New Roman" w:hAnsi="Times New Roman"/>
                <w:sz w:val="18"/>
                <w:szCs w:val="18"/>
                <w:color w:val="auto"/>
                <w:w w:val="99"/>
              </w:rPr>
              <w:t>$11,158</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$17,438</w:t>
            </w:r>
          </w:p>
        </w:tc>
      </w:tr>
      <w:tr>
        <w:trPr>
          <w:trHeight w:val="54"/>
        </w:trPr>
        <w:tc>
          <w:tcPr>
            <w:tcW w:w="6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840" w:type="dxa"/>
            <w:vAlign w:val="bottom"/>
            <w:shd w:val="clear" w:color="auto" w:fill="CCEEFF"/>
          </w:tcPr>
          <w:p>
            <w:pPr>
              <w:jc w:val="center"/>
              <w:ind w:right="179"/>
              <w:spacing w:after="0"/>
              <w:rPr>
                <w:sz w:val="20"/>
                <w:szCs w:val="20"/>
                <w:color w:val="auto"/>
              </w:rPr>
            </w:pPr>
            <w:r>
              <w:rPr>
                <w:rFonts w:ascii="Times New Roman" w:cs="Times New Roman" w:eastAsia="Times New Roman" w:hAnsi="Times New Roman"/>
                <w:sz w:val="18"/>
                <w:szCs w:val="18"/>
                <w:color w:val="auto"/>
                <w:w w:val="99"/>
              </w:rPr>
              <w:t>$17,771</w:t>
            </w:r>
          </w:p>
        </w:tc>
        <w:tc>
          <w:tcPr>
            <w:tcW w:w="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$ 8,660</w:t>
            </w:r>
          </w:p>
        </w:tc>
      </w:tr>
      <w:tr>
        <w:trPr>
          <w:trHeight w:val="54"/>
        </w:trPr>
        <w:tc>
          <w:tcPr>
            <w:tcW w:w="67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-813435</wp:posOffset>
            </wp:positionV>
            <wp:extent cx="3086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27"/>
        </w:trPr>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1"/>
        </w:trPr>
        <w:tc>
          <w:tcPr>
            <w:tcW w:w="5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27"/>
        </w:trPr>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9"/>
                <w:szCs w:val="19"/>
                <w:color w:val="auto"/>
              </w:rPr>
            </w:pPr>
          </w:p>
        </w:tc>
      </w:tr>
      <w:tr>
        <w:trPr>
          <w:trHeight w:val="50"/>
        </w:trPr>
        <w:tc>
          <w:tcPr>
            <w:tcW w:w="5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18"/>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96"/>
              </w:rPr>
              <w:t>22,928</w:t>
            </w:r>
          </w:p>
        </w:tc>
        <w:tc>
          <w:tcPr>
            <w:tcW w:w="1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$(11,621)</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$ 30,190</w:t>
            </w:r>
          </w:p>
        </w:tc>
      </w:tr>
      <w:tr>
        <w:trPr>
          <w:trHeight w:val="27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$(11,871)</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$(17,768)</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$(30,435)</w:t>
            </w:r>
          </w:p>
        </w:tc>
      </w:tr>
      <w:tr>
        <w:trPr>
          <w:trHeight w:val="54"/>
        </w:trPr>
        <w:tc>
          <w:tcPr>
            <w:tcW w:w="5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(5,290)</w:t>
            </w: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(9,805)</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$ 48,103</w:t>
            </w:r>
          </w:p>
        </w:tc>
      </w:tr>
      <w:tr>
        <w:trPr>
          <w:trHeight w:val="54"/>
        </w:trPr>
        <w:tc>
          <w:tcPr>
            <w:tcW w:w="5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-814070</wp:posOffset>
            </wp:positionV>
            <wp:extent cx="2228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-814070</wp:posOffset>
            </wp:positionV>
            <wp:extent cx="2228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 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$11.6 million, which resulted from net loss of $82.7 million, together with net cash outflows of $1.5 million from changes in operating assets and 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non-cancellable contractual agreements primarily related to leases and other purchase obligations. As of December 31, 2023, future payments on our operating leases were $45.0 million. See Note 4, “Leases,” to our consolidated financial statements included in our Annual Report on Form 10-K. We also have minimum outstanding purchase obligations of $7.1 million in 2024, $7.3 million in 2025 and $7.5 million in 2026, due under software license agreements, of which the majority relates to our three-year AWS Enterprise agreement.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 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consolidated financial statements included in our Annual Report on Form 10-K.</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and our consolidated financial statements are prepared in accordance with GAAP. The preparation of these condensed consolidated financial statements and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consolidated financial statements included in our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the Company has collected or reached a settlement on the customers old outstanding accounts receivable balances. The Company applies all payments received against the customers oldest invoices and does not recognize revenue for any new services provided until the company has collected or reached a settlement on all prior outstanding accounts receivable.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“Restatement of Previously Reported 2023 Quarterly Revenue and Credit Losses” of Note 2, “Summary of Significant Accounting Policies and Note 3, “Revenue from Contracts with Customers,” to our condensed consolidated financial statements included in our Quarterly Report on Form 10-Q for further discussion.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consolidated financial statements included in our Annual Report on Form 10-K.</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consolidated financial statements included in our Annual Report on Form 10-K.</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balance of customer account and aging status. The allowance for credit losses was $8.7 million and $12.2 million as of December 31, 2023 and December 31, 2022, respectively. See Note 2, “Summary of Significant Accounting Policies,” to our consolidated financial statements included in our Annual Report on Form 10-K for additional information.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2, “Summary of Significant Accounting Policies,” and Note 9, “Goodwill and Intangible Assets,” to our consolidated financial statements included in our Annual Report on Form 10-K for additional information.</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2023,we recognized a ROU asset impairment charge of $10.9 million driven by updated sublease assumptions for our second headquarter space in Los Angeles, California, pursuant to an operating lease that expires in 2031. In addition, we recognized ROU asset impairment charges of $0.6 million and $2.4 million during the years ended December 31, 2022 and 2021, respectively, related to certain ROU assets reducing the carrying values of the lease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assumed 12,499,993 Public Warrants and 7,000,000 Private Placement Warrants. As of December 31, 2023, 12,499,973 of the Public Warrant and all of the Private Placement Warrants remained outstanding . The warrants are measured at fair value under ASC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The fair value of the Public Warrants is classified as Level 1 financial instruments and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consolidated financial statements included in our Annual Report on Form 10-K.</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have no material recent accounting pronouncements yet to be adopted.</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December 31, 2023, we did not have any cash equivalents.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72"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reach prospective cannabis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improve the customer experience by creating online browsing and ordering functionality on a brand or retailer (including delivery) operator’s website.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third-party websites through our orders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state-legal cannabis industry in the United States has grown consistently in recent years and was estimated to be between approximately $27-$28 billion in 2023, according to Wall Street analyst estimates, and is expected by some</w:t>
      </w:r>
    </w:p>
    <w:p>
      <w:pPr>
        <w:jc w:val="both"/>
        <w:ind w:left="300" w:right="299"/>
        <w:spacing w:after="0" w:line="241" w:lineRule="auto"/>
        <w:rPr>
          <w:sz w:val="20"/>
          <w:szCs w:val="20"/>
          <w:color w:val="auto"/>
        </w:rPr>
      </w:pPr>
      <w:r>
        <w:rPr>
          <w:rFonts w:ascii="Times New Roman" w:cs="Times New Roman" w:eastAsia="Times New Roman" w:hAnsi="Times New Roman"/>
          <w:sz w:val="18"/>
          <w:szCs w:val="18"/>
          <w:color w:val="auto"/>
        </w:rPr>
        <w:t>estimates to grow to $40 billion by 2027, assuming a continued pace of new state legalization, with 70%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U.S. adults since 2020 in support of having legal access to cannabis.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 adult, aged 21 and</w:t>
      </w:r>
    </w:p>
    <w:p>
      <w:pPr>
        <w:spacing w:after="0" w:line="3" w:lineRule="exact"/>
        <w:rPr>
          <w:sz w:val="20"/>
          <w:szCs w:val="20"/>
          <w:color w:val="auto"/>
        </w:rPr>
      </w:pPr>
    </w:p>
    <w:p>
      <w:pPr>
        <w:jc w:val="both"/>
        <w:ind w:left="300" w:right="299"/>
        <w:spacing w:after="0" w:line="231" w:lineRule="auto"/>
        <w:rPr>
          <w:sz w:val="20"/>
          <w:szCs w:val="20"/>
          <w:color w:val="auto"/>
        </w:rPr>
      </w:pPr>
      <w:r>
        <w:rPr>
          <w:rFonts w:ascii="Times New Roman" w:cs="Times New Roman" w:eastAsia="Times New Roman" w:hAnsi="Times New Roman"/>
          <w:sz w:val="18"/>
          <w:szCs w:val="18"/>
          <w:color w:val="auto"/>
        </w:rPr>
        <w:t>older, population today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9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5" w:lineRule="exact"/>
        <w:rPr>
          <w:sz w:val="20"/>
          <w:szCs w:val="20"/>
          <w:color w:val="auto"/>
        </w:rPr>
      </w:pPr>
    </w:p>
    <w:p>
      <w:pPr>
        <w:ind w:left="460" w:hanging="168"/>
        <w:spacing w:after="0"/>
        <w:tabs>
          <w:tab w:leader="none" w:pos="46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news.gallup.com - Grassroots Support for Legalizing Marijuana Hits Record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-127000</wp:posOffset>
            </wp:positionV>
            <wp:extent cx="8229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 w:lineRule="exact"/>
        <w:rPr>
          <w:sz w:val="20"/>
          <w:szCs w:val="20"/>
          <w:color w:val="auto"/>
        </w:rPr>
      </w:pPr>
    </w:p>
    <w:p>
      <w:pPr>
        <w:ind w:left="460" w:right="299" w:hanging="168"/>
        <w:spacing w:after="0" w:line="195" w:lineRule="auto"/>
        <w:tabs>
          <w:tab w:leader="none" w:pos="46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aged 21 and older are from the 2022 National Survey on Drug Use and Health, number of adults in the United States aged 21 and older are from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2922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806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Weedmaps for Business monthly subscription package includes: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also offer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263"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000" w:right="3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December 31, 2023,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in Our End-Markets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Despite cannabis being a large and growing sector in the United States, we believe that cannabis is unlike many other consumer goods and retail categories for a number of reasons:</w:t>
      </w:r>
    </w:p>
    <w:p>
      <w:pPr>
        <w:spacing w:after="0" w:line="54"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as a regulated industry is still in a nascent stage of development.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35"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without a “typical” user profile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cannabis are complex and vary state-by-state and by city and county within states.</w:t>
      </w:r>
    </w:p>
    <w:p>
      <w:pPr>
        <w:spacing w:after="0" w:line="9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has wide variance in characteristics that make it complex for consumers to make an informed purchase decision.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is a perishable good with a lack of product homogeneity.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only in the early stages of establishing a consumer presence.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the illicit market is still an issue, particularly in states like California.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has experienced periods of price deflation, including over the past two years, impacting the financial performance of businesses across the value chain.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grown to become a leading provider of technology solutions to the cannabis industry by leveraging our competitive strengths, including:</w:t>
      </w:r>
    </w:p>
    <w:p>
      <w:pPr>
        <w:spacing w:after="0" w:line="50" w:lineRule="exact"/>
        <w:rPr>
          <w:sz w:val="20"/>
          <w:szCs w:val="20"/>
          <w:color w:val="auto"/>
        </w:rPr>
      </w:pPr>
    </w:p>
    <w:p>
      <w:pPr>
        <w:jc w:val="both"/>
        <w:ind w:left="1000" w:right="319" w:hanging="348"/>
        <w:spacing w:after="0" w:line="25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 History as a Technology Leader Serving the Cannabis Industry. </w:t>
      </w:r>
      <w:r>
        <w:rPr>
          <w:rFonts w:ascii="Times New Roman" w:cs="Times New Roman" w:eastAsia="Times New Roman" w:hAnsi="Times New Roman"/>
          <w:sz w:val="18"/>
          <w:szCs w:val="18"/>
          <w:color w:val="auto"/>
        </w:rPr>
        <w:t>Founded in 2008, we have a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and 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Two-Sided Platform for Cannabis Businesses and Consumers. </w:t>
      </w:r>
      <w:r>
        <w:rPr>
          <w:rFonts w:ascii="Times New Roman" w:cs="Times New Roman" w:eastAsia="Times New Roman" w:hAnsi="Times New Roman"/>
          <w:sz w:val="18"/>
          <w:szCs w:val="18"/>
          <w:color w:val="auto"/>
        </w:rPr>
        <w:t>With $188.0 million in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5,419 average monthly paying clients for the year ended December 31, 2023,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77"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8"/>
          <w:szCs w:val="18"/>
          <w:color w:val="auto"/>
        </w:rPr>
        <w:t>We believe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Weedmaps for Business is the industry’s only comprehensive business-in-a-box solution and incorporates embedded compliance functionality so that our clients comply with state law through integrated software</w:t>
      </w:r>
    </w:p>
    <w:p>
      <w:pPr>
        <w:spacing w:after="0" w:line="76" w:lineRule="exact"/>
        <w:rPr>
          <w:sz w:val="20"/>
          <w:szCs w:val="20"/>
          <w:color w:val="auto"/>
        </w:rPr>
      </w:pPr>
    </w:p>
    <w:p>
      <w:pPr>
        <w:ind w:left="460" w:right="319" w:hanging="168"/>
        <w:spacing w:after="0" w:line="184" w:lineRule="auto"/>
        <w:tabs>
          <w:tab w:leader="none" w:pos="46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21 and above are from the 2022 National Survey on Drug Use and Health, number of 21 and above adults in the United States are from U.S. Census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8229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460" w:hanging="168"/>
        <w:spacing w:after="0" w:line="210" w:lineRule="auto"/>
        <w:tabs>
          <w:tab w:leader="none" w:pos="46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Per 2022 National Survey of Drug Use and Health and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80" w:lineRule="exact"/>
        <w:rPr>
          <w:sz w:val="20"/>
          <w:szCs w:val="20"/>
          <w:color w:val="auto"/>
        </w:rPr>
      </w:pPr>
    </w:p>
    <w:p>
      <w:pPr>
        <w:jc w:val="both"/>
        <w:ind w:left="1000" w:right="299" w:hanging="348"/>
        <w:spacing w:after="0" w:line="25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and Growing Data Asset. </w:t>
      </w:r>
      <w:r>
        <w:rPr>
          <w:rFonts w:ascii="Times New Roman" w:cs="Times New Roman" w:eastAsia="Times New Roman" w:hAnsi="Times New Roman"/>
          <w:sz w:val="18"/>
          <w:szCs w:val="18"/>
          <w:color w:val="auto"/>
        </w:rPr>
        <w:t>As a result our established presence, scale and the breadth of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Innovate Rapidly and Launch New Products Efficiently at Scale. </w:t>
      </w:r>
      <w:r>
        <w:rPr>
          <w:rFonts w:ascii="Times New Roman" w:cs="Times New Roman" w:eastAsia="Times New Roman" w:hAnsi="Times New Roman"/>
          <w:sz w:val="18"/>
          <w:szCs w:val="18"/>
          <w:color w:val="auto"/>
        </w:rPr>
        <w:t>We have an agile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8"/>
          <w:szCs w:val="18"/>
          <w:color w:val="auto"/>
        </w:rPr>
        <w:t>We operate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Operationally-Focused Management Team with Deep Experience. </w:t>
      </w:r>
      <w:r>
        <w:rPr>
          <w:rFonts w:ascii="Times New Roman" w:cs="Times New Roman" w:eastAsia="Times New Roman" w:hAnsi="Times New Roman"/>
          <w:sz w:val="18"/>
          <w:szCs w:val="18"/>
          <w:color w:val="auto"/>
        </w:rPr>
        <w:t>Our executive leadership team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and relevant professional experience spanning the technology, consumer, retail, legal and financial services industries, with a track record of operational execution and driving growth. Our Executive Chair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71" w:lineRule="exact"/>
        <w:rPr>
          <w:sz w:val="20"/>
          <w:szCs w:val="20"/>
          <w:color w:val="auto"/>
        </w:rPr>
      </w:pPr>
    </w:p>
    <w:p>
      <w:pPr>
        <w:jc w:val="both"/>
        <w:ind w:left="1000" w:right="299" w:hanging="348"/>
        <w:spacing w:after="0" w:line="26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Two-Sided Marketplace. </w:t>
      </w:r>
      <w:r>
        <w:rPr>
          <w:rFonts w:ascii="Times New Roman" w:cs="Times New Roman" w:eastAsia="Times New Roman" w:hAnsi="Times New Roman"/>
          <w:sz w:val="18"/>
          <w:szCs w:val="18"/>
          <w:color w:val="auto"/>
        </w:rPr>
        <w:t>Our goal is to be the center of commerce for consumers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64" w:lineRule="exact"/>
        <w:rPr>
          <w:sz w:val="20"/>
          <w:szCs w:val="20"/>
          <w:color w:val="auto"/>
        </w:rPr>
      </w:pPr>
    </w:p>
    <w:p>
      <w:pPr>
        <w:jc w:val="both"/>
        <w:ind w:left="1000" w:right="299" w:hanging="348"/>
        <w:spacing w:after="0" w:line="25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Existing Markets and Enter New Markets. </w:t>
      </w:r>
      <w:r>
        <w:rPr>
          <w:rFonts w:ascii="Times New Roman" w:cs="Times New Roman" w:eastAsia="Times New Roman" w:hAnsi="Times New Roman"/>
          <w:sz w:val="18"/>
          <w:szCs w:val="18"/>
          <w:color w:val="auto"/>
        </w:rPr>
        <w:t>We have a significant opportunity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base both within existing markets that are 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8"/>
          <w:szCs w:val="18"/>
          <w:color w:val="auto"/>
        </w:rPr>
        <w:t>We intend to continue expanding our suite of valuable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We take a measured approach to acquisition-related growth. 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selectively pursuing opportunities to invest in and acquire technology offerings that either complement our existing products and services or allow us to accelerate our growth.</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key marketing efforts consist of driving awareness of the marketplace, new user acquisition, and increasing platform engagement with existing users. To drive awareness, we apply a range of strategies from broad integrated</w:t>
      </w:r>
    </w:p>
    <w:p>
      <w:pPr>
        <w:jc w:val="both"/>
        <w:ind w:left="300" w:right="299"/>
        <w:spacing w:after="0" w:line="236" w:lineRule="auto"/>
        <w:rPr>
          <w:sz w:val="20"/>
          <w:szCs w:val="20"/>
          <w:color w:val="auto"/>
        </w:rPr>
      </w:pPr>
      <w:r>
        <w:rPr>
          <w:rFonts w:ascii="Times New Roman" w:cs="Times New Roman" w:eastAsia="Times New Roman" w:hAnsi="Times New Roman"/>
          <w:sz w:val="18"/>
          <w:szCs w:val="18"/>
          <w:color w:val="auto"/>
        </w:rPr>
        <w:t>marketing campaigns, such as our work each year on April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9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Social Impact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December 31, 2023, we have been issued trademark registrations in the United States, Canada, Japan, the European Union, the United Kingdom, Mexico and Australia. We have also been issued an international trademark registration with designation in Australia and the European Union for “Weedmaps.”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Factors—Risks Related to our Business and Industry.”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the Wednesday before Thanksgiving.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 Operations and Human Capital Resources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December 31, 2023, we had 440 full-time employees and 19 temporary employees, including 196 in engineering, product and design, 181 in sales and marketing and 82 in general and administrative. Of these employees, 450 are located in the United States and 9 are located in Canada.</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Territories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 —Risks Related to our Business and Industry.”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Cole Memo.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 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 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9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 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Members of the U.S. Congress from both parties have introduced bills to end the federal cannabis prohibition, by de-scheduling cannabis completely and regulating it. In addition to broader reforms, this session has seen additional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Some of our retail clients sell products with hemp-derived cannabinoids, including CBD. In December 2018, the U.S. government removed hemp and extracts of hemp from the CSA schedules through the Agriculture Improvement Act of 2018, Pub. L. 115-334.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Internet address is www.weedmaps.com. Our investor relations website is located at https://ir.weedmaps.com. Our Annual Reports on Form 10-K, Quarterly Reports on Form 10-Q, Current Reports on Form 8-K and our Proxy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prospectus or in any other report or document we file with the SEC, and any references to our websites are intended to be inactive textual references only.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3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and directors as of July 22, 2024.</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0"/>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4"/>
                <w:szCs w:val="24"/>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Bay</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Aquila</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-2451100</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-2451100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Douglas Francis</w:t>
      </w:r>
      <w:r>
        <w:rPr>
          <w:rFonts w:ascii="Times New Roman" w:cs="Times New Roman" w:eastAsia="Times New Roman" w:hAnsi="Times New Roman"/>
          <w:sz w:val="18"/>
          <w:szCs w:val="18"/>
          <w:color w:val="auto"/>
        </w:rPr>
        <w:t>. Mr. Francis, age 46, has served as a member of the Board since June 2021, and as Executive Chair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Susan Echard</w:t>
      </w:r>
      <w:r>
        <w:rPr>
          <w:rFonts w:ascii="Times New Roman" w:cs="Times New Roman" w:eastAsia="Times New Roman" w:hAnsi="Times New Roman"/>
          <w:sz w:val="18"/>
          <w:szCs w:val="18"/>
          <w:color w:val="auto"/>
        </w:rPr>
        <w:t>. Ms. Echard, age 60, has served as Interim Chief Financial Officer since February 2024.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Ms. Echard 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82"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Duncan Grazier</w:t>
      </w:r>
      <w:r>
        <w:rPr>
          <w:rFonts w:ascii="Times New Roman" w:cs="Times New Roman" w:eastAsia="Times New Roman" w:hAnsi="Times New Roman"/>
          <w:sz w:val="18"/>
          <w:szCs w:val="18"/>
          <w:color w:val="auto"/>
        </w:rPr>
        <w:t>. Mr. Grazier, age 37, has served as our Chief Technology Officer since December 2022. Mr. Grazier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served (for both Legacy WMH and the Company) as Senior Vice President, Engineering from November 2020 to December 2022. Mr. Grazier served as an advisor to American Field from January 2019 to April 2019, and served as VP of Engineering at MealPal, from April 2019 to August 2019. He also previously served as founding Chief Technology Officer for Voray, Inc. from December 2015 to November 2018. Mr. Grazier attended the Rochester Institute of Technology from 2005 to 2008.</w:t>
      </w:r>
    </w:p>
    <w:p>
      <w:pPr>
        <w:spacing w:after="0" w:line="7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Brian Camire</w:t>
      </w:r>
      <w:r>
        <w:rPr>
          <w:rFonts w:ascii="Times New Roman" w:cs="Times New Roman" w:eastAsia="Times New Roman" w:hAnsi="Times New Roman"/>
          <w:sz w:val="18"/>
          <w:szCs w:val="18"/>
          <w:color w:val="auto"/>
        </w:rPr>
        <w:t>. Mr. Camire, age 45, has served as our General Counsel and Secretary since June 2021. Mr. Camire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Scott Gordon</w:t>
      </w:r>
      <w:r>
        <w:rPr>
          <w:rFonts w:ascii="Times New Roman" w:cs="Times New Roman" w:eastAsia="Times New Roman" w:hAnsi="Times New Roman"/>
          <w:sz w:val="18"/>
          <w:szCs w:val="18"/>
          <w:color w:val="auto"/>
        </w:rPr>
        <w:t>. Mr. Gordon, age 63, has served as a member of the Board since June 2021. Mr. Gordon has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dual roles of Chief Executive Officer and Chairperson of the board of directors of Silver Spike Investment Corp. since 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Fiona Tan</w:t>
      </w:r>
      <w:r>
        <w:rPr>
          <w:rFonts w:ascii="Times New Roman" w:cs="Times New Roman" w:eastAsia="Times New Roman" w:hAnsi="Times New Roman"/>
          <w:sz w:val="18"/>
          <w:szCs w:val="18"/>
          <w:color w:val="auto"/>
        </w:rPr>
        <w:t>. Ms. Tan, age 53, has served as a member of the Board since June 2021. Since March 2022, Ms. Tan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Technology Officer for Wayfair LLC, where she previously served as the Global Head of Customer and Supplier Technology from September 2020 to March 2022. She has held various leadership positions at Walmart Inc., including Head of Technology for Walmart US from March 2019 to September 2020, Senior Vice President of Engineering and Customer Technology for Walmart Labs from January 2017 to March 2019 and Vice President of Engineering and International Markets for Walmart Labs Strategy and Operations from April 2014 to January 2017. Additionally, Ms. Tan was Vice President of Engineering for Ariba, Inc. from January 2012 to April 2014 and held the same role at TIBCO Software, Inc. from January 1995 to October 2011, and worked as a Senior Technical Staff Member role at Oracle Corporation from January 1993 to May 1995. Ms. Tan holds an M.S. in Computer Science from Stanford University and a B.S. in Computer Science and Engineering from the Massachusetts Institute of Technology.</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Anthony Bay</w:t>
      </w:r>
      <w:r>
        <w:rPr>
          <w:rFonts w:ascii="Times New Roman" w:cs="Times New Roman" w:eastAsia="Times New Roman" w:hAnsi="Times New Roman"/>
          <w:sz w:val="18"/>
          <w:szCs w:val="18"/>
          <w:color w:val="auto"/>
        </w:rPr>
        <w:t>. Mr. Bay, age 68, has served as a member of the Board since March 2022. Prior to joining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users.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Tony Aquila</w:t>
      </w:r>
      <w:r>
        <w:rPr>
          <w:rFonts w:ascii="Times New Roman" w:cs="Times New Roman" w:eastAsia="Times New Roman" w:hAnsi="Times New Roman"/>
          <w:sz w:val="18"/>
          <w:szCs w:val="18"/>
          <w:color w:val="auto"/>
        </w:rPr>
        <w:t>. Mr. Aquila, age 59, has served as a member of the Board since June 2021.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Aquila has served as 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73"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Brenda Freeman</w:t>
      </w:r>
      <w:r>
        <w:rPr>
          <w:rFonts w:ascii="Times New Roman" w:cs="Times New Roman" w:eastAsia="Times New Roman" w:hAnsi="Times New Roman"/>
          <w:sz w:val="18"/>
          <w:szCs w:val="18"/>
          <w:color w:val="auto"/>
        </w:rPr>
        <w:t>. Ms. Freeman, age 60, has served as a member of the Board since June 2021. Ms. Freeman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and has 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 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Olga Gonzalez</w:t>
      </w:r>
      <w:r>
        <w:rPr>
          <w:rFonts w:ascii="Times New Roman" w:cs="Times New Roman" w:eastAsia="Times New Roman" w:hAnsi="Times New Roman"/>
          <w:sz w:val="18"/>
          <w:szCs w:val="18"/>
          <w:color w:val="auto"/>
        </w:rPr>
        <w:t>. Ms. Gonzalez, age 58, has served as a member of the Board since June 2021. Since April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Gonzalez 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entitled “Certain Relationships and Related Party Transactions” that occurred during any 12-month period within the last three fiscal years.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is currently chaired by the Executive Chair of the Company, Mr. Francis, who has an active role in leading the Company as our principal executive officer and member of the Board. Ms. Freeman currently serves as our lead independent director.</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believes that during this transformational period, it is valuable to have Mr. Francis in the combined positions of principal executive officer and Board chair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Freeman as the lead independent director to help reinforce the independence of the Board as a whole. The position of lead independent director has been structured to serve as an effective balance to a combined principal executive officer and Executive Chair: the lead independent director is empowered to, among other duties and responsibilities, approve agendas and meeting schedules for regular Board meetings, preside over Board meetings in the absence of the Executive Chair, preside over and establish the agendas for meetings of the independent directors, act as liaison between the Executive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Executive Chair, for example, by facilitating the inclusion on meeting agendas of matters of concern to the independent directors.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81" w:lineRule="exact"/>
        <w:rPr>
          <w:sz w:val="20"/>
          <w:szCs w:val="20"/>
          <w:color w:val="auto"/>
        </w:rPr>
      </w:pPr>
    </w:p>
    <w:p>
      <w:pPr>
        <w:jc w:val="both"/>
        <w:ind w:left="300" w:right="299"/>
        <w:spacing w:after="0" w:line="289" w:lineRule="auto"/>
        <w:rPr>
          <w:sz w:val="20"/>
          <w:szCs w:val="20"/>
          <w:color w:val="auto"/>
        </w:rPr>
      </w:pPr>
      <w:r>
        <w:rPr>
          <w:rFonts w:ascii="Times New Roman" w:cs="Times New Roman" w:eastAsia="Times New Roman" w:hAnsi="Times New Roman"/>
          <w:sz w:val="17"/>
          <w:szCs w:val="17"/>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in 2023, the Company’s independent directors met six times in regularly scheduled executive sessions at which only independent directors were present.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90"/>
        </w:trPr>
        <w:tc>
          <w:tcPr>
            <w:tcW w:w="49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Tony Aquila</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Anthony Bay</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Douglas Francis*</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Brenda Freeman</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Olga Gonzalez</w:t>
            </w:r>
          </w:p>
        </w:tc>
        <w:tc>
          <w:tcPr>
            <w:tcW w:w="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Gordon</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Fiona Tan</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Meetings in the year ended December 31, 2023</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80" w:type="dxa"/>
            <w:vAlign w:val="bottom"/>
          </w:tcPr>
          <w:p>
            <w:pPr>
              <w:spacing w:after="0"/>
              <w:rPr>
                <w:sz w:val="23"/>
                <w:szCs w:val="23"/>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-1628140</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-1628140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-1628140</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-1628140</wp:posOffset>
            </wp:positionV>
            <wp:extent cx="120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Chair</w:t>
      </w:r>
    </w:p>
    <w:p>
      <w:pPr>
        <w:spacing w:after="0" w:line="42"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10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Mses. Gonzalez and Freeman and Messrs. Bay and Gordon. The Board has determined that each of the members of the Audit Committee satisfy the independence requirements of Rule 5605(c)</w:t>
      </w: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named Ms. Gonzalez as the Chairperson of the Audit Committee. The Board determined that Ms. Gonzalez and Mr. Bay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 oversee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independence and performance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review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Messrs. Aquila, Bay and Gordon. We named Mr. Aquila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 to:</w:t>
      </w:r>
    </w:p>
    <w:p>
      <w:pPr>
        <w:spacing w:after="0" w:line="117" w:lineRule="exact"/>
        <w:rPr>
          <w:sz w:val="20"/>
          <w:szCs w:val="20"/>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policies relating to compensation and benefits of our officers and employees;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senior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officers in light of established goals and objectives;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compensation of our officers based on its evaluations;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8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those factors prescribed by the SEC and Nasdaq, the Compensation Committee engaged Compensia, Inc. (“Compensia”) as compensation consultants.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year ended December 31, 2023, Compensia provided the following services: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Discussion and Analysis drafting and review for the Proxy Statement for the 2023 Annual Meeting;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the Compensation Committee in refreshing our compensation peer group;</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guidance on other compensation topics including clawback programs, equity design and programs, burn rates and overhang levels, and ad hoc market data and practices.</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8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Mses. Tan and Freeman.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2023.</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the Board and its committees;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the Board and make recommendations regarding committee and chairperson assignments;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membership and conduct searches for potential members of the Board;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Technology Committee consists of Ms. Tan and Mr. Francis. Ms. Tan serves as the Chairperson of the Technology Committee. The Technology Committee met four times during 2023.</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Technology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our major technology developments, technology related systems and architecture;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formulation, definition, tracking, retention and reporting of our key metrics, performance indicators and other operational data, and help ensure effective internal and disclosure controls related to such data;</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regarding significant emerging technology issues and trends that may affect our business and strategies;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guidance regarding our technology risk management, including our policies and procedures with respect to technology and its uses including cybersecurity, reporting and data system management.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are:</w:t>
      </w:r>
    </w:p>
    <w:p>
      <w:pPr>
        <w:spacing w:after="0" w:line="117" w:lineRule="exact"/>
        <w:rPr>
          <w:sz w:val="20"/>
          <w:szCs w:val="20"/>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emphasize variable compensation that appropriately rewards our Named Executive Officers through two separate compensation elements:</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“—Executive Employment Arrangements” below.</w:t>
      </w:r>
    </w:p>
    <w:p>
      <w:pPr>
        <w:spacing w:after="0" w:line="72"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ectPr>
          <w:pgSz w:w="11900" w:h="16838" w:orient="portrait"/>
          <w:cols w:equalWidth="0" w:num="1">
            <w:col w:w="9019"/>
          </w:cols>
          <w:pgMar w:left="1440" w:top="263" w:right="1440" w:bottom="1440" w:gutter="0" w:footer="0" w:header="0"/>
        </w:sectPr>
      </w:pPr>
    </w:p>
    <w:p>
      <w:pPr>
        <w:spacing w:after="0" w:line="22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26142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40" w:lineRule="exact"/>
        <w:rPr>
          <w:sz w:val="20"/>
          <w:szCs w:val="20"/>
          <w:color w:val="auto"/>
        </w:rPr>
      </w:pPr>
    </w:p>
    <w:p>
      <w:pPr>
        <w:ind w:left="600" w:right="40" w:hanging="308"/>
        <w:spacing w:after="0" w:line="255" w:lineRule="auto"/>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Independent Compensation Committee. </w:t>
      </w:r>
      <w:r>
        <w:rPr>
          <w:rFonts w:ascii="Times New Roman" w:cs="Times New Roman" w:eastAsia="Times New Roman" w:hAnsi="Times New Roman"/>
          <w:sz w:val="18"/>
          <w:szCs w:val="18"/>
          <w:color w:val="auto"/>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prospectus.</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600" w:hanging="308"/>
        <w:spacing w:after="0" w:line="256" w:lineRule="auto"/>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Retain an Independent Compensation Consultant</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Compensation Committee engaged its own compensation consultant to provide information, analysis, and other advice on compensation matters independent of management. This compensation consultant performed no other services for us during 2023.</w:t>
      </w:r>
    </w:p>
    <w:p>
      <w:pPr>
        <w:spacing w:after="0" w:line="74" w:lineRule="exact"/>
        <w:rPr>
          <w:rFonts w:ascii="Times New Roman" w:cs="Times New Roman" w:eastAsia="Times New Roman" w:hAnsi="Times New Roman"/>
          <w:sz w:val="18"/>
          <w:szCs w:val="18"/>
          <w:color w:val="auto"/>
        </w:rPr>
      </w:pPr>
    </w:p>
    <w:p>
      <w:pPr>
        <w:ind w:left="600" w:right="20" w:hanging="308"/>
        <w:spacing w:after="0" w:line="257" w:lineRule="auto"/>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Executive Compensation Review.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reviews and approves our compensation strategy and policies planned to be done annually, including review and approval of the 2023 short-term incentive plan for executive officers.</w:t>
      </w:r>
    </w:p>
    <w:p>
      <w:pPr>
        <w:spacing w:after="0" w:line="74" w:lineRule="exact"/>
        <w:rPr>
          <w:rFonts w:ascii="Times New Roman" w:cs="Times New Roman" w:eastAsia="Times New Roman" w:hAnsi="Times New Roman"/>
          <w:sz w:val="18"/>
          <w:szCs w:val="18"/>
          <w:color w:val="auto"/>
        </w:rPr>
      </w:pPr>
    </w:p>
    <w:p>
      <w:pPr>
        <w:ind w:left="600" w:right="40" w:hanging="308"/>
        <w:spacing w:after="0" w:line="255" w:lineRule="auto"/>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“At-Risk.” </w:t>
      </w:r>
      <w:r>
        <w:rPr>
          <w:rFonts w:ascii="Times New Roman" w:cs="Times New Roman" w:eastAsia="Times New Roman" w:hAnsi="Times New Roman"/>
          <w:sz w:val="18"/>
          <w:szCs w:val="18"/>
          <w:color w:val="auto"/>
        </w:rPr>
        <w:t>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“Pay-for-Performance” Philosophy.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Named Executive Officers’ target annual total direct compensation, other than for Mr. Francis, is directly linked to our financial results and our stock price performance.</w:t>
      </w:r>
    </w:p>
    <w:p>
      <w:pPr>
        <w:spacing w:after="0" w:line="75"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The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to our Named Executive Officers are earned and/or vest over multi-year periods, consistent with current market practice and our retention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25971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40" w:lineRule="exact"/>
        <w:rPr>
          <w:sz w:val="20"/>
          <w:szCs w:val="20"/>
          <w:color w:val="auto"/>
        </w:rPr>
      </w:pPr>
    </w:p>
    <w:p>
      <w:pPr>
        <w:ind w:left="295" w:right="359" w:hanging="295"/>
        <w:spacing w:after="0" w:line="254" w:lineRule="auto"/>
        <w:tabs>
          <w:tab w:leader="none" w:pos="2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Officer Retirement Plans. </w:t>
      </w:r>
      <w:r>
        <w:rPr>
          <w:rFonts w:ascii="Times New Roman" w:cs="Times New Roman" w:eastAsia="Times New Roman" w:hAnsi="Times New Roman"/>
          <w:sz w:val="18"/>
          <w:szCs w:val="18"/>
          <w:color w:val="auto"/>
        </w:rPr>
        <w:t>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77" w:lineRule="exact"/>
        <w:rPr>
          <w:rFonts w:ascii="Times New Roman" w:cs="Times New Roman" w:eastAsia="Times New Roman" w:hAnsi="Times New Roman"/>
          <w:sz w:val="18"/>
          <w:szCs w:val="18"/>
          <w:color w:val="auto"/>
        </w:rPr>
      </w:pPr>
    </w:p>
    <w:p>
      <w:pPr>
        <w:ind w:left="295" w:right="359" w:hanging="295"/>
        <w:spacing w:after="0" w:line="256" w:lineRule="auto"/>
        <w:tabs>
          <w:tab w:leader="none" w:pos="2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Executive Officer Perquisites. </w:t>
      </w:r>
      <w:r>
        <w:rPr>
          <w:rFonts w:ascii="Times New Roman" w:cs="Times New Roman" w:eastAsia="Times New Roman" w:hAnsi="Times New Roman"/>
          <w:sz w:val="18"/>
          <w:szCs w:val="18"/>
          <w:color w:val="auto"/>
        </w:rPr>
        <w:t>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benefits to our Named Executive Officers on the same basis as provided to all of our employees, including health, dental and vision insurance; accidental death and dismemberment insurance; disability insurance; and a tax-qualified Section 401(k) plan.</w:t>
      </w:r>
    </w:p>
    <w:p>
      <w:pPr>
        <w:spacing w:after="0" w:line="74" w:lineRule="exact"/>
        <w:rPr>
          <w:rFonts w:ascii="Times New Roman" w:cs="Times New Roman" w:eastAsia="Times New Roman" w:hAnsi="Times New Roman"/>
          <w:sz w:val="18"/>
          <w:szCs w:val="18"/>
          <w:color w:val="auto"/>
        </w:rPr>
      </w:pPr>
    </w:p>
    <w:p>
      <w:pPr>
        <w:ind w:left="295" w:right="319" w:hanging="295"/>
        <w:spacing w:after="0" w:line="258" w:lineRule="auto"/>
        <w:tabs>
          <w:tab w:leader="none" w:pos="2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Tax Payments on Change-in-Control Arrangements</w:t>
      </w:r>
      <w:r>
        <w:rPr>
          <w:rFonts w:ascii="Times New Roman" w:cs="Times New Roman" w:eastAsia="Times New Roman" w:hAnsi="Times New Roman"/>
          <w:sz w:val="18"/>
          <w:szCs w:val="18"/>
          <w:color w:val="auto"/>
        </w:rPr>
        <w:t>. We do not provide any excise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payments (including “gross-ups”) on payments or benefits that are contingent upon a change-in-control of the Company.</w:t>
      </w:r>
    </w:p>
    <w:p>
      <w:pPr>
        <w:spacing w:after="0" w:line="291" w:lineRule="exact"/>
        <w:rPr>
          <w:rFonts w:ascii="Times New Roman" w:cs="Times New Roman" w:eastAsia="Times New Roman" w:hAnsi="Times New Roman"/>
          <w:sz w:val="18"/>
          <w:szCs w:val="18"/>
          <w:color w:val="auto"/>
        </w:rPr>
      </w:pPr>
    </w:p>
    <w:p>
      <w:pPr>
        <w:ind w:left="295" w:right="319" w:hanging="295"/>
        <w:spacing w:after="0" w:line="253" w:lineRule="auto"/>
        <w:tabs>
          <w:tab w:leader="none" w:pos="2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Hedging or Pledging of our Securities. </w:t>
      </w:r>
      <w:r>
        <w:rPr>
          <w:rFonts w:ascii="Times New Roman" w:cs="Times New Roman" w:eastAsia="Times New Roman" w:hAnsi="Times New Roman"/>
          <w:sz w:val="18"/>
          <w:szCs w:val="18"/>
          <w:color w:val="auto"/>
        </w:rPr>
        <w:t>As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582" w:lineRule="exact"/>
        <w:rPr>
          <w:sz w:val="20"/>
          <w:szCs w:val="20"/>
          <w:color w:val="auto"/>
        </w:rPr>
      </w:pPr>
    </w:p>
    <w:p>
      <w:pPr>
        <w:sectPr>
          <w:pgSz w:w="11900" w:h="16838" w:orient="portrait"/>
          <w:cols w:equalWidth="0" w:num="2">
            <w:col w:w="4400" w:space="225"/>
            <w:col w:w="4394"/>
          </w:cols>
          <w:pgMar w:left="1440" w:top="263" w:right="1440"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5" w:lineRule="exact"/>
        <w:rPr>
          <w:sz w:val="20"/>
          <w:szCs w:val="20"/>
          <w:color w:val="auto"/>
        </w:rPr>
      </w:pPr>
    </w:p>
    <w:p>
      <w:pPr>
        <w:ind w:left="600" w:right="4659" w:hanging="308"/>
        <w:spacing w:after="0" w:line="253"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“Double-Trigger” Change-in-Control Arrangements. </w:t>
      </w:r>
      <w:r>
        <w:rPr>
          <w:rFonts w:ascii="Times New Roman" w:cs="Times New Roman" w:eastAsia="Times New Roman" w:hAnsi="Times New Roman"/>
          <w:sz w:val="18"/>
          <w:szCs w:val="18"/>
          <w:color w:val="auto"/>
        </w:rPr>
        <w:t>Our Named Executive Officers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77" w:lineRule="exact"/>
        <w:rPr>
          <w:rFonts w:ascii="Times New Roman" w:cs="Times New Roman" w:eastAsia="Times New Roman" w:hAnsi="Times New Roman"/>
          <w:sz w:val="18"/>
          <w:szCs w:val="18"/>
          <w:color w:val="auto"/>
        </w:rPr>
      </w:pPr>
    </w:p>
    <w:p>
      <w:pPr>
        <w:ind w:left="600" w:right="4639" w:hanging="308"/>
        <w:spacing w:after="0" w:line="258"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Broad-Based Health and Welfare Benefits.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participate in broad-based Company-sponsored health and welfare benefit programs on the same basis as our other employees.</w:t>
      </w:r>
    </w:p>
    <w:p>
      <w:pPr>
        <w:spacing w:after="0" w:line="75" w:lineRule="exact"/>
        <w:rPr>
          <w:rFonts w:ascii="Times New Roman" w:cs="Times New Roman" w:eastAsia="Times New Roman" w:hAnsi="Times New Roman"/>
          <w:sz w:val="18"/>
          <w:szCs w:val="18"/>
          <w:color w:val="auto"/>
        </w:rPr>
      </w:pPr>
    </w:p>
    <w:p>
      <w:pPr>
        <w:ind w:left="600" w:right="4859" w:hanging="308"/>
        <w:spacing w:after="0" w:line="290"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Clawback Policy. </w:t>
      </w:r>
      <w:r>
        <w:rPr>
          <w:rFonts w:ascii="Times New Roman" w:cs="Times New Roman" w:eastAsia="Times New Roman" w:hAnsi="Times New Roman"/>
          <w:sz w:val="17"/>
          <w:szCs w:val="17"/>
          <w:color w:val="auto"/>
        </w:rPr>
        <w:t>We require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recoupment with respect to our executive officers pursuant to the terms of our clawback policy.</w:t>
      </w:r>
    </w:p>
    <w:p>
      <w:pPr>
        <w:spacing w:after="0" w:line="47" w:lineRule="exact"/>
        <w:rPr>
          <w:rFonts w:ascii="Times New Roman" w:cs="Times New Roman" w:eastAsia="Times New Roman" w:hAnsi="Times New Roman"/>
          <w:sz w:val="17"/>
          <w:szCs w:val="17"/>
          <w:color w:val="auto"/>
        </w:rPr>
      </w:pPr>
    </w:p>
    <w:p>
      <w:pPr>
        <w:ind w:left="600" w:right="4619" w:hanging="308"/>
        <w:spacing w:after="0" w:line="267"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We review the risks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key executive officer positions to ensure adequate succession plans are in place.</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64" w:lineRule="exact"/>
        <w:rPr>
          <w:sz w:val="20"/>
          <w:szCs w:val="20"/>
          <w:color w:val="auto"/>
        </w:rPr>
      </w:pPr>
    </w:p>
    <w:p>
      <w:pPr>
        <w:ind w:left="1000" w:right="319" w:hanging="348"/>
        <w:spacing w:after="0" w:line="28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 Top Talent </w:t>
      </w:r>
      <w:r>
        <w:rPr>
          <w:rFonts w:ascii="Times New Roman" w:cs="Times New Roman" w:eastAsia="Times New Roman" w:hAnsi="Times New Roman"/>
          <w:sz w:val="18"/>
          <w:szCs w:val="18"/>
          <w:color w:val="auto"/>
        </w:rPr>
        <w:t>– Given the nature of our business and our long-term financial and strategic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must compete with other top technology companies for talent to build and grow our Company;</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Maintain a Performance-Based Culture </w:t>
      </w:r>
      <w:r>
        <w:rPr>
          <w:rFonts w:ascii="Times New Roman" w:cs="Times New Roman" w:eastAsia="Times New Roman" w:hAnsi="Times New Roman"/>
          <w:sz w:val="18"/>
          <w:szCs w:val="18"/>
          <w:color w:val="auto"/>
        </w:rPr>
        <w:t>– To be successful in a highly competitive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68"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Exceptional Employees </w:t>
      </w:r>
      <w:r>
        <w:rPr>
          <w:rFonts w:ascii="Times New Roman" w:cs="Times New Roman" w:eastAsia="Times New Roman" w:hAnsi="Times New Roman"/>
          <w:sz w:val="18"/>
          <w:szCs w:val="18"/>
          <w:color w:val="auto"/>
        </w:rPr>
        <w:t>– To ensure that we can meet our objectives, we must foster a culture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instills a sense of commitment to the organization and each other while, at the same time, recognizing and rewarding individual contributions and impact.</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Generally, our executive compensation program consists of three principal elements – base salary, cash bonus opportunities, and long-term incentive compensation in the form of equity awards.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2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0" w:type="dxa"/>
            <w:vAlign w:val="bottom"/>
          </w:tcPr>
          <w:p>
            <w:pPr>
              <w:spacing w:after="0"/>
              <w:rPr>
                <w:sz w:val="1"/>
                <w:szCs w:val="1"/>
                <w:color w:val="auto"/>
              </w:rPr>
            </w:pPr>
          </w:p>
        </w:tc>
      </w:tr>
      <w:tr>
        <w:trPr>
          <w:trHeight w:val="190"/>
        </w:trPr>
        <w:tc>
          <w:tcPr>
            <w:tcW w:w="1180" w:type="dxa"/>
            <w:vAlign w:val="bottom"/>
            <w:gridSpan w:val="2"/>
            <w:vMerge w:val="continue"/>
          </w:tcPr>
          <w:p>
            <w:pPr>
              <w:spacing w:after="0"/>
              <w:rPr>
                <w:sz w:val="16"/>
                <w:szCs w:val="16"/>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800" w:type="dxa"/>
            <w:vAlign w:val="bottom"/>
            <w:gridSpan w:val="3"/>
            <w:vMerge w:val="continue"/>
          </w:tcPr>
          <w:p>
            <w:pPr>
              <w:spacing w:after="0"/>
              <w:rPr>
                <w:sz w:val="16"/>
                <w:szCs w:val="16"/>
                <w:color w:val="auto"/>
              </w:rPr>
            </w:pP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w:t>
            </w: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Designed to attract and retain executives by</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providing a competitive fixed amount of cash</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compensation based on the executive’s role, prior</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and expected contributions to the</w:t>
            </w:r>
          </w:p>
        </w:tc>
        <w:tc>
          <w:tcPr>
            <w:tcW w:w="0" w:type="dxa"/>
            <w:vAlign w:val="bottom"/>
          </w:tcPr>
          <w:p>
            <w:pPr>
              <w:spacing w:after="0"/>
              <w:rPr>
                <w:sz w:val="1"/>
                <w:szCs w:val="1"/>
                <w:color w:val="auto"/>
              </w:rPr>
            </w:pPr>
          </w:p>
        </w:tc>
      </w:tr>
      <w:tr>
        <w:trPr>
          <w:trHeight w:val="268"/>
        </w:trPr>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5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Bonuses</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Variable</w:t>
            </w:r>
          </w:p>
        </w:tc>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Designed to motivate our executives to achieve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business objectives tied to specific Company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metrics and which are aligned to our annual</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priorities, with the payout opportunity based on</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Company and individual performance</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6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w:t>
            </w:r>
          </w:p>
        </w:tc>
        <w:tc>
          <w:tcPr>
            <w:tcW w:w="63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awards in the form of RSU Designed to align the interests of our executives</w:t>
            </w: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w:t>
            </w: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awards  that  may  be  settled  for</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our stockholders while helping to attract and</w:t>
            </w: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of  our  Class A Common</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retain talented leaders by paying for performance</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and PRSU awards that may</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 earned and settled for shares of</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our Class A Common Stock</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-2416810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-2416810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-2416810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base salaries of our Named Executive Officers for 2023 were as follows: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1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$1,020,000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54"/>
        </w:trPr>
        <w:tc>
          <w:tcPr>
            <w:tcW w:w="7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408,171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-685165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base salary in 2023 of $1,020,000 became effective on August 15,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previous annual base salary was $402,500 and was increased to $425,000 on September 30, 2023.</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total base salaries paid to our Named Executive Officers during 2023 are set forth in the “Summary Compensation Table”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Target Bonus Opportunities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target cash bonus opportunities of our Named Executive Officers for 2023, as a percentage of annual base salary, were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Base Cash Bonus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90"/>
        </w:trPr>
        <w:tc>
          <w:tcPr>
            <w:tcW w:w="4720" w:type="dxa"/>
            <w:vAlign w:val="bottom"/>
            <w:gridSpan w:val="2"/>
            <w:vMerge w:val="continue"/>
          </w:tcPr>
          <w:p>
            <w:pPr>
              <w:spacing w:after="0"/>
              <w:rPr>
                <w:sz w:val="16"/>
                <w:szCs w:val="16"/>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a percentage of base salary)</w:t>
            </w:r>
          </w:p>
        </w:tc>
        <w:tc>
          <w:tcPr>
            <w:tcW w:w="600" w:type="dxa"/>
            <w:vAlign w:val="bottom"/>
          </w:tcPr>
          <w:p>
            <w:pPr>
              <w:spacing w:after="0"/>
              <w:rPr>
                <w:sz w:val="16"/>
                <w:szCs w:val="16"/>
                <w:color w:val="auto"/>
              </w:rPr>
            </w:pPr>
          </w:p>
        </w:tc>
        <w:tc>
          <w:tcPr>
            <w:tcW w:w="940" w:type="dxa"/>
            <w:vAlign w:val="bottom"/>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5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472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2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1"/>
                <w:szCs w:val="21"/>
                <w:color w:val="auto"/>
              </w:rPr>
            </w:pPr>
          </w:p>
        </w:tc>
        <w:tc>
          <w:tcPr>
            <w:tcW w:w="154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-607695</wp:posOffset>
            </wp:positionV>
            <wp:extent cx="120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-607695</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299" w:hanging="348"/>
        <w:spacing w:after="0" w:line="261"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target bonus opportunity in 2023 , but did receive a signing bonus of $700,000 in connection with the entry into his offer letter dated August 15, 2023.</w:t>
      </w: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approved target bonus by the Compensation Committee was based off his increased base salary of $425,000.</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Evaluation of Performance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Bonus Payments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0" w:type="dxa"/>
            <w:vAlign w:val="bottom"/>
          </w:tcPr>
          <w:p>
            <w:pPr>
              <w:spacing w:after="0"/>
              <w:rPr>
                <w:sz w:val="1"/>
                <w:szCs w:val="1"/>
                <w:color w:val="auto"/>
              </w:rPr>
            </w:pPr>
          </w:p>
        </w:tc>
      </w:tr>
      <w:tr>
        <w:trPr>
          <w:trHeight w:val="14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vMerge w:val="restart"/>
          </w:tcPr>
          <w:p>
            <w:pPr>
              <w:spacing w:after="0"/>
              <w:rPr>
                <w:sz w:val="12"/>
                <w:szCs w:val="12"/>
                <w:color w:val="auto"/>
              </w:rPr>
            </w:pPr>
          </w:p>
        </w:tc>
        <w:tc>
          <w:tcPr>
            <w:tcW w:w="164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640" w:type="dxa"/>
            <w:vAlign w:val="bottom"/>
            <w:gridSpan w:val="3"/>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6"/>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1"/>
                <w:szCs w:val="11"/>
                <w:b w:val="1"/>
                <w:bCs w:val="1"/>
                <w:color w:val="auto"/>
              </w:rPr>
              <w:t>(2)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bonus opportunity)</w:t>
            </w:r>
          </w:p>
        </w:tc>
        <w:tc>
          <w:tcPr>
            <w:tcW w:w="0" w:type="dxa"/>
            <w:vAlign w:val="bottom"/>
          </w:tcPr>
          <w:p>
            <w:pPr>
              <w:spacing w:after="0"/>
              <w:rPr>
                <w:sz w:val="1"/>
                <w:szCs w:val="1"/>
                <w:color w:val="auto"/>
              </w:rPr>
            </w:pPr>
          </w:p>
        </w:tc>
      </w:tr>
      <w:tr>
        <w:trPr>
          <w:trHeight w:val="331"/>
        </w:trPr>
        <w:tc>
          <w:tcPr>
            <w:tcW w:w="356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54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Pr>
          <w:p>
            <w:pPr>
              <w:spacing w:after="0"/>
              <w:rPr>
                <w:sz w:val="21"/>
                <w:szCs w:val="21"/>
                <w:color w:val="auto"/>
              </w:rPr>
            </w:pPr>
          </w:p>
        </w:tc>
        <w:tc>
          <w:tcPr>
            <w:tcW w:w="1520" w:type="dxa"/>
            <w:vAlign w:val="bottom"/>
            <w:gridSpan w:val="2"/>
          </w:tcPr>
          <w:p>
            <w:pPr>
              <w:jc w:val="right"/>
              <w:ind w:right="346"/>
              <w:spacing w:after="0"/>
              <w:rPr>
                <w:sz w:val="20"/>
                <w:szCs w:val="20"/>
                <w:color w:val="auto"/>
              </w:rPr>
            </w:pPr>
            <w:r>
              <w:rPr>
                <w:rFonts w:ascii="Times New Roman" w:cs="Times New Roman" w:eastAsia="Times New Roman" w:hAnsi="Times New Roman"/>
                <w:sz w:val="18"/>
                <w:szCs w:val="18"/>
                <w:color w:val="auto"/>
              </w:rPr>
              <w:t>$181,425</w:t>
            </w:r>
          </w:p>
        </w:tc>
        <w:tc>
          <w:tcPr>
            <w:tcW w:w="120" w:type="dxa"/>
            <w:vAlign w:val="bottom"/>
          </w:tcPr>
          <w:p>
            <w:pPr>
              <w:spacing w:after="0"/>
              <w:rPr>
                <w:sz w:val="21"/>
                <w:szCs w:val="21"/>
                <w:color w:val="auto"/>
              </w:rPr>
            </w:pPr>
          </w:p>
        </w:tc>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5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$188,062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-607695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-607695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-607695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bonus in 2023 other than his signing bonus disclosed in the Summary Compensation Table below.</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Going forward, we anticipate the Compensation Committee will design and adopt a similar cash bonus plan for our Named Executive Officers as part of its annual review of our executive compensation program.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annual bonuses awarded to our Named Executive Officers for 2023 are set forth in the “Summary Compensation Table” below.</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Equity Incentive Compensation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equity awards granted to our Named Executive Officers in 2023 under the WM Technology, Inc. 2021 Equity Incentive Plan (the “2021 Equity Plan”), were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units)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46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4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692,968</w:t>
            </w:r>
          </w:p>
        </w:tc>
        <w:tc>
          <w:tcPr>
            <w:tcW w:w="100" w:type="dxa"/>
            <w:vAlign w:val="bottom"/>
          </w:tcPr>
          <w:p>
            <w:pPr>
              <w:spacing w:after="0"/>
              <w:rPr>
                <w:sz w:val="23"/>
                <w:szCs w:val="23"/>
                <w:color w:val="auto"/>
              </w:rPr>
            </w:pPr>
          </w:p>
        </w:tc>
        <w:tc>
          <w:tcPr>
            <w:tcW w:w="9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$914,718</w:t>
            </w:r>
          </w:p>
        </w:tc>
        <w:tc>
          <w:tcPr>
            <w:tcW w:w="100" w:type="dxa"/>
            <w:vAlign w:val="bottom"/>
          </w:tcPr>
          <w:p>
            <w:pPr>
              <w:spacing w:after="0"/>
              <w:rPr>
                <w:sz w:val="23"/>
                <w:szCs w:val="2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655,468</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$865,218</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-633730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-633730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-633730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-633730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entitled “Director Compensation” below.</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PRSU Awards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PRSUs that vested was determined by our Compensation Committee on May 23, 2024. Each eligible recipient must remain employed by us through the determination date for the PRSU award to vest.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equity awards vested to our Named Executive Officers during the performance period are set forth in the “Summary Compensation Table” below.</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401(k) Plan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Grant Policy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2023, our Named Executive Officers were:</w:t>
      </w:r>
    </w:p>
    <w:p>
      <w:pPr>
        <w:spacing w:after="0" w:line="117" w:lineRule="exact"/>
        <w:rPr>
          <w:sz w:val="20"/>
          <w:szCs w:val="20"/>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94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940" w:type="dxa"/>
            <w:vAlign w:val="bottom"/>
            <w:vMerge w:val="continue"/>
          </w:tcPr>
          <w:p>
            <w:pPr>
              <w:spacing w:after="0"/>
              <w:rPr>
                <w:sz w:val="21"/>
                <w:szCs w:val="21"/>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68"/>
              <w:spacing w:after="0" w:line="24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600" w:type="dxa"/>
            <w:vAlign w:val="bottom"/>
          </w:tcPr>
          <w:p>
            <w:pPr>
              <w:jc w:val="center"/>
              <w:ind w:left="108"/>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8"/>
        </w:trPr>
        <w:tc>
          <w:tcPr>
            <w:tcW w:w="52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43"/>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2" w:lineRule="exact"/>
        <w:rPr>
          <w:sz w:val="20"/>
          <w:szCs w:val="20"/>
          <w:color w:val="auto"/>
        </w:rPr>
      </w:pPr>
    </w:p>
    <w:p>
      <w:pPr>
        <w:sectPr>
          <w:pgSz w:w="11900" w:h="16838" w:orient="portrait"/>
          <w:cols w:equalWidth="0" w:num="3">
            <w:col w:w="4300" w:space="200"/>
            <w:col w:w="3380" w:space="300"/>
            <w:col w:w="83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277"/>
        </w:trPr>
        <w:tc>
          <w:tcPr>
            <w:tcW w:w="15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60" w:type="dxa"/>
            <w:vAlign w:val="bottom"/>
            <w:tcBorders>
              <w:top w:val="single" w:sz="8" w:color="CCEEFF"/>
            </w:tcBorders>
            <w:vMerge w:val="restart"/>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388,384</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700,000</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82,607</w:t>
            </w:r>
          </w:p>
        </w:tc>
        <w:tc>
          <w:tcPr>
            <w:tcW w:w="10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1,170,991</w:t>
            </w:r>
          </w:p>
        </w:tc>
        <w:tc>
          <w:tcPr>
            <w:tcW w:w="0" w:type="dxa"/>
            <w:vAlign w:val="bottom"/>
          </w:tcPr>
          <w:p>
            <w:pPr>
              <w:spacing w:after="0"/>
              <w:rPr>
                <w:sz w:val="1"/>
                <w:szCs w:val="1"/>
                <w:color w:val="auto"/>
              </w:rPr>
            </w:pPr>
          </w:p>
        </w:tc>
      </w:tr>
      <w:tr>
        <w:trPr>
          <w:trHeight w:val="90"/>
        </w:trPr>
        <w:tc>
          <w:tcPr>
            <w:tcW w:w="1500" w:type="dxa"/>
            <w:vAlign w:val="bottom"/>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Chair</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69,701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263,058</w:t>
            </w: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136,325</w:t>
            </w:r>
          </w:p>
        </w:tc>
        <w:tc>
          <w:tcPr>
            <w:tcW w:w="100" w:type="dxa"/>
            <w:vAlign w:val="bottom"/>
          </w:tcPr>
          <w:p>
            <w:pPr>
              <w:spacing w:after="0"/>
              <w:rPr>
                <w:sz w:val="21"/>
                <w:szCs w:val="21"/>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1,468,754</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Counsel</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18"/>
                <w:szCs w:val="18"/>
                <w:color w:val="auto"/>
              </w:rPr>
            </w:pPr>
          </w:p>
        </w:tc>
        <w:tc>
          <w:tcPr>
            <w:tcW w:w="9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434,915</w:t>
            </w:r>
          </w:p>
        </w:tc>
        <w:tc>
          <w:tcPr>
            <w:tcW w:w="0" w:type="dxa"/>
            <w:vAlign w:val="bottom"/>
          </w:tcPr>
          <w:p>
            <w:pPr>
              <w:spacing w:after="0"/>
              <w:rPr>
                <w:sz w:val="1"/>
                <w:szCs w:val="1"/>
                <w:color w:val="auto"/>
              </w:rPr>
            </w:pPr>
          </w:p>
        </w:tc>
      </w:tr>
      <w:tr>
        <w:trPr>
          <w:trHeight w:val="234"/>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Secretary</w:t>
            </w:r>
          </w:p>
        </w:tc>
        <w:tc>
          <w:tcPr>
            <w:tcW w:w="4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141,312</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24,658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1,719,217</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394,221</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1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867,312</w:t>
            </w:r>
          </w:p>
        </w:tc>
        <w:tc>
          <w:tcPr>
            <w:tcW w:w="0" w:type="dxa"/>
            <w:vAlign w:val="bottom"/>
          </w:tcPr>
          <w:p>
            <w:pPr>
              <w:spacing w:after="0"/>
              <w:rPr>
                <w:sz w:val="1"/>
                <w:szCs w:val="1"/>
                <w:color w:val="auto"/>
              </w:rPr>
            </w:pPr>
          </w:p>
        </w:tc>
      </w:tr>
      <w:tr>
        <w:trPr>
          <w:trHeight w:val="234"/>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Bonuses—Cash Bonus Payments” above.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awards, see “Outstanding Equity Awards at Fiscal Year-end” below. For information regarding assumptions underlying the value of equity awards, see Note 14 to our consolidated financial statements included in our Annual Report on Form 10-K.</w:t>
      </w:r>
    </w:p>
    <w:p>
      <w:pPr>
        <w:spacing w:after="0" w:line="140"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 (i) group term life insurance premiums in excess of the broad-based benefit level of $280, $224 and $561 for 2023 for Messrs. Francis, Camire and Grazier, respectively and $0, $216, and $540 for 2022 for Messrs. Francis, Camire and Grazier, respectively;</w:t>
      </w:r>
    </w:p>
    <w:p>
      <w:pPr>
        <w:jc w:val="both"/>
        <w:ind w:left="640" w:right="299" w:firstLine="3"/>
        <w:spacing w:after="0" w:line="228" w:lineRule="auto"/>
        <w:tabs>
          <w:tab w:leader="none" w:pos="876"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entitled Director Compensation; (iv) compensation for legal fee reimbursement of $8,946 for 2023 for Mr. Francis; and (v) parental leave benefit of $13,106 in 2023 for Mr. Grazier.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for the Named Executive Officers as of December 31,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8"/>
        </w:trPr>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00" w:type="dxa"/>
            <w:vAlign w:val="bottom"/>
            <w:gridSpan w:val="2"/>
            <w:vMerge w:val="continue"/>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1"/>
                <w:szCs w:val="21"/>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21"/>
                <w:szCs w:val="21"/>
                <w:color w:val="auto"/>
              </w:rPr>
            </w:pP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1"/>
                <w:szCs w:val="21"/>
                <w:color w:val="auto"/>
              </w:rPr>
            </w:pP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5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w:t>
            </w: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vMerge w:val="restart"/>
            <w:shd w:val="clear" w:color="auto" w:fill="CCEEFF"/>
          </w:tcPr>
          <w:p>
            <w:pPr>
              <w:spacing w:after="0"/>
              <w:rPr>
                <w:sz w:val="21"/>
                <w:szCs w:val="21"/>
                <w:color w:val="auto"/>
              </w:rPr>
            </w:pPr>
          </w:p>
        </w:tc>
        <w:tc>
          <w:tcPr>
            <w:tcW w:w="46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Francis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8/26/2021</w:t>
            </w: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46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7,271</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52,734</w:t>
            </w:r>
          </w:p>
        </w:tc>
        <w:tc>
          <w:tcPr>
            <w:tcW w:w="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37,984</w:t>
            </w:r>
          </w:p>
        </w:tc>
        <w:tc>
          <w:tcPr>
            <w:tcW w:w="0" w:type="dxa"/>
            <w:vAlign w:val="bottom"/>
          </w:tcPr>
          <w:p>
            <w:pPr>
              <w:spacing w:after="0"/>
              <w:rPr>
                <w:sz w:val="1"/>
                <w:szCs w:val="1"/>
                <w:color w:val="auto"/>
              </w:rPr>
            </w:pPr>
          </w:p>
        </w:tc>
      </w:tr>
      <w:tr>
        <w:trPr>
          <w:trHeight w:val="210"/>
        </w:trPr>
        <w:tc>
          <w:tcPr>
            <w:tcW w:w="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Camire</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58,596</w:t>
            </w:r>
          </w:p>
        </w:tc>
        <w:tc>
          <w:tcPr>
            <w:tcW w:w="60" w:type="dxa"/>
            <w:vAlign w:val="bottom"/>
          </w:tcPr>
          <w:p>
            <w:pPr>
              <w:spacing w:after="0"/>
              <w:rPr>
                <w:sz w:val="18"/>
                <w:szCs w:val="18"/>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42,207</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w w:val="99"/>
              </w:rPr>
              <w:t>600,846 432,789</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185,933</w:t>
            </w:r>
          </w:p>
        </w:tc>
        <w:tc>
          <w:tcPr>
            <w:tcW w:w="60" w:type="dxa"/>
            <w:vAlign w:val="bottom"/>
          </w:tcPr>
          <w:p>
            <w:pPr>
              <w:spacing w:after="0"/>
              <w:rPr>
                <w:sz w:val="24"/>
                <w:szCs w:val="24"/>
                <w:color w:val="auto"/>
              </w:rPr>
            </w:pP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61,976</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11/12/2019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433,840</w:t>
            </w:r>
          </w:p>
        </w:tc>
        <w:tc>
          <w:tcPr>
            <w:tcW w:w="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Duncan</w:t>
            </w:r>
          </w:p>
        </w:tc>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5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21,143</w:t>
            </w: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Grazier</w:t>
            </w:r>
          </w:p>
        </w:tc>
        <w:tc>
          <w:tcPr>
            <w:tcW w:w="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4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635,221 457,550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60" w:type="dxa"/>
            <w:vAlign w:val="bottom"/>
            <w:gridSpan w:val="4"/>
            <w:vMerge w:val="continue"/>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8/30/2021</w:t>
            </w:r>
          </w:p>
        </w:tc>
        <w:tc>
          <w:tcPr>
            <w:tcW w:w="5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35,553</w:t>
            </w:r>
          </w:p>
        </w:tc>
        <w:tc>
          <w:tcPr>
            <w:tcW w:w="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25,609</w:t>
            </w: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46,482</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15,495</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12/10/2019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61,977</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-2313940</wp:posOffset>
            </wp:positionV>
            <wp:extent cx="34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-2313940</wp:posOffset>
            </wp:positionV>
            <wp:extent cx="34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-2313940</wp:posOffset>
            </wp:positionV>
            <wp:extent cx="342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-2313940</wp:posOffset>
            </wp:positionV>
            <wp:extent cx="342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-2313940</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-2313940</wp:posOffset>
            </wp:positionV>
            <wp:extent cx="342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-2313940</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-2313940</wp:posOffset>
            </wp:positionV>
            <wp:extent cx="342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-2313940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-2313940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-2313940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based on the closing price of our common stock as of December 31, 2023 of $0.7203 per share.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seven equal quarterly installments beginning on February 15, 2024, subject to continued service with us.</w:t>
      </w:r>
    </w:p>
    <w:p>
      <w:pPr>
        <w:ind w:left="640" w:right="299" w:hanging="348"/>
        <w:spacing w:after="0" w:line="261"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nine equal quarterly installments beginning on February 15, 2024, subject to continued service with us.</w:t>
      </w:r>
    </w:p>
    <w:p>
      <w:pPr>
        <w:ind w:left="640" w:right="319" w:hanging="348"/>
        <w:spacing w:after="0" w:line="261"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ind w:left="640" w:right="299" w:hanging="348"/>
        <w:spacing w:after="0" w:line="261"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three equal quarterly installments beginning on February 15, 2024, subject to continued service with us.</w:t>
      </w:r>
    </w:p>
    <w:p>
      <w:pPr>
        <w:ind w:left="640" w:right="319" w:hanging="348"/>
        <w:spacing w:after="0" w:line="261"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jc w:val="both"/>
        <w:ind w:left="640" w:right="299" w:hanging="348"/>
        <w:spacing w:after="0" w:line="241"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January 12, 2024, subject to continued service with us.</w:t>
      </w:r>
    </w:p>
    <w:p>
      <w:pPr>
        <w:ind w:left="640" w:right="299" w:hanging="348"/>
        <w:spacing w:after="0" w:line="261"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March 8, 2024, subject to continued service with us.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18"/>
          <w:szCs w:val="18"/>
          <w:i w:val="1"/>
          <w:iCs w:val="1"/>
          <w:color w:val="auto"/>
        </w:rPr>
        <w:t>Executive Compensation – Compensation Elements</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have entered into an offer letter with Ghost Management Group, LLC, which provides for employment on an at-will basis.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Douglas Francis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Francis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Mr. Francis also is eligible to participate in the employee benefit plans generally available to our employees and maintained by us.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Duncan Grazier</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Brian Camire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w:t>
      </w:r>
    </w:p>
    <w:p>
      <w:pPr>
        <w:spacing w:after="0" w:line="5" w:lineRule="exact"/>
        <w:rPr>
          <w:sz w:val="20"/>
          <w:szCs w:val="20"/>
          <w:color w:val="auto"/>
        </w:rPr>
      </w:pPr>
    </w:p>
    <w:p>
      <w:pPr>
        <w:jc w:val="both"/>
        <w:ind w:left="300" w:right="299" w:hanging="8"/>
        <w:spacing w:after="0" w:line="253"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80" w:type="dxa"/>
            <w:vAlign w:val="bottom"/>
            <w:vMerge w:val="restart"/>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1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(2)(3)</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318,750</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159,375</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24,151</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502,276</w:t>
            </w:r>
          </w:p>
        </w:tc>
        <w:tc>
          <w:tcPr>
            <w:tcW w:w="0" w:type="dxa"/>
            <w:vAlign w:val="bottom"/>
          </w:tcPr>
          <w:p>
            <w:pPr>
              <w:spacing w:after="0"/>
              <w:rPr>
                <w:sz w:val="1"/>
                <w:szCs w:val="1"/>
                <w:color w:val="auto"/>
              </w:rPr>
            </w:pPr>
          </w:p>
        </w:tc>
      </w:tr>
      <w:tr>
        <w:trPr>
          <w:trHeight w:val="358"/>
        </w:trPr>
        <w:tc>
          <w:tcPr>
            <w:tcW w:w="1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Involuntary Termination during CIC period</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425,000</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212,500</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shd w:val="clear" w:color="auto" w:fill="CCEEFF"/>
              </w:rPr>
              <w:t>32,202</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shd w:val="clear" w:color="auto" w:fill="CCEEFF"/>
              </w:rPr>
              <w:t>504,301</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1,174,003</w:t>
            </w:r>
          </w:p>
        </w:tc>
        <w:tc>
          <w:tcPr>
            <w:tcW w:w="0" w:type="dxa"/>
            <w:vAlign w:val="bottom"/>
          </w:tcPr>
          <w:p>
            <w:pPr>
              <w:spacing w:after="0"/>
              <w:rPr>
                <w:sz w:val="1"/>
                <w:szCs w:val="1"/>
                <w:color w:val="auto"/>
              </w:rPr>
            </w:pP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307,500</w:t>
            </w:r>
          </w:p>
        </w:tc>
        <w:tc>
          <w:tcPr>
            <w:tcW w:w="8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153,750</w:t>
            </w:r>
          </w:p>
        </w:tc>
        <w:tc>
          <w:tcPr>
            <w:tcW w:w="8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16,841</w:t>
            </w:r>
          </w:p>
        </w:tc>
        <w:tc>
          <w:tcPr>
            <w:tcW w:w="8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478,091</w:t>
            </w: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Involuntary Termination during CIC period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410,000</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205,000</w:t>
            </w: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22,454</w:t>
            </w:r>
          </w:p>
        </w:tc>
        <w:tc>
          <w:tcPr>
            <w:tcW w:w="8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474,996</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1,112,450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-805180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-805180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-805180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-805180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-805180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-805180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Mr. Francis, who was not a participant in the Severance Plan as of December 31,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equity acceleration is calculated based on the closing price of our common stock as of December 31, 2023 of $0.7203 per share.</w:t>
      </w:r>
    </w:p>
    <w:p>
      <w:pPr>
        <w:ind w:left="640" w:hanging="348"/>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2023 other than the 401(k) Plan.</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2023, we adopted our Incentive Compensation Recoupment Policy in compliance with requirements under the Dodd Frank Wall Street Reform and Consumer Protection Act and related Nasdaq listing rules.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Policy was amended in 2023 with changes effective on 1/1/2023. The Non-Employee Director Compensation Policy that was effective for 2023 consisted of the following elements:</w:t>
      </w: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5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r>
              <w:rPr>
                <w:rFonts w:ascii="Times New Roman" w:cs="Times New Roman" w:eastAsia="Times New Roman" w:hAnsi="Times New Roman"/>
                <w:sz w:val="29"/>
                <w:szCs w:val="29"/>
                <w:b w:val="1"/>
                <w:bCs w:val="1"/>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New Director Grant of RSUs for New Non-Employee Directors</w:t>
            </w:r>
            <w:r>
              <w:rPr>
                <w:rFonts w:ascii="Times New Roman" w:cs="Times New Roman" w:eastAsia="Times New Roman" w:hAnsi="Times New Roman"/>
                <w:sz w:val="29"/>
                <w:szCs w:val="29"/>
                <w:b w:val="1"/>
                <w:bCs w:val="1"/>
                <w:color w:val="auto"/>
                <w:vertAlign w:val="superscript"/>
              </w:rPr>
              <w:t>(3)(4)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Initial Term Grants for Existing Non-Employee Directors</w:t>
            </w:r>
            <w:r>
              <w:rPr>
                <w:rFonts w:ascii="Times New Roman" w:cs="Times New Roman" w:eastAsia="Times New Roman" w:hAnsi="Times New Roman"/>
                <w:sz w:val="29"/>
                <w:szCs w:val="29"/>
                <w:b w:val="1"/>
                <w:bCs w:val="1"/>
                <w:color w:val="auto"/>
                <w:vertAlign w:val="superscript"/>
              </w:rPr>
              <w:t>(4)(5)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RSU Grant for All Non-Employee Directors</w:t>
            </w:r>
            <w:r>
              <w:rPr>
                <w:rFonts w:ascii="Times New Roman" w:cs="Times New Roman" w:eastAsia="Times New Roman" w:hAnsi="Times New Roman"/>
                <w:sz w:val="29"/>
                <w:szCs w:val="29"/>
                <w:b w:val="1"/>
                <w:bCs w:val="1"/>
                <w:color w:val="auto"/>
                <w:vertAlign w:val="superscript"/>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277"/>
        </w:trPr>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 Additional Cash Retainer</w:t>
            </w: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Audit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Compensation Committee Chairperson </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Chairperson of the Board (if a Non-Employee Director)</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337"/>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Lead Independent Director</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2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Meeting Fees for each Director</w:t>
            </w:r>
            <w:r>
              <w:rPr>
                <w:rFonts w:ascii="Times New Roman" w:cs="Times New Roman" w:eastAsia="Times New Roman" w:hAnsi="Times New Roman"/>
                <w:sz w:val="29"/>
                <w:szCs w:val="29"/>
                <w:color w:val="auto"/>
                <w:vertAlign w:val="superscript"/>
              </w:rPr>
              <w:t>(7)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-3480435</wp:posOffset>
            </wp:positionV>
            <wp:extent cx="1714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67945</wp:posOffset>
            </wp:positionV>
            <wp:extent cx="8229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31" w:lineRule="exact"/>
        <w:rPr>
          <w:sz w:val="20"/>
          <w:szCs w:val="20"/>
          <w:color w:val="auto"/>
        </w:rPr>
      </w:pPr>
    </w:p>
    <w:p>
      <w:pPr>
        <w:ind w:left="640" w:right="299" w:hanging="348"/>
        <w:spacing w:after="0" w:line="250"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upon payment and paid in arrears on the last business day of each fiscal quarter in which the Non-Employee Director’s service occurred.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77"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41"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11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4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vMerge w:val="continue"/>
          </w:tcPr>
          <w:p>
            <w:pPr>
              <w:spacing w:after="0"/>
              <w:rPr>
                <w:sz w:val="12"/>
                <w:szCs w:val="12"/>
                <w:color w:val="auto"/>
              </w:rPr>
            </w:pPr>
          </w:p>
        </w:tc>
        <w:tc>
          <w:tcPr>
            <w:tcW w:w="6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(1)(2)</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11"/>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600,364</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35,297</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700,661</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516,614</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37,768</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30,905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68,673</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183,000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26,775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710,138</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27,073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647,436</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37,964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323,328</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33,684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552,664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-1679575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-1679575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-1679575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-1679575</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-1679575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-1679575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-1679575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299" w:hanging="348"/>
        <w:spacing w:after="0" w:line="261" w:lineRule="auto"/>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shows, for each named individual, the aggregate shares under stock awards and the aggregate shares underlying option awards held by that individual as of December 31, 2023.</w:t>
      </w:r>
    </w:p>
    <w:p>
      <w:pPr>
        <w:jc w:val="both"/>
        <w:ind w:left="640" w:right="299" w:hanging="348"/>
        <w:spacing w:after="0" w:line="233" w:lineRule="auto"/>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consolidated financial statements included in our Annual Report on Form 10-K.</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and forfeited $187,864 of stock awards on August 9,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50" w:lineRule="auto"/>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payments made to non-employee directors due to unanticipated tax obligations owed in connection with their 2022 service.</w:t>
      </w:r>
    </w:p>
    <w:p>
      <w:pPr>
        <w:spacing w:after="0" w:line="183"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Stock</w:t>
            </w:r>
          </w:p>
        </w:tc>
        <w:tc>
          <w:tcPr>
            <w:tcW w:w="0" w:type="dxa"/>
            <w:vAlign w:val="bottom"/>
          </w:tcPr>
          <w:p>
            <w:pPr>
              <w:spacing w:after="0"/>
              <w:rPr>
                <w:sz w:val="1"/>
                <w:szCs w:val="1"/>
                <w:color w:val="auto"/>
              </w:rPr>
            </w:pPr>
          </w:p>
        </w:tc>
      </w:tr>
      <w:tr>
        <w:trPr>
          <w:trHeight w:val="149"/>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Outstanding as</w:t>
            </w:r>
          </w:p>
        </w:tc>
        <w:tc>
          <w:tcPr>
            <w:tcW w:w="0" w:type="dxa"/>
            <w:vAlign w:val="bottom"/>
          </w:tcPr>
          <w:p>
            <w:pPr>
              <w:spacing w:after="0"/>
              <w:rPr>
                <w:sz w:val="1"/>
                <w:szCs w:val="1"/>
                <w:color w:val="auto"/>
              </w:rPr>
            </w:pPr>
          </w:p>
        </w:tc>
      </w:tr>
      <w:tr>
        <w:trPr>
          <w:trHeight w:val="190"/>
        </w:trPr>
        <w:tc>
          <w:tcPr>
            <w:tcW w:w="696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December 31, 2023</w:t>
            </w:r>
          </w:p>
        </w:tc>
        <w:tc>
          <w:tcPr>
            <w:tcW w:w="0" w:type="dxa"/>
            <w:vAlign w:val="bottom"/>
          </w:tcPr>
          <w:p>
            <w:pPr>
              <w:spacing w:after="0"/>
              <w:rPr>
                <w:sz w:val="1"/>
                <w:szCs w:val="1"/>
                <w:color w:val="auto"/>
              </w:rPr>
            </w:pPr>
          </w:p>
        </w:tc>
      </w:tr>
      <w:tr>
        <w:trPr>
          <w:trHeight w:val="50"/>
        </w:trPr>
        <w:tc>
          <w:tcPr>
            <w:tcW w:w="67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46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548,582</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432,743</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(2)</w:t>
            </w:r>
          </w:p>
        </w:tc>
        <w:tc>
          <w:tcPr>
            <w:tcW w:w="14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46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236,082</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(1)</w:t>
            </w:r>
          </w:p>
        </w:tc>
        <w:tc>
          <w:tcPr>
            <w:tcW w:w="14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392,332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-1679575</wp:posOffset>
            </wp:positionV>
            <wp:extent cx="1631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Mr. Hartfield resigned as a member of the Board on August 9, 2023.</w:t>
      </w:r>
    </w:p>
    <w:p>
      <w:pPr>
        <w:spacing w:after="0" w:line="4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(2)</w:t>
        <w:tab/>
        <w:t>Mr. Francis was a Non-Employee Director until he was named an executive officer on April 26, 2023.</w:t>
      </w: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Operating Company Agreement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entitled “Security Ownership of Certain Beneficial Owners and Management.”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the Units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WMH LLC and the Unit holders, including Messrs. Camire, Grazier, Francis, Hartfield and Ghost Media Group, LLC, as described in the section entitled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the Holder Representative and the Class A Unit holders, including Mr. Francis, Mr. Hartfield and Ghost Media Group, LLC, as described in the section entitled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w:t>
      </w:r>
    </w:p>
    <w:p>
      <w:pPr>
        <w:spacing w:after="0" w:line="3" w:lineRule="exact"/>
        <w:rPr>
          <w:sz w:val="20"/>
          <w:szCs w:val="20"/>
          <w:color w:val="auto"/>
        </w:rPr>
      </w:pPr>
    </w:p>
    <w:p>
      <w:pPr>
        <w:jc w:val="both"/>
        <w:ind w:left="300" w:right="299" w:hanging="8"/>
        <w:spacing w:after="0" w:line="253" w:lineRule="auto"/>
        <w:tabs>
          <w:tab w:leader="none" w:pos="5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Concurrently with the Closing, Silver Spike Sponsor, LLC (“Silver Spike Sponsor”) and certain Unit holders, including Messrs. Camire, Grazier, Francis, Silver Spike Sponsor, LLC and Ghost Media Group, LLC, as described in the section entitled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 Related Transactions and Agreements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Silver Spike Sponsor purchased an aggregate of 7,000,000 Private Placement Warrants for a purchase price of $1.00 per warrant in a private placement simultaneously with the closing of Silver Spike’s IPO. Each Private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disclosed in the Company’s Form 10-K.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Legacy WMH Transactions and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Other Enterprises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certain of our executive officers. For a description of equity awards granted to our Named Executive Officers, see the section entitled “Executive Compensation.”</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entered into indemnification agreements with substantially all of our directors and executive officers, other than our Interim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our Audit Committee takes into account the relevant available facts and circumstances, which may include, but are not limited to:</w:t>
      </w:r>
    </w:p>
    <w:p>
      <w:pPr>
        <w:spacing w:after="0" w:line="54" w:lineRule="exact"/>
        <w:rPr>
          <w:sz w:val="20"/>
          <w:szCs w:val="20"/>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cost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July 22, 2024,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our Class A Common Stock and Class V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152,434,611 shares of our Class A Common Stock and Class V Common Stock issued and outstanding as of July 22, 2024 and do not take into account the issuance of any shares of Class A Common Stock upon (i) the exercise of 19,499,973 Warrants to purchase an aggregate of 19,499,973 shares of Class A Common Stock or (ii) the exchange of 14,679,507 Class P Units for up to 14,679,507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Class A</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Class V</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20" w:type="dxa"/>
            <w:vAlign w:val="bottom"/>
            <w:vMerge w:val="restart"/>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Power</w:t>
            </w:r>
            <w:r>
              <w:rPr>
                <w:rFonts w:ascii="Times New Roman" w:cs="Times New Roman" w:eastAsia="Times New Roman" w:hAnsi="Times New Roman"/>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311"/>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Aquila</w:t>
            </w:r>
            <w:r>
              <w:rPr>
                <w:rFonts w:ascii="Times New Roman" w:cs="Times New Roman" w:eastAsia="Times New Roman" w:hAnsi="Times New Roman"/>
                <w:sz w:val="29"/>
                <w:szCs w:val="29"/>
                <w:color w:val="auto"/>
                <w:vertAlign w:val="superscript"/>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5,297,761</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65"/>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4,792,347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258,221</w:t>
            </w:r>
          </w:p>
        </w:tc>
        <w:tc>
          <w:tcPr>
            <w:tcW w:w="1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Fiona Tan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153,063</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182,691</w:t>
            </w:r>
          </w:p>
        </w:tc>
        <w:tc>
          <w:tcPr>
            <w:tcW w:w="1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223,528</w:t>
            </w:r>
          </w:p>
        </w:tc>
        <w:tc>
          <w:tcPr>
            <w:tcW w:w="1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259,738</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192,785</w:t>
            </w:r>
          </w:p>
        </w:tc>
        <w:tc>
          <w:tcPr>
            <w:tcW w:w="1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the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3880" w:type="dxa"/>
            <w:vAlign w:val="bottom"/>
            <w:gridSpan w:val="2"/>
          </w:tcPr>
          <w:p>
            <w:pPr>
              <w:ind w:left="180"/>
              <w:spacing w:after="0" w:line="328" w:lineRule="exact"/>
              <w:rPr>
                <w:sz w:val="20"/>
                <w:szCs w:val="20"/>
                <w:color w:val="auto"/>
              </w:rPr>
            </w:pPr>
            <w:r>
              <w:rPr>
                <w:rFonts w:ascii="Times New Roman" w:cs="Times New Roman" w:eastAsia="Times New Roman" w:hAnsi="Times New Roman"/>
                <w:sz w:val="18"/>
                <w:szCs w:val="18"/>
                <w:b w:val="1"/>
                <w:bCs w:val="1"/>
                <w:color w:val="auto"/>
              </w:rPr>
              <w:t>Company as a Group (10 Individuals)</w:t>
            </w:r>
            <w:r>
              <w:rPr>
                <w:rFonts w:ascii="Times New Roman" w:cs="Times New Roman" w:eastAsia="Times New Roman" w:hAnsi="Times New Roman"/>
                <w:sz w:val="29"/>
                <w:szCs w:val="29"/>
                <w:b w:val="1"/>
                <w:bCs w:val="1"/>
                <w:color w:val="auto"/>
                <w:vertAlign w:val="superscript"/>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11,542,827</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Ghost Media Group, LLC</w:t>
            </w:r>
            <w:r>
              <w:rPr>
                <w:rFonts w:ascii="Times New Roman" w:cs="Times New Roman" w:eastAsia="Times New Roman" w:hAnsi="Times New Roman"/>
                <w:sz w:val="29"/>
                <w:szCs w:val="29"/>
                <w:color w:val="auto"/>
                <w:vertAlign w:val="superscript"/>
              </w:rPr>
              <w:t>(6)(7)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1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6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6,016,658</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65"/>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Beals</w:t>
            </w:r>
            <w:r>
              <w:rPr>
                <w:rFonts w:ascii="Times New Roman" w:cs="Times New Roman" w:eastAsia="Times New Roman" w:hAnsi="Times New Roman"/>
                <w:sz w:val="29"/>
                <w:szCs w:val="29"/>
                <w:color w:val="auto"/>
                <w:vertAlign w:val="superscript"/>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428,773</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6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29,318,217</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-3830955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-3830955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-3830955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-3830955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-3830955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299" w:hanging="348"/>
        <w:spacing w:after="0" w:line="250"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183"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jc w:val="both"/>
        <w:ind w:left="640" w:right="299"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includes 1.547.761 shares of Class A Common Stock that Mr. Aquila personally holds. The business address of the reporting person is 2126 Hamilton Road Suite 260, Argyle, TX 76226.</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5"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4"/>
          <w:szCs w:val="14"/>
          <w:color w:val="auto"/>
        </w:rPr>
        <w:t>(8)</w:t>
        <w:tab/>
        <w:t>Class A Common shares consist of (i) 11,402,585 shares held of record by our current executive officers and directors, and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(ii) 140,242 shares issuable upon the vesting of RSUs within 60 days of July 22, 2024.</w:t>
      </w:r>
    </w:p>
    <w:p>
      <w:pPr>
        <w:spacing w:after="0" w:line="25" w:lineRule="exact"/>
        <w:rPr>
          <w:sz w:val="20"/>
          <w:szCs w:val="20"/>
          <w:color w:val="auto"/>
        </w:rPr>
      </w:pPr>
    </w:p>
    <w:p>
      <w:pPr>
        <w:ind w:left="640" w:right="29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Morgan Stanley on February 9, 2024, includes 6,016,658 shares of Class A Common stock. The business address of the reporting person is 1585 Broadway, New York, NY 10036.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acquired 1,938,798 shares of Class A Common Stock (the “Shares”), consisting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1,244,258  shares  of  Class A  Common  Stock  issued  pursuant  to  the  Asset  Purchase  Agreement  and</w:t>
      </w:r>
    </w:p>
    <w:p>
      <w:pPr>
        <w:spacing w:after="0" w:line="9" w:lineRule="exact"/>
        <w:rPr>
          <w:sz w:val="20"/>
          <w:szCs w:val="20"/>
          <w:color w:val="auto"/>
        </w:rPr>
      </w:pPr>
    </w:p>
    <w:p>
      <w:pPr>
        <w:jc w:val="both"/>
        <w:ind w:left="300" w:right="299" w:hanging="8"/>
        <w:spacing w:after="0" w:line="253" w:lineRule="auto"/>
        <w:tabs>
          <w:tab w:leader="none" w:pos="5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Class A Common Stock were issued to the Selling Securityholders in reliance on the exemption from registration in Section 4(a)(2) under the Securities Act.</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owned beneficially after the offering assumes the sale of all of the Shares offered and no other purchases or sales of our Class A Common Stock. The Selling Securityholders may offer and sell some, all or none of their shares of Class A Common Stock,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77"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ClassA</w:t>
            </w:r>
          </w:p>
        </w:tc>
        <w:tc>
          <w:tcPr>
            <w:tcW w:w="12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92"/>
        </w:trPr>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8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48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&amp; Ellen Astrove</w:t>
            </w:r>
            <w:r>
              <w:rPr>
                <w:rFonts w:ascii="Times New Roman" w:cs="Times New Roman" w:eastAsia="Times New Roman" w:hAnsi="Times New Roman"/>
                <w:sz w:val="29"/>
                <w:szCs w:val="29"/>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Ashwin Surajbali</w:t>
            </w:r>
            <w:r>
              <w:rPr>
                <w:rFonts w:ascii="Times New Roman" w:cs="Times New Roman" w:eastAsia="Times New Roman" w:hAnsi="Times New Roman"/>
                <w:sz w:val="29"/>
                <w:szCs w:val="29"/>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Bradley Nathan Albert</w:t>
            </w:r>
            <w:r>
              <w:rPr>
                <w:rFonts w:ascii="Times New Roman" w:cs="Times New Roman" w:eastAsia="Times New Roman" w:hAnsi="Times New Roman"/>
                <w:sz w:val="29"/>
                <w:szCs w:val="29"/>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Roskind</w:t>
            </w:r>
            <w:r>
              <w:rPr>
                <w:rFonts w:ascii="Times New Roman" w:cs="Times New Roman" w:eastAsia="Times New Roman" w:hAnsi="Times New Roman"/>
                <w:sz w:val="29"/>
                <w:szCs w:val="29"/>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DJK Morris Investments, LLC</w:t>
            </w:r>
            <w:r>
              <w:rPr>
                <w:rFonts w:ascii="Times New Roman" w:cs="Times New Roman" w:eastAsia="Times New Roman" w:hAnsi="Times New Roman"/>
                <w:sz w:val="29"/>
                <w:szCs w:val="29"/>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Farzin Arsanjani</w:t>
            </w:r>
            <w:r>
              <w:rPr>
                <w:rFonts w:ascii="Times New Roman" w:cs="Times New Roman" w:eastAsia="Times New Roman" w:hAnsi="Times New Roman"/>
                <w:sz w:val="29"/>
                <w:szCs w:val="29"/>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Cohen</w:t>
            </w:r>
            <w:r>
              <w:rPr>
                <w:rFonts w:ascii="Times New Roman" w:cs="Times New Roman" w:eastAsia="Times New Roman" w:hAnsi="Times New Roman"/>
                <w:sz w:val="29"/>
                <w:szCs w:val="29"/>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Goldman-Brisman</w:t>
            </w:r>
            <w:r>
              <w:rPr>
                <w:rFonts w:ascii="Times New Roman" w:cs="Times New Roman" w:eastAsia="Times New Roman" w:hAnsi="Times New Roman"/>
                <w:sz w:val="29"/>
                <w:szCs w:val="29"/>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LCP Group, L.P.</w:t>
            </w:r>
            <w:r>
              <w:rPr>
                <w:rFonts w:ascii="Times New Roman" w:cs="Times New Roman" w:eastAsia="Times New Roman" w:hAnsi="Times New Roman"/>
                <w:sz w:val="29"/>
                <w:szCs w:val="29"/>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LeRoy Robinson</w:t>
            </w:r>
            <w:r>
              <w:rPr>
                <w:rFonts w:ascii="Times New Roman" w:cs="Times New Roman" w:eastAsia="Times New Roman" w:hAnsi="Times New Roman"/>
                <w:sz w:val="29"/>
                <w:szCs w:val="29"/>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4"/>
                <w:szCs w:val="24"/>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M&amp;S Investment Group, LLC</w:t>
            </w:r>
            <w:r>
              <w:rPr>
                <w:rFonts w:ascii="Times New Roman" w:cs="Times New Roman" w:eastAsia="Times New Roman" w:hAnsi="Times New Roman"/>
                <w:sz w:val="29"/>
                <w:szCs w:val="29"/>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MembersRSVP, LLC</w:t>
            </w:r>
            <w:r>
              <w:rPr>
                <w:rFonts w:ascii="Times New Roman" w:cs="Times New Roman" w:eastAsia="Times New Roman" w:hAnsi="Times New Roman"/>
                <w:sz w:val="29"/>
                <w:szCs w:val="29"/>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1,244,258</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1,244,258</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Schlaefer</w:t>
            </w:r>
            <w:r>
              <w:rPr>
                <w:rFonts w:ascii="Times New Roman" w:cs="Times New Roman" w:eastAsia="Times New Roman" w:hAnsi="Times New Roman"/>
                <w:sz w:val="29"/>
                <w:szCs w:val="29"/>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3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Yael Morris</w:t>
            </w:r>
            <w:r>
              <w:rPr>
                <w:rFonts w:ascii="Times New Roman" w:cs="Times New Roman" w:eastAsia="Times New Roman" w:hAnsi="Times New Roman"/>
                <w:sz w:val="29"/>
                <w:szCs w:val="29"/>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-3300730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-3300730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-3300730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-3300730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-3300730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Andrew Astrove and Ellen Astrove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Ashwin Surajbali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Bradley Nathan Albert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Diane Roskind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E. Morris is deemed to have power to vote or dispose of the Registrable Securities. Keith E. Morris is our Vice President.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Farzin Arsanjani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Cohen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Goldman-Brisman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Robert Roskind, in his capacity as Founder and Chairman of LCP Group, L.P., is deemed to have investment discretion and voting power over the Registrable Securities held by LCP Group, L.P.</w:t>
      </w: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LeRoy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4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Schlaefer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0" w:lineRule="auto"/>
        <w:tabs>
          <w:tab w:leader="none" w:pos="5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July 22, 2024, there were (1) 96,948,250 shares of Class A Common Stock,</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55,486,361 shares of Class V Common Stock and no shares of preferred stock outstanding.</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Class P Units or Class A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319" w:hanging="8"/>
        <w:spacing w:after="0" w:line="250" w:lineRule="auto"/>
        <w:tabs>
          <w:tab w:leader="none" w:pos="5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w:t>
      </w:r>
    </w:p>
    <w:p>
      <w:pPr>
        <w:jc w:val="both"/>
        <w:ind w:left="300" w:right="299" w:hanging="8"/>
        <w:spacing w:after="0" w:line="251" w:lineRule="auto"/>
        <w:tabs>
          <w:tab w:leader="none" w:pos="5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July 22, 2024, there were 12,499,973 Public Warrants outstanding.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July 22, 2024, there were 7,000,000 Private Placement Warrants outstanding.</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32"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w:t>
      </w:r>
    </w:p>
    <w:p>
      <w:pPr>
        <w:spacing w:after="0" w:line="2" w:lineRule="exact"/>
        <w:rPr>
          <w:sz w:val="20"/>
          <w:szCs w:val="20"/>
          <w:color w:val="auto"/>
        </w:rPr>
      </w:pPr>
    </w:p>
    <w:p>
      <w:pPr>
        <w:jc w:val="both"/>
        <w:ind w:left="300" w:right="299"/>
        <w:spacing w:after="0" w:line="205" w:lineRule="auto"/>
        <w:rPr>
          <w:sz w:val="20"/>
          <w:szCs w:val="20"/>
          <w:color w:val="auto"/>
        </w:rPr>
      </w:pPr>
      <w:r>
        <w:rPr>
          <w:rFonts w:ascii="Times New Roman" w:cs="Times New Roman" w:eastAsia="Times New Roman" w:hAnsi="Times New Roman"/>
          <w:sz w:val="17"/>
          <w:szCs w:val="17"/>
          <w:color w:val="auto"/>
        </w:rPr>
        <w:t>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w:t>
      </w:r>
    </w:p>
    <w:p>
      <w:pPr>
        <w:spacing w:after="0" w:line="2"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to such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nor a partnership or an entity or arrangement treated as a partnership for U.S. federal income tax purposes.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below. In addition, if we determine that we are likely to be classified as a “United States real property holding corporation” (see the section entitled “Tax Considerations Applicable to Non-U.S. Holders—Gain on Sale, Exchange or Other Taxable Disposition of Class A Common Stock” below), we will withhold 15% of any distribution that exceeds our current and accumulated earnings and profits.</w:t>
      </w:r>
    </w:p>
    <w:p>
      <w:pPr>
        <w:spacing w:after="0" w:line="8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may sell their securities by one or more of, or a combination of, the following methods:</w:t>
      </w:r>
    </w:p>
    <w:p>
      <w:pPr>
        <w:spacing w:after="0" w:line="117" w:lineRule="exact"/>
        <w:rPr>
          <w:sz w:val="20"/>
          <w:szCs w:val="20"/>
          <w:color w:val="auto"/>
        </w:rPr>
      </w:pPr>
    </w:p>
    <w:p>
      <w:pPr>
        <w:ind w:left="1000" w:right="31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WM Technology, Inc. as of and for the year ended December 31, 2023 included in this prospectus have been audited by Moss Adams LLP, an independent registered public accounting firm, as stated in their report (which report expresses an unqualified opinion and includes an explanatory paragraph relating to a restatement of previously reported 2023 quarterly revenue and credit losses), which is included herein. Such consolidated financial statements are included in reliance upon the report of such firm given their authority as experts in accounting and auditing.</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2022 and for the year ended December 31, 2022 have been audited by Baker Tilly US, LLP (“Baker Tilly US, LLP”), an independent registered public accounting firm, given on the authority of said firm as experts in auditing and accounting.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06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F-2</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and 2023</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F-3</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14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Months Ended March 31, 2024 and 2023</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F-4</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 2023</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F-5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14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F-6</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760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(Moss Adams LLP, Irvine, California, Auditor</w:t>
            </w:r>
          </w:p>
        </w:tc>
        <w:tc>
          <w:tcPr>
            <w:tcW w:w="46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ID: (PCAOB ID 659))</w:t>
            </w:r>
          </w:p>
        </w:tc>
        <w:tc>
          <w:tcPr>
            <w:tcW w:w="360" w:type="dxa"/>
            <w:vAlign w:val="bottom"/>
            <w:tcBorders>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F-28</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(Baker Tilly, LLP, Irvine, California, Auditor</w:t>
            </w:r>
          </w:p>
        </w:tc>
        <w:tc>
          <w:tcPr>
            <w:tcW w:w="56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ID: (PCAOB ID 23)</w:t>
            </w:r>
          </w:p>
        </w:tc>
        <w:tc>
          <w:tcPr>
            <w:tcW w:w="1660" w:type="dxa"/>
            <w:vAlign w:val="bottom"/>
            <w:gridSpan w:val="3"/>
          </w:tcPr>
          <w:p>
            <w:pPr>
              <w:jc w:val="center"/>
              <w:ind w:right="1320"/>
              <w:spacing w:after="0" w:line="196" w:lineRule="exact"/>
              <w:rPr>
                <w:sz w:val="20"/>
                <w:szCs w:val="20"/>
                <w:color w:val="auto"/>
              </w:rPr>
            </w:pPr>
            <w:r>
              <w:rPr>
                <w:rFonts w:ascii="Times New Roman" w:cs="Times New Roman" w:eastAsia="Times New Roman" w:hAnsi="Times New Roman"/>
                <w:sz w:val="18"/>
                <w:szCs w:val="18"/>
                <w:color w:val="0000EE"/>
                <w:w w:val="99"/>
              </w:rPr>
              <w:t>F-31</w:t>
            </w: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Income</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F-33</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Statements of Equity</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F-35</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Notes to Audited Consolidated Financial Statements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-3779520</wp:posOffset>
            </wp:positionV>
            <wp:extent cx="93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2228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Current assets</w:t>
      </w:r>
    </w:p>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$ 35,717</w:t>
            </w:r>
          </w:p>
        </w:tc>
        <w:tc>
          <w:tcPr>
            <w:tcW w:w="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4"/>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50,261</w:t>
            </w:r>
          </w:p>
        </w:tc>
        <w:tc>
          <w:tcPr>
            <w:tcW w:w="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w:t>
            </w:r>
          </w:p>
        </w:tc>
        <w:tc>
          <w:tcPr>
            <w:tcW w:w="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165,849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61"/>
        </w:trPr>
        <w:tc>
          <w:tcPr>
            <w:tcW w:w="6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r>
      <w:tr>
        <w:trPr>
          <w:trHeight w:val="318"/>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$ 16,553</w:t>
            </w:r>
          </w:p>
        </w:tc>
        <w:tc>
          <w:tcPr>
            <w:tcW w:w="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5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r>
      <w:tr>
        <w:trPr>
          <w:trHeight w:val="318"/>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w:t>
            </w:r>
          </w:p>
        </w:tc>
        <w:tc>
          <w:tcPr>
            <w:tcW w:w="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4"/>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59,021</w:t>
            </w:r>
          </w:p>
        </w:tc>
        <w:tc>
          <w:tcPr>
            <w:tcW w:w="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2"/>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68"/>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March 31, 2024 and December 31, 2023</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95,051,735 shares issued and outstanding at March 31, 2024 and 94,383,053</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2"/>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March 31, 2024 and December 31,</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68"/>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84,056</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w:t>
            </w: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(64,518)</w:t>
            </w: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4"/>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86,036</w:t>
            </w:r>
          </w:p>
        </w:tc>
        <w:tc>
          <w:tcPr>
            <w:tcW w:w="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106,828</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61"/>
        </w:trPr>
        <w:tc>
          <w:tcPr>
            <w:tcW w:w="6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r>
      <w:tr>
        <w:trPr>
          <w:trHeight w:val="27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165,849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47"/>
        </w:trPr>
        <w:tc>
          <w:tcPr>
            <w:tcW w:w="6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028"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2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95"/>
        </w:trPr>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1"/>
        </w:trPr>
        <w:tc>
          <w:tcPr>
            <w:tcW w:w="62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44,389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46,416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below)</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2,302</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12,060</w:t>
            </w: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9,229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10,934</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20,909</w:t>
            </w: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2,937</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3,167</w:t>
            </w:r>
          </w:p>
        </w:tc>
        <w:tc>
          <w:tcPr>
            <w:tcW w:w="20" w:type="dxa"/>
            <w:vAlign w:val="bottom"/>
            <w:shd w:val="clear" w:color="auto" w:fill="CCEEFF"/>
          </w:tcPr>
          <w:p>
            <w:pPr>
              <w:spacing w:after="0"/>
              <w:rPr>
                <w:sz w:val="22"/>
                <w:szCs w:val="22"/>
                <w:color w:val="auto"/>
              </w:rPr>
            </w:pP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50,564</w:t>
            </w:r>
          </w:p>
        </w:tc>
        <w:tc>
          <w:tcPr>
            <w:tcW w:w="2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3,761</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62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8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shd w:val="clear" w:color="auto" w:fill="CCEEFF"/>
          </w:tcPr>
          <w:p>
            <w:pPr>
              <w:spacing w:after="0"/>
              <w:rPr>
                <w:sz w:val="22"/>
                <w:szCs w:val="22"/>
                <w:color w:val="auto"/>
              </w:rPr>
            </w:pP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 w:type="dxa"/>
            <w:vAlign w:val="bottom"/>
          </w:tcPr>
          <w:p>
            <w:pPr>
              <w:spacing w:after="0"/>
              <w:rPr>
                <w:sz w:val="23"/>
                <w:szCs w:val="23"/>
                <w:color w:val="auto"/>
              </w:rPr>
            </w:pPr>
          </w:p>
        </w:tc>
      </w:tr>
      <w:tr>
        <w:trPr>
          <w:trHeight w:val="61"/>
        </w:trPr>
        <w:tc>
          <w:tcPr>
            <w:tcW w:w="6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38"/>
        </w:trPr>
        <w:tc>
          <w:tcPr>
            <w:tcW w:w="6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6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94,704,164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92,323,757</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96,023,352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92,323,757</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-5554345</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-5554345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319" w:hanging="348"/>
        <w:spacing w:after="0" w:line="24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60" w:type="dxa"/>
            <w:vAlign w:val="bottom"/>
            <w:gridSpan w:val="2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9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9"/>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8"/>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7"/>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0" w:type="dxa"/>
            <w:vAlign w:val="bottom"/>
            <w:gridSpan w:val="4"/>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w:t>
            </w:r>
          </w:p>
        </w:tc>
        <w:tc>
          <w:tcPr>
            <w:tcW w:w="720" w:type="dxa"/>
            <w:vAlign w:val="bottom"/>
            <w:gridSpan w:val="8"/>
            <w:vMerge w:val="continue"/>
          </w:tcPr>
          <w:p>
            <w:pPr>
              <w:spacing w:after="0"/>
              <w:rPr>
                <w:sz w:val="3"/>
                <w:szCs w:val="3"/>
                <w:color w:val="auto"/>
              </w:rPr>
            </w:pPr>
          </w:p>
        </w:tc>
        <w:tc>
          <w:tcPr>
            <w:tcW w:w="8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3"/>
                <w:szCs w:val="3"/>
                <w:color w:val="auto"/>
              </w:rPr>
            </w:pPr>
          </w:p>
        </w:tc>
        <w:tc>
          <w:tcPr>
            <w:tcW w:w="100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50"/>
        </w:trPr>
        <w:tc>
          <w:tcPr>
            <w:tcW w:w="19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7"/>
              </w:rPr>
              <w:t>94,383,053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$80,884</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$(64,518)</w:t>
            </w: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$16,380</w:t>
            </w:r>
          </w:p>
        </w:tc>
        <w:tc>
          <w:tcPr>
            <w:tcW w:w="1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$86,771</w:t>
            </w: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$103,151</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3,115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units, net of shares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withheld for taxes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w:t>
            </w:r>
          </w:p>
        </w:tc>
        <w:tc>
          <w:tcPr>
            <w:tcW w:w="2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7"/>
          </w:tcPr>
          <w:p>
            <w:pPr>
              <w:jc w:val="right"/>
              <w:ind w:right="20"/>
              <w:spacing w:after="0"/>
              <w:rPr>
                <w:sz w:val="20"/>
                <w:szCs w:val="20"/>
                <w:color w:val="auto"/>
              </w:rPr>
            </w:pPr>
            <w:r>
              <w:rPr>
                <w:rFonts w:ascii="Times New Roman" w:cs="Times New Roman" w:eastAsia="Times New Roman" w:hAnsi="Times New Roman"/>
                <w:sz w:val="16"/>
                <w:szCs w:val="16"/>
                <w:color w:val="auto"/>
              </w:rPr>
              <w:t>(1,455)</w:t>
            </w:r>
          </w:p>
        </w:tc>
        <w:tc>
          <w:tcPr>
            <w:tcW w:w="20" w:type="dxa"/>
            <w:vAlign w:val="bottom"/>
          </w:tcPr>
          <w:p>
            <w:pPr>
              <w:spacing w:after="0"/>
              <w:rPr>
                <w:sz w:val="21"/>
                <w:szCs w:val="21"/>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P Unit exchange</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7"/>
              </w:rPr>
              <w:t>95,051,735</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w:t>
            </w:r>
          </w:p>
        </w:tc>
        <w:tc>
          <w:tcPr>
            <w:tcW w:w="8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84,056</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(63,278)</w:t>
            </w: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20,792</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86,036</w:t>
            </w:r>
          </w:p>
        </w:tc>
        <w:tc>
          <w:tcPr>
            <w:tcW w:w="20" w:type="dxa"/>
            <w:vAlign w:val="bottom"/>
            <w:shd w:val="clear" w:color="auto" w:fill="CCEEFF"/>
          </w:tcPr>
          <w:p>
            <w:pPr>
              <w:spacing w:after="0"/>
              <w:rPr>
                <w:sz w:val="22"/>
                <w:szCs w:val="22"/>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106,828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82"/>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gridSpan w:val="2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9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13"/>
            <w:vMerge w:val="restart"/>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8"/>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0" w:type="dxa"/>
            <w:vAlign w:val="bottom"/>
            <w:gridSpan w:val="4"/>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gridSpan w:val="13"/>
            <w:vMerge w:val="continue"/>
          </w:tcPr>
          <w:p>
            <w:pPr>
              <w:spacing w:after="0"/>
              <w:rPr>
                <w:sz w:val="3"/>
                <w:szCs w:val="3"/>
                <w:color w:val="auto"/>
              </w:rPr>
            </w:pPr>
          </w:p>
        </w:tc>
        <w:tc>
          <w:tcPr>
            <w:tcW w:w="1060" w:type="dxa"/>
            <w:vAlign w:val="bottom"/>
            <w:gridSpan w:val="8"/>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line="20" w:lineRule="exact"/>
              <w:rPr>
                <w:sz w:val="1"/>
                <w:szCs w:val="1"/>
                <w:color w:val="auto"/>
              </w:rPr>
            </w:pPr>
          </w:p>
        </w:tc>
      </w:tr>
      <w:tr>
        <w:trPr>
          <w:trHeight w:val="148"/>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18"/>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Par   Paid-in   Retained</w:t>
            </w:r>
          </w:p>
        </w:tc>
        <w:tc>
          <w:tcPr>
            <w:tcW w:w="60" w:type="dxa"/>
            <w:vAlign w:val="bottom"/>
          </w:tcPr>
          <w:p>
            <w:pPr>
              <w:spacing w:after="0"/>
              <w:rPr>
                <w:sz w:val="12"/>
                <w:szCs w:val="12"/>
                <w:color w:val="auto"/>
              </w:rPr>
            </w:pPr>
          </w:p>
        </w:tc>
        <w:tc>
          <w:tcPr>
            <w:tcW w:w="100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70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50"/>
        </w:trPr>
        <w:tc>
          <w:tcPr>
            <w:tcW w:w="19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92,062,468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$ 5</w:t>
            </w: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7"/>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$67,986</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$(54,620)</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$101,397</w:t>
            </w: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$114,777</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color w:val="auto"/>
              </w:rPr>
              <w:t>285</w:t>
            </w:r>
          </w:p>
        </w:tc>
        <w:tc>
          <w:tcPr>
            <w:tcW w:w="2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units, net of shares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withheld for taxes</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475,510</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w:t>
            </w:r>
          </w:p>
        </w:tc>
        <w:tc>
          <w:tcPr>
            <w:tcW w:w="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P Unit exchange</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35,488</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2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92,573,466</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w:t>
            </w:r>
          </w:p>
        </w:tc>
        <w:tc>
          <w:tcPr>
            <w:tcW w:w="80" w:type="dxa"/>
            <w:vAlign w:val="bottom"/>
            <w:shd w:val="clear" w:color="auto" w:fill="CCEEFF"/>
          </w:tcPr>
          <w:p>
            <w:pPr>
              <w:spacing w:after="0"/>
              <w:rPr>
                <w:sz w:val="22"/>
                <w:szCs w:val="22"/>
                <w:color w:val="auto"/>
              </w:rPr>
            </w:pP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40" w:type="dxa"/>
            <w:vAlign w:val="bottom"/>
            <w:shd w:val="clear" w:color="auto" w:fill="CCEEFF"/>
          </w:tcPr>
          <w:p>
            <w:pPr>
              <w:spacing w:after="0"/>
              <w:rPr>
                <w:sz w:val="22"/>
                <w:szCs w:val="22"/>
                <w:color w:val="auto"/>
              </w:rPr>
            </w:pPr>
          </w:p>
        </w:tc>
        <w:tc>
          <w:tcPr>
            <w:tcW w:w="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$ 5</w:t>
            </w:r>
          </w:p>
        </w:tc>
        <w:tc>
          <w:tcPr>
            <w:tcW w:w="60" w:type="dxa"/>
            <w:vAlign w:val="bottom"/>
            <w:shd w:val="clear" w:color="auto" w:fill="CCEEFF"/>
          </w:tcPr>
          <w:p>
            <w:pPr>
              <w:spacing w:after="0"/>
              <w:rPr>
                <w:sz w:val="22"/>
                <w:szCs w:val="22"/>
                <w:color w:val="auto"/>
              </w:rPr>
            </w:pPr>
          </w:p>
        </w:tc>
        <w:tc>
          <w:tcPr>
            <w:tcW w:w="680" w:type="dxa"/>
            <w:vAlign w:val="bottom"/>
            <w:gridSpan w:val="7"/>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72,444</w:t>
            </w:r>
          </w:p>
        </w:tc>
        <w:tc>
          <w:tcPr>
            <w:tcW w:w="40" w:type="dxa"/>
            <w:vAlign w:val="bottom"/>
            <w:shd w:val="clear" w:color="auto" w:fill="CCEEFF"/>
          </w:tcPr>
          <w:p>
            <w:pPr>
              <w:spacing w:after="0"/>
              <w:rPr>
                <w:sz w:val="22"/>
                <w:szCs w:val="22"/>
                <w:color w:val="auto"/>
              </w:rPr>
            </w:pPr>
          </w:p>
        </w:tc>
        <w:tc>
          <w:tcPr>
            <w:tcW w:w="7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(57,095)</w:t>
            </w:r>
          </w:p>
        </w:tc>
        <w:tc>
          <w:tcPr>
            <w:tcW w:w="8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15,363</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$ 99,876</w:t>
            </w:r>
          </w:p>
        </w:tc>
        <w:tc>
          <w:tcPr>
            <w:tcW w:w="20" w:type="dxa"/>
            <w:vAlign w:val="bottom"/>
            <w:shd w:val="clear" w:color="auto" w:fill="CCEEFF"/>
          </w:tcPr>
          <w:p>
            <w:pPr>
              <w:spacing w:after="0"/>
              <w:rPr>
                <w:sz w:val="22"/>
                <w:szCs w:val="22"/>
                <w:color w:val="auto"/>
              </w:rPr>
            </w:pPr>
          </w:p>
        </w:tc>
        <w:tc>
          <w:tcPr>
            <w:tcW w:w="7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115,239</w:t>
            </w:r>
          </w:p>
        </w:tc>
        <w:tc>
          <w:tcPr>
            <w:tcW w:w="0" w:type="dxa"/>
            <w:vAlign w:val="bottom"/>
          </w:tcPr>
          <w:p>
            <w:pPr>
              <w:spacing w:after="0"/>
              <w:rPr>
                <w:sz w:val="1"/>
                <w:szCs w:val="1"/>
                <w:color w:val="auto"/>
              </w:rPr>
            </w:pPr>
          </w:p>
        </w:tc>
      </w:tr>
      <w:tr>
        <w:trPr>
          <w:trHeight w:val="48"/>
        </w:trPr>
        <w:tc>
          <w:tcPr>
            <w:tcW w:w="1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-4697095</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-4697095</wp:posOffset>
            </wp:positionV>
            <wp:extent cx="342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-4697095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-4697095</wp:posOffset>
            </wp:positionV>
            <wp:extent cx="254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-4697095</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-4697095</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-4697095</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-4697095</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-4697095</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-1927860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-1927860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-1927860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-1927860</wp:posOffset>
            </wp:positionV>
            <wp:extent cx="260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-1927860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-1927860</wp:posOffset>
            </wp:positionV>
            <wp:extent cx="51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-1927860</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-1927860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-1927860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1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195"/>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71"/>
        </w:trPr>
        <w:tc>
          <w:tcPr>
            <w:tcW w:w="63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8"/>
              </w:rPr>
              <w:t>(3,969)</w:t>
            </w: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68"/>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3,923</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(3,661)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(5,130)</w:t>
            </w: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5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(1,729)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(1,489)</w:t>
            </w:r>
          </w:p>
        </w:tc>
        <w:tc>
          <w:tcPr>
            <w:tcW w:w="18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270"/>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r>
      <w:tr>
        <w:trPr>
          <w:trHeight w:val="61"/>
        </w:trPr>
        <w:tc>
          <w:tcPr>
            <w:tcW w:w="6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r>
      <w:tr>
        <w:trPr>
          <w:trHeight w:val="338"/>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5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(4,540)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(3,226)</w:t>
            </w:r>
          </w:p>
        </w:tc>
        <w:tc>
          <w:tcPr>
            <w:tcW w:w="18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270"/>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(4,540)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(3,226)</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61"/>
        </w:trPr>
        <w:tc>
          <w:tcPr>
            <w:tcW w:w="6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r>
      <w:tr>
        <w:trPr>
          <w:trHeight w:val="338"/>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(1,450)</w:t>
            </w: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(1,495)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(1,612)</w:t>
            </w:r>
          </w:p>
        </w:tc>
        <w:tc>
          <w:tcPr>
            <w:tcW w:w="180" w:type="dxa"/>
            <w:vAlign w:val="bottom"/>
          </w:tcPr>
          <w:p>
            <w:pPr>
              <w:spacing w:after="0"/>
              <w:rPr>
                <w:sz w:val="23"/>
                <w:szCs w:val="23"/>
                <w:color w:val="auto"/>
              </w:rPr>
            </w:pPr>
          </w:p>
        </w:tc>
      </w:tr>
      <w:tr>
        <w:trPr>
          <w:trHeight w:val="61"/>
        </w:trPr>
        <w:tc>
          <w:tcPr>
            <w:tcW w:w="6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338"/>
        </w:trPr>
        <w:tc>
          <w:tcPr>
            <w:tcW w:w="6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(2,681)</w:t>
            </w: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34,350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7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35,717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25,902</w:t>
            </w:r>
          </w:p>
        </w:tc>
        <w:tc>
          <w:tcPr>
            <w:tcW w:w="180" w:type="dxa"/>
            <w:vAlign w:val="bottom"/>
          </w:tcPr>
          <w:p>
            <w:pPr>
              <w:spacing w:after="0"/>
              <w:rPr>
                <w:sz w:val="23"/>
                <w:szCs w:val="23"/>
                <w:color w:val="auto"/>
              </w:rPr>
            </w:pPr>
          </w:p>
        </w:tc>
      </w:tr>
      <w:tr>
        <w:trPr>
          <w:trHeight w:val="61"/>
        </w:trPr>
        <w:tc>
          <w:tcPr>
            <w:tcW w:w="6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338"/>
        </w:trPr>
        <w:tc>
          <w:tcPr>
            <w:tcW w:w="6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54"/>
        </w:trPr>
        <w:tc>
          <w:tcPr>
            <w:tcW w:w="6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-7491730</wp:posOffset>
            </wp:positionV>
            <wp:extent cx="137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-7491730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provision (benefit)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65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71" w:lineRule="exact"/>
        <w:rPr>
          <w:sz w:val="20"/>
          <w:szCs w:val="20"/>
          <w:color w:val="auto"/>
        </w:rPr>
      </w:pPr>
    </w:p>
    <w:p>
      <w:pPr>
        <w:ind w:left="640" w:hanging="348"/>
        <w:spacing w:after="0"/>
        <w:tabs>
          <w:tab w:leader="none" w:pos="6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an accumulated deficit of $63.3 million. The Company has funded its operations primarily with customer payments for its services and proceeds from the issuance of common stock in connection with its initial public offering and follow-on offering. As of March 31, 2024, the Company had cash of $35.7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640" w:hanging="348"/>
        <w:spacing w:after="0"/>
        <w:tabs>
          <w:tab w:leader="none" w:pos="6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March 31, 2024, and results of its operations and its cash flows for the interim periods presented. Certain prior period amounts have been reclassified to conform to the current period presentation. The results of operations for the three months ended March 31,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until cash was collected for the services that were provided. The Company refers to the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losses. To date, no material variable consideration has been recognized and after applying the corrections shown in the table below, all cash collections for these customers are reflected as recovery of credit losses.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or adjusted EBITDA for any periods presented. The consolidated statement of equity is not affected by this restatement.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31, 2023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1"/>
        </w:trPr>
        <w:tc>
          <w:tcPr>
            <w:tcW w:w="5860" w:type="dxa"/>
            <w:vAlign w:val="bottom"/>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8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$48,007</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$46,416</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w:t>
            </w:r>
          </w:p>
        </w:tc>
        <w:tc>
          <w:tcPr>
            <w:tcW w:w="2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$20,909</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$52,155</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$50,564</w:t>
            </w:r>
          </w:p>
        </w:tc>
        <w:tc>
          <w:tcPr>
            <w:tcW w:w="0" w:type="dxa"/>
            <w:vAlign w:val="bottom"/>
          </w:tcPr>
          <w:p>
            <w:pPr>
              <w:spacing w:after="0"/>
              <w:rPr>
                <w:sz w:val="1"/>
                <w:szCs w:val="1"/>
                <w:color w:val="auto"/>
              </w:rPr>
            </w:pPr>
          </w:p>
        </w:tc>
      </w:tr>
      <w:tr>
        <w:trPr>
          <w:trHeight w:val="54"/>
        </w:trPr>
        <w:tc>
          <w:tcPr>
            <w:tcW w:w="58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-633730</wp:posOffset>
            </wp:positionV>
            <wp:extent cx="137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-633730</wp:posOffset>
            </wp:positionV>
            <wp:extent cx="137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-633730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31,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560" w:type="dxa"/>
            <w:vAlign w:val="bottom"/>
            <w:gridSpan w:val="7"/>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0"/>
        </w:trPr>
        <w:tc>
          <w:tcPr>
            <w:tcW w:w="5860" w:type="dxa"/>
            <w:vAlign w:val="bottom"/>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$ 1,591</w:t>
            </w:r>
          </w:p>
        </w:tc>
        <w:tc>
          <w:tcPr>
            <w:tcW w:w="220" w:type="dxa"/>
            <w:vAlign w:val="bottom"/>
          </w:tcPr>
          <w:p>
            <w:pPr>
              <w:spacing w:after="0"/>
              <w:rPr>
                <w:sz w:val="23"/>
                <w:szCs w:val="23"/>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-934085</wp:posOffset>
            </wp:positionV>
            <wp:extent cx="137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-934085</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-934085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2024 and 2023.</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$6.6 million and $8.7 million as of March 31, 2024 and December 31, 2023, respectively.</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no customer accounted for more than 10% of the total gross accounts receivable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195"/>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71"/>
        </w:trPr>
        <w:tc>
          <w:tcPr>
            <w:tcW w:w="63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$ 8,748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$12,232</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Pr>
          <w:p>
            <w:pPr>
              <w:spacing w:after="0"/>
              <w:rPr>
                <w:sz w:val="23"/>
                <w:szCs w:val="23"/>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c>
          <w:tcPr>
            <w:tcW w:w="200" w:type="dxa"/>
            <w:vAlign w:val="bottom"/>
            <w:shd w:val="clear" w:color="auto" w:fill="CCEEFF"/>
          </w:tcPr>
          <w:p>
            <w:pPr>
              <w:spacing w:after="0"/>
              <w:rPr>
                <w:sz w:val="22"/>
                <w:szCs w:val="22"/>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w:t>
            </w: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period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$ 6,596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11,822</w:t>
            </w:r>
          </w:p>
        </w:tc>
        <w:tc>
          <w:tcPr>
            <w:tcW w:w="200" w:type="dxa"/>
            <w:vAlign w:val="bottom"/>
          </w:tcPr>
          <w:p>
            <w:pPr>
              <w:spacing w:after="0"/>
              <w:rPr>
                <w:sz w:val="23"/>
                <w:szCs w:val="23"/>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-822325</wp:posOffset>
            </wp:positionV>
            <wp:extent cx="137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-822325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jc w:val="both"/>
        <w:ind w:left="640" w:right="299" w:hanging="348"/>
        <w:spacing w:after="0" w:line="241"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(benefit) for credit losses for the three months ended March 31, 2023 and related allowance at the end of the period March 31, 2023, has been retrospectively adjusted to reflect the restatement of previously reported credit losses. See Note 2, “Summary of Significant Accounting Policies,” for further information.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March 31, 2024 and December 31, 2023, the carrying value of the Company’s investments in equity securities without a readily determinable fair value was nil, which is recorded within other assets on the Company’s condensed consolidated balance sheets.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asset impairment charges in the accompanying condensed consolidated statements of operations. No impairments to investments in equity securities were recorded during the three months ended March 31, 2024 and 2023.</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months ended March 31, 2024 and 2023.</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 has $24.2 million and $23.1 million in capitalized software costs, net, respectively which are recorded within property and equipment, net on the Company’s condensed consolidated balance sheets. During the three months ended March 31, 2024 and 2023, the Company amortized $2.5 million and $1.5 million, respectively, of internal-use software development costs included in depreciation and amortization expense in the accompanying condensed consolidated statements of operations.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See Note 6, “Intangible Assets,” to these condensed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Net rent expense for the three months ended March 31, 2024 and 2023 was $2.2 million and $2.2 million, respectively and is included in general and administrative expense in the accompanying condensed consolidated statements of operations.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13, “Related Party Transactions,” to these condensed consolidated financial statements for additional information.</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March 31, 2024 and 2023, the Company recorded rent income related to a sublease of $0.5 million and $0.5 million, respectively.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March 31, 2024,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 See Note 9, “Warrant Liability,” to these consolidated financial statements for additional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on the condensed consolidated statements of operations. As of March 31, 2024 and December 31, 2023, tax receivable agreement liability was $2.3 million and $1.8 million, respectively. During the three months ended March 31, 2024 and 2023, the Company recognized a loss of $0.5 million and $0.1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During the three months ended March 31, 2024 and 2023, total discount issued was $0.2 million and $1.1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79" w:lineRule="exact"/>
        <w:rPr>
          <w:sz w:val="20"/>
          <w:szCs w:val="20"/>
          <w:color w:val="auto"/>
        </w:rPr>
      </w:pPr>
    </w:p>
    <w:p>
      <w:pPr>
        <w:jc w:val="both"/>
        <w:ind w:left="300" w:right="319"/>
        <w:spacing w:after="0" w:line="312" w:lineRule="auto"/>
        <w:rPr>
          <w:sz w:val="20"/>
          <w:szCs w:val="20"/>
          <w:color w:val="auto"/>
        </w:rPr>
      </w:pPr>
      <w:r>
        <w:rPr>
          <w:rFonts w:ascii="Times New Roman" w:cs="Times New Roman" w:eastAsia="Times New Roman" w:hAnsi="Times New Roman"/>
          <w:sz w:val="17"/>
          <w:szCs w:val="17"/>
          <w:color w:val="auto"/>
        </w:rPr>
        <w:t>Revenue for service contracts that the Company assesses are not probable of collection is not recognized until the contract is completed and payment is received. Collectability is reassessed when there is a significant change in facts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$2.5 million and $1.0 million for the three months ended March 31, 2024 and 2023, respectively, and are included in sales and marketing expense in the accompanying condensed consolidated statements of operations.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March 31, 2024 and 2023, the Company expensed $0.5 million and $0.6 million, respectively, related to employer contributions for the 401(k) saving plan.</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and other tax related expenses.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the year ending December 31, 2023 and for three months ended March 31, 2024, the Company conducted similar analyses, and determined that a full valuation allowance was still required. As of March 31, 2024 and December 31, 2023, tax receivable agreement liability $2.3 million and $1.8 million, respectively.</w:t>
      </w:r>
    </w:p>
    <w:p>
      <w:pPr>
        <w:spacing w:after="0" w:line="68"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6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$9 thousand in income tax provisions due to the impact of the full valuation allowance on its net deferred assets. For the three months ended March 31, 2023, the Company recorded zero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March 31, 2024, the Company had cash balances that exceeded the deposit insurance limit with four financial institutions. Management believes that the risk of loss is not significant and has not experienced any losses in such accounts.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58" w:lineRule="exact"/>
        <w:rPr>
          <w:sz w:val="20"/>
          <w:szCs w:val="20"/>
          <w:color w:val="auto"/>
        </w:rPr>
      </w:pPr>
    </w:p>
    <w:p>
      <w:pPr>
        <w:ind w:left="640" w:hanging="348"/>
        <w:spacing w:after="0"/>
        <w:tabs>
          <w:tab w:leader="none" w:pos="6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jc w:val="both"/>
        <w:ind w:left="1000" w:right="319" w:hanging="348"/>
        <w:spacing w:after="0" w:line="253"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195"/>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r>
      <w:tr>
        <w:trPr>
          <w:trHeight w:val="271"/>
        </w:trPr>
        <w:tc>
          <w:tcPr>
            <w:tcW w:w="63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2</w:t>
            </w: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40" w:type="dxa"/>
            <w:vAlign w:val="bottom"/>
            <w:tcBorders>
              <w:right w:val="single" w:sz="8" w:color="CCEEFF"/>
            </w:tcBorders>
            <w:shd w:val="clear" w:color="auto" w:fill="CCEEFF"/>
          </w:tcPr>
          <w:p>
            <w:pPr>
              <w:spacing w:after="0"/>
              <w:rPr>
                <w:sz w:val="23"/>
                <w:szCs w:val="2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w:t>
            </w:r>
          </w:p>
        </w:tc>
        <w:tc>
          <w:tcPr>
            <w:tcW w:w="240" w:type="dxa"/>
            <w:vAlign w:val="bottom"/>
            <w:shd w:val="clear" w:color="auto" w:fill="CCEEFF"/>
          </w:tcPr>
          <w:p>
            <w:pPr>
              <w:spacing w:after="0"/>
              <w:rPr>
                <w:sz w:val="23"/>
                <w:szCs w:val="23"/>
                <w:color w:val="auto"/>
              </w:rPr>
            </w:pP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84"/>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43,590</w:t>
            </w:r>
          </w:p>
        </w:tc>
        <w:tc>
          <w:tcPr>
            <w:tcW w:w="24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 solutions</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324"/>
        </w:trPr>
        <w:tc>
          <w:tcPr>
            <w:tcW w:w="6300" w:type="dxa"/>
            <w:vAlign w:val="bottom"/>
          </w:tcPr>
          <w:p>
            <w:pPr>
              <w:ind w:left="360"/>
              <w:spacing w:after="0" w:line="324"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44,389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46,416</w:t>
            </w:r>
          </w:p>
        </w:tc>
      </w:tr>
      <w:tr>
        <w:trPr>
          <w:trHeight w:val="20"/>
        </w:trPr>
        <w:tc>
          <w:tcPr>
            <w:tcW w:w="6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-1285240</wp:posOffset>
            </wp:positionV>
            <wp:extent cx="137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-1285240</wp:posOffset>
            </wp:positionV>
            <wp:extent cx="768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$0.2 million and $1.1 million, respectively, for three months ended March 31, 2024 and 2023.</w:t>
      </w:r>
    </w:p>
    <w:p>
      <w:pPr>
        <w:spacing w:after="0" w:line="42" w:lineRule="exact"/>
        <w:rPr>
          <w:sz w:val="20"/>
          <w:szCs w:val="20"/>
          <w:color w:val="auto"/>
        </w:rPr>
      </w:pPr>
    </w:p>
    <w:p>
      <w:pPr>
        <w:ind w:left="640" w:right="319" w:hanging="348"/>
        <w:spacing w:after="0" w:line="261" w:lineRule="auto"/>
        <w:tabs>
          <w:tab w:leader="none" w:pos="6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 has been retrospectively adjusted to reflect the restatement of previously reported 2023 revenue. See Note 2, “Summary of Significant Accounting Policies,” for further information.</w:t>
      </w:r>
    </w:p>
    <w:p>
      <w:pPr>
        <w:spacing w:after="0" w:line="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March 31,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months ended March 31, 2024 and 2023. For three months ended March 31, 2024, approximately 52% of the Company’s net revenue originated in California compared with 53% of the for the three months ended March 31, 2023.</w:t>
      </w:r>
    </w:p>
    <w:p>
      <w:pPr>
        <w:spacing w:after="0" w:line="172" w:lineRule="exact"/>
        <w:rPr>
          <w:sz w:val="20"/>
          <w:szCs w:val="20"/>
          <w:color w:val="auto"/>
        </w:rPr>
      </w:pPr>
    </w:p>
    <w:p>
      <w:pPr>
        <w:ind w:left="1640" w:hanging="348"/>
        <w:spacing w:after="0"/>
        <w:tabs>
          <w:tab w:leader="none" w:pos="16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$5.3 million for the remaining nine months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1640" w:hanging="348"/>
        <w:spacing w:after="0"/>
        <w:tabs>
          <w:tab w:leader="none" w:pos="16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left="1300" w:right="1300"/>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2000" w:right="1300" w:hanging="348"/>
        <w:spacing w:after="0" w:line="266" w:lineRule="auto"/>
        <w:tabs>
          <w:tab w:leader="none" w:pos="2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2000" w:right="1320" w:hanging="348"/>
        <w:spacing w:after="0" w:line="266" w:lineRule="auto"/>
        <w:tabs>
          <w:tab w:leader="none" w:pos="2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54"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March 31, 2024 and December 31, 2023,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34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368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224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875</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$375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224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1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1,435</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c>
          <w:tcPr>
            <w:tcW w:w="1300" w:type="dxa"/>
            <w:vAlign w:val="bottom"/>
          </w:tcPr>
          <w:p>
            <w:pPr>
              <w:spacing w:after="0"/>
              <w:rPr>
                <w:sz w:val="23"/>
                <w:szCs w:val="23"/>
                <w:color w:val="auto"/>
              </w:rPr>
            </w:pPr>
          </w:p>
        </w:tc>
      </w:tr>
      <w:tr>
        <w:trPr>
          <w:trHeight w:val="479"/>
        </w:trPr>
        <w:tc>
          <w:tcPr>
            <w:tcW w:w="1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F-18</w:t>
            </w: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-1259840</wp:posOffset>
            </wp:positionV>
            <wp:extent cx="1028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-1259840</wp:posOffset>
            </wp:positionV>
            <wp:extent cx="1028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-1259840</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summarizes the changes in the fair value of the warrant liabilities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6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960" w:type="dxa"/>
            <w:vAlign w:val="bottom"/>
            <w:gridSpan w:val="7"/>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320" w:type="dxa"/>
            <w:vAlign w:val="bottom"/>
            <w:gridSpan w:val="7"/>
            <w:vMerge w:val="continue"/>
          </w:tcPr>
          <w:p>
            <w:pPr>
              <w:spacing w:after="0"/>
              <w:rPr>
                <w:sz w:val="16"/>
                <w:szCs w:val="16"/>
                <w:color w:val="auto"/>
              </w:rPr>
            </w:pPr>
          </w:p>
        </w:tc>
        <w:tc>
          <w:tcPr>
            <w:tcW w:w="96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50"/>
        </w:trPr>
        <w:tc>
          <w:tcPr>
            <w:tcW w:w="55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740" w:type="dxa"/>
            <w:vAlign w:val="bottom"/>
            <w:tcBorders>
              <w:bottom w:val="single" w:sz="8" w:color="CCEEFF"/>
            </w:tcBorders>
            <w:gridSpan w:val="4"/>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9"/>
              </w:rPr>
              <w:t>$375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$210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585</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6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500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740" w:type="dxa"/>
            <w:vAlign w:val="bottom"/>
            <w:gridSpan w:val="4"/>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875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5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556"/>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6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3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960" w:type="dxa"/>
            <w:vAlign w:val="bottom"/>
            <w:gridSpan w:val="7"/>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320" w:type="dxa"/>
            <w:vAlign w:val="bottom"/>
            <w:gridSpan w:val="7"/>
            <w:vMerge w:val="continue"/>
          </w:tcPr>
          <w:p>
            <w:pPr>
              <w:spacing w:after="0"/>
              <w:rPr>
                <w:sz w:val="16"/>
                <w:szCs w:val="16"/>
                <w:color w:val="auto"/>
              </w:rPr>
            </w:pPr>
          </w:p>
        </w:tc>
        <w:tc>
          <w:tcPr>
            <w:tcW w:w="96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51"/>
        </w:trPr>
        <w:tc>
          <w:tcPr>
            <w:tcW w:w="55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820" w:type="dxa"/>
            <w:vAlign w:val="bottom"/>
            <w:tcBorders>
              <w:bottom w:val="single" w:sz="8" w:color="CCEEFF"/>
            </w:tcBorders>
            <w:gridSpan w:val="5"/>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rPr>
              <w:t>$ 840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82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w w:val="97"/>
              </w:rPr>
              <w:t>(375)</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tcPr>
          <w:p>
            <w:pPr>
              <w:spacing w:after="0"/>
              <w:rPr>
                <w:sz w:val="22"/>
                <w:szCs w:val="22"/>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820" w:type="dxa"/>
            <w:vAlign w:val="bottom"/>
            <w:gridSpan w:val="5"/>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  875</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rPr>
              <w:t>$ 490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5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-2185670</wp:posOffset>
            </wp:positionV>
            <wp:extent cx="1885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-2185670</wp:posOffset>
            </wp:positionV>
            <wp:extent cx="1885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-2185670</wp:posOffset>
            </wp:positionV>
            <wp:extent cx="1028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-650875</wp:posOffset>
            </wp:positionV>
            <wp:extent cx="1885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-650875</wp:posOffset>
            </wp:positionV>
            <wp:extent cx="1885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-650875</wp:posOffset>
            </wp:positionV>
            <wp:extent cx="1028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$0.9 million and $0.4 million as of March 31, 2024 and December 31, 2023, respectively.</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1"/>
        </w:trPr>
        <w:tc>
          <w:tcPr>
            <w:tcW w:w="60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r>
      <w:tr>
        <w:trPr>
          <w:trHeight w:val="311"/>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9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r>
      <w:tr>
        <w:trPr>
          <w:trHeight w:val="54"/>
        </w:trPr>
        <w:tc>
          <w:tcPr>
            <w:tcW w:w="6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8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w:t>
            </w:r>
          </w:p>
        </w:tc>
      </w:tr>
      <w:tr>
        <w:trPr>
          <w:trHeight w:val="54"/>
        </w:trPr>
        <w:tc>
          <w:tcPr>
            <w:tcW w:w="6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4.13%</w:t>
            </w:r>
          </w:p>
        </w:tc>
      </w:tr>
      <w:tr>
        <w:trPr>
          <w:trHeight w:val="54"/>
        </w:trPr>
        <w:tc>
          <w:tcPr>
            <w:tcW w:w="60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-1045210</wp:posOffset>
            </wp:positionV>
            <wp:extent cx="137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-1045210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was $0.6 million and $0.2 million as of March 31, 2024 and December 31, 2023, respectively. There were no transfers in or out of Level 3 from other levels in the fair value hierarchy.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933"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640" w:hanging="348"/>
        <w:spacing w:after="0"/>
        <w:tabs>
          <w:tab w:leader="none" w:pos="6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Intangible assets consisted of the following as of March 31, 2024 and December 31, 2023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7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6"/>
                <w:szCs w:val="16"/>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0"/>
        </w:trPr>
        <w:tc>
          <w:tcPr>
            <w:tcW w:w="48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61"/>
        </w:trPr>
        <w:tc>
          <w:tcPr>
            <w:tcW w:w="48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40" w:type="dxa"/>
            <w:vAlign w:val="bottom"/>
          </w:tcPr>
          <w:p>
            <w:pPr>
              <w:spacing w:after="0"/>
              <w:rPr>
                <w:sz w:val="23"/>
                <w:szCs w:val="23"/>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(5,306)</w:t>
            </w:r>
          </w:p>
        </w:tc>
        <w:tc>
          <w:tcPr>
            <w:tcW w:w="100" w:type="dxa"/>
            <w:vAlign w:val="bottom"/>
          </w:tcPr>
          <w:p>
            <w:pPr>
              <w:spacing w:after="0"/>
              <w:rPr>
                <w:sz w:val="23"/>
                <w:szCs w:val="23"/>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4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7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6"/>
                <w:szCs w:val="16"/>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1"/>
        </w:trPr>
        <w:tc>
          <w:tcPr>
            <w:tcW w:w="48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8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40" w:type="dxa"/>
            <w:vAlign w:val="bottom"/>
          </w:tcPr>
          <w:p>
            <w:pPr>
              <w:spacing w:after="0"/>
              <w:rPr>
                <w:sz w:val="23"/>
                <w:szCs w:val="23"/>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(5,168)</w:t>
            </w:r>
          </w:p>
        </w:tc>
        <w:tc>
          <w:tcPr>
            <w:tcW w:w="100" w:type="dxa"/>
            <w:vAlign w:val="bottom"/>
          </w:tcPr>
          <w:p>
            <w:pPr>
              <w:spacing w:after="0"/>
              <w:rPr>
                <w:sz w:val="23"/>
                <w:szCs w:val="23"/>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-2656840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-2656840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-2656840</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-2656840</wp:posOffset>
            </wp:positionV>
            <wp:extent cx="431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-822325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-822325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-822325</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-822325</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$0.6 million, respectively, for the three months ended March 31, 2024 and 2023. The estimated future amortization expense of intangible assets as of March 31, 2024 is as follows (in thousands):</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period in 2024 (nine months)</w:t>
            </w:r>
          </w:p>
        </w:tc>
        <w:tc>
          <w:tcPr>
            <w:tcW w:w="2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3"/>
                <w:szCs w:val="23"/>
                <w:color w:val="auto"/>
              </w:rPr>
            </w:pPr>
          </w:p>
        </w:tc>
      </w:tr>
      <w:tr>
        <w:trPr>
          <w:trHeight w:val="54"/>
        </w:trPr>
        <w:tc>
          <w:tcPr>
            <w:tcW w:w="54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2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2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23"/>
                <w:szCs w:val="23"/>
                <w:color w:val="auto"/>
              </w:rPr>
            </w:pPr>
          </w:p>
        </w:tc>
      </w:tr>
      <w:tr>
        <w:trPr>
          <w:trHeight w:val="54"/>
        </w:trPr>
        <w:tc>
          <w:tcPr>
            <w:tcW w:w="54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2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23"/>
                <w:szCs w:val="23"/>
                <w:color w:val="auto"/>
              </w:rPr>
            </w:pPr>
          </w:p>
        </w:tc>
      </w:tr>
      <w:tr>
        <w:trPr>
          <w:trHeight w:val="48"/>
        </w:trPr>
        <w:tc>
          <w:tcPr>
            <w:tcW w:w="54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2,369</w:t>
            </w:r>
          </w:p>
        </w:tc>
      </w:tr>
      <w:tr>
        <w:trPr>
          <w:trHeight w:val="34"/>
        </w:trPr>
        <w:tc>
          <w:tcPr>
            <w:tcW w:w="542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r>
    </w:tbl>
    <w:p>
      <w:pPr>
        <w:spacing w:after="0" w:line="194" w:lineRule="exact"/>
        <w:rPr>
          <w:sz w:val="20"/>
          <w:szCs w:val="20"/>
          <w:color w:val="auto"/>
        </w:rPr>
      </w:pPr>
    </w:p>
    <w:p>
      <w:pPr>
        <w:ind w:left="640" w:hanging="348"/>
        <w:spacing w:after="0"/>
        <w:tabs>
          <w:tab w:leader="none" w:pos="6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as of March 31, 2024 and December 31, 2023 consisted of the following (in thousands):</w:t>
      </w:r>
    </w:p>
    <w:p>
      <w:pPr>
        <w:spacing w:after="0" w:line="200" w:lineRule="exact"/>
        <w:rPr>
          <w:sz w:val="20"/>
          <w:szCs w:val="20"/>
          <w:color w:val="auto"/>
        </w:rPr>
      </w:pPr>
    </w:p>
    <w:p>
      <w:pPr>
        <w:spacing w:after="0" w:line="21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50800</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50800</wp:posOffset>
            </wp:positionV>
            <wp:extent cx="254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0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$1,530</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spacing w:after="0"/>
              <w:rPr>
                <w:sz w:val="23"/>
                <w:szCs w:val="23"/>
                <w:color w:val="auto"/>
              </w:rPr>
            </w:pPr>
          </w:p>
        </w:tc>
      </w:tr>
      <w:tr>
        <w:trPr>
          <w:trHeight w:val="54"/>
        </w:trPr>
        <w:tc>
          <w:tcPr>
            <w:tcW w:w="6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2,406</w:t>
            </w:r>
          </w:p>
        </w:tc>
        <w:tc>
          <w:tcPr>
            <w:tcW w:w="360" w:type="dxa"/>
            <w:vAlign w:val="bottom"/>
            <w:tcBorders>
              <w:bottom w:val="single" w:sz="8" w:color="CCEEFF"/>
            </w:tcBorders>
            <w:shd w:val="clear" w:color="auto" w:fill="CCEEFF"/>
          </w:tcPr>
          <w:p>
            <w:pPr>
              <w:spacing w:after="0"/>
              <w:rPr>
                <w:sz w:val="24"/>
                <w:szCs w:val="24"/>
                <w:color w:val="auto"/>
              </w:rPr>
            </w:pPr>
          </w:p>
        </w:tc>
      </w:tr>
      <w:tr>
        <w:trPr>
          <w:trHeight w:val="25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w:t>
            </w:r>
          </w:p>
        </w:tc>
        <w:tc>
          <w:tcPr>
            <w:tcW w:w="360" w:type="dxa"/>
            <w:vAlign w:val="bottom"/>
          </w:tcPr>
          <w:p>
            <w:pPr>
              <w:spacing w:after="0"/>
              <w:rPr>
                <w:sz w:val="22"/>
                <w:szCs w:val="22"/>
                <w:color w:val="auto"/>
              </w:rPr>
            </w:pPr>
          </w:p>
        </w:tc>
      </w:tr>
      <w:tr>
        <w:trPr>
          <w:trHeight w:val="61"/>
        </w:trPr>
        <w:tc>
          <w:tcPr>
            <w:tcW w:w="6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r>
      <w:tr>
        <w:trPr>
          <w:trHeight w:val="270"/>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6,651</w:t>
            </w:r>
          </w:p>
        </w:tc>
        <w:tc>
          <w:tcPr>
            <w:tcW w:w="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r>
      <w:tr>
        <w:trPr>
          <w:trHeight w:val="48"/>
        </w:trPr>
        <w:tc>
          <w:tcPr>
            <w:tcW w:w="6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434"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172" w:lineRule="exact"/>
        <w:rPr>
          <w:sz w:val="20"/>
          <w:szCs w:val="20"/>
          <w:color w:val="auto"/>
        </w:rPr>
      </w:pPr>
    </w:p>
    <w:p>
      <w:pPr>
        <w:ind w:left="640" w:hanging="348"/>
        <w:spacing w:after="0"/>
        <w:tabs>
          <w:tab w:leader="none" w:pos="6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as of March 31, 2024 and December 31, 2023 consisted of the following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60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$ 8,793</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61"/>
        </w:trPr>
        <w:tc>
          <w:tcPr>
            <w:tcW w:w="6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7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16,553</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3"/>
                <w:szCs w:val="23"/>
                <w:color w:val="auto"/>
              </w:rPr>
            </w:pPr>
          </w:p>
        </w:tc>
      </w:tr>
      <w:tr>
        <w:trPr>
          <w:trHeight w:val="48"/>
        </w:trPr>
        <w:tc>
          <w:tcPr>
            <w:tcW w:w="60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37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-650875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$2.7 million and $7.4 million as of March 31, 2024 and December 31, 2023 respectively. The decrease in accrued bonuses and commission as of March 31, 2024 compared to December 31, 2023 is primarily due to payment of accrued bonus and commission related to the year ended December 31, 2023.</w:t>
      </w:r>
    </w:p>
    <w:p>
      <w:pPr>
        <w:spacing w:after="0" w:line="176" w:lineRule="exact"/>
        <w:rPr>
          <w:sz w:val="20"/>
          <w:szCs w:val="20"/>
          <w:color w:val="auto"/>
        </w:rPr>
      </w:pPr>
    </w:p>
    <w:p>
      <w:pPr>
        <w:ind w:left="640" w:hanging="348"/>
        <w:spacing w:after="0"/>
        <w:tabs>
          <w:tab w:leader="none" w:pos="6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March 31, 2024,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 Derivatives and Hedging (as described in Note 2) and are recorded as liabilities. Upon the Closing, the fair value of the Warrants was recorded on the balance sheet. The fair value of the Warrants is remeasured as of each balance sheet date, which resulted in a non-cash loss of $0.9 million and non-cash gain of $0.7 million on the condensed consolidated statements of operations for the three months ended March 31, 2024 and 2023, respectively. For additional information, see Note 5,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March 31, 2024, there were no shares of preferred stock issued or outstanding.</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March 31, 2024, the noncontrolling interests owned 38.2%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three months ended March 31, 2024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2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r>
      <w:tr>
        <w:trPr>
          <w:trHeight w:val="28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March 31, 2024</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14,679,507</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March 31, 2024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14,619,079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4"/>
        </w:trPr>
        <w:tc>
          <w:tcPr>
            <w:tcW w:w="7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-1079500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March 31, 2024, unrecognized stock-based compensation expense for non-vested Class P Units was $0.2 million, which is expected to be recognized over a weighted-average period of 0.7 years. For the three months ended March 31, 2024 and 2023, the Company recorded stock-based compensation expense for the Class P Units of $0.1 million and $0.3 million, respectively.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March 31, 2024,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March 31, 2024, 22,446,927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three months ended March 31, 2024 is as follows:</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151,516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(629,884)</w:t>
            </w: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(710,060)</w:t>
            </w:r>
          </w:p>
        </w:tc>
        <w:tc>
          <w:tcPr>
            <w:tcW w:w="3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48"/>
        </w:trPr>
        <w:tc>
          <w:tcPr>
            <w:tcW w:w="5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6,495,170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34"/>
        </w:trPr>
        <w:tc>
          <w:tcPr>
            <w:tcW w:w="59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March 31, 2024, unrecognized stock-based compensation expense for non-vested RSUs was $16.0 million, which is expected to be recognized over a weighted-average period of 1.6 years. For the three months ended March 31, 2024 and 2023, the Company recorded stock-based compensation expense for the RSUs of $2.7 million and $4.0 million, respectively.</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8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234,375</w:t>
            </w: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23"/>
                <w:szCs w:val="23"/>
                <w:color w:val="auto"/>
              </w:rPr>
            </w:pPr>
          </w:p>
        </w:tc>
        <w:tc>
          <w:tcPr>
            <w:tcW w:w="11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80" w:type="dxa"/>
            <w:vAlign w:val="bottom"/>
          </w:tcPr>
          <w:p>
            <w:pPr>
              <w:spacing w:after="0"/>
              <w:rPr>
                <w:sz w:val="22"/>
                <w:szCs w:val="22"/>
                <w:color w:val="auto"/>
              </w:rPr>
            </w:pPr>
          </w:p>
        </w:tc>
        <w:tc>
          <w:tcPr>
            <w:tcW w:w="11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234,375</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8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-1062355</wp:posOffset>
            </wp:positionV>
            <wp:extent cx="1543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-1062355</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performance period for PRSUs ended at December 31, 2023 and the estimated attainment is 25.0%. For the three months ended March 31, 2024 and 2023, the Company recorded stock-based compensation expense for the PRSUs of $0.0 million and $0.1 million, respectively.</w:t>
      </w:r>
    </w:p>
    <w:p>
      <w:pPr>
        <w:spacing w:after="0" w:line="68"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RSUs, PRSUs, and Class P Units in the following expense categories on the accompanying condensed consolidated statements of operations (in thousands):</w:t>
      </w:r>
    </w:p>
    <w:p>
      <w:pPr>
        <w:spacing w:after="0" w:line="11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1"/>
        </w:trPr>
        <w:tc>
          <w:tcPr>
            <w:tcW w:w="6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6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$ 380</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897</w:t>
            </w:r>
          </w:p>
        </w:tc>
        <w:tc>
          <w:tcPr>
            <w:tcW w:w="22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2,318</w:t>
            </w:r>
          </w:p>
        </w:tc>
        <w:tc>
          <w:tcPr>
            <w:tcW w:w="220" w:type="dxa"/>
            <w:vAlign w:val="bottom"/>
            <w:shd w:val="clear" w:color="auto" w:fill="CCEEFF"/>
          </w:tcPr>
          <w:p>
            <w:pPr>
              <w:spacing w:after="0"/>
              <w:rPr>
                <w:sz w:val="23"/>
                <w:szCs w:val="23"/>
                <w:color w:val="auto"/>
              </w:rPr>
            </w:pP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4,383</w:t>
            </w:r>
          </w:p>
        </w:tc>
        <w:tc>
          <w:tcPr>
            <w:tcW w:w="22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CEEFF"/>
          </w:tcPr>
          <w:p>
            <w:pPr>
              <w:spacing w:after="0"/>
              <w:rPr>
                <w:sz w:val="23"/>
                <w:szCs w:val="23"/>
                <w:color w:val="auto"/>
              </w:rPr>
            </w:pP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2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3,175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4,681</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-1259840</wp:posOffset>
            </wp:positionV>
            <wp:extent cx="137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-1259840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months ended March 31, 2024 and 2023 (amounts in thousands, except for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140" w:type="dxa"/>
            <w:vAlign w:val="bottom"/>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62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62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460" w:type="dxa"/>
            <w:vAlign w:val="bottom"/>
          </w:tcPr>
          <w:p>
            <w:pPr>
              <w:spacing w:after="0"/>
              <w:rPr>
                <w:sz w:val="23"/>
                <w:szCs w:val="23"/>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$(3,969)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65"/>
        </w:trPr>
        <w:tc>
          <w:tcPr>
            <w:tcW w:w="1300" w:type="dxa"/>
            <w:vAlign w:val="bottom"/>
          </w:tcPr>
          <w:p>
            <w:pPr>
              <w:spacing w:after="0"/>
              <w:rPr>
                <w:sz w:val="23"/>
                <w:szCs w:val="23"/>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 Class A Common</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4"/>
        </w:trPr>
        <w:tc>
          <w:tcPr>
            <w:tcW w:w="1300" w:type="dxa"/>
            <w:vAlign w:val="bottom"/>
          </w:tcPr>
          <w:p>
            <w:pPr>
              <w:spacing w:after="0"/>
              <w:rPr>
                <w:sz w:val="20"/>
                <w:szCs w:val="20"/>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 basic and diluted</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460" w:type="dxa"/>
            <w:vAlign w:val="bottom"/>
          </w:tcPr>
          <w:p>
            <w:pPr>
              <w:spacing w:after="0"/>
              <w:rPr>
                <w:sz w:val="20"/>
                <w:szCs w:val="20"/>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change of Public and Private Placement Warrants, net of</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1"/>
        </w:trPr>
        <w:tc>
          <w:tcPr>
            <w:tcW w:w="1300" w:type="dxa"/>
            <w:vAlign w:val="bottom"/>
          </w:tcPr>
          <w:p>
            <w:pPr>
              <w:spacing w:after="0"/>
              <w:rPr>
                <w:sz w:val="19"/>
                <w:szCs w:val="19"/>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attributable to noncontrolling interests</w:t>
            </w:r>
          </w:p>
        </w:tc>
        <w:tc>
          <w:tcPr>
            <w:tcW w:w="160" w:type="dxa"/>
            <w:vAlign w:val="bottom"/>
          </w:tcPr>
          <w:p>
            <w:pPr>
              <w:spacing w:after="0"/>
              <w:rPr>
                <w:sz w:val="19"/>
                <w:szCs w:val="19"/>
                <w:color w:val="auto"/>
              </w:rPr>
            </w:pP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6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65"/>
        </w:trPr>
        <w:tc>
          <w:tcPr>
            <w:tcW w:w="1300" w:type="dxa"/>
            <w:vAlign w:val="bottom"/>
          </w:tcPr>
          <w:p>
            <w:pPr>
              <w:spacing w:after="0"/>
              <w:rPr>
                <w:sz w:val="23"/>
                <w:szCs w:val="23"/>
                <w:color w:val="auto"/>
              </w:rPr>
            </w:pPr>
          </w:p>
        </w:tc>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 Class A Common</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68"/>
        </w:trPr>
        <w:tc>
          <w:tcPr>
            <w:tcW w:w="1300" w:type="dxa"/>
            <w:vAlign w:val="bottom"/>
          </w:tcPr>
          <w:p>
            <w:pPr>
              <w:spacing w:after="0"/>
              <w:rPr>
                <w:sz w:val="23"/>
                <w:szCs w:val="23"/>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 diluted</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1,240</w:t>
            </w:r>
          </w:p>
        </w:tc>
        <w:tc>
          <w:tcPr>
            <w:tcW w:w="46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(2,475)</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6280" w:type="dxa"/>
            <w:vAlign w:val="bottom"/>
            <w:tcBorders>
              <w:top w:val="single" w:sz="8" w:color="CCEEFF"/>
            </w:tcBorders>
          </w:tcPr>
          <w:p>
            <w:pPr>
              <w:ind w:left="4040"/>
              <w:spacing w:after="0"/>
              <w:rPr>
                <w:sz w:val="20"/>
                <w:szCs w:val="20"/>
                <w:color w:val="auto"/>
              </w:rPr>
            </w:pPr>
            <w:r>
              <w:rPr>
                <w:rFonts w:ascii="Times New Roman" w:cs="Times New Roman" w:eastAsia="Times New Roman" w:hAnsi="Times New Roman"/>
                <w:sz w:val="18"/>
                <w:szCs w:val="18"/>
                <w:color w:val="auto"/>
              </w:rPr>
              <w:t>F-25</w:t>
            </w:r>
          </w:p>
        </w:tc>
        <w:tc>
          <w:tcPr>
            <w:tcW w:w="1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-2305050</wp:posOffset>
            </wp:positionV>
            <wp:extent cx="2825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-2305050</wp:posOffset>
            </wp:positionV>
            <wp:extent cx="1460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1"/>
        </w:trPr>
        <w:tc>
          <w:tcPr>
            <w:tcW w:w="6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6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r>
      <w:tr>
        <w:trPr>
          <w:trHeight w:val="50"/>
        </w:trPr>
        <w:tc>
          <w:tcPr>
            <w:tcW w:w="6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basic</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94,704,164</w:t>
            </w:r>
          </w:p>
        </w:tc>
        <w:tc>
          <w:tcPr>
            <w:tcW w:w="20" w:type="dxa"/>
            <w:vAlign w:val="bottom"/>
          </w:tcPr>
          <w:p>
            <w:pPr>
              <w:spacing w:after="0"/>
              <w:rPr>
                <w:sz w:val="23"/>
                <w:szCs w:val="23"/>
                <w:color w:val="auto"/>
              </w:rPr>
            </w:pPr>
          </w:p>
        </w:tc>
        <w:tc>
          <w:tcPr>
            <w:tcW w:w="12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8"/>
              </w:rPr>
              <w:t>92,323,757</w:t>
            </w:r>
          </w:p>
        </w:tc>
        <w:tc>
          <w:tcPr>
            <w:tcW w:w="80" w:type="dxa"/>
            <w:vAlign w:val="bottom"/>
          </w:tcPr>
          <w:p>
            <w:pPr>
              <w:spacing w:after="0"/>
              <w:rPr>
                <w:sz w:val="23"/>
                <w:szCs w:val="23"/>
                <w:color w:val="auto"/>
              </w:rPr>
            </w:pPr>
          </w:p>
        </w:tc>
      </w:tr>
      <w:tr>
        <w:trPr>
          <w:trHeight w:val="54"/>
        </w:trPr>
        <w:tc>
          <w:tcPr>
            <w:tcW w:w="6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effect of dilutive securities:</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364"/>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6140" w:type="dxa"/>
            <w:vAlign w:val="bottom"/>
          </w:tcPr>
          <w:p>
            <w:pPr>
              <w:ind w:left="180"/>
              <w:spacing w:after="0" w:line="31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1,319,188</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6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diluted</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96,023,352</w:t>
            </w:r>
          </w:p>
        </w:tc>
        <w:tc>
          <w:tcPr>
            <w:tcW w:w="20" w:type="dxa"/>
            <w:vAlign w:val="bottom"/>
            <w:shd w:val="clear" w:color="auto" w:fill="CCEEFF"/>
          </w:tcPr>
          <w:p>
            <w:pPr>
              <w:spacing w:after="0"/>
              <w:rPr>
                <w:sz w:val="24"/>
                <w:szCs w:val="24"/>
                <w:color w:val="auto"/>
              </w:rPr>
            </w:pPr>
          </w:p>
        </w:tc>
        <w:tc>
          <w:tcPr>
            <w:tcW w:w="1280" w:type="dxa"/>
            <w:vAlign w:val="bottom"/>
            <w:gridSpan w:val="4"/>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92,323,757</w:t>
            </w:r>
          </w:p>
        </w:tc>
        <w:tc>
          <w:tcPr>
            <w:tcW w:w="80" w:type="dxa"/>
            <w:vAlign w:val="bottom"/>
            <w:shd w:val="clear" w:color="auto" w:fill="CCEEFF"/>
          </w:tcPr>
          <w:p>
            <w:pPr>
              <w:spacing w:after="0"/>
              <w:rPr>
                <w:sz w:val="24"/>
                <w:szCs w:val="24"/>
                <w:color w:val="auto"/>
              </w:rPr>
            </w:pPr>
          </w:p>
        </w:tc>
      </w:tr>
      <w:tr>
        <w:trPr>
          <w:trHeight w:val="48"/>
        </w:trPr>
        <w:tc>
          <w:tcPr>
            <w:tcW w:w="6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 basic</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48"/>
        </w:trPr>
        <w:tc>
          <w:tcPr>
            <w:tcW w:w="6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r>
      <w:tr>
        <w:trPr>
          <w:trHeight w:val="284"/>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 diluted</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34"/>
        </w:trPr>
        <w:tc>
          <w:tcPr>
            <w:tcW w:w="6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-1996440</wp:posOffset>
            </wp:positionV>
            <wp:extent cx="274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-1996440</wp:posOffset>
            </wp:positionV>
            <wp:extent cx="137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10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63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V Units</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55,486,361</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Class P Units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14,679,507</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15,024,862</w:t>
            </w:r>
          </w:p>
        </w:tc>
      </w:tr>
      <w:tr>
        <w:trPr>
          <w:trHeight w:val="54"/>
        </w:trPr>
        <w:tc>
          <w:tcPr>
            <w:tcW w:w="6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6,495,170</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5,909,464</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PRSUs</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859,375</w:t>
            </w:r>
          </w:p>
        </w:tc>
      </w:tr>
      <w:tr>
        <w:trPr>
          <w:trHeight w:val="54"/>
        </w:trPr>
        <w:tc>
          <w:tcPr>
            <w:tcW w:w="6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12,499,973</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r>
      <w:tr>
        <w:trPr>
          <w:trHeight w:val="54"/>
        </w:trPr>
        <w:tc>
          <w:tcPr>
            <w:tcW w:w="6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r>
      <w:tr>
        <w:trPr>
          <w:trHeight w:val="54"/>
        </w:trPr>
        <w:tc>
          <w:tcPr>
            <w:tcW w:w="63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-1456690</wp:posOffset>
            </wp:positionV>
            <wp:extent cx="137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-1456690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March 31, 2024 and December 31, 2023, rent receivable was $0.8 million and $0.7 million, respectively, and these amounts are included in prepaid expenses and other current assets on the accompanying condensed balance sheets. Rent receivable of $0.7 million was subsequently collected in April 2024. For the three months ended March 31, 2024 and 2023, income on the sublease with related party were $0.2 million. The income on sublease is netted with rent expense and included in general and administrative expenses on the consolidated statements of operations.</w:t>
      </w:r>
    </w:p>
    <w:p>
      <w:pPr>
        <w:spacing w:after="0" w:line="8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March 31, 2024, the remaining balance of the promissory note receivable was $0.6 million of which $0.3 million was included in prepaid expenses and other current assets and $0.3 million was included in other assets on the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During the three months ended March 31, 2024, interest income on the promissory note was less than $0.1 million, which is included in other income (expense), net on the condensed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May 24, 2024 expressed an adverse opinion on the Company’s internal control over financial reporting due to material weaknesses.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jc w:val="both"/>
        <w:ind w:left="300" w:right="299" w:hanging="8"/>
        <w:spacing w:after="0" w:line="253" w:lineRule="auto"/>
        <w:tabs>
          <w:tab w:leader="none" w:pos="56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 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 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29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processes and assumptions for developing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methods and significant assumptions used by management including:</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68" w:lineRule="exact"/>
        <w:rPr>
          <w:sz w:val="20"/>
          <w:szCs w:val="20"/>
          <w:color w:val="auto"/>
        </w:rPr>
      </w:pP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75"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1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and evaluating the relevance and reliability of the sources of the data used by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subsequent collections and write-offs occurring after the balance sheet date for select customers and considering the impact of potential subsequent events on the estimate of the specific customer allowance.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 for evaluating whether it is probable the Company will collect the consideration to which it will be entitled for purposes of determining whether a contract exists under ASC 606.</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judgments made by management in determining whether to place a customer on a “cash basis” because it was no longer probable that the Company will collect the consideration to which it will be entitled.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management’s analysis.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24, 2024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WM Technology, Inc.:</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served as the Company's auditor from 2014 to 2023.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16,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6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1"/>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66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$ 28,583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$ 33,635</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94,383,053 shares issued and outstanding at December 31, 2023 and 92,062,468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December 31, 2023 and December 31,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9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(64,518)</w:t>
            </w:r>
          </w:p>
        </w:tc>
        <w:tc>
          <w:tcPr>
            <w:tcW w:w="2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114,777</w:t>
            </w:r>
          </w:p>
        </w:tc>
        <w:tc>
          <w:tcPr>
            <w:tcW w:w="80" w:type="dxa"/>
            <w:vAlign w:val="bottom"/>
            <w:tcBorders>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79"/>
        </w:trPr>
        <w:tc>
          <w:tcPr>
            <w:tcW w:w="1300" w:type="dxa"/>
            <w:vAlign w:val="bottom"/>
          </w:tcPr>
          <w:p>
            <w:pPr>
              <w:spacing w:after="0"/>
              <w:rPr>
                <w:sz w:val="24"/>
                <w:szCs w:val="24"/>
                <w:color w:val="auto"/>
              </w:rPr>
            </w:pPr>
          </w:p>
        </w:tc>
        <w:tc>
          <w:tcPr>
            <w:tcW w:w="740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6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-8923020</wp:posOffset>
            </wp:positionV>
            <wp:extent cx="1714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-8923020</wp:posOffset>
            </wp:positionV>
            <wp:extent cx="857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20"/>
          </w:cols>
          <w:pgMar w:left="440" w:top="114" w:right="439" w:bottom="393"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8"/>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1"/>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5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50,520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20" w:type="dxa"/>
            <w:vAlign w:val="bottom"/>
          </w:tcPr>
          <w:p>
            <w:pPr>
              <w:spacing w:after="0"/>
              <w:rPr>
                <w:sz w:val="24"/>
                <w:szCs w:val="24"/>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96,426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33,338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338"/>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324"/>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54"/>
        </w:trPr>
        <w:tc>
          <w:tcPr>
            <w:tcW w:w="45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-5811520</wp:posOffset>
            </wp:positionV>
            <wp:extent cx="2057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-5811520</wp:posOffset>
            </wp:positionV>
            <wp:extent cx="2057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-5811520</wp:posOffset>
            </wp:positionV>
            <wp:extent cx="1028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1360" w:type="dxa"/>
            <w:vAlign w:val="bottom"/>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WM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Class V</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8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Technology,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vMerge w:val="restart"/>
          </w:tcPr>
          <w:p>
            <w:pPr>
              <w:spacing w:after="0"/>
              <w:rPr>
                <w:sz w:val="7"/>
                <w:szCs w:val="7"/>
                <w:color w:val="auto"/>
              </w:rPr>
            </w:pPr>
          </w:p>
        </w:tc>
        <w:tc>
          <w:tcPr>
            <w:tcW w:w="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7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7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gridSpan w:val="5"/>
            <w:vMerge w:val="continue"/>
          </w:tcPr>
          <w:p>
            <w:pPr>
              <w:spacing w:after="0"/>
              <w:rPr>
                <w:sz w:val="3"/>
                <w:szCs w:val="3"/>
                <w:color w:val="auto"/>
              </w:rPr>
            </w:pPr>
          </w:p>
        </w:tc>
        <w:tc>
          <w:tcPr>
            <w:tcW w:w="1040" w:type="dxa"/>
            <w:vAlign w:val="bottom"/>
            <w:gridSpan w:val="6"/>
            <w:vMerge w:val="continue"/>
          </w:tcPr>
          <w:p>
            <w:pPr>
              <w:spacing w:after="0"/>
              <w:rPr>
                <w:sz w:val="3"/>
                <w:szCs w:val="3"/>
                <w:color w:val="auto"/>
              </w:rPr>
            </w:pPr>
          </w:p>
        </w:tc>
        <w:tc>
          <w:tcPr>
            <w:tcW w:w="760" w:type="dxa"/>
            <w:vAlign w:val="bottom"/>
            <w:gridSpan w:val="6"/>
            <w:vMerge w:val="continue"/>
          </w:tcPr>
          <w:p>
            <w:pPr>
              <w:spacing w:after="0"/>
              <w:rPr>
                <w:sz w:val="3"/>
                <w:szCs w:val="3"/>
                <w:color w:val="auto"/>
              </w:rPr>
            </w:pPr>
          </w:p>
        </w:tc>
        <w:tc>
          <w:tcPr>
            <w:tcW w:w="700" w:type="dxa"/>
            <w:vAlign w:val="bottom"/>
            <w:gridSpan w:val="6"/>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5"/>
                <w:szCs w:val="15"/>
                <w:color w:val="auto"/>
              </w:rPr>
            </w:pPr>
          </w:p>
        </w:tc>
        <w:tc>
          <w:tcPr>
            <w:tcW w:w="70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54"/>
        </w:trPr>
        <w:tc>
          <w:tcPr>
            <w:tcW w:w="1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29,271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$ 29,271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(18,110)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(18,998)</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Class B</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(5,565)</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(5,565)</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and shares issued</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 the Business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Combination</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63,738,563</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65,502,347</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(20,118)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(19,119)</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(44,928)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(20,674)</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(84,721)</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1,938,798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12,722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152,218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65,677,361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65,502,347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61,369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63,556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68,384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$131,940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22,862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(2,448)</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3,447,946</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4,721,706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12,836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warrants exercised</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issued - Class A Unit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10,015,986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(10,015,986)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8,199,449</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7,064</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tax receivable</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 due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exchanges of Class A</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(82,651)</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92,062,468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(54,620)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13,380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101,397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114,777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14,385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(7,187)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2,242,930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Discharge of holdback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 related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prior acquisition</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(3,607)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(9,898)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(15,727)</w:t>
            </w: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94,383,053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16,380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103,151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-6497320</wp:posOffset>
            </wp:positionV>
            <wp:extent cx="514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-6497320</wp:posOffset>
            </wp:positionV>
            <wp:extent cx="514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-6497320</wp:posOffset>
            </wp:positionV>
            <wp:extent cx="514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-6497320</wp:posOffset>
            </wp:positionV>
            <wp:extent cx="254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-6497320</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-6497320</wp:posOffset>
            </wp:positionV>
            <wp:extent cx="514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-6497320</wp:posOffset>
            </wp:positionV>
            <wp:extent cx="514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-6497320</wp:posOffset>
            </wp:positionV>
            <wp:extent cx="514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-6497320</wp:posOffset>
            </wp:positionV>
            <wp:extent cx="51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-6497320</wp:posOffset>
            </wp:positionV>
            <wp:extent cx="514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166" w:name="page167"/>
    <w:bookmarkEnd w:id="16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gridSpan w:val="14"/>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54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152,218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operating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1,256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 -use lease assets</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4,930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1,792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4,488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(43,323)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3,335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 holdback release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other investments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(30,435)</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insurance premium financing</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collection of related party note receivable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 payable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5,767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(39,194)</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28,583</w:t>
            </w:r>
          </w:p>
        </w:tc>
        <w:tc>
          <w:tcPr>
            <w:tcW w:w="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67,777</w:t>
            </w:r>
          </w:p>
        </w:tc>
        <w:tc>
          <w:tcPr>
            <w:tcW w:w="1300" w:type="dxa"/>
            <w:vAlign w:val="bottom"/>
          </w:tcPr>
          <w:p>
            <w:pPr>
              <w:spacing w:after="0"/>
              <w:rPr>
                <w:sz w:val="23"/>
                <w:szCs w:val="23"/>
                <w:color w:val="auto"/>
              </w:rPr>
            </w:pPr>
          </w:p>
        </w:tc>
      </w:tr>
      <w:tr>
        <w:trPr>
          <w:trHeight w:val="47"/>
        </w:trPr>
        <w:tc>
          <w:tcPr>
            <w:tcW w:w="1300" w:type="dxa"/>
            <w:vAlign w:val="bottom"/>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432"/>
        </w:trPr>
        <w:tc>
          <w:tcPr>
            <w:tcW w:w="1300" w:type="dxa"/>
            <w:vAlign w:val="bottom"/>
          </w:tcPr>
          <w:p>
            <w:pPr>
              <w:spacing w:after="0"/>
              <w:rPr>
                <w:sz w:val="24"/>
                <w:szCs w:val="24"/>
                <w:color w:val="auto"/>
              </w:rPr>
            </w:pPr>
          </w:p>
        </w:tc>
        <w:tc>
          <w:tcPr>
            <w:tcW w:w="7400" w:type="dxa"/>
            <w:vAlign w:val="bottom"/>
            <w:gridSpan w:val="11"/>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54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F-35</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-9385935</wp:posOffset>
            </wp:positionV>
            <wp:extent cx="1371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-9385935</wp:posOffset>
            </wp:positionV>
            <wp:extent cx="137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-9385935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114" w:right="439" w:bottom="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7"/>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1"/>
        </w:trPr>
        <w:tc>
          <w:tcPr>
            <w:tcW w:w="5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(refunded from) paid for income taxes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24"/>
        </w:trPr>
        <w:tc>
          <w:tcPr>
            <w:tcW w:w="5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for acquisitions</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$28,725</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 financing</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assumed in connection with acquisition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$1,386</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$1,041</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 liability recognized in connection with acquisition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 assumed from the Business 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$193,978</w:t>
            </w:r>
          </w:p>
        </w:tc>
      </w:tr>
      <w:tr>
        <w:trPr>
          <w:trHeight w:val="252"/>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recognized in connection with the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$128,567</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2"/>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recognized in connection with the Business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6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$151,255</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assumed from the 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-3136900</wp:posOffset>
            </wp:positionV>
            <wp:extent cx="2057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-3136900</wp:posOffset>
            </wp:positionV>
            <wp:extent cx="2057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-3136900</wp:posOffset>
            </wp:positionV>
            <wp:extent cx="1028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348"/>
        <w:spacing w:after="0"/>
        <w:tabs>
          <w:tab w:leader="none" w:pos="6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29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0" w:name="page171"/>
    <w:bookmarkEnd w:id="17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$48,007</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$22,500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$52,155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40" w:type="dxa"/>
            <w:vAlign w:val="bottom"/>
          </w:tcPr>
          <w:p>
            <w:pPr>
              <w:spacing w:after="0"/>
              <w:rPr>
                <w:sz w:val="16"/>
                <w:szCs w:val="1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$50,852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$48,423</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$98,859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$19,208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$16,779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$41,708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$47,069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$44,640</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$99,224</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860" w:type="dxa"/>
            <w:vAlign w:val="bottom"/>
            <w:tcBorders>
              <w:bottom w:val="single" w:sz="8" w:color="auto"/>
            </w:tcBorders>
            <w:gridSpan w:val="4"/>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4"/>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$47,725</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$46,687</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$146,584</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$19,189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$18,151</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$ 60,897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$53,273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$52,235</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$152,497</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-3291205</wp:posOffset>
            </wp:positionV>
            <wp:extent cx="137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-3291205</wp:posOffset>
            </wp:positionV>
            <wp:extent cx="137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-3291205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-1962150</wp:posOffset>
            </wp:positionV>
            <wp:extent cx="1200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-1962150</wp:posOffset>
            </wp:positionV>
            <wp:extent cx="1200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-1962150</wp:posOffset>
            </wp:positionV>
            <wp:extent cx="1200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-1962150</wp:posOffset>
            </wp:positionV>
            <wp:extent cx="1200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-1962150</wp:posOffset>
            </wp:positionV>
            <wp:extent cx="1200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-1962150</wp:posOffset>
            </wp:positionV>
            <wp:extent cx="60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-633730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-633730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-633730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-633730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-633730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-633730</wp:posOffset>
            </wp:positionV>
            <wp:extent cx="342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360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86</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13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$ 3,605</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8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-3042285</wp:posOffset>
            </wp:positionV>
            <wp:extent cx="12001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-3042285</wp:posOffset>
            </wp:positionV>
            <wp:extent cx="12001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-3042285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-1379220</wp:posOffset>
            </wp:positionV>
            <wp:extent cx="1200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-1379220</wp:posOffset>
            </wp:positionV>
            <wp:extent cx="1200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-1379220</wp:posOffset>
            </wp:positionV>
            <wp:extent cx="603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20"/>
          </w:cols>
          <w:pgMar w:left="440" w:top="263" w:right="439" w:bottom="946"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5900" w:type="dxa"/>
            <w:vAlign w:val="bottom"/>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-934085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-934085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-934085</wp:posOffset>
            </wp:positionV>
            <wp:extent cx="342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360" w:type="dxa"/>
            <w:vAlign w:val="bottom"/>
            <w:gridSpan w:val="1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0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0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60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year</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$12,232</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tcPr>
          <w:p>
            <w:pPr>
              <w:spacing w:after="0"/>
              <w:rPr>
                <w:sz w:val="23"/>
                <w:szCs w:val="23"/>
                <w:color w:val="auto"/>
              </w:rPr>
            </w:pPr>
          </w:p>
        </w:tc>
      </w:tr>
      <w:tr>
        <w:trPr>
          <w:trHeight w:val="54"/>
        </w:trPr>
        <w:tc>
          <w:tcPr>
            <w:tcW w:w="6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(10,153)</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8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$ 8,748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-831215</wp:posOffset>
            </wp:positionV>
            <wp:extent cx="1200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-831215</wp:posOffset>
            </wp:positionV>
            <wp:extent cx="1200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-831215</wp:posOffset>
            </wp:positionV>
            <wp:extent cx="603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w:t>
      </w:r>
    </w:p>
    <w:p>
      <w:pPr>
        <w:spacing w:after="0" w:line="1" w:lineRule="exact"/>
        <w:rPr>
          <w:sz w:val="20"/>
          <w:szCs w:val="20"/>
          <w:color w:val="auto"/>
        </w:rPr>
      </w:pPr>
    </w:p>
    <w:p>
      <w:pPr>
        <w:jc w:val="both"/>
        <w:ind w:left="300" w:right="299" w:hanging="8"/>
        <w:spacing w:after="0" w:line="251" w:lineRule="auto"/>
        <w:tabs>
          <w:tab w:leader="none" w:pos="59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9, “Goodwill and Intangible Assets,” to these consolidated financial statements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impairment charges of ROU assets are included in asset impairment charges in the consolidated statements of operations. See Note 4, “Leases,” to these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$126,546</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$149,621</w:t>
            </w: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$138,480</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Weedmaps for Business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42,611</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173,276</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181,091</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61"/>
        </w:trPr>
        <w:tc>
          <w:tcPr>
            <w:tcW w:w="6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310"/>
        </w:trPr>
        <w:tc>
          <w:tcPr>
            <w:tcW w:w="6180" w:type="dxa"/>
            <w:vAlign w:val="bottom"/>
          </w:tcPr>
          <w:p>
            <w:pPr>
              <w:ind w:left="360"/>
              <w:spacing w:after="0" w:line="31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187,993</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215,531</w:t>
            </w:r>
          </w:p>
        </w:tc>
        <w:tc>
          <w:tcPr>
            <w:tcW w:w="10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-1276985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-1276985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-1276985</wp:posOffset>
            </wp:positionV>
            <wp:extent cx="342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left="640" w:right="299" w:hanging="348"/>
        <w:spacing w:after="0" w:line="241" w:lineRule="auto"/>
        <w:tabs>
          <w:tab w:leader="none" w:pos="6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31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176" w:lineRule="exact"/>
        <w:rPr>
          <w:sz w:val="20"/>
          <w:szCs w:val="20"/>
          <w:color w:val="auto"/>
        </w:rPr>
      </w:pPr>
    </w:p>
    <w:p>
      <w:pPr>
        <w:ind w:left="640" w:hanging="348"/>
        <w:spacing w:after="0"/>
        <w:tabs>
          <w:tab w:leader="none" w:pos="6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components of lease related costs, net for the years ended December 31, 2023, 2022 and 2021 are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$7,208</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$7,537</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$ 9,229</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11,446</w:t>
            </w: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8,846</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9,074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11,534</w:t>
            </w: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-1079500</wp:posOffset>
            </wp:positionV>
            <wp:extent cx="15430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-1079500</wp:posOffset>
            </wp:positionV>
            <wp:extent cx="17145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-1079500</wp:posOffset>
            </wp:positionV>
            <wp:extent cx="857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years ended December 31, 2023, 2022 and 2021, the Company recorded rent income 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14"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 sublease of $2.2 million, $1.9 million and $0.2 million, respectively. 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payments for the next five years and thereafter are as follows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50"/>
        </w:trPr>
        <w:tc>
          <w:tcPr>
            <w:tcW w:w="7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8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(11,923)</w:t>
            </w:r>
          </w:p>
        </w:tc>
      </w:tr>
      <w:tr>
        <w:trPr>
          <w:trHeight w:val="74"/>
        </w:trPr>
        <w:tc>
          <w:tcPr>
            <w:tcW w:w="77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8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-2091055</wp:posOffset>
            </wp:positionV>
            <wp:extent cx="137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Costs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a roll forward of employee termination costs:</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90"/>
        </w:trPr>
        <w:tc>
          <w:tcPr>
            <w:tcW w:w="7280" w:type="dxa"/>
            <w:vAlign w:val="bottom"/>
          </w:tcPr>
          <w:p>
            <w:pPr>
              <w:spacing w:after="0"/>
              <w:rPr>
                <w:sz w:val="16"/>
                <w:szCs w:val="16"/>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Costs</w:t>
            </w:r>
          </w:p>
        </w:tc>
      </w:tr>
      <w:tr>
        <w:trPr>
          <w:trHeight w:val="51"/>
        </w:trPr>
        <w:tc>
          <w:tcPr>
            <w:tcW w:w="7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January 1, 2022</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8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3,646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paid</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Pr>
          <w:p>
            <w:pPr>
              <w:spacing w:after="0"/>
              <w:rPr>
                <w:sz w:val="23"/>
                <w:szCs w:val="23"/>
                <w:color w:val="auto"/>
              </w:rPr>
            </w:pPr>
          </w:p>
        </w:tc>
      </w:tr>
      <w:tr>
        <w:trPr>
          <w:trHeight w:val="48"/>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4"/>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7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-1490980</wp:posOffset>
            </wp:positionV>
            <wp:extent cx="1200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Employee termination costs are included in general and administrative expenses on the consolidated statements of operations.</w:t>
      </w:r>
    </w:p>
    <w:p>
      <w:pPr>
        <w:spacing w:after="0" w:line="158" w:lineRule="exact"/>
        <w:rPr>
          <w:sz w:val="20"/>
          <w:szCs w:val="20"/>
          <w:color w:val="auto"/>
        </w:rPr>
      </w:pPr>
    </w:p>
    <w:p>
      <w:pPr>
        <w:ind w:left="640" w:hanging="348"/>
        <w:spacing w:after="0"/>
        <w:tabs>
          <w:tab w:leader="none" w:pos="6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2" w:name="page183"/>
    <w:bookmarkEnd w:id="18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84"/>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r>
      <w:tr>
        <w:trPr>
          <w:trHeight w:val="40"/>
        </w:trPr>
        <w:tc>
          <w:tcPr>
            <w:tcW w:w="5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1"/>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w:t>
            </w: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-762635</wp:posOffset>
            </wp:positionV>
            <wp:extent cx="10287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-762635</wp:posOffset>
            </wp:positionV>
            <wp:extent cx="11176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-762635</wp:posOffset>
            </wp:positionV>
            <wp:extent cx="6032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2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375</w:t>
            </w:r>
          </w:p>
        </w:tc>
        <w:tc>
          <w:tcPr>
            <w:tcW w:w="4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8"/>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2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9"/>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76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7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$ 16,750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$10,710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$ 27,460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(15,500)</w:t>
            </w:r>
          </w:p>
        </w:tc>
        <w:tc>
          <w:tcPr>
            <w:tcW w:w="40" w:type="dxa"/>
            <w:vAlign w:val="bottom"/>
          </w:tcPr>
          <w:p>
            <w:pPr>
              <w:spacing w:after="0"/>
              <w:rPr>
                <w:sz w:val="22"/>
                <w:szCs w:val="22"/>
                <w:color w:val="auto"/>
              </w:rPr>
            </w:pP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-1979295</wp:posOffset>
            </wp:positionV>
            <wp:extent cx="18859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-1979295</wp:posOffset>
            </wp:positionV>
            <wp:extent cx="1885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-1979295</wp:posOffset>
            </wp:positionV>
            <wp:extent cx="939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-607695</wp:posOffset>
            </wp:positionV>
            <wp:extent cx="1714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-607695</wp:posOffset>
            </wp:positionV>
            <wp:extent cx="17145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-607695</wp:posOffset>
            </wp:positionV>
            <wp:extent cx="857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2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3.46</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60" w:type="dxa"/>
            <w:vAlign w:val="bottom"/>
            <w:gridSpan w:val="2"/>
          </w:tcPr>
          <w:p>
            <w:pPr>
              <w:jc w:val="right"/>
              <w:ind w:right="1908"/>
              <w:spacing w:after="0"/>
              <w:rPr>
                <w:sz w:val="20"/>
                <w:szCs w:val="20"/>
                <w:color w:val="auto"/>
              </w:rPr>
            </w:pPr>
            <w:r>
              <w:rPr>
                <w:rFonts w:ascii="Times New Roman" w:cs="Times New Roman" w:eastAsia="Times New Roman" w:hAnsi="Times New Roman"/>
                <w:sz w:val="18"/>
                <w:szCs w:val="18"/>
                <w:color w:val="auto"/>
              </w:rPr>
              <w:t>F-51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-1379220</wp:posOffset>
            </wp:positionV>
            <wp:extent cx="1028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-1379220</wp:posOffset>
            </wp:positionV>
            <wp:extent cx="514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3" w:right="439" w:bottom="501"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54" w:lineRule="exact"/>
        <w:rPr>
          <w:sz w:val="20"/>
          <w:szCs w:val="20"/>
          <w:color w:val="auto"/>
        </w:rPr>
      </w:pPr>
    </w:p>
    <w:p>
      <w:pPr>
        <w:ind w:left="1000" w:right="319" w:hanging="348"/>
        <w:spacing w:after="0" w:line="282"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statements of cash flows and the consolidated statements of equity for the year ended December 31, 2021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37"/>
        </w:trPr>
        <w:tc>
          <w:tcPr>
            <w:tcW w:w="7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Silver Spike trust and cash, net of redemptions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$ 254,203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325,000</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paid to Legacy WMH equity holders</w:t>
            </w:r>
          </w:p>
        </w:tc>
        <w:tc>
          <w:tcPr>
            <w:tcW w:w="11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(455,182)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(44,052)</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79,969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initial fair value of warrant liability recognized in the Business Combination</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transaction costs allocated to Warrants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 non-cash assets assumed from Silver Spike</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tax asset</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151,255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tax receivable agreement liability</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20" w:type="dxa"/>
            <w:vAlign w:val="bottom"/>
          </w:tcPr>
          <w:p>
            <w:pPr>
              <w:spacing w:after="0"/>
              <w:rPr>
                <w:sz w:val="19"/>
                <w:szCs w:val="19"/>
                <w:color w:val="auto"/>
              </w:rPr>
            </w:pP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 to total equity from the Business Combination</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(84,721)</w:t>
            </w:r>
          </w:p>
        </w:tc>
        <w:tc>
          <w:tcPr>
            <w:tcW w:w="20" w:type="dxa"/>
            <w:vAlign w:val="bottom"/>
            <w:shd w:val="clear" w:color="auto" w:fill="CCEEFF"/>
          </w:tcPr>
          <w:p>
            <w:pPr>
              <w:spacing w:after="0"/>
              <w:rPr>
                <w:sz w:val="24"/>
                <w:szCs w:val="24"/>
                <w:color w:val="auto"/>
              </w:rPr>
            </w:pPr>
          </w:p>
        </w:tc>
      </w:tr>
      <w:tr>
        <w:trPr>
          <w:trHeight w:val="324"/>
        </w:trPr>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Closing:</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638"/>
        </w:trPr>
        <w:tc>
          <w:tcPr>
            <w:tcW w:w="7280" w:type="dxa"/>
            <w:vAlign w:val="bottom"/>
          </w:tcPr>
          <w:p>
            <w:pPr>
              <w:spacing w:after="0"/>
              <w:rPr>
                <w:sz w:val="24"/>
                <w:szCs w:val="24"/>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50"/>
        </w:trPr>
        <w:tc>
          <w:tcPr>
            <w:tcW w:w="7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the Business Combination</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24,998,575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shares of Silver Spike’s Class A common stock</w:t>
            </w: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10,012</w:t>
            </w:r>
          </w:p>
        </w:tc>
        <w:tc>
          <w:tcPr>
            <w:tcW w:w="20" w:type="dxa"/>
            <w:vAlign w:val="bottom"/>
          </w:tcPr>
          <w:p>
            <w:pPr>
              <w:spacing w:after="0"/>
              <w:rPr>
                <w:sz w:val="22"/>
                <w:szCs w:val="22"/>
                <w:color w:val="auto"/>
              </w:rPr>
            </w:pPr>
          </w:p>
        </w:tc>
      </w:tr>
      <w:tr>
        <w:trPr>
          <w:trHeight w:val="61"/>
        </w:trPr>
        <w:tc>
          <w:tcPr>
            <w:tcW w:w="7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Silver Spike’s Class A common stock</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24,988,563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held by Silver Spike’s Sponsor</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 in the PIPE Financing</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issued in the Business Combination</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V Common Stock issued to Legacy WMH equity holders</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issued in the Business Combination</w:t>
            </w:r>
          </w:p>
        </w:tc>
        <w:tc>
          <w:tcPr>
            <w:tcW w:w="12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129,240,910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-4319905</wp:posOffset>
            </wp:positionV>
            <wp:extent cx="1543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-1679575</wp:posOffset>
            </wp:positionV>
            <wp:extent cx="431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Eyechronic</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Eyechronic were recorded at their acquisition date fair values.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7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24"/>
                <w:szCs w:val="24"/>
                <w:color w:val="auto"/>
              </w:rPr>
            </w:pPr>
          </w:p>
        </w:tc>
      </w:tr>
      <w:tr>
        <w:trPr>
          <w:trHeight w:val="311"/>
        </w:trPr>
        <w:tc>
          <w:tcPr>
            <w:tcW w:w="782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0" w:type="dxa"/>
            <w:vAlign w:val="bottom"/>
          </w:tcPr>
          <w:p>
            <w:pPr>
              <w:spacing w:after="0"/>
              <w:rPr>
                <w:sz w:val="24"/>
                <w:szCs w:val="24"/>
                <w:color w:val="auto"/>
              </w:rPr>
            </w:pPr>
          </w:p>
        </w:tc>
      </w:tr>
      <w:tr>
        <w:trPr>
          <w:trHeight w:val="48"/>
        </w:trPr>
        <w:tc>
          <w:tcPr>
            <w:tcW w:w="7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r>
      <w:tr>
        <w:trPr>
          <w:trHeight w:val="34"/>
        </w:trPr>
        <w:tc>
          <w:tcPr>
            <w:tcW w:w="7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settlement of pre-existing accounts payable with Eyechronic and holdback of $0.1 million recorded within other current liabilities on the Company’s accompanying consolidated balance sheets.</w:t>
      </w:r>
    </w:p>
    <w:p>
      <w:pPr>
        <w:ind w:left="640" w:right="319" w:hanging="348"/>
        <w:spacing w:after="0" w:line="261" w:lineRule="auto"/>
        <w:tabs>
          <w:tab w:leader="none" w:pos="6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Estimated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2146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Assets acquired:</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0"/>
                <w:szCs w:val="20"/>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 Backlog</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31,658</w:t>
            </w:r>
          </w:p>
        </w:tc>
        <w:tc>
          <w:tcPr>
            <w:tcW w:w="20" w:type="dxa"/>
            <w:vAlign w:val="bottom"/>
            <w:shd w:val="clear" w:color="auto" w:fill="CCEEFF"/>
          </w:tcPr>
          <w:p>
            <w:pPr>
              <w:spacing w:after="0"/>
              <w:rPr>
                <w:sz w:val="23"/>
                <w:szCs w:val="23"/>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(2,236)</w:t>
            </w: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c>
          <w:tcPr>
            <w:tcW w:w="20" w:type="dxa"/>
            <w:vAlign w:val="bottom"/>
            <w:shd w:val="clear" w:color="auto" w:fill="CCEEFF"/>
          </w:tcPr>
          <w:p>
            <w:pPr>
              <w:spacing w:after="0"/>
              <w:rPr>
                <w:sz w:val="23"/>
                <w:szCs w:val="23"/>
                <w:color w:val="auto"/>
              </w:rPr>
            </w:pPr>
          </w:p>
        </w:tc>
      </w:tr>
      <w:tr>
        <w:trPr>
          <w:trHeight w:val="48"/>
        </w:trPr>
        <w:tc>
          <w:tcPr>
            <w:tcW w:w="7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 intangible assets and $2.6 million related to property and equipment associated with the sunset of WM Screens, which is included in asset impairment charges in the consolidated statements of operations.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Transport Logistics Holding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228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4"/>
                <w:szCs w:val="24"/>
                <w:color w:val="auto"/>
              </w:rPr>
            </w:pPr>
          </w:p>
        </w:tc>
      </w:tr>
      <w:tr>
        <w:trPr>
          <w:trHeight w:val="323"/>
        </w:trPr>
        <w:tc>
          <w:tcPr>
            <w:tcW w:w="782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r>
        <w:trPr>
          <w:trHeight w:val="371"/>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 acquired</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holdback of $1.0 million, which was paid during the second quarter of 2022.</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Sprout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400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776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0" w:type="dxa"/>
            <w:vAlign w:val="bottom"/>
            <w:shd w:val="clear" w:color="auto" w:fill="CCEEFF"/>
          </w:tcPr>
          <w:p>
            <w:pPr>
              <w:spacing w:after="0"/>
              <w:rPr>
                <w:sz w:val="24"/>
                <w:szCs w:val="24"/>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31,186</w:t>
            </w:r>
          </w:p>
        </w:tc>
      </w:tr>
      <w:tr>
        <w:trPr>
          <w:trHeight w:val="372"/>
        </w:trPr>
        <w:tc>
          <w:tcPr>
            <w:tcW w:w="7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$ 2,973</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31,186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right="319" w:hanging="348"/>
        <w:spacing w:after="0" w:line="261" w:lineRule="auto"/>
        <w:tabs>
          <w:tab w:leader="none" w:pos="6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pacing w:after="0" w:line="5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CRM, a product offering associated with the acquisition of Sprout, as the Company continues to focus the efforts on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Weedmaps for Business products that support the Weedmaps marketplace and improve the eCommerce experience for the Company’s clients and users. For the 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172" w:lineRule="exact"/>
        <w:rPr>
          <w:sz w:val="20"/>
          <w:szCs w:val="20"/>
          <w:color w:val="auto"/>
        </w:rPr>
      </w:pPr>
    </w:p>
    <w:p>
      <w:pPr>
        <w:ind w:left="1640" w:hanging="348"/>
        <w:spacing w:after="0"/>
        <w:tabs>
          <w:tab w:leader="none" w:pos="16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December 31, 2023 and 2022. No goodwill impairment charges were recorded for the years ended December 31, 2023, 2022 and 2021.</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presented below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rPr>
              <w:t>$2,248</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760" w:type="dxa"/>
            <w:vAlign w:val="bottom"/>
            <w:gridSpan w:val="3"/>
          </w:tcPr>
          <w:p>
            <w:pPr>
              <w:jc w:val="center"/>
              <w:ind w:left="394"/>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(5,168)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center"/>
              <w:ind w:left="7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3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$ 7,635</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$ 2,936</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800" w:type="dxa"/>
            <w:vAlign w:val="bottom"/>
            <w:gridSpan w:val="4"/>
          </w:tcPr>
          <w:p>
            <w:pPr>
              <w:jc w:val="center"/>
              <w:ind w:left="314"/>
              <w:spacing w:after="0"/>
              <w:rPr>
                <w:sz w:val="20"/>
                <w:szCs w:val="20"/>
                <w:color w:val="auto"/>
              </w:rPr>
            </w:pPr>
            <w:r>
              <w:rPr>
                <w:rFonts w:ascii="Times New Roman" w:cs="Times New Roman" w:eastAsia="Times New Roman" w:hAnsi="Times New Roman"/>
                <w:sz w:val="18"/>
                <w:szCs w:val="18"/>
                <w:color w:val="auto"/>
                <w:w w:val="98"/>
              </w:rPr>
              <w:t>7,516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5,211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00" w:type="dxa"/>
            <w:vAlign w:val="bottom"/>
            <w:gridSpan w:val="4"/>
          </w:tcPr>
          <w:p>
            <w:pPr>
              <w:jc w:val="center"/>
              <w:ind w:left="134"/>
              <w:spacing w:after="0"/>
              <w:rPr>
                <w:sz w:val="20"/>
                <w:szCs w:val="20"/>
                <w:color w:val="auto"/>
              </w:rPr>
            </w:pPr>
            <w:r>
              <w:rPr>
                <w:rFonts w:ascii="Times New Roman" w:cs="Times New Roman" w:eastAsia="Times New Roman" w:hAnsi="Times New Roman"/>
                <w:sz w:val="18"/>
                <w:szCs w:val="18"/>
                <w:color w:val="auto"/>
              </w:rPr>
              <w:t>$   210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2"/>
                <w:szCs w:val="22"/>
                <w:color w:val="auto"/>
              </w:rPr>
            </w:pPr>
          </w:p>
        </w:tc>
        <w:tc>
          <w:tcPr>
            <w:tcW w:w="106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20,572</w:t>
            </w: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(10,233)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10,339</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9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-2459355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-2459355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-2459355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-2459355</wp:posOffset>
            </wp:positionV>
            <wp:extent cx="342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-934085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-934085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-934085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-934085</wp:posOffset>
            </wp:positionV>
            <wp:extent cx="342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4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130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48"/>
        </w:trPr>
        <w:tc>
          <w:tcPr>
            <w:tcW w:w="1300" w:type="dxa"/>
            <w:vAlign w:val="bottom"/>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760" w:type="dxa"/>
            <w:vAlign w:val="bottom"/>
            <w:gridSpan w:val="2"/>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2,507</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9"/>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gridSpan w:val="3"/>
          </w:tcPr>
          <w:p>
            <w:pPr>
              <w:jc w:val="right"/>
              <w:ind w:right="3430"/>
              <w:spacing w:after="0"/>
              <w:rPr>
                <w:sz w:val="20"/>
                <w:szCs w:val="20"/>
                <w:color w:val="auto"/>
              </w:rPr>
            </w:pPr>
            <w:r>
              <w:rPr>
                <w:rFonts w:ascii="Times New Roman" w:cs="Times New Roman" w:eastAsia="Times New Roman" w:hAnsi="Times New Roman"/>
                <w:sz w:val="18"/>
                <w:szCs w:val="18"/>
                <w:color w:val="auto"/>
              </w:rPr>
              <w:t>F-57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-1851025</wp:posOffset>
            </wp:positionV>
            <wp:extent cx="774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3" w:right="439" w:bottom="447"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00" w:right="2179" w:firstLine="1832"/>
        <w:spacing w:after="0" w:line="26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10. Prepaid Expenses and Other Current Assets</w:t>
      </w:r>
    </w:p>
    <w:p>
      <w:pPr>
        <w:spacing w:after="0" w:line="7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as of</w:t>
            </w:r>
          </w:p>
        </w:tc>
        <w:tc>
          <w:tcPr>
            <w:tcW w:w="3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December 31, 2023 and 2022 consisted</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of the following</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25"/>
        </w:trPr>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384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311"/>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180" w:type="dxa"/>
            <w:vAlign w:val="bottom"/>
            <w:tcBorders>
              <w:bottom w:val="single" w:sz="8" w:color="CCEEFF"/>
            </w:tcBorders>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$1,530</w:t>
            </w:r>
          </w:p>
        </w:tc>
        <w:tc>
          <w:tcPr>
            <w:tcW w:w="14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$2,869</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40" w:type="dxa"/>
            <w:vAlign w:val="bottom"/>
          </w:tcPr>
          <w:p>
            <w:pPr>
              <w:spacing w:after="0"/>
              <w:rPr>
                <w:sz w:val="23"/>
                <w:szCs w:val="23"/>
                <w:color w:val="auto"/>
              </w:rPr>
            </w:pPr>
          </w:p>
        </w:tc>
      </w:tr>
      <w:tr>
        <w:trPr>
          <w:trHeight w:val="54"/>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3"/>
                <w:szCs w:val="23"/>
                <w:color w:val="auto"/>
              </w:rPr>
            </w:pPr>
          </w:p>
        </w:tc>
      </w:tr>
      <w:tr>
        <w:trPr>
          <w:trHeight w:val="48"/>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83"/>
        </w:trPr>
        <w:tc>
          <w:tcPr>
            <w:tcW w:w="3840" w:type="dxa"/>
            <w:vAlign w:val="bottom"/>
            <w:shd w:val="clear" w:color="auto" w:fill="CCEEFF"/>
          </w:tcPr>
          <w:p>
            <w:pPr>
              <w:spacing w:after="0"/>
              <w:rPr>
                <w:sz w:val="24"/>
                <w:szCs w:val="24"/>
                <w:color w:val="auto"/>
              </w:rPr>
            </w:pPr>
          </w:p>
        </w:tc>
        <w:tc>
          <w:tcPr>
            <w:tcW w:w="3180" w:type="dxa"/>
            <w:vAlign w:val="bottom"/>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c>
          <w:tcPr>
            <w:tcW w:w="14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8,962</w:t>
            </w:r>
          </w:p>
        </w:tc>
      </w:tr>
      <w:tr>
        <w:trPr>
          <w:trHeight w:val="34"/>
        </w:trPr>
        <w:tc>
          <w:tcPr>
            <w:tcW w:w="38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371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-1062355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14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as of December 31, 2023 and 2022 consisted of the following (in thousands):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$ 9,561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48"/>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84"/>
        </w:trPr>
        <w:tc>
          <w:tcPr>
            <w:tcW w:w="58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33,635</w:t>
            </w:r>
          </w:p>
        </w:tc>
        <w:tc>
          <w:tcPr>
            <w:tcW w:w="280" w:type="dxa"/>
            <w:vAlign w:val="bottom"/>
            <w:shd w:val="clear" w:color="auto" w:fill="CCEEFF"/>
          </w:tcPr>
          <w:p>
            <w:pPr>
              <w:spacing w:after="0"/>
              <w:rPr>
                <w:sz w:val="24"/>
                <w:szCs w:val="24"/>
                <w:color w:val="auto"/>
              </w:rPr>
            </w:pPr>
          </w:p>
        </w:tc>
      </w:tr>
      <w:tr>
        <w:trPr>
          <w:trHeight w:val="34"/>
        </w:trPr>
        <w:tc>
          <w:tcPr>
            <w:tcW w:w="5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37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-650875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December 31, 2023,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described in Note 2) and are recorded as liabilities. Upon the Closing, the fair value of the Warrants was recorded on the balance sheet. The fair value of the Warrants is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periods presented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15,125,429</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(75,922)</w:t>
            </w:r>
          </w:p>
        </w:tc>
        <w:tc>
          <w:tcPr>
            <w:tcW w:w="80" w:type="dxa"/>
            <w:vAlign w:val="bottom"/>
          </w:tcPr>
          <w:p>
            <w:pPr>
              <w:spacing w:after="0"/>
              <w:rPr>
                <w:sz w:val="23"/>
                <w:szCs w:val="23"/>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(245,000)</w:t>
            </w:r>
          </w:p>
        </w:tc>
      </w:tr>
      <w:tr>
        <w:trPr>
          <w:trHeight w:val="28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14,804,507</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14,723,936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4"/>
        </w:trPr>
        <w:tc>
          <w:tcPr>
            <w:tcW w:w="7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-1079500</wp:posOffset>
            </wp:positionV>
            <wp:extent cx="1117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6,269,868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6,634,013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(2,245,844)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(2,974,439)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PRSU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859,375</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60" w:type="dxa"/>
            <w:vAlign w:val="bottom"/>
          </w:tcPr>
          <w:p>
            <w:pPr>
              <w:spacing w:after="0"/>
              <w:rPr>
                <w:sz w:val="23"/>
                <w:szCs w:val="23"/>
                <w:color w:val="auto"/>
              </w:rPr>
            </w:pPr>
          </w:p>
        </w:tc>
        <w:tc>
          <w:tcPr>
            <w:tcW w:w="11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tcPr>
          <w:p>
            <w:pPr>
              <w:spacing w:after="0"/>
              <w:rPr>
                <w:sz w:val="22"/>
                <w:szCs w:val="22"/>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7"/>
        </w:trPr>
        <w:tc>
          <w:tcPr>
            <w:tcW w:w="5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5430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7747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consolidated statements of operations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8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13"/>
        </w:trPr>
        <w:tc>
          <w:tcPr>
            <w:tcW w:w="58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8"/>
                <w:szCs w:val="18"/>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7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$ 6,358</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$ 6,021</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shd w:val="clear" w:color="auto" w:fill="CCEEFF"/>
          </w:tcPr>
          <w:p>
            <w:pPr>
              <w:spacing w:after="0"/>
              <w:rPr>
                <w:sz w:val="24"/>
                <w:szCs w:val="24"/>
                <w:color w:val="auto"/>
              </w:rPr>
            </w:pPr>
          </w:p>
        </w:tc>
      </w:tr>
      <w:tr>
        <w:trPr>
          <w:trHeight w:val="270"/>
        </w:trPr>
        <w:tc>
          <w:tcPr>
            <w:tcW w:w="5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40" w:type="dxa"/>
            <w:vAlign w:val="bottom"/>
            <w:tcBorders>
              <w:top w:val="single" w:sz="8" w:color="CCEEFF"/>
            </w:tcBorders>
          </w:tcPr>
          <w:p>
            <w:pPr>
              <w:spacing w:after="0"/>
              <w:rPr>
                <w:sz w:val="23"/>
                <w:szCs w:val="23"/>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14,901</w:t>
            </w:r>
          </w:p>
        </w:tc>
        <w:tc>
          <w:tcPr>
            <w:tcW w:w="4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4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-1104900</wp:posOffset>
            </wp:positionV>
            <wp:extent cx="25717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-1104900</wp:posOffset>
            </wp:positionV>
            <wp:extent cx="25717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-1104900</wp:posOffset>
            </wp:positionV>
            <wp:extent cx="1289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5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(82,651)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152,218</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attributable to WMH prior to the Business Combination</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15,078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after the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Business Combination</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76,757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basic</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60,383</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Public and Private Placement Warrants, net of</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72,483</w:t>
            </w: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37"/>
        </w:trPr>
        <w:tc>
          <w:tcPr>
            <w:tcW w:w="5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4"/>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65,013,517</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4"/>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warrants¹</w:t>
            </w:r>
          </w:p>
        </w:tc>
        <w:tc>
          <w:tcPr>
            <w:tcW w:w="80" w:type="dxa"/>
            <w:vAlign w:val="bottom"/>
          </w:tcPr>
          <w:p>
            <w:pPr>
              <w:spacing w:after="0"/>
              <w:rPr>
                <w:sz w:val="19"/>
                <w:szCs w:val="19"/>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1,153,782</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warrants¹</w:t>
            </w:r>
          </w:p>
        </w:tc>
        <w:tc>
          <w:tcPr>
            <w:tcW w:w="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646,118</w:t>
            </w:r>
          </w:p>
        </w:tc>
        <w:tc>
          <w:tcPr>
            <w:tcW w:w="60" w:type="dxa"/>
            <w:vAlign w:val="bottom"/>
            <w:shd w:val="clear" w:color="auto" w:fill="CCEEFF"/>
          </w:tcPr>
          <w:p>
            <w:pPr>
              <w:spacing w:after="0"/>
              <w:rPr>
                <w:sz w:val="19"/>
                <w:szCs w:val="19"/>
                <w:color w:val="auto"/>
              </w:rPr>
            </w:pP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4"/>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66,813,417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of Class A Common Stock:</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7"/>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0.93</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37"/>
        </w:trPr>
        <w:tc>
          <w:tcPr>
            <w:tcW w:w="5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-3274060</wp:posOffset>
            </wp:positionV>
            <wp:extent cx="17145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-3274060</wp:posOffset>
            </wp:positionV>
            <wp:extent cx="17145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-3274060</wp:posOffset>
            </wp:positionV>
            <wp:extent cx="857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09"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7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V Shares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55,486,361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65,502,347</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Class P Units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14,804,507</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15,125,429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25,660,529</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RSUs outstanding</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7,683,598</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6,269,868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6,398,707</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PRSUs outstanding</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234,375</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859,375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2,437,500</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12,499,973</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12,499,973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holdback shares</w:t>
            </w:r>
          </w:p>
        </w:tc>
        <w:tc>
          <w:tcPr>
            <w:tcW w:w="20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677,847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0"/>
        </w:trPr>
        <w:tc>
          <w:tcPr>
            <w:tcW w:w="384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-1182370</wp:posOffset>
            </wp:positionV>
            <wp:extent cx="12001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-1182370</wp:posOffset>
            </wp:positionV>
            <wp:extent cx="12001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-1182370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income (loss) before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6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2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$97,639</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$151,987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48"/>
        </w:trPr>
        <w:tc>
          <w:tcPr>
            <w:tcW w:w="3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96,426</w:t>
            </w:r>
          </w:p>
        </w:tc>
        <w:tc>
          <w:tcPr>
            <w:tcW w:w="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151,617</w:t>
            </w:r>
          </w:p>
        </w:tc>
      </w:tr>
      <w:tr>
        <w:trPr>
          <w:trHeight w:val="48"/>
        </w:trPr>
        <w:tc>
          <w:tcPr>
            <w:tcW w:w="384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-565150</wp:posOffset>
            </wp:positionV>
            <wp:extent cx="22288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-565150</wp:posOffset>
            </wp:positionV>
            <wp:extent cx="22288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-565150</wp:posOffset>
            </wp:positionV>
            <wp:extent cx="1117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60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
        </w:trPr>
        <w:tc>
          <w:tcPr>
            <w:tcW w:w="60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1"/>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8"/>
                <w:szCs w:val="18"/>
                <w:color w:val="auto"/>
              </w:rPr>
            </w:pP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131,766</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(508)</w:t>
            </w:r>
          </w:p>
        </w:tc>
      </w:tr>
      <w:tr>
        <w:trPr>
          <w:trHeight w:val="223"/>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47,652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(334)</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6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179,418</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(842)</w:t>
            </w: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93</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179,077</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(601)</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-1936750</wp:posOffset>
            </wp:positionV>
            <wp:extent cx="2743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-1936750</wp:posOffset>
            </wp:positionV>
            <wp:extent cx="2743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-1936750</wp:posOffset>
            </wp:positionV>
            <wp:extent cx="1371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326"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2022 to 2023 is due to the continuation of recording a full valuation allowance on our deferred tax assets as of December 31, 2023, and continued remeasurement of the related TRA liability.</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2021 to 2022 is due to the recording of a full valuation allowance on our deferred tax assets as of December 31, 2022 and remeasurement of the related TRA liability. In previous periods, the provision/(benefit) was also impacted by the Business Combination and settlement of a foreign income tax examination.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1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8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27"/>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1"/>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$(3,283)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$ 20,249</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$ 31,844</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State blended statutory rate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taxed to owners of noncontrolling interests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(11,285)</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(21,762)</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impact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(3,718)</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(2,514)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Holdback Share Release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revaluation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(20,462)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8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179,077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3"/>
                <w:szCs w:val="23"/>
                <w:color w:val="auto"/>
              </w:rPr>
            </w:pPr>
          </w:p>
        </w:tc>
      </w:tr>
      <w:tr>
        <w:trPr>
          <w:trHeight w:val="61"/>
        </w:trPr>
        <w:tc>
          <w:tcPr>
            <w:tcW w:w="58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Borders>
              <w:bottom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8"/>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21"/>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   December 31, 2022</w:t>
            </w: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$ 129,297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$ 133,569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37,021</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carryovers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7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gridSpan w:val="8"/>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5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-5682615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-5682615</wp:posOffset>
            </wp:positionV>
            <wp:extent cx="1371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-5682615</wp:posOffset>
            </wp:positionV>
            <wp:extent cx="1371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-5682615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-1902460</wp:posOffset>
            </wp:positionV>
            <wp:extent cx="1371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-1902460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 forwards of approximately $57.8 million and $51.1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77"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78"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 tax provisions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provisions</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tcBorders>
              <w:bottom w:val="single" w:sz="8" w:color="CCEEFF"/>
            </w:tcBorders>
            <w:shd w:val="clear" w:color="auto" w:fill="CCEEFF"/>
          </w:tcPr>
          <w:p>
            <w:pPr>
              <w:spacing w:after="0"/>
              <w:rPr>
                <w:sz w:val="24"/>
                <w:szCs w:val="24"/>
                <w:color w:val="auto"/>
              </w:rPr>
            </w:pPr>
          </w:p>
        </w:tc>
      </w:tr>
      <w:tr>
        <w:trPr>
          <w:trHeight w:val="28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w:t>
            </w:r>
          </w:p>
        </w:tc>
      </w:tr>
      <w:tr>
        <w:trPr>
          <w:trHeight w:val="20"/>
        </w:trPr>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-831215</wp:posOffset>
            </wp:positionV>
            <wp:extent cx="13716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-831215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8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1"/>
        </w:trPr>
        <w:tc>
          <w:tcPr>
            <w:tcW w:w="4980" w:type="dxa"/>
            <w:vAlign w:val="bottom"/>
            <w:tcBorders>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r>
      <w:tr>
        <w:trPr>
          <w:trHeight w:val="3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440" w:type="dxa"/>
            <w:vAlign w:val="bottom"/>
            <w:tcBorders>
              <w:bottom w:val="single" w:sz="8" w:color="CCEEFF"/>
            </w:tcBorders>
            <w:gridSpan w:val="3"/>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$1,268+</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9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04"/>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9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7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98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-1045210</wp:posOffset>
            </wp:positionV>
            <wp:extent cx="14605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tab/>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75"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6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758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r>
        <w:trPr>
          <w:trHeight w:val="223"/>
        </w:trPr>
        <w:tc>
          <w:tcPr>
            <w:tcW w:w="560" w:type="dxa"/>
            <w:vAlign w:val="bottom"/>
            <w:gridSpan w:val="7"/>
            <w:shd w:val="clear" w:color="auto" w:fill="CCEEFF"/>
          </w:tcPr>
          <w:p>
            <w:pPr>
              <w:jc w:val="center"/>
              <w:ind w:left="71"/>
              <w:spacing w:after="0"/>
              <w:rPr>
                <w:rFonts w:ascii="Times New Roman" w:cs="Times New Roman" w:eastAsia="Times New Roman" w:hAnsi="Times New Roman"/>
                <w:sz w:val="18"/>
                <w:szCs w:val="18"/>
                <w:color w:val="0000EE"/>
                <w:w w:val="97"/>
              </w:rPr>
            </w:pPr>
            <w:hyperlink r:id="rId539">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Agreement and Plan of Merger, dated December 10, 2020, by and among Silver Spike, Merger Sub,</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Legacy WMH, and the Holder Representative named therein (incorporated by reference to Exhibit 2.1 to</w:t>
            </w:r>
          </w:p>
        </w:tc>
      </w:tr>
      <w:tr>
        <w:trPr>
          <w:trHeight w:val="255"/>
        </w:trPr>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December 10, 2020).</w:t>
            </w:r>
          </w:p>
        </w:tc>
      </w:tr>
      <w:tr>
        <w:trPr>
          <w:trHeight w:val="216"/>
        </w:trPr>
        <w:tc>
          <w:tcPr>
            <w:tcW w:w="520" w:type="dxa"/>
            <w:vAlign w:val="bottom"/>
            <w:gridSpan w:val="6"/>
          </w:tcPr>
          <w:p>
            <w:pPr>
              <w:jc w:val="center"/>
              <w:ind w:left="131"/>
              <w:spacing w:after="0"/>
              <w:rPr>
                <w:rFonts w:ascii="Times New Roman" w:cs="Times New Roman" w:eastAsia="Times New Roman" w:hAnsi="Times New Roman"/>
                <w:sz w:val="18"/>
                <w:szCs w:val="18"/>
                <w:color w:val="0000EE"/>
                <w:w w:val="97"/>
              </w:rPr>
            </w:pPr>
            <w:hyperlink r:id="rId54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of the Company, dated June 15, 2021 (incorporated by reference to</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3.1 to the Current Report on Form 8-K filed on June 21, 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31"/>
              <w:spacing w:after="0"/>
              <w:rPr>
                <w:rFonts w:ascii="Times New Roman" w:cs="Times New Roman" w:eastAsia="Times New Roman" w:hAnsi="Times New Roman"/>
                <w:sz w:val="18"/>
                <w:szCs w:val="18"/>
                <w:color w:val="0000EE"/>
                <w:w w:val="97"/>
              </w:rPr>
            </w:pPr>
            <w:hyperlink r:id="rId541">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Amended and Restated Bylaws of the Company, dated June 16, 2021 (incorporated by reference to</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3.2 to the Current Report on Form 8-K filed on June 21, 2021).</w:t>
            </w:r>
          </w:p>
        </w:tc>
      </w:tr>
      <w:tr>
        <w:trPr>
          <w:trHeight w:val="216"/>
        </w:trPr>
        <w:tc>
          <w:tcPr>
            <w:tcW w:w="520" w:type="dxa"/>
            <w:vAlign w:val="bottom"/>
            <w:gridSpan w:val="6"/>
          </w:tcPr>
          <w:p>
            <w:pPr>
              <w:jc w:val="center"/>
              <w:ind w:left="131"/>
              <w:spacing w:after="0"/>
              <w:rPr>
                <w:rFonts w:ascii="Times New Roman" w:cs="Times New Roman" w:eastAsia="Times New Roman" w:hAnsi="Times New Roman"/>
                <w:sz w:val="18"/>
                <w:szCs w:val="18"/>
                <w:color w:val="0000EE"/>
                <w:w w:val="97"/>
              </w:rPr>
            </w:pPr>
            <w:hyperlink r:id="rId54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Common Stock Certificate of the Company (incorporated by reference to Exhibit 4.1 to the</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31"/>
              <w:spacing w:after="0"/>
              <w:rPr>
                <w:rFonts w:ascii="Times New Roman" w:cs="Times New Roman" w:eastAsia="Times New Roman" w:hAnsi="Times New Roman"/>
                <w:sz w:val="18"/>
                <w:szCs w:val="18"/>
                <w:color w:val="0000EE"/>
                <w:w w:val="97"/>
              </w:rPr>
            </w:pPr>
            <w:hyperlink r:id="rId54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of Warrant Certificate of the Company (incorporated by reference to Exhibit 4.2 to the Current</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8-K filed on June 21, 2021).</w:t>
            </w:r>
          </w:p>
        </w:tc>
      </w:tr>
      <w:tr>
        <w:trPr>
          <w:trHeight w:val="216"/>
        </w:trPr>
        <w:tc>
          <w:tcPr>
            <w:tcW w:w="520" w:type="dxa"/>
            <w:vAlign w:val="bottom"/>
            <w:gridSpan w:val="6"/>
          </w:tcPr>
          <w:p>
            <w:pPr>
              <w:jc w:val="center"/>
              <w:ind w:left="131"/>
              <w:spacing w:after="0"/>
              <w:rPr>
                <w:rFonts w:ascii="Times New Roman" w:cs="Times New Roman" w:eastAsia="Times New Roman" w:hAnsi="Times New Roman"/>
                <w:sz w:val="18"/>
                <w:szCs w:val="18"/>
                <w:color w:val="0000EE"/>
                <w:w w:val="97"/>
              </w:rPr>
            </w:pPr>
            <w:hyperlink r:id="rId54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 Agreement, dated August 7, 2019, between the Company and Continental Stock Transfer &amp;</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Company, as warrant agent (incorporated by reference to Exhibit 4.1 filed on Silver Spike’s</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by the Company on August 12, 2019).</w:t>
            </w:r>
          </w:p>
        </w:tc>
      </w:tr>
      <w:tr>
        <w:trPr>
          <w:trHeight w:val="41"/>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31"/>
              <w:spacing w:after="0"/>
              <w:rPr>
                <w:rFonts w:ascii="Times New Roman" w:cs="Times New Roman" w:eastAsia="Times New Roman" w:hAnsi="Times New Roman"/>
                <w:sz w:val="18"/>
                <w:szCs w:val="18"/>
                <w:color w:val="0000EE"/>
                <w:w w:val="97"/>
              </w:rPr>
            </w:pPr>
            <w:hyperlink r:id="rId54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Description of Securities (incorporated by reference to Exhibit 4.5 to the Annual Report on</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10-K filed on May 24, 2024).</w:t>
            </w:r>
          </w:p>
        </w:tc>
      </w:tr>
      <w:tr>
        <w:trPr>
          <w:trHeight w:val="216"/>
        </w:trPr>
        <w:tc>
          <w:tcPr>
            <w:tcW w:w="520" w:type="dxa"/>
            <w:vAlign w:val="bottom"/>
            <w:gridSpan w:val="6"/>
          </w:tcPr>
          <w:p>
            <w:pPr>
              <w:jc w:val="center"/>
              <w:ind w:left="131"/>
              <w:spacing w:after="0"/>
              <w:rPr>
                <w:rFonts w:ascii="Times New Roman" w:cs="Times New Roman" w:eastAsia="Times New Roman" w:hAnsi="Times New Roman"/>
                <w:sz w:val="18"/>
                <w:szCs w:val="18"/>
                <w:color w:val="0000EE"/>
                <w:w w:val="97"/>
              </w:rPr>
            </w:pPr>
            <w:hyperlink r:id="rId546">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Opinion of Cooley LLP*</w:t>
            </w:r>
          </w:p>
        </w:tc>
      </w:tr>
      <w:tr>
        <w:trPr>
          <w:trHeight w:val="61"/>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580" w:type="dxa"/>
            <w:vAlign w:val="bottom"/>
          </w:tcPr>
          <w:p>
            <w:pPr>
              <w:spacing w:after="0"/>
              <w:rPr>
                <w:sz w:val="5"/>
                <w:szCs w:val="5"/>
                <w:color w:val="auto"/>
              </w:rPr>
            </w:pPr>
          </w:p>
        </w:tc>
      </w:tr>
      <w:tr>
        <w:trPr>
          <w:trHeight w:val="216"/>
        </w:trPr>
        <w:tc>
          <w:tcPr>
            <w:tcW w:w="520" w:type="dxa"/>
            <w:vAlign w:val="bottom"/>
            <w:gridSpan w:val="6"/>
            <w:shd w:val="clear" w:color="auto" w:fill="CCEEFF"/>
          </w:tcPr>
          <w:p>
            <w:pPr>
              <w:jc w:val="center"/>
              <w:ind w:left="111"/>
              <w:spacing w:after="0"/>
              <w:rPr>
                <w:rFonts w:ascii="Times New Roman" w:cs="Times New Roman" w:eastAsia="Times New Roman" w:hAnsi="Times New Roman"/>
                <w:sz w:val="18"/>
                <w:szCs w:val="18"/>
                <w:color w:val="0000EE"/>
              </w:rPr>
            </w:pPr>
            <w:hyperlink r:id="rId5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Exchange Agreement, dated as of June 16, 2021, by and among the Company, Silver Spike Sponsor and</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other parties thereto (incorporated by reference to Exhibit 10.1 to the Current Report on Form 8-K</w:t>
            </w:r>
          </w:p>
        </w:tc>
      </w:tr>
      <w:tr>
        <w:trPr>
          <w:trHeight w:val="255"/>
        </w:trPr>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June 21, 2021).</w:t>
            </w:r>
          </w:p>
        </w:tc>
      </w:tr>
      <w:tr>
        <w:trPr>
          <w:trHeight w:val="216"/>
        </w:trPr>
        <w:tc>
          <w:tcPr>
            <w:tcW w:w="520" w:type="dxa"/>
            <w:vAlign w:val="bottom"/>
            <w:gridSpan w:val="6"/>
          </w:tcPr>
          <w:p>
            <w:pPr>
              <w:jc w:val="center"/>
              <w:ind w:left="111"/>
              <w:spacing w:after="0"/>
              <w:rPr>
                <w:rFonts w:ascii="Times New Roman" w:cs="Times New Roman" w:eastAsia="Times New Roman" w:hAnsi="Times New Roman"/>
                <w:sz w:val="18"/>
                <w:szCs w:val="18"/>
                <w:color w:val="0000EE"/>
              </w:rPr>
            </w:pPr>
            <w:hyperlink r:id="rId54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Receivable Agreement, dated as of June 16, 2021, by and among the Company and the other parties</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thereto (incorporated by reference to Exhibit 10.2 to the Current Report on Form 8-K filed on June 21,</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11"/>
              <w:spacing w:after="0"/>
              <w:rPr>
                <w:rFonts w:ascii="Times New Roman" w:cs="Times New Roman" w:eastAsia="Times New Roman" w:hAnsi="Times New Roman"/>
                <w:sz w:val="18"/>
                <w:szCs w:val="18"/>
                <w:color w:val="0000EE"/>
              </w:rPr>
            </w:pPr>
            <w:hyperlink r:id="rId54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Fourth Amended and Restated Operating Agreement of WMH LLC (incorporated by reference to</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10.3 to the Current Report on Form 8-K filed on June 21, 2021).</w:t>
            </w:r>
          </w:p>
        </w:tc>
      </w:tr>
      <w:tr>
        <w:trPr>
          <w:trHeight w:val="216"/>
        </w:trPr>
        <w:tc>
          <w:tcPr>
            <w:tcW w:w="520" w:type="dxa"/>
            <w:vAlign w:val="bottom"/>
            <w:gridSpan w:val="6"/>
          </w:tcPr>
          <w:p>
            <w:pPr>
              <w:jc w:val="center"/>
              <w:ind w:left="111"/>
              <w:spacing w:after="0"/>
              <w:rPr>
                <w:rFonts w:ascii="Times New Roman" w:cs="Times New Roman" w:eastAsia="Times New Roman" w:hAnsi="Times New Roman"/>
                <w:sz w:val="18"/>
                <w:szCs w:val="18"/>
                <w:color w:val="0000EE"/>
              </w:rPr>
            </w:pPr>
            <w:hyperlink r:id="rId5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Subscription Agreement (incorporated by reference to Exhibit 10.1 to the Current Report on</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filed on December 10, 2020).</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11"/>
              <w:spacing w:after="0"/>
              <w:rPr>
                <w:rFonts w:ascii="Times New Roman" w:cs="Times New Roman" w:eastAsia="Times New Roman" w:hAnsi="Times New Roman"/>
                <w:sz w:val="18"/>
                <w:szCs w:val="18"/>
                <w:color w:val="0000EE"/>
              </w:rPr>
            </w:pPr>
            <w:hyperlink r:id="rId55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as of June 16, 2021, by and among the</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Silver Spike Sponsor and the other parties thereto (incorporated by reference to Exhibit 10.5</w:t>
            </w:r>
          </w:p>
        </w:tc>
      </w:tr>
      <w:tr>
        <w:trPr>
          <w:trHeight w:val="255"/>
        </w:trPr>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the Current Report on Form 8-K filed on June 21, 2021).</w:t>
            </w:r>
          </w:p>
        </w:tc>
      </w:tr>
      <w:tr>
        <w:trPr>
          <w:trHeight w:val="216"/>
        </w:trPr>
        <w:tc>
          <w:tcPr>
            <w:tcW w:w="660" w:type="dxa"/>
            <w:vAlign w:val="bottom"/>
            <w:gridSpan w:val="8"/>
          </w:tcPr>
          <w:p>
            <w:pPr>
              <w:jc w:val="center"/>
              <w:spacing w:after="0"/>
              <w:rPr>
                <w:rFonts w:ascii="Times New Roman" w:cs="Times New Roman" w:eastAsia="Times New Roman" w:hAnsi="Times New Roman"/>
                <w:sz w:val="18"/>
                <w:szCs w:val="18"/>
                <w:color w:val="0000EE"/>
                <w:w w:val="98"/>
              </w:rPr>
            </w:pPr>
            <w:hyperlink r:id="rId55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6#</w:t>
              </w:r>
            </w:hyperlink>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Indemnification Agreement by and between the Company and its directors and officers</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10.6 to the Current Report on Form 8-K filed on June 21, 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660" w:type="dxa"/>
            <w:vAlign w:val="bottom"/>
            <w:gridSpan w:val="8"/>
            <w:shd w:val="clear" w:color="auto" w:fill="CCEEFF"/>
          </w:tcPr>
          <w:p>
            <w:pPr>
              <w:jc w:val="center"/>
              <w:spacing w:after="0"/>
              <w:rPr>
                <w:rFonts w:ascii="Times New Roman" w:cs="Times New Roman" w:eastAsia="Times New Roman" w:hAnsi="Times New Roman"/>
                <w:sz w:val="18"/>
                <w:szCs w:val="18"/>
                <w:color w:val="0000EE"/>
                <w:w w:val="98"/>
              </w:rPr>
            </w:pPr>
            <w:hyperlink r:id="rId55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7#</w:t>
              </w:r>
            </w:hyperlink>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 Technology, Inc. 2021 Equity Incentive Plan (incorporated by reference to Exhibit 10.7 to the</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216"/>
        </w:trPr>
        <w:tc>
          <w:tcPr>
            <w:tcW w:w="60" w:type="dxa"/>
            <w:vAlign w:val="bottom"/>
          </w:tcPr>
          <w:p>
            <w:pPr>
              <w:spacing w:after="0"/>
              <w:rPr>
                <w:sz w:val="18"/>
                <w:szCs w:val="18"/>
                <w:color w:val="auto"/>
              </w:rPr>
            </w:pPr>
          </w:p>
        </w:tc>
        <w:tc>
          <w:tcPr>
            <w:tcW w:w="680" w:type="dxa"/>
            <w:vAlign w:val="bottom"/>
            <w:gridSpan w:val="9"/>
          </w:tcPr>
          <w:p>
            <w:pPr>
              <w:jc w:val="center"/>
              <w:ind w:right="80"/>
              <w:spacing w:after="0"/>
              <w:rPr>
                <w:rFonts w:ascii="Times New Roman" w:cs="Times New Roman" w:eastAsia="Times New Roman" w:hAnsi="Times New Roman"/>
                <w:sz w:val="18"/>
                <w:szCs w:val="18"/>
                <w:color w:val="0000EE"/>
                <w:w w:val="99"/>
              </w:rPr>
            </w:pPr>
            <w:hyperlink r:id="rId55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7(a)#</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Stock Option Grant Notice (incorporated by reference to Exhibit 10.7(a) to the Current Report</w:t>
            </w:r>
          </w:p>
        </w:tc>
      </w:tr>
      <w:tr>
        <w:trPr>
          <w:trHeight w:val="237"/>
        </w:trPr>
        <w:tc>
          <w:tcPr>
            <w:tcW w:w="6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60" w:type="dxa"/>
            <w:vAlign w:val="bottom"/>
            <w:shd w:val="clear" w:color="auto" w:fill="CCEEFF"/>
          </w:tcPr>
          <w:p>
            <w:pPr>
              <w:spacing w:after="0"/>
              <w:rPr>
                <w:sz w:val="18"/>
                <w:szCs w:val="18"/>
                <w:color w:val="auto"/>
              </w:rPr>
            </w:pPr>
          </w:p>
        </w:tc>
        <w:tc>
          <w:tcPr>
            <w:tcW w:w="680" w:type="dxa"/>
            <w:vAlign w:val="bottom"/>
            <w:gridSpan w:val="9"/>
            <w:shd w:val="clear" w:color="auto" w:fill="CCEEFF"/>
          </w:tcPr>
          <w:p>
            <w:pPr>
              <w:jc w:val="center"/>
              <w:ind w:right="60"/>
              <w:spacing w:after="0"/>
              <w:rPr>
                <w:rFonts w:ascii="Times New Roman" w:cs="Times New Roman" w:eastAsia="Times New Roman" w:hAnsi="Times New Roman"/>
                <w:sz w:val="18"/>
                <w:szCs w:val="18"/>
                <w:color w:val="0000EE"/>
              </w:rPr>
            </w:pPr>
            <w:hyperlink r:id="rId5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7(b)#</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Form of RSU Award Grant Notice (incorporated by reference to Exhibit 10.7(b) to the Current Report on</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216"/>
        </w:trPr>
        <w:tc>
          <w:tcPr>
            <w:tcW w:w="660" w:type="dxa"/>
            <w:vAlign w:val="bottom"/>
            <w:gridSpan w:val="8"/>
          </w:tcPr>
          <w:p>
            <w:pPr>
              <w:jc w:val="center"/>
              <w:spacing w:after="0"/>
              <w:rPr>
                <w:rFonts w:ascii="Times New Roman" w:cs="Times New Roman" w:eastAsia="Times New Roman" w:hAnsi="Times New Roman"/>
                <w:sz w:val="18"/>
                <w:szCs w:val="18"/>
                <w:color w:val="0000EE"/>
                <w:w w:val="98"/>
              </w:rPr>
            </w:pPr>
            <w:hyperlink r:id="rId55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8#</w:t>
              </w:r>
            </w:hyperlink>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WM Technology, Inc. 2021 Employee Stock Purchase Plan (incorporated by reference to Exhibit 10.8 to</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June 21, 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11"/>
              <w:spacing w:after="0"/>
              <w:rPr>
                <w:rFonts w:ascii="Times New Roman" w:cs="Times New Roman" w:eastAsia="Times New Roman" w:hAnsi="Times New Roman"/>
                <w:sz w:val="18"/>
                <w:szCs w:val="18"/>
                <w:color w:val="0000EE"/>
              </w:rPr>
            </w:pPr>
            <w:hyperlink r:id="rId5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by and between the Irvine Company LLC and Ghost Media Group, LLC, dated November 11,</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2013, as amended (incorporated by reference to Exhibit 10.12 to the Current Report on Form 8-K filed</w:t>
            </w:r>
          </w:p>
        </w:tc>
      </w:tr>
      <w:tr>
        <w:trPr>
          <w:trHeight w:val="255"/>
        </w:trPr>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June 21, 2021).</w:t>
            </w:r>
          </w:p>
        </w:tc>
      </w:tr>
      <w:tr>
        <w:trPr>
          <w:trHeight w:val="216"/>
        </w:trPr>
        <w:tc>
          <w:tcPr>
            <w:tcW w:w="660" w:type="dxa"/>
            <w:vAlign w:val="bottom"/>
            <w:gridSpan w:val="8"/>
          </w:tcPr>
          <w:p>
            <w:pPr>
              <w:jc w:val="center"/>
              <w:spacing w:after="0"/>
              <w:rPr>
                <w:rFonts w:ascii="Times New Roman" w:cs="Times New Roman" w:eastAsia="Times New Roman" w:hAnsi="Times New Roman"/>
                <w:sz w:val="18"/>
                <w:szCs w:val="18"/>
                <w:color w:val="0000EE"/>
                <w:w w:val="98"/>
              </w:rPr>
            </w:pPr>
            <w:hyperlink r:id="rId55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Lease and Consent to Assignment by and between Discovery Business Center LLC,</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successor-in-interest to the Irvine Company LLC, and Ghost Management Group, LLC, as successor-</w:t>
            </w: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in-interest to Ghost Media Group, LLC, dated January 27, 2016 (incorporated by reference to</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10.13 to the Current Report on Form 8-K filed on June 21, 2021).</w:t>
            </w:r>
          </w:p>
        </w:tc>
      </w:tr>
      <w:tr>
        <w:trPr>
          <w:trHeight w:val="41"/>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60" w:type="dxa"/>
            <w:vAlign w:val="bottom"/>
            <w:gridSpan w:val="7"/>
            <w:shd w:val="clear" w:color="auto" w:fill="CCEEFF"/>
          </w:tcPr>
          <w:p>
            <w:pPr>
              <w:jc w:val="center"/>
              <w:ind w:left="71"/>
              <w:spacing w:after="0"/>
              <w:rPr>
                <w:rFonts w:ascii="Times New Roman" w:cs="Times New Roman" w:eastAsia="Times New Roman" w:hAnsi="Times New Roman"/>
                <w:sz w:val="18"/>
                <w:szCs w:val="18"/>
                <w:color w:val="0000EE"/>
                <w:w w:val="98"/>
              </w:rPr>
            </w:pPr>
            <w:hyperlink r:id="rId55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Second Amendment to Lease, by and between Discovery Business Center LLC and Ghost Management</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Group, LLC, dated April 7, 2017 (incorporated by reference to Exhibit 10.14 to the Current Report on</w:t>
            </w:r>
          </w:p>
        </w:tc>
      </w:tr>
      <w:tr>
        <w:trPr>
          <w:trHeight w:val="234"/>
        </w:trPr>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54"/>
        </w:trPr>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-7962900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758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r>
        <w:trPr>
          <w:trHeight w:val="223"/>
        </w:trPr>
        <w:tc>
          <w:tcPr>
            <w:tcW w:w="620" w:type="dxa"/>
            <w:vAlign w:val="bottom"/>
            <w:gridSpan w:val="6"/>
            <w:shd w:val="clear" w:color="auto" w:fill="CCEEFF"/>
          </w:tcPr>
          <w:p>
            <w:pPr>
              <w:jc w:val="center"/>
              <w:ind w:left="11"/>
              <w:spacing w:after="0"/>
              <w:rPr>
                <w:rFonts w:ascii="Times New Roman" w:cs="Times New Roman" w:eastAsia="Times New Roman" w:hAnsi="Times New Roman"/>
                <w:sz w:val="18"/>
                <w:szCs w:val="18"/>
                <w:color w:val="0000EE"/>
                <w:w w:val="98"/>
              </w:rPr>
            </w:pPr>
            <w:hyperlink r:id="rId56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1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Third Amendment to Lease, by and between Discovery Business Center LLC and Ghost Management</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Group, LLC, dated December 29, 2017 (incorporated by reference to Exhibit 10.15 to the Current Report</w:t>
            </w:r>
          </w:p>
        </w:tc>
      </w:tr>
      <w:tr>
        <w:trPr>
          <w:trHeight w:val="255"/>
        </w:trPr>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216"/>
        </w:trPr>
        <w:tc>
          <w:tcPr>
            <w:tcW w:w="620" w:type="dxa"/>
            <w:vAlign w:val="bottom"/>
            <w:gridSpan w:val="6"/>
          </w:tcPr>
          <w:p>
            <w:pPr>
              <w:jc w:val="center"/>
              <w:ind w:left="11"/>
              <w:spacing w:after="0"/>
              <w:rPr>
                <w:rFonts w:ascii="Times New Roman" w:cs="Times New Roman" w:eastAsia="Times New Roman" w:hAnsi="Times New Roman"/>
                <w:sz w:val="18"/>
                <w:szCs w:val="18"/>
                <w:color w:val="0000EE"/>
                <w:w w:val="98"/>
              </w:rPr>
            </w:pPr>
            <w:hyperlink r:id="rId56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Amendment to Lease, by and between Discovery Business Center LLC and Ghost Management</w:t>
            </w:r>
          </w:p>
        </w:tc>
      </w:tr>
      <w:tr>
        <w:trPr>
          <w:trHeight w:val="218"/>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Group, LLC, dated May 3, 2018 (incorporated by reference to Exhibit 10.16 to the Current Report on</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620" w:type="dxa"/>
            <w:vAlign w:val="bottom"/>
            <w:gridSpan w:val="6"/>
            <w:shd w:val="clear" w:color="auto" w:fill="CCEEFF"/>
          </w:tcPr>
          <w:p>
            <w:pPr>
              <w:jc w:val="center"/>
              <w:ind w:left="11"/>
              <w:spacing w:after="0"/>
              <w:rPr>
                <w:rFonts w:ascii="Times New Roman" w:cs="Times New Roman" w:eastAsia="Times New Roman" w:hAnsi="Times New Roman"/>
                <w:sz w:val="18"/>
                <w:szCs w:val="18"/>
                <w:color w:val="0000EE"/>
                <w:w w:val="98"/>
              </w:rPr>
            </w:pPr>
            <w:hyperlink r:id="rId56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 Technology, Inc. Non-Employee Director Compensation Policy (incorporated by reference to</w:t>
            </w:r>
          </w:p>
        </w:tc>
      </w:tr>
      <w:tr>
        <w:trPr>
          <w:trHeight w:val="257"/>
        </w:trPr>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10.1 to the Quarterly Report on Form 10-Q filed on November 12, 2021).</w:t>
            </w:r>
          </w:p>
        </w:tc>
      </w:tr>
      <w:tr>
        <w:trPr>
          <w:trHeight w:val="216"/>
        </w:trPr>
        <w:tc>
          <w:tcPr>
            <w:tcW w:w="740" w:type="dxa"/>
            <w:vAlign w:val="bottom"/>
            <w:gridSpan w:val="7"/>
          </w:tcPr>
          <w:p>
            <w:pPr>
              <w:jc w:val="center"/>
              <w:spacing w:after="0"/>
              <w:rPr>
                <w:rFonts w:ascii="Times New Roman" w:cs="Times New Roman" w:eastAsia="Times New Roman" w:hAnsi="Times New Roman"/>
                <w:sz w:val="18"/>
                <w:szCs w:val="18"/>
                <w:color w:val="0000EE"/>
              </w:rPr>
            </w:pPr>
            <w:hyperlink r:id="rId56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WM Technology, Inc. Non-Employee Director Compensation Policy</w:t>
            </w:r>
          </w:p>
        </w:tc>
      </w:tr>
      <w:tr>
        <w:trPr>
          <w:trHeight w:val="237"/>
        </w:trPr>
        <w:tc>
          <w:tcPr>
            <w:tcW w:w="1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on October 6, 2023).</w:t>
            </w:r>
          </w:p>
        </w:tc>
      </w:tr>
      <w:tr>
        <w:trPr>
          <w:trHeight w:val="41"/>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740" w:type="dxa"/>
            <w:vAlign w:val="bottom"/>
            <w:gridSpan w:val="7"/>
            <w:shd w:val="clear" w:color="auto" w:fill="CCEEFF"/>
          </w:tcPr>
          <w:p>
            <w:pPr>
              <w:jc w:val="center"/>
              <w:spacing w:after="0"/>
              <w:rPr>
                <w:rFonts w:ascii="Times New Roman" w:cs="Times New Roman" w:eastAsia="Times New Roman" w:hAnsi="Times New Roman"/>
                <w:sz w:val="18"/>
                <w:szCs w:val="18"/>
                <w:color w:val="0000EE"/>
              </w:rPr>
            </w:pPr>
            <w:hyperlink r:id="rId56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Offer letter by and between Ghost Management Group, LLC and Duncan Grazier, dated August 23,</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2019 (incorporated by reference to Exhibit 10.17 to the Annual Report on Form 10-K filed on May 24,</w:t>
            </w:r>
          </w:p>
        </w:tc>
      </w:tr>
      <w:tr>
        <w:trPr>
          <w:trHeight w:val="255"/>
        </w:trPr>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740" w:type="dxa"/>
            <w:vAlign w:val="bottom"/>
            <w:gridSpan w:val="7"/>
          </w:tcPr>
          <w:p>
            <w:pPr>
              <w:jc w:val="center"/>
              <w:spacing w:after="0"/>
              <w:rPr>
                <w:rFonts w:ascii="Times New Roman" w:cs="Times New Roman" w:eastAsia="Times New Roman" w:hAnsi="Times New Roman"/>
                <w:sz w:val="18"/>
                <w:szCs w:val="18"/>
                <w:color w:val="0000EE"/>
              </w:rPr>
            </w:pPr>
            <w:hyperlink r:id="rId56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Retention Agreement, effective October 2, 2023, by and between the Company and Duncan Grazier</w:t>
            </w:r>
          </w:p>
        </w:tc>
      </w:tr>
      <w:tr>
        <w:trPr>
          <w:trHeight w:val="237"/>
        </w:trPr>
        <w:tc>
          <w:tcPr>
            <w:tcW w:w="1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41"/>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740" w:type="dxa"/>
            <w:vAlign w:val="bottom"/>
            <w:gridSpan w:val="7"/>
            <w:shd w:val="clear" w:color="auto" w:fill="CCEEFF"/>
          </w:tcPr>
          <w:p>
            <w:pPr>
              <w:jc w:val="center"/>
              <w:spacing w:after="0"/>
              <w:rPr>
                <w:rFonts w:ascii="Times New Roman" w:cs="Times New Roman" w:eastAsia="Times New Roman" w:hAnsi="Times New Roman"/>
                <w:sz w:val="18"/>
                <w:szCs w:val="18"/>
                <w:color w:val="0000EE"/>
              </w:rPr>
            </w:pPr>
            <w:hyperlink r:id="rId56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August 15, 2023, by and between the Company and Douglas Francis</w:t>
            </w:r>
          </w:p>
        </w:tc>
      </w:tr>
      <w:tr>
        <w:trPr>
          <w:trHeight w:val="257"/>
        </w:trPr>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216"/>
        </w:trPr>
        <w:tc>
          <w:tcPr>
            <w:tcW w:w="740" w:type="dxa"/>
            <w:vAlign w:val="bottom"/>
            <w:gridSpan w:val="7"/>
          </w:tcPr>
          <w:p>
            <w:pPr>
              <w:jc w:val="center"/>
              <w:spacing w:after="0"/>
              <w:rPr>
                <w:rFonts w:ascii="Times New Roman" w:cs="Times New Roman" w:eastAsia="Times New Roman" w:hAnsi="Times New Roman"/>
                <w:sz w:val="18"/>
                <w:szCs w:val="18"/>
                <w:color w:val="0000EE"/>
              </w:rPr>
            </w:pPr>
            <w:hyperlink r:id="rId56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April 4, 2019, by and between the Company and Brian Camire</w:t>
            </w:r>
          </w:p>
        </w:tc>
      </w:tr>
      <w:tr>
        <w:trPr>
          <w:trHeight w:val="237"/>
        </w:trPr>
        <w:tc>
          <w:tcPr>
            <w:tcW w:w="1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10.20 to the Annual Report on Form 10-K filed on May 24, 2024).</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740" w:type="dxa"/>
            <w:vAlign w:val="bottom"/>
            <w:gridSpan w:val="7"/>
            <w:shd w:val="clear" w:color="auto" w:fill="CCEEFF"/>
          </w:tcPr>
          <w:p>
            <w:pPr>
              <w:jc w:val="center"/>
              <w:spacing w:after="0"/>
              <w:rPr>
                <w:rFonts w:ascii="Times New Roman" w:cs="Times New Roman" w:eastAsia="Times New Roman" w:hAnsi="Times New Roman"/>
                <w:sz w:val="18"/>
                <w:szCs w:val="18"/>
                <w:color w:val="0000EE"/>
              </w:rPr>
            </w:pPr>
            <w:hyperlink r:id="rId57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Services Agreement, dated July 16, 2023, by and between SeatonHill Partners, L.P. and WM</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Inc. (incorporated herein by reference to Exhibit 10.1 to the Current Report on Form 8-K</w:t>
            </w:r>
          </w:p>
        </w:tc>
      </w:tr>
      <w:tr>
        <w:trPr>
          <w:trHeight w:val="255"/>
        </w:trPr>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by WM Technology, Inc. on July 20, 2023).</w:t>
            </w:r>
          </w:p>
        </w:tc>
      </w:tr>
      <w:tr>
        <w:trPr>
          <w:trHeight w:val="216"/>
        </w:trPr>
        <w:tc>
          <w:tcPr>
            <w:tcW w:w="740" w:type="dxa"/>
            <w:vAlign w:val="bottom"/>
            <w:gridSpan w:val="7"/>
          </w:tcPr>
          <w:p>
            <w:pPr>
              <w:jc w:val="center"/>
              <w:spacing w:after="0"/>
              <w:rPr>
                <w:rFonts w:ascii="Times New Roman" w:cs="Times New Roman" w:eastAsia="Times New Roman" w:hAnsi="Times New Roman"/>
                <w:sz w:val="18"/>
                <w:szCs w:val="18"/>
                <w:color w:val="0000EE"/>
              </w:rPr>
            </w:pPr>
            <w:hyperlink r:id="rId57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Separation and Release Agreement, by and between Randa McMinn and WM Technology, Inc, dated</w:t>
            </w:r>
          </w:p>
        </w:tc>
      </w:tr>
      <w:tr>
        <w:trPr>
          <w:trHeight w:val="218"/>
        </w:trPr>
        <w:tc>
          <w:tcPr>
            <w:tcW w:w="1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October 18, 2023 (incorporated herein by reference to Exhibit 10.5# to the Quarterly Report on</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10-Q filed on November 8, 2023).</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740" w:type="dxa"/>
            <w:vAlign w:val="bottom"/>
            <w:gridSpan w:val="7"/>
            <w:shd w:val="clear" w:color="auto" w:fill="CCEEFF"/>
          </w:tcPr>
          <w:p>
            <w:pPr>
              <w:jc w:val="center"/>
              <w:spacing w:after="0"/>
              <w:rPr>
                <w:rFonts w:ascii="Times New Roman" w:cs="Times New Roman" w:eastAsia="Times New Roman" w:hAnsi="Times New Roman"/>
                <w:sz w:val="18"/>
                <w:szCs w:val="18"/>
                <w:color w:val="0000EE"/>
              </w:rPr>
            </w:pPr>
            <w:hyperlink r:id="rId57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 to Executive Services Agreement, by and between SeatonHill Partners, L.P. and WM</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Inc., dated February 26, 2024 (incorporated by reference to Exhibit 10.23 to the Annual</w:t>
            </w:r>
          </w:p>
        </w:tc>
      </w:tr>
      <w:tr>
        <w:trPr>
          <w:trHeight w:val="255"/>
        </w:trPr>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10-K filed on May 24, 2024).</w:t>
            </w:r>
          </w:p>
        </w:tc>
      </w:tr>
      <w:tr>
        <w:trPr>
          <w:trHeight w:val="216"/>
        </w:trPr>
        <w:tc>
          <w:tcPr>
            <w:tcW w:w="560" w:type="dxa"/>
            <w:vAlign w:val="bottom"/>
            <w:gridSpan w:val="5"/>
          </w:tcPr>
          <w:p>
            <w:pPr>
              <w:jc w:val="center"/>
              <w:ind w:left="71"/>
              <w:spacing w:after="0"/>
              <w:rPr>
                <w:rFonts w:ascii="Times New Roman" w:cs="Times New Roman" w:eastAsia="Times New Roman" w:hAnsi="Times New Roman"/>
                <w:sz w:val="18"/>
                <w:szCs w:val="18"/>
                <w:color w:val="0000EE"/>
              </w:rPr>
            </w:pPr>
            <w:hyperlink r:id="rId573">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List of Subsidiaries of the Registrant (incorporated by reference to Exhibit 10.7 to the Annual Report on</w:t>
            </w:r>
          </w:p>
        </w:tc>
      </w:tr>
      <w:tr>
        <w:trPr>
          <w:trHeight w:val="237"/>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10-K filed on May 24, 2024).</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60" w:type="dxa"/>
            <w:vAlign w:val="bottom"/>
            <w:gridSpan w:val="5"/>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Consent of Baker Tilly US, LLP</w:t>
            </w:r>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580" w:type="dxa"/>
            <w:vAlign w:val="bottom"/>
            <w:tcBorders>
              <w:top w:val="single" w:sz="8" w:color="CCEEFF"/>
            </w:tcBorders>
            <w:shd w:val="clear" w:color="auto" w:fill="CCEEFF"/>
          </w:tcPr>
          <w:p>
            <w:pPr>
              <w:spacing w:after="0"/>
              <w:rPr>
                <w:sz w:val="5"/>
                <w:szCs w:val="5"/>
                <w:color w:val="auto"/>
              </w:rPr>
            </w:pPr>
          </w:p>
        </w:tc>
      </w:tr>
      <w:tr>
        <w:trPr>
          <w:trHeight w:val="216"/>
        </w:trPr>
        <w:tc>
          <w:tcPr>
            <w:tcW w:w="560" w:type="dxa"/>
            <w:vAlign w:val="bottom"/>
            <w:gridSpan w:val="5"/>
          </w:tcPr>
          <w:p>
            <w:pPr>
              <w:jc w:val="center"/>
              <w:ind w:left="71"/>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Moss Adams, LLP</w:t>
            </w:r>
          </w:p>
        </w:tc>
      </w:tr>
      <w:tr>
        <w:trPr>
          <w:trHeight w:val="61"/>
        </w:trPr>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580" w:type="dxa"/>
            <w:vAlign w:val="bottom"/>
          </w:tcPr>
          <w:p>
            <w:pPr>
              <w:spacing w:after="0"/>
              <w:rPr>
                <w:sz w:val="5"/>
                <w:szCs w:val="5"/>
                <w:color w:val="auto"/>
              </w:rPr>
            </w:pPr>
          </w:p>
        </w:tc>
      </w:tr>
      <w:tr>
        <w:trPr>
          <w:trHeight w:val="216"/>
        </w:trPr>
        <w:tc>
          <w:tcPr>
            <w:tcW w:w="620" w:type="dxa"/>
            <w:vAlign w:val="bottom"/>
            <w:gridSpan w:val="6"/>
            <w:shd w:val="clear" w:color="auto" w:fill="CCEEFF"/>
          </w:tcPr>
          <w:p>
            <w:pPr>
              <w:jc w:val="center"/>
              <w:ind w:left="11"/>
              <w:spacing w:after="0"/>
              <w:rPr>
                <w:rFonts w:ascii="Times New Roman" w:cs="Times New Roman" w:eastAsia="Times New Roman" w:hAnsi="Times New Roman"/>
                <w:sz w:val="18"/>
                <w:szCs w:val="18"/>
                <w:color w:val="0000EE"/>
                <w:w w:val="98"/>
              </w:rPr>
            </w:pPr>
            <w:hyperlink r:id="rId546">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3*</w:t>
              </w:r>
            </w:hyperlink>
          </w:p>
        </w:tc>
        <w:tc>
          <w:tcPr>
            <w:tcW w:w="1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580" w:type="dxa"/>
            <w:vAlign w:val="bottom"/>
            <w:tcBorders>
              <w:top w:val="single" w:sz="8" w:color="CCEEFF"/>
            </w:tcBorders>
            <w:shd w:val="clear" w:color="auto" w:fill="CCEEFF"/>
          </w:tcPr>
          <w:p>
            <w:pPr>
              <w:spacing w:after="0"/>
              <w:rPr>
                <w:sz w:val="5"/>
                <w:szCs w:val="5"/>
                <w:color w:val="auto"/>
              </w:rPr>
            </w:pPr>
          </w:p>
        </w:tc>
      </w:tr>
      <w:tr>
        <w:trPr>
          <w:trHeight w:val="216"/>
        </w:trPr>
        <w:tc>
          <w:tcPr>
            <w:tcW w:w="620" w:type="dxa"/>
            <w:vAlign w:val="bottom"/>
            <w:gridSpan w:val="6"/>
          </w:tcPr>
          <w:p>
            <w:pPr>
              <w:jc w:val="center"/>
              <w:ind w:left="11"/>
              <w:spacing w:after="0"/>
              <w:rPr>
                <w:rFonts w:ascii="Times New Roman" w:cs="Times New Roman" w:eastAsia="Times New Roman" w:hAnsi="Times New Roman"/>
                <w:sz w:val="18"/>
                <w:szCs w:val="18"/>
                <w:color w:val="0000EE"/>
                <w:w w:val="98"/>
              </w:rPr>
            </w:pPr>
            <w:hyperlink r:id="rId574">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hyperlink>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of Attorney (included on signature page of Registration Statement on Form S-1 filed on July 8,</w:t>
            </w:r>
          </w:p>
        </w:tc>
      </w:tr>
      <w:tr>
        <w:trPr>
          <w:trHeight w:val="237"/>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60" w:type="dxa"/>
            <w:vAlign w:val="bottom"/>
            <w:gridSpan w:val="5"/>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580" w:type="dxa"/>
            <w:vAlign w:val="bottom"/>
            <w:tcBorders>
              <w:top w:val="single" w:sz="8" w:color="CCEEFF"/>
            </w:tcBorders>
            <w:shd w:val="clear" w:color="auto" w:fill="CCEEFF"/>
          </w:tcPr>
          <w:p>
            <w:pPr>
              <w:spacing w:after="0"/>
              <w:rPr>
                <w:sz w:val="5"/>
                <w:szCs w:val="5"/>
                <w:color w:val="auto"/>
              </w:rPr>
            </w:pPr>
          </w:p>
        </w:tc>
      </w:tr>
      <w:tr>
        <w:trPr>
          <w:trHeight w:val="238"/>
        </w:trPr>
        <w:tc>
          <w:tcPr>
            <w:tcW w:w="7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101.INS</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77"/>
        </w:trPr>
        <w:tc>
          <w:tcPr>
            <w:tcW w:w="74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7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101.CAL</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77"/>
        </w:trPr>
        <w:tc>
          <w:tcPr>
            <w:tcW w:w="74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7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101.LAB</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77"/>
        </w:trPr>
        <w:tc>
          <w:tcPr>
            <w:tcW w:w="740" w:type="dxa"/>
            <w:vAlign w:val="bottom"/>
            <w:tcBorders>
              <w:bottom w:val="single" w:sz="8" w:color="CCEEFF"/>
            </w:tcBorders>
            <w:gridSpan w:val="7"/>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101.PRE</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6"/>
        </w:trPr>
        <w:tc>
          <w:tcPr>
            <w:tcW w:w="520" w:type="dxa"/>
            <w:vAlign w:val="bottom"/>
            <w:gridSpan w:val="4"/>
          </w:tcPr>
          <w:p>
            <w:pPr>
              <w:jc w:val="center"/>
              <w:ind w:left="111"/>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3340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5">
                      <a:extLst>
                        <a:ext uri="{28A0092B-C50C-407E-A947-70E740481C1C}"/>
                      </a:extLst>
                    </a:blip>
                    <a:srcRect/>
                    <a:stretch>
                      <a:fillRect/>
                    </a:stretch>
                  </pic:blipFill>
                  <pic:spPr bwMode="auto">
                    <a:xfrm>
                      <a:off x="0" y="0"/>
                      <a:ext cx="5349240" cy="33401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-7259955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ind w:left="1140" w:right="1059" w:hanging="612"/>
        <w:spacing w:after="0" w:line="282" w:lineRule="auto"/>
        <w:tabs>
          <w:tab w:leader="none" w:pos="1140" w:val="left"/>
        </w:tabs>
        <w:numPr>
          <w:ilvl w:val="1"/>
          <w:numId w:val="13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 (incorporated by reference to the Registration Statement on Form S-1 filed on December 2, 2021).</w:t>
      </w:r>
    </w:p>
    <w:p>
      <w:pPr>
        <w:spacing w:after="0" w:line="359" w:lineRule="exact"/>
        <w:rPr>
          <w:rFonts w:ascii="Times New Roman" w:cs="Times New Roman" w:eastAsia="Times New Roman" w:hAnsi="Times New Roman"/>
          <w:sz w:val="18"/>
          <w:szCs w:val="18"/>
          <w:u w:val="single" w:color="auto"/>
          <w:color w:val="0000EE"/>
        </w:rPr>
      </w:pPr>
    </w:p>
    <w:p>
      <w:pPr>
        <w:ind w:left="640" w:right="319" w:hanging="348"/>
        <w:spacing w:after="0" w:line="261" w:lineRule="auto"/>
        <w:tabs>
          <w:tab w:leader="none" w:pos="6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this Exhibit have been omitted in accordance with Regulation S-K Item 601(b)(2). We agree to furnish a copy of all omitted exhibits and schedules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-250190</wp:posOffset>
            </wp:positionV>
            <wp:extent cx="8229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00" w:right="3939" w:hanging="8"/>
        <w:spacing w:after="0" w:line="342" w:lineRule="auto"/>
        <w:tabs>
          <w:tab w:leader="none" w:pos="651"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agreement. * Previously filed.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640" w:hanging="348"/>
        <w:spacing w:after="0"/>
        <w:tabs>
          <w:tab w:leader="none" w:pos="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ind w:left="1360" w:right="319" w:hanging="348"/>
        <w:spacing w:after="0" w:line="261" w:lineRule="auto"/>
        <w:tabs>
          <w:tab w:leader="none" w:pos="13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380" w:right="2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w:t>
      </w:r>
      <w:r>
        <w:rPr>
          <w:rFonts w:ascii="Times New Roman" w:cs="Times New Roman" w:eastAsia="Times New Roman" w:hAnsi="Times New Roman"/>
          <w:sz w:val="18"/>
          <w:szCs w:val="18"/>
          <w:color w:val="auto"/>
        </w:rPr>
        <w:t>r, that: Paragraphs (a)(1)(i), (a)(1)(ii) and (a)(1)(iii) of this section do not apply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w:t>
      </w:r>
    </w:p>
    <w:p>
      <w:pPr>
        <w:jc w:val="both"/>
        <w:ind w:left="13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6" w:lineRule="auto"/>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8"/>
          <w:szCs w:val="18"/>
          <w:color w:val="auto"/>
        </w:rPr>
      </w:pPr>
    </w:p>
    <w:p>
      <w:pPr>
        <w:jc w:val="both"/>
        <w:ind w:left="640" w:right="299" w:hanging="348"/>
        <w:spacing w:after="0" w:line="253" w:lineRule="auto"/>
        <w:tabs>
          <w:tab w:leader="none" w:pos="6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Post-Effective Amendment No. 4 to Registration Statement to be signed on its behalf by the undersigned, thereunto duly authorized in the City of Irvine, State of California on July 29, 2024.</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52705</wp:posOffset>
            </wp:positionV>
            <wp:extent cx="260604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Title: Executive Chair</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4 to Form S-3 on Form S-1 has been signed by the following persons in the capacities and on the dates indicated.</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6"/>
                <w:szCs w:val="16"/>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Executive Chair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tcPr>
          <w:p>
            <w:pPr>
              <w:spacing w:after="0"/>
              <w:rPr>
                <w:sz w:val="6"/>
                <w:szCs w:val="6"/>
                <w:color w:val="auto"/>
              </w:rPr>
            </w:pPr>
          </w:p>
        </w:tc>
        <w:tc>
          <w:tcPr>
            <w:tcW w:w="180" w:type="dxa"/>
            <w:vAlign w:val="bottom"/>
            <w:vMerge w:val="restart"/>
          </w:tcPr>
          <w:p>
            <w:pPr>
              <w:spacing w:after="0"/>
              <w:rPr>
                <w:sz w:val="6"/>
                <w:szCs w:val="6"/>
                <w:color w:val="auto"/>
              </w:rPr>
            </w:pPr>
          </w:p>
        </w:tc>
        <w:tc>
          <w:tcPr>
            <w:tcW w:w="3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180" w:type="dxa"/>
            <w:vAlign w:val="bottom"/>
            <w:vMerge w:val="continue"/>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Susan Echard</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126"/>
        </w:trPr>
        <w:tc>
          <w:tcPr>
            <w:tcW w:w="2820" w:type="dxa"/>
            <w:vAlign w:val="bottom"/>
            <w:tcBorders>
              <w:bottom w:val="single" w:sz="8" w:color="auto"/>
            </w:tcBorders>
          </w:tcPr>
          <w:p>
            <w:pPr>
              <w:spacing w:after="0"/>
              <w:rPr>
                <w:sz w:val="10"/>
                <w:szCs w:val="10"/>
                <w:color w:val="auto"/>
              </w:rPr>
            </w:pPr>
          </w:p>
        </w:tc>
        <w:tc>
          <w:tcPr>
            <w:tcW w:w="180" w:type="dxa"/>
            <w:vAlign w:val="bottom"/>
            <w:vMerge w:val="restart"/>
          </w:tcPr>
          <w:p>
            <w:pPr>
              <w:spacing w:after="0"/>
              <w:rPr>
                <w:sz w:val="10"/>
                <w:szCs w:val="10"/>
                <w:color w:val="auto"/>
              </w:rPr>
            </w:pPr>
          </w:p>
        </w:tc>
        <w:tc>
          <w:tcPr>
            <w:tcW w:w="3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80" w:type="dxa"/>
            <w:vAlign w:val="bottom"/>
            <w:vMerge w:val="continue"/>
          </w:tcPr>
          <w:p>
            <w:pPr>
              <w:spacing w:after="0"/>
              <w:rPr>
                <w:sz w:val="6"/>
                <w:szCs w:val="6"/>
                <w:color w:val="auto"/>
              </w:rPr>
            </w:pPr>
          </w:p>
        </w:tc>
        <w:tc>
          <w:tcPr>
            <w:tcW w:w="368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Fiona Tan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*By:  /s/ Douglas Francis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2040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2">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Name: Douglas Francis, Attorney-in-Fact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9019"/>
          </w:cols>
          <w:pgMar w:left="1440" w:top="263" w:right="1440" w:bottom="704"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Post-Effective Amendment No. 4 to the Registration Statement (No. 333-261466) on Form S-1 of WM Technology, Inc. of our report dated March 16, 2023, relating to the consolidated financial statements, appearing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508760" cy="5226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6">
                      <a:extLst>
                        <a:ext uri="{28A0092B-C50C-407E-A947-70E740481C1C}"/>
                      </a:extLst>
                    </a:blip>
                    <a:srcRect/>
                    <a:stretch>
                      <a:fillRect/>
                    </a:stretch>
                  </pic:blipFill>
                  <pic:spPr bwMode="auto">
                    <a:xfrm>
                      <a:off x="0" y="0"/>
                      <a:ext cx="1508760" cy="5226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156845</wp:posOffset>
            </wp:positionV>
            <wp:extent cx="899795" cy="78867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7">
                      <a:extLst>
                        <a:ext uri="{28A0092B-C50C-407E-A947-70E740481C1C}"/>
                      </a:extLst>
                    </a:blip>
                    <a:srcRect/>
                    <a:stretch>
                      <a:fillRect/>
                    </a:stretch>
                  </pic:blipFill>
                  <pic:spPr bwMode="auto">
                    <a:xfrm>
                      <a:off x="0" y="0"/>
                      <a:ext cx="8997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consent to the use in this Post-Effective Amendment No. 4 to Registration Statement on Form S-3 on Form S-1 (No. 333-261466) of WM Technology, Inc. (the “Company”) of our report dated May 24, 2024, relating to the consolidated financial statements of the Company as of and for the year ended December 31, 2023 (which report expresses an unqualified opinion and includes an explanatory paragraph relating to a restatement of previously reported 2023 quarterly revenue and credit losses). We also consent to the reference to us under the heading “Experts” in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611630" cy="4800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8">
                      <a:extLst>
                        <a:ext uri="{28A0092B-C50C-407E-A947-70E740481C1C}"/>
                      </a:extLst>
                    </a:blip>
                    <a:srcRect/>
                    <a:stretch>
                      <a:fillRect/>
                    </a:stretch>
                  </pic:blipFill>
                  <pic:spPr bwMode="auto">
                    <a:xfrm>
                      <a:off x="0" y="0"/>
                      <a:ext cx="16116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4646295" cy="2654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0">
                      <a:extLst>
                        <a:ext uri="{28A0092B-C50C-407E-A947-70E740481C1C}"/>
                      </a:extLst>
                    </a:blip>
                    <a:srcRect/>
                    <a:stretch>
                      <a:fillRect/>
                    </a:stretch>
                  </pic:blipFill>
                  <pic:spPr bwMode="auto">
                    <a:xfrm>
                      <a:off x="0" y="0"/>
                      <a:ext cx="4646295" cy="265430"/>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1"/>
      <w:numFmt w:val="decimal"/>
      <w:start w:val="41"/>
    </w:lvl>
  </w:abstractNum>
  <w:abstractNum w:abstractNumId="1">
    <w:nsid w:val="6590700B"/>
    <w:multiLevelType w:val="hybridMultilevel"/>
    <w:lvl w:ilvl="0">
      <w:lvlJc w:val="left"/>
      <w:lvlText w:val="%1"/>
      <w:numFmt w:val="decimal"/>
      <w:start w:val="4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1"/>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1)"/>
      <w:numFmt w:val="decimal"/>
      <w:start w:val="1"/>
    </w:lvl>
  </w:abstractNum>
  <w:abstractNum w:abstractNumId="22">
    <w:nsid w:val="3B0FD379"/>
    <w:multiLevelType w:val="hybridMultilevel"/>
    <w:lvl w:ilvl="0">
      <w:lvlJc w:val="left"/>
      <w:lvlText w:val="(%1)"/>
      <w:numFmt w:val="decimal"/>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1)"/>
      <w:numFmt w:val="decimal"/>
      <w:start w:val="1"/>
    </w:lvl>
  </w:abstractNum>
  <w:abstractNum w:abstractNumId="26">
    <w:nsid w:val="6A5EE64"/>
    <w:multiLevelType w:val="hybridMultilevel"/>
    <w:lvl w:ilvl="0">
      <w:lvlJc w:val="left"/>
      <w:lvlText w:val="(%1)"/>
      <w:numFmt w:val="decimal"/>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2"/>
      <w:numFmt w:val="bullet"/>
      <w:start w:val="1"/>
    </w:lvl>
  </w:abstractNum>
  <w:abstractNum w:abstractNumId="29">
    <w:nsid w:val="1A27709E"/>
    <w:multiLevelType w:val="hybridMultilevel"/>
    <w:lvl w:ilvl="0">
      <w:lvlJc w:val="left"/>
      <w:lvlText w:val="3"/>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4"/>
      <w:numFmt w:val="bullet"/>
      <w:start w:val="1"/>
    </w:lvl>
  </w:abstractNum>
  <w:abstractNum w:abstractNumId="37">
    <w:nsid w:val="76272110"/>
    <w:multiLevelType w:val="hybridMultilevel"/>
    <w:lvl w:ilvl="0">
      <w:lvlJc w:val="left"/>
      <w:lvlText w:val="5"/>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1)"/>
      <w:numFmt w:val="decimal"/>
      <w:start w:val="1"/>
    </w:lvl>
  </w:abstractNum>
  <w:abstractNum w:abstractNumId="55">
    <w:nsid w:val="7055A5F5"/>
    <w:multiLevelType w:val="hybridMultilevel"/>
    <w:lvl w:ilvl="0">
      <w:lvlJc w:val="left"/>
      <w:lvlText w:val="(%1)"/>
      <w:numFmt w:val="decimal"/>
      <w:start w:val="1"/>
    </w:lvl>
  </w:abstractNum>
  <w:abstractNum w:abstractNumId="56">
    <w:nsid w:val="5FB8370B"/>
    <w:multiLevelType w:val="hybridMultilevel"/>
    <w:lvl w:ilvl="0">
      <w:lvlJc w:val="left"/>
      <w:lvlText w:val="(%1)"/>
      <w:numFmt w:val="decimal"/>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1)"/>
      <w:numFmt w:val="decimal"/>
      <w:start w:val="1"/>
    </w:lvl>
    <w:lvl w:ilvl="1">
      <w:lvlJc w:val="left"/>
      <w:lvlText w:val="(%2)"/>
      <w:numFmt w:val="lowerRoman"/>
      <w:start w:val="2"/>
    </w:lvl>
  </w:abstractNum>
  <w:abstractNum w:abstractNumId="59">
    <w:nsid w:val="5FB8011C"/>
    <w:multiLevelType w:val="hybridMultilevel"/>
    <w:lvl w:ilvl="0">
      <w:lvlJc w:val="left"/>
      <w:lvlText w:val="(%1)"/>
      <w:numFmt w:val="decimal"/>
      <w:start w:val="1"/>
    </w:lvl>
  </w:abstractNum>
  <w:abstractNum w:abstractNumId="60">
    <w:nsid w:val="6AA78F7F"/>
    <w:multiLevelType w:val="hybridMultilevel"/>
    <w:lvl w:ilvl="0">
      <w:lvlJc w:val="left"/>
      <w:lvlText w:val="(%1)"/>
      <w:numFmt w:val="lowerRoman"/>
      <w:start w:val="4"/>
    </w:lvl>
  </w:abstractNum>
  <w:abstractNum w:abstractNumId="61">
    <w:nsid w:val="7672BD23"/>
    <w:multiLevelType w:val="hybridMultilevel"/>
    <w:lvl w:ilvl="0">
      <w:lvlJc w:val="left"/>
      <w:lvlText w:val="(%1)"/>
      <w:numFmt w:val="decimal"/>
      <w:start w:val="1"/>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1)"/>
      <w:numFmt w:val="decimal"/>
      <w:start w:val="2"/>
    </w:lvl>
  </w:abstractNum>
  <w:abstractNum w:abstractNumId="64">
    <w:nsid w:val="7D5E18F8"/>
    <w:multiLevelType w:val="hybridMultilevel"/>
    <w:lvl w:ilvl="0">
      <w:lvlJc w:val="left"/>
      <w:lvlText w:val="(%1)"/>
      <w:numFmt w:val="decimal"/>
      <w:start w:val="1"/>
    </w:lvl>
  </w:abstractNum>
  <w:abstractNum w:abstractNumId="65">
    <w:nsid w:val="5F3534A4"/>
    <w:multiLevelType w:val="hybridMultilevel"/>
    <w:lvl w:ilvl="0">
      <w:lvlJc w:val="left"/>
      <w:lvlText w:val="(%1)"/>
      <w:numFmt w:val="lowerRoman"/>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1)"/>
      <w:numFmt w:val="decimal"/>
      <w:start w:val="1"/>
    </w:lvl>
  </w:abstractNum>
  <w:abstractNum w:abstractNumId="69">
    <w:nsid w:val="3FA62ACA"/>
    <w:multiLevelType w:val="hybridMultilevel"/>
    <w:lvl w:ilvl="0">
      <w:lvlJc w:val="left"/>
      <w:lvlText w:val="(%1)"/>
      <w:numFmt w:val="decimal"/>
      <w:start w:val="3"/>
    </w:lvl>
  </w:abstractNum>
  <w:abstractNum w:abstractNumId="70">
    <w:nsid w:val="14FCE74E"/>
    <w:multiLevelType w:val="hybridMultilevel"/>
    <w:lvl w:ilvl="0">
      <w:lvlJc w:val="left"/>
      <w:lvlText w:val="(%1)"/>
      <w:numFmt w:val="decimal"/>
      <w:start w:val="9"/>
    </w:lvl>
  </w:abstractNum>
  <w:abstractNum w:abstractNumId="71">
    <w:nsid w:val="6A3DD3E8"/>
    <w:multiLevelType w:val="hybridMultilevel"/>
    <w:lvl w:ilvl="0">
      <w:lvlJc w:val="left"/>
      <w:lvlText w:val="(%1)"/>
      <w:numFmt w:val="lowerRoman"/>
      <w:start w:val="2"/>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1)"/>
      <w:numFmt w:val="decimal"/>
      <w:start w:val="1"/>
    </w:lvl>
  </w:abstractNum>
  <w:abstractNum w:abstractNumId="74">
    <w:nsid w:val="53299938"/>
    <w:multiLevelType w:val="hybridMultilevel"/>
    <w:lvl w:ilvl="0">
      <w:lvlJc w:val="left"/>
      <w:lvlText w:val="(%1)"/>
      <w:numFmt w:val="lowerRoman"/>
      <w:start w:val="10"/>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1)"/>
      <w:numFmt w:val="decimal"/>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1)"/>
      <w:numFmt w:val="decimal"/>
      <w:start w:val="2"/>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1."/>
      <w:numFmt w:val="decimal"/>
      <w:start w:val="1"/>
    </w:lvl>
  </w:abstractNum>
  <w:abstractNum w:abstractNumId="85">
    <w:nsid w:val="53584BCB"/>
    <w:multiLevelType w:val="hybridMultilevel"/>
    <w:lvl w:ilvl="0">
      <w:lvlJc w:val="left"/>
      <w:lvlText w:val="%1."/>
      <w:numFmt w:val="decimal"/>
      <w:start w:val="1"/>
    </w:lvl>
  </w:abstractNum>
  <w:abstractNum w:abstractNumId="86">
    <w:nsid w:val="415E286C"/>
    <w:multiLevelType w:val="hybridMultilevel"/>
    <w:lvl w:ilvl="0">
      <w:lvlJc w:val="left"/>
      <w:lvlText w:val="%1."/>
      <w:numFmt w:val="decimal"/>
      <w:start w:val="1"/>
    </w:lvl>
  </w:abstractNum>
  <w:abstractNum w:abstractNumId="87">
    <w:nsid w:val="7C58FD05"/>
    <w:multiLevelType w:val="hybridMultilevel"/>
    <w:lvl w:ilvl="0">
      <w:lvlJc w:val="left"/>
      <w:lvlText w:val="%1."/>
      <w:numFmt w:val="decimal"/>
      <w:start w:val="2"/>
    </w:lvl>
  </w:abstractNum>
  <w:abstractNum w:abstractNumId="88">
    <w:nsid w:val="23D86AAC"/>
    <w:multiLevelType w:val="hybridMultilevel"/>
    <w:lvl w:ilvl="0">
      <w:lvlJc w:val="left"/>
      <w:lvlText w:val="1"/>
      <w:numFmt w:val="bullet"/>
      <w:start w:val="1"/>
    </w:lvl>
  </w:abstractNum>
  <w:abstractNum w:abstractNumId="89">
    <w:nsid w:val="45E6D486"/>
    <w:multiLevelType w:val="hybridMultilevel"/>
    <w:lvl w:ilvl="0">
      <w:lvlJc w:val="left"/>
      <w:lvlText w:val="%1."/>
      <w:numFmt w:val="decimal"/>
      <w:start w:val="3"/>
    </w:lvl>
  </w:abstractNum>
  <w:abstractNum w:abstractNumId="90">
    <w:nsid w:val="5C10FE21"/>
    <w:multiLevelType w:val="hybridMultilevel"/>
    <w:lvl w:ilvl="0">
      <w:lvlJc w:val="left"/>
      <w:lvlText w:val="•"/>
      <w:numFmt w:val="bullet"/>
      <w:start w:val="1"/>
    </w:lvl>
  </w:abstractNum>
  <w:abstractNum w:abstractNumId="91">
    <w:nsid w:val="E7FFA2B"/>
    <w:multiLevelType w:val="hybridMultilevel"/>
    <w:lvl w:ilvl="0">
      <w:lvlJc w:val="left"/>
      <w:lvlText w:val="•"/>
      <w:numFmt w:val="bullet"/>
      <w:start w:val="1"/>
    </w:lvl>
  </w:abstractNum>
  <w:abstractNum w:abstractNumId="92">
    <w:nsid w:val="3C5991AA"/>
    <w:multiLevelType w:val="hybridMultilevel"/>
    <w:lvl w:ilvl="0">
      <w:lvlJc w:val="left"/>
      <w:lvlText w:val="•"/>
      <w:numFmt w:val="bullet"/>
      <w:start w:val="1"/>
    </w:lvl>
    <w:lvl w:ilvl="1">
      <w:lvlJc w:val="left"/>
      <w:lvlText w:val="○"/>
      <w:numFmt w:val="bullet"/>
      <w:start w:val="1"/>
    </w:lvl>
  </w:abstractNum>
  <w:abstractNum w:abstractNumId="93">
    <w:nsid w:val="4BD8591A"/>
    <w:multiLevelType w:val="hybridMultilevel"/>
    <w:lvl w:ilvl="0">
      <w:lvlJc w:val="left"/>
      <w:lvlText w:val="1"/>
      <w:numFmt w:val="bullet"/>
      <w:start w:val="1"/>
    </w:lvl>
  </w:abstractNum>
  <w:abstractNum w:abstractNumId="94">
    <w:nsid w:val="78DF6A55"/>
    <w:multiLevelType w:val="hybridMultilevel"/>
    <w:lvl w:ilvl="0">
      <w:lvlJc w:val="left"/>
      <w:lvlText w:val="2"/>
      <w:numFmt w:val="bullet"/>
      <w:start w:val="1"/>
    </w:lvl>
  </w:abstractNum>
  <w:abstractNum w:abstractNumId="95">
    <w:nsid w:val="39B7AAA2"/>
    <w:multiLevelType w:val="hybridMultilevel"/>
    <w:lvl w:ilvl="0">
      <w:lvlJc w:val="left"/>
      <w:lvlText w:val="%1."/>
      <w:numFmt w:val="decimal"/>
      <w:start w:val="4"/>
    </w:lvl>
  </w:abstractNum>
  <w:abstractNum w:abstractNumId="96">
    <w:nsid w:val="2B0D8DBE"/>
    <w:multiLevelType w:val="hybridMultilevel"/>
    <w:lvl w:ilvl="0">
      <w:lvlJc w:val="left"/>
      <w:lvlText w:val="%1."/>
      <w:numFmt w:val="decimal"/>
      <w:start w:val="5"/>
    </w:lvl>
  </w:abstractNum>
  <w:abstractNum w:abstractNumId="97">
    <w:nsid w:val="6C80EC70"/>
    <w:multiLevelType w:val="hybridMultilevel"/>
    <w:lvl w:ilvl="0">
      <w:lvlJc w:val="left"/>
      <w:lvlText w:val="•"/>
      <w:numFmt w:val="bullet"/>
      <w:start w:val="1"/>
    </w:lvl>
  </w:abstractNum>
  <w:abstractNum w:abstractNumId="98">
    <w:nsid w:val="379E21B5"/>
    <w:multiLevelType w:val="hybridMultilevel"/>
    <w:lvl w:ilvl="0">
      <w:lvlJc w:val="left"/>
      <w:lvlText w:val="%1."/>
      <w:numFmt w:val="decimal"/>
      <w:start w:val="6"/>
    </w:lvl>
  </w:abstractNum>
  <w:abstractNum w:abstractNumId="99">
    <w:nsid w:val="69E373"/>
    <w:multiLevelType w:val="hybridMultilevel"/>
    <w:lvl w:ilvl="0">
      <w:lvlJc w:val="left"/>
      <w:lvlText w:val="%1."/>
      <w:numFmt w:val="decimal"/>
      <w:start w:val="7"/>
    </w:lvl>
  </w:abstractNum>
  <w:abstractNum w:abstractNumId="100">
    <w:nsid w:val="2C27173B"/>
    <w:multiLevelType w:val="hybridMultilevel"/>
    <w:lvl w:ilvl="0">
      <w:lvlJc w:val="left"/>
      <w:lvlText w:val="%1."/>
      <w:numFmt w:val="decimal"/>
      <w:start w:val="8"/>
    </w:lvl>
  </w:abstractNum>
  <w:abstractNum w:abstractNumId="101">
    <w:nsid w:val="4C9B0904"/>
    <w:multiLevelType w:val="hybridMultilevel"/>
    <w:lvl w:ilvl="0">
      <w:lvlJc w:val="left"/>
      <w:lvlText w:val="%1."/>
      <w:numFmt w:val="decimal"/>
      <w:start w:val="9"/>
    </w:lvl>
  </w:abstractNum>
  <w:abstractNum w:abstractNumId="102">
    <w:nsid w:val="6AA7B75C"/>
    <w:multiLevelType w:val="hybridMultilevel"/>
    <w:lvl w:ilvl="0">
      <w:lvlJc w:val="left"/>
      <w:lvlText w:val="¹"/>
      <w:numFmt w:val="bullet"/>
      <w:start w:val="1"/>
    </w:lvl>
  </w:abstractNum>
  <w:abstractNum w:abstractNumId="103">
    <w:nsid w:val="1DF029D3"/>
    <w:multiLevelType w:val="hybridMultilevel"/>
    <w:lvl w:ilvl="0">
      <w:lvlJc w:val="left"/>
      <w:lvlText w:val="(%1)"/>
      <w:numFmt w:val="decimal"/>
      <w:start w:val="1"/>
    </w:lvl>
  </w:abstractNum>
  <w:abstractNum w:abstractNumId="104">
    <w:nsid w:val="5675FF36"/>
    <w:multiLevelType w:val="hybridMultilevel"/>
    <w:lvl w:ilvl="0">
      <w:lvlJc w:val="left"/>
      <w:lvlText w:val="•"/>
      <w:numFmt w:val="bullet"/>
      <w:start w:val="1"/>
    </w:lvl>
  </w:abstractNum>
  <w:abstractNum w:abstractNumId="105">
    <w:nsid w:val="3DD15094"/>
    <w:multiLevelType w:val="hybridMultilevel"/>
    <w:lvl w:ilvl="0">
      <w:lvlJc w:val="left"/>
      <w:lvlText w:val="•"/>
      <w:numFmt w:val="bullet"/>
      <w:start w:val="1"/>
    </w:lvl>
  </w:abstractNum>
  <w:abstractNum w:abstractNumId="106">
    <w:nsid w:val="3DB012B3"/>
    <w:multiLevelType w:val="hybridMultilevel"/>
    <w:lvl w:ilvl="0">
      <w:lvlJc w:val="left"/>
      <w:lvlText w:val="•"/>
      <w:numFmt w:val="bullet"/>
      <w:start w:val="1"/>
    </w:lvl>
  </w:abstractNum>
  <w:abstractNum w:abstractNumId="107">
    <w:nsid w:val="2708C9AF"/>
    <w:multiLevelType w:val="hybridMultilevel"/>
    <w:lvl w:ilvl="0">
      <w:lvlJc w:val="left"/>
      <w:lvlText w:val="•"/>
      <w:numFmt w:val="bullet"/>
      <w:start w:val="1"/>
    </w:lvl>
  </w:abstractNum>
  <w:abstractNum w:abstractNumId="108">
    <w:nsid w:val="5B25ACE2"/>
    <w:multiLevelType w:val="hybridMultilevel"/>
    <w:lvl w:ilvl="0">
      <w:lvlJc w:val="left"/>
      <w:lvlText w:val="%1."/>
      <w:numFmt w:val="decimal"/>
      <w:start w:val="1"/>
    </w:lvl>
  </w:abstractNum>
  <w:abstractNum w:abstractNumId="109">
    <w:nsid w:val="175DFCF0"/>
    <w:multiLevelType w:val="hybridMultilevel"/>
    <w:lvl w:ilvl="0">
      <w:lvlJc w:val="left"/>
      <w:lvlText w:val="%1."/>
      <w:numFmt w:val="decimal"/>
      <w:start w:val="2"/>
    </w:lvl>
  </w:abstractNum>
  <w:abstractNum w:abstractNumId="110">
    <w:nsid w:val="4F97E3E4"/>
    <w:multiLevelType w:val="hybridMultilevel"/>
    <w:lvl w:ilvl="0">
      <w:lvlJc w:val="left"/>
      <w:lvlText w:val="(%1)"/>
      <w:numFmt w:val="lowerRoman"/>
      <w:start w:val="2"/>
    </w:lvl>
  </w:abstractNum>
  <w:abstractNum w:abstractNumId="111">
    <w:nsid w:val="53B0A9E"/>
    <w:multiLevelType w:val="hybridMultilevel"/>
    <w:lvl w:ilvl="0">
      <w:lvlJc w:val="left"/>
      <w:lvlText w:val="%1."/>
      <w:numFmt w:val="decimal"/>
      <w:start w:val="3"/>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
      <w:numFmt w:val="bullet"/>
      <w:start w:val="1"/>
    </w:lvl>
    <w:lvl w:ilvl="1">
      <w:lvlJc w:val="left"/>
      <w:lvlText w:val="○"/>
      <w:numFmt w:val="bullet"/>
      <w:start w:val="1"/>
    </w:lvl>
  </w:abstractNum>
  <w:abstractNum w:abstractNumId="114">
    <w:nsid w:val="56438D15"/>
    <w:multiLevelType w:val="hybridMultilevel"/>
    <w:lvl w:ilvl="0">
      <w:lvlJc w:val="left"/>
      <w:lvlText w:val="1"/>
      <w:numFmt w:val="bullet"/>
      <w:start w:val="1"/>
    </w:lvl>
  </w:abstractNum>
  <w:abstractNum w:abstractNumId="115">
    <w:nsid w:val="519E3149"/>
    <w:multiLevelType w:val="hybridMultilevel"/>
    <w:lvl w:ilvl="0">
      <w:lvlJc w:val="left"/>
      <w:lvlText w:val="%1."/>
      <w:numFmt w:val="decimal"/>
      <w:start w:val="4"/>
    </w:lvl>
  </w:abstractNum>
  <w:abstractNum w:abstractNumId="116">
    <w:nsid w:val="2C6E4AFD"/>
    <w:multiLevelType w:val="hybridMultilevel"/>
    <w:lvl w:ilvl="0">
      <w:lvlJc w:val="left"/>
      <w:lvlText w:val="%1."/>
      <w:numFmt w:val="decimal"/>
      <w:start w:val="5"/>
    </w:lvl>
  </w:abstractNum>
  <w:abstractNum w:abstractNumId="117">
    <w:nsid w:val="17A1B582"/>
    <w:multiLevelType w:val="hybridMultilevel"/>
    <w:lvl w:ilvl="0">
      <w:lvlJc w:val="left"/>
      <w:lvlText w:val="%1."/>
      <w:numFmt w:val="decimal"/>
      <w:start w:val="6"/>
    </w:lvl>
  </w:abstractNum>
  <w:abstractNum w:abstractNumId="118">
    <w:nsid w:val="4DF72E4E"/>
    <w:multiLevelType w:val="hybridMultilevel"/>
    <w:lvl w:ilvl="0">
      <w:lvlJc w:val="left"/>
      <w:lvlText w:val="•"/>
      <w:numFmt w:val="bullet"/>
      <w:start w:val="1"/>
    </w:lvl>
  </w:abstractNum>
  <w:abstractNum w:abstractNumId="119">
    <w:nsid w:val="5046B5A9"/>
    <w:multiLevelType w:val="hybridMultilevel"/>
    <w:lvl w:ilvl="0">
      <w:lvlJc w:val="left"/>
      <w:lvlText w:val="%1."/>
      <w:numFmt w:val="decimal"/>
      <w:start w:val="7"/>
    </w:lvl>
  </w:abstractNum>
  <w:abstractNum w:abstractNumId="120">
    <w:nsid w:val="5D888A08"/>
    <w:multiLevelType w:val="hybridMultilevel"/>
    <w:lvl w:ilvl="0">
      <w:lvlJc w:val="left"/>
      <w:lvlText w:val="•"/>
      <w:numFmt w:val="bullet"/>
      <w:start w:val="1"/>
    </w:lvl>
  </w:abstractNum>
  <w:abstractNum w:abstractNumId="121">
    <w:nsid w:val="2A082C70"/>
    <w:multiLevelType w:val="hybridMultilevel"/>
    <w:lvl w:ilvl="0">
      <w:lvlJc w:val="left"/>
      <w:lvlText w:val="•"/>
      <w:numFmt w:val="bullet"/>
      <w:start w:val="1"/>
    </w:lvl>
  </w:abstractNum>
  <w:abstractNum w:abstractNumId="122">
    <w:nsid w:val="5EC6AFD4"/>
    <w:multiLevelType w:val="hybridMultilevel"/>
    <w:lvl w:ilvl="0">
      <w:lvlJc w:val="left"/>
      <w:lvlText w:val="%1."/>
      <w:numFmt w:val="decimal"/>
      <w:start w:val="8"/>
    </w:lvl>
  </w:abstractNum>
  <w:abstractNum w:abstractNumId="123">
    <w:nsid w:val="19E21BB2"/>
    <w:multiLevelType w:val="hybridMultilevel"/>
    <w:lvl w:ilvl="0">
      <w:lvlJc w:val="left"/>
      <w:lvlText w:val="(%1)"/>
      <w:numFmt w:val="decimal"/>
      <w:start w:val="1"/>
    </w:lvl>
  </w:abstractNum>
  <w:abstractNum w:abstractNumId="124">
    <w:nsid w:val="75E0858A"/>
    <w:multiLevelType w:val="hybridMultilevel"/>
    <w:lvl w:ilvl="0">
      <w:lvlJc w:val="left"/>
      <w:lvlText w:val="(%1)"/>
      <w:numFmt w:val="decimal"/>
      <w:start w:val="1"/>
    </w:lvl>
  </w:abstractNum>
  <w:abstractNum w:abstractNumId="125">
    <w:nsid w:val="57A61A29"/>
    <w:multiLevelType w:val="hybridMultilevel"/>
    <w:lvl w:ilvl="0">
      <w:lvlJc w:val="left"/>
      <w:lvlText w:val="(%1)"/>
      <w:numFmt w:val="decimal"/>
      <w:start w:val="1"/>
    </w:lvl>
  </w:abstractNum>
  <w:abstractNum w:abstractNumId="126">
    <w:nsid w:val="5399C654"/>
    <w:multiLevelType w:val="hybridMultilevel"/>
    <w:lvl w:ilvl="0">
      <w:lvlJc w:val="left"/>
      <w:lvlText w:val="%1."/>
      <w:numFmt w:val="decimal"/>
      <w:start w:val="9"/>
    </w:lvl>
  </w:abstractNum>
  <w:abstractNum w:abstractNumId="127">
    <w:nsid w:val="20EE1348"/>
    <w:multiLevelType w:val="hybridMultilevel"/>
    <w:lvl w:ilvl="0">
      <w:lvlJc w:val="left"/>
      <w:lvlText w:val="¹"/>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
      <w:numFmt w:val="bullet"/>
      <w:start w:val="1"/>
    </w:lvl>
    <w:lvl w:ilvl="1">
      <w:lvlJc w:val="left"/>
      <w:lvlText w:val="%2"/>
      <w:numFmt w:val="decimal"/>
      <w:start w:val="107"/>
    </w:lvl>
  </w:abstractNum>
  <w:abstractNum w:abstractNumId="132">
    <w:nsid w:val="57D2F10E"/>
    <w:multiLevelType w:val="hybridMultilevel"/>
    <w:lvl w:ilvl="0">
      <w:lvlJc w:val="left"/>
      <w:lvlText w:val="#"/>
      <w:numFmt w:val="bullet"/>
      <w:start w:val="1"/>
    </w:lvl>
  </w:abstractNum>
  <w:abstractNum w:abstractNumId="133">
    <w:nsid w:val="BFFAE1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4">
    <w:nsid w:val="E3E47A8"/>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35">
    <w:nsid w:val="2E48F04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60" Type="http://schemas.openxmlformats.org/officeDocument/2006/relationships/image" Target="media/image532.png"/><Relationship Id="rId561" Type="http://schemas.openxmlformats.org/officeDocument/2006/relationships/image" Target="media/image533.png"/><Relationship Id="rId575" Type="http://schemas.openxmlformats.org/officeDocument/2006/relationships/image" Target="media/image534.png"/><Relationship Id="rId576" Type="http://schemas.openxmlformats.org/officeDocument/2006/relationships/image" Target="media/image535.png"/><Relationship Id="rId577" Type="http://schemas.openxmlformats.org/officeDocument/2006/relationships/image" Target="media/image536.png"/><Relationship Id="rId578" Type="http://schemas.openxmlformats.org/officeDocument/2006/relationships/image" Target="media/image537.png"/><Relationship Id="rId579" Type="http://schemas.openxmlformats.org/officeDocument/2006/relationships/image" Target="media/image538.png"/><Relationship Id="rId580" Type="http://schemas.openxmlformats.org/officeDocument/2006/relationships/image" Target="media/image539.png"/><Relationship Id="rId581" Type="http://schemas.openxmlformats.org/officeDocument/2006/relationships/image" Target="media/image540.png"/><Relationship Id="rId582" Type="http://schemas.openxmlformats.org/officeDocument/2006/relationships/image" Target="media/image541.png"/><Relationship Id="rId583" Type="http://schemas.openxmlformats.org/officeDocument/2006/relationships/image" Target="media/image542.png"/><Relationship Id="rId584" Type="http://schemas.openxmlformats.org/officeDocument/2006/relationships/image" Target="media/image543.png"/><Relationship Id="rId585" Type="http://schemas.openxmlformats.org/officeDocument/2006/relationships/image" Target="media/image544.png"/><Relationship Id="rId586" Type="http://schemas.openxmlformats.org/officeDocument/2006/relationships/image" Target="media/image545.jpeg"/><Relationship Id="rId587" Type="http://schemas.openxmlformats.org/officeDocument/2006/relationships/image" Target="media/image546.jpeg"/><Relationship Id="rId588" Type="http://schemas.openxmlformats.org/officeDocument/2006/relationships/image" Target="media/image547.jpeg"/><Relationship Id="rId589" Type="http://schemas.openxmlformats.org/officeDocument/2006/relationships/image" Target="media/image548.png"/><Relationship Id="rId590" Type="http://schemas.openxmlformats.org/officeDocument/2006/relationships/image" Target="media/image549.jpeg"/><Relationship Id="rId539" Type="http://schemas.openxmlformats.org/officeDocument/2006/relationships/hyperlink" Target="https://www.sec.gov/Archives/edgar/data/1779474/000095010320024045/dp142700_ex0201.htm" TargetMode="External"/><Relationship Id="rId540" Type="http://schemas.openxmlformats.org/officeDocument/2006/relationships/hyperlink" Target="https://www.sec.gov/Archives/edgar/data/1779474/000114036121021785/brhc10025756_ex3-1.htm" TargetMode="External"/><Relationship Id="rId541" Type="http://schemas.openxmlformats.org/officeDocument/2006/relationships/hyperlink" Target="https://www.sec.gov/Archives/edgar/data/1779474/000114036121021785/brhc10025756_ex3-2.htm" TargetMode="External"/><Relationship Id="rId542" Type="http://schemas.openxmlformats.org/officeDocument/2006/relationships/hyperlink" Target="https://www.sec.gov/Archives/edgar/data/1779474/000114036121021785/brhc10025756_ex4-1.htm" TargetMode="External"/><Relationship Id="rId543" Type="http://schemas.openxmlformats.org/officeDocument/2006/relationships/hyperlink" Target="https://www.sec.gov/Archives/edgar/data/1779474/000114036121021785/brhc10025756_ex4-2.htm" TargetMode="External"/><Relationship Id="rId544" Type="http://schemas.openxmlformats.org/officeDocument/2006/relationships/hyperlink" Target="https://www.sec.gov/Archives/edgar/data/1779474/000095010319010751/dp111173_ex0401.htm" TargetMode="External"/><Relationship Id="rId545" Type="http://schemas.openxmlformats.org/officeDocument/2006/relationships/hyperlink" Target="https://www.sec.gov/Archives/edgar/data/1779474/000177947422000010/exhibit45descriptionofsecu.htm" TargetMode="External"/><Relationship Id="rId546" Type="http://schemas.openxmlformats.org/officeDocument/2006/relationships/hyperlink" Target="https://www.sec.gov/Archives/edgar/data/1779474/000114036121040114/brhc10031383_ex5-1.htm" TargetMode="External"/><Relationship Id="rId547" Type="http://schemas.openxmlformats.org/officeDocument/2006/relationships/hyperlink" Target="https://www.sec.gov/Archives/edgar/data/1779474/000114036121021785/brhc10025756_ex10-1.htm" TargetMode="External"/><Relationship Id="rId548" Type="http://schemas.openxmlformats.org/officeDocument/2006/relationships/hyperlink" Target="https://www.sec.gov/Archives/edgar/data/1779474/000114036121021785/brhc10025756_ex10-2.htm" TargetMode="External"/><Relationship Id="rId549" Type="http://schemas.openxmlformats.org/officeDocument/2006/relationships/hyperlink" Target="https://www.sec.gov/Archives/edgar/data/1779474/000114036121021785/brhc10025756_ex10-3.htm" TargetMode="External"/><Relationship Id="rId550" Type="http://schemas.openxmlformats.org/officeDocument/2006/relationships/hyperlink" Target="https://www.sec.gov/Archives/edgar/data/1779474/000095010320024045/dp142700_ex1001.htm" TargetMode="External"/><Relationship Id="rId551" Type="http://schemas.openxmlformats.org/officeDocument/2006/relationships/hyperlink" Target="https://www.sec.gov/Archives/edgar/data/1779474/000114036121021785/brhc10025756_ex10-5.htm" TargetMode="External"/><Relationship Id="rId552" Type="http://schemas.openxmlformats.org/officeDocument/2006/relationships/hyperlink" Target="https://www.sec.gov/Archives/edgar/data/1779474/000114036121021785/brhc10025756_ex10-6.htm" TargetMode="External"/><Relationship Id="rId553" Type="http://schemas.openxmlformats.org/officeDocument/2006/relationships/hyperlink" Target="https://www.sec.gov/Archives/edgar/data/1779474/000114036121021785/brhc10025756_ex10-7.htm" TargetMode="External"/><Relationship Id="rId554" Type="http://schemas.openxmlformats.org/officeDocument/2006/relationships/hyperlink" Target="https://www.sec.gov/Archives/edgar/data/1779474/000114036121021785/brhc10025756_ex10-7a.htm" TargetMode="External"/><Relationship Id="rId555" Type="http://schemas.openxmlformats.org/officeDocument/2006/relationships/hyperlink" Target="https://www.sec.gov/Archives/edgar/data/1779474/000114036121021785/brhc10025756_ex10-7b.htm" TargetMode="External"/><Relationship Id="rId556" Type="http://schemas.openxmlformats.org/officeDocument/2006/relationships/hyperlink" Target="https://www.sec.gov/Archives/edgar/data/1779474/000114036121021785/brhc10025756_ex10-8.htm" TargetMode="External"/><Relationship Id="rId557" Type="http://schemas.openxmlformats.org/officeDocument/2006/relationships/hyperlink" Target="https://www.sec.gov/Archives/edgar/data/1779474/000114036121021785/brhc10025756_ex10-12.htm" TargetMode="External"/><Relationship Id="rId558" Type="http://schemas.openxmlformats.org/officeDocument/2006/relationships/hyperlink" Target="https://www.sec.gov/Archives/edgar/data/1779474/000114036121021785/brhc10025756_ex10-13.htm" TargetMode="External"/><Relationship Id="rId559" Type="http://schemas.openxmlformats.org/officeDocument/2006/relationships/hyperlink" Target="https://www.sec.gov/Archives/edgar/data/1779474/000114036121021785/brhc10025756_ex10-14.htm" TargetMode="External"/><Relationship Id="rId562" Type="http://schemas.openxmlformats.org/officeDocument/2006/relationships/hyperlink" Target="https://www.sec.gov/Archives/edgar/data/1779474/000114036121021785/brhc10025756_ex10-15.htm" TargetMode="External"/><Relationship Id="rId563" Type="http://schemas.openxmlformats.org/officeDocument/2006/relationships/hyperlink" Target="https://www.sec.gov/Archives/edgar/data/1779474/000114036121021785/brhc10025756_ex10-16.htm" TargetMode="External"/><Relationship Id="rId564" Type="http://schemas.openxmlformats.org/officeDocument/2006/relationships/hyperlink" Target="https://www.sec.gov/Archives/edgar/data/1779474/000177947421000027/exhibit101.htm" TargetMode="External"/><Relationship Id="rId565" Type="http://schemas.openxmlformats.org/officeDocument/2006/relationships/hyperlink" Target="https://www.sec.gov/Archives/edgar/data/1779474/000177947423000072/exhibit102amendedandrestat.htm" TargetMode="External"/><Relationship Id="rId566" Type="http://schemas.openxmlformats.org/officeDocument/2006/relationships/hyperlink" Target="https://www.sec.gov/Archives/edgar/data/1779474/000177947423000023/exhibit1019dgrazier_offerl.htm" TargetMode="External"/><Relationship Id="rId567" Type="http://schemas.openxmlformats.org/officeDocument/2006/relationships/hyperlink" Target="https://www.sec.gov/Archives/edgar/data/1779474/000177947423000072/exhibit101retentionagreeme.htm" TargetMode="External"/><Relationship Id="rId568" Type="http://schemas.openxmlformats.org/officeDocument/2006/relationships/hyperlink" Target="https://www.sec.gov/Archives/edgar/data/1779474/000177947423000066/exhibit101dougsemploymenta.htm" TargetMode="External"/><Relationship Id="rId569" Type="http://schemas.openxmlformats.org/officeDocument/2006/relationships/hyperlink" Target="https://www.sec.gov/Archives/edgar/data/1779474/000177947424000023/exhibit1020briancamiresoff.htm" TargetMode="External"/><Relationship Id="rId570" Type="http://schemas.openxmlformats.org/officeDocument/2006/relationships/hyperlink" Target="https://www.sec.gov/Archives/edgar/data/1779474/000177947423000062/exhibit101q223.htm" TargetMode="External"/><Relationship Id="rId571" Type="http://schemas.openxmlformats.org/officeDocument/2006/relationships/hyperlink" Target="https://www.sec.gov/Archives/edgar/data/1779474/000177947423000076/exhibit105randasseperation.htm" TargetMode="External"/><Relationship Id="rId572" Type="http://schemas.openxmlformats.org/officeDocument/2006/relationships/hyperlink" Target="https://www.sec.gov/Archives/edgar/data/1779474/000177947424000023/exhibit1023seatonhillresou.htm" TargetMode="External"/><Relationship Id="rId573" Type="http://schemas.openxmlformats.org/officeDocument/2006/relationships/hyperlink" Target="https://www.sec.gov/Archives/edgar/data/1779474/000177947424000023/exhibit211listofsubsidiari.htm" TargetMode="External"/><Relationship Id="rId574" Type="http://schemas.openxmlformats.org/officeDocument/2006/relationships/hyperlink" Target="https://www.sec.gov/Archives/edgar/data/1779474/000114036121023775/nt10026588x1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2024-07-29T17:20:01Z</dcterms:created>
  <dcterms:modified xsi:type="dcterms:W3CDTF">2024-07-29T17:20:01Z</dcterms:modified>
</cp:coreProperties>
</file>