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78" w:lineRule="exact"/>
        <w:rPr>
          <w:sz w:val="24"/>
          <w:szCs w:val="24"/>
          <w:color w:val="auto"/>
        </w:rPr>
      </w:pPr>
    </w:p>
    <w:p>
      <w:pPr>
        <w:jc w:val="center"/>
        <w:ind w:right="80"/>
        <w:spacing w:after="0"/>
        <w:rPr>
          <w:sz w:val="20"/>
          <w:szCs w:val="20"/>
          <w:color w:val="auto"/>
        </w:rPr>
      </w:pPr>
      <w:r>
        <w:rPr>
          <w:rFonts w:ascii="Times New Roman" w:cs="Times New Roman" w:eastAsia="Times New Roman" w:hAnsi="Times New Roman"/>
          <w:sz w:val="32"/>
          <w:szCs w:val="32"/>
          <w:b w:val="1"/>
          <w:bCs w:val="1"/>
          <w:color w:val="auto"/>
        </w:rPr>
        <w:t>FORM 25</w:t>
      </w:r>
    </w:p>
    <w:p>
      <w:pPr>
        <w:spacing w:after="0" w:line="2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NOTIFICATION OF REMOVAL FROM LISTING</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AND/OR REGISTRATION UNDER SECTION 12(b)</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THE SECURITIES EXCHANGE ACT OF 1934.</w:t>
      </w:r>
    </w:p>
    <w:p>
      <w:pPr>
        <w:spacing w:after="0" w:line="203"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Commission File Number: 001-39021</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WM Technology, Inc.</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Nasdaq Global Select Market</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Issuer as specified in its charter and name of Exchange where security is listed and/or registered)</w:t>
      </w:r>
    </w:p>
    <w:p>
      <w:pPr>
        <w:spacing w:after="0" w:line="203" w:lineRule="exact"/>
        <w:rPr>
          <w:sz w:val="24"/>
          <w:szCs w:val="24"/>
          <w:color w:val="auto"/>
        </w:rPr>
      </w:pPr>
    </w:p>
    <w:p>
      <w:pPr>
        <w:ind w:left="4960" w:right="4960" w:firstLine="172"/>
        <w:spacing w:after="0" w:line="259" w:lineRule="auto"/>
        <w:tabs>
          <w:tab w:leader="none" w:pos="5350" w:val="left"/>
        </w:tabs>
        <w:numPr>
          <w:ilvl w:val="0"/>
          <w:numId w:val="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Discovery Irvine, CA 92618 (844) 933-3627</w:t>
      </w:r>
    </w:p>
    <w:p>
      <w:pPr>
        <w:jc w:val="center"/>
        <w:spacing w:after="0"/>
        <w:rPr>
          <w:sz w:val="20"/>
          <w:szCs w:val="20"/>
          <w:color w:val="auto"/>
        </w:rPr>
      </w:pPr>
      <w:r>
        <w:rPr>
          <w:rFonts w:ascii="Times New Roman" w:cs="Times New Roman" w:eastAsia="Times New Roman" w:hAnsi="Times New Roman"/>
          <w:sz w:val="18"/>
          <w:szCs w:val="18"/>
          <w:b w:val="1"/>
          <w:bCs w:val="1"/>
          <w:color w:val="auto"/>
        </w:rPr>
        <w:t>(Address, including zip code, and telephone number, including area code, of Issuer’s principal executive offices)</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Class A Common Stock, par value $0.0001 per share</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Warrants, each whole warrant exercisable for one share of Class A Common Stock at an exercise price of $11.50 per share</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(Description of class of securities)</w:t>
      </w:r>
    </w:p>
    <w:p>
      <w:pPr>
        <w:spacing w:after="0" w:line="200" w:lineRule="exact"/>
        <w:rPr>
          <w:sz w:val="24"/>
          <w:szCs w:val="24"/>
          <w:color w:val="auto"/>
        </w:rPr>
      </w:pPr>
    </w:p>
    <w:p>
      <w:pPr>
        <w:spacing w:after="0" w:line="223"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Please place an X in the box to designate the rule provisions relied upon to strike the class of securities from listing and registration:</w:t>
      </w:r>
    </w:p>
    <w:p>
      <w:pPr>
        <w:spacing w:after="0" w:line="225" w:lineRule="exact"/>
        <w:rPr>
          <w:sz w:val="24"/>
          <w:szCs w:val="24"/>
          <w:color w:val="auto"/>
        </w:rPr>
      </w:pPr>
    </w:p>
    <w:p>
      <w:pPr>
        <w:ind w:left="1300" w:hanging="1292"/>
        <w:spacing w:after="0"/>
        <w:tabs>
          <w:tab w:leader="none" w:pos="130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17 CFR 240.12d2-2(a)(1)</w:t>
      </w:r>
    </w:p>
    <w:p>
      <w:pPr>
        <w:spacing w:after="0" w:line="225" w:lineRule="exact"/>
        <w:rPr>
          <w:rFonts w:ascii="MS PGothic" w:cs="MS PGothic" w:eastAsia="MS PGothic" w:hAnsi="MS PGothic"/>
          <w:sz w:val="18"/>
          <w:szCs w:val="18"/>
          <w:color w:val="auto"/>
        </w:rPr>
      </w:pPr>
    </w:p>
    <w:p>
      <w:pPr>
        <w:ind w:left="1300" w:hanging="1292"/>
        <w:spacing w:after="0"/>
        <w:tabs>
          <w:tab w:leader="none" w:pos="130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17 CFR 240.12d2-2(a)(2)</w:t>
      </w:r>
    </w:p>
    <w:p>
      <w:pPr>
        <w:spacing w:after="0" w:line="225" w:lineRule="exact"/>
        <w:rPr>
          <w:rFonts w:ascii="MS PGothic" w:cs="MS PGothic" w:eastAsia="MS PGothic" w:hAnsi="MS PGothic"/>
          <w:sz w:val="18"/>
          <w:szCs w:val="18"/>
          <w:color w:val="auto"/>
        </w:rPr>
      </w:pPr>
    </w:p>
    <w:p>
      <w:pPr>
        <w:ind w:left="1300" w:hanging="1292"/>
        <w:spacing w:after="0"/>
        <w:tabs>
          <w:tab w:leader="none" w:pos="130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17 CFR 240.12d2-2(a)(3)</w:t>
      </w:r>
    </w:p>
    <w:p>
      <w:pPr>
        <w:spacing w:after="0" w:line="225" w:lineRule="exact"/>
        <w:rPr>
          <w:rFonts w:ascii="MS PGothic" w:cs="MS PGothic" w:eastAsia="MS PGothic" w:hAnsi="MS PGothic"/>
          <w:sz w:val="18"/>
          <w:szCs w:val="18"/>
          <w:color w:val="auto"/>
        </w:rPr>
      </w:pPr>
    </w:p>
    <w:p>
      <w:pPr>
        <w:ind w:left="1300" w:hanging="1292"/>
        <w:spacing w:after="0"/>
        <w:tabs>
          <w:tab w:leader="none" w:pos="130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17 CFR 240.12d2-2(a)(4)</w:t>
      </w:r>
    </w:p>
    <w:p>
      <w:pPr>
        <w:spacing w:after="0" w:line="225" w:lineRule="exact"/>
        <w:rPr>
          <w:rFonts w:ascii="MS PGothic" w:cs="MS PGothic" w:eastAsia="MS PGothic" w:hAnsi="MS PGothic"/>
          <w:sz w:val="18"/>
          <w:szCs w:val="18"/>
          <w:color w:val="auto"/>
        </w:rPr>
      </w:pPr>
    </w:p>
    <w:p>
      <w:pPr>
        <w:ind w:left="340" w:right="20" w:hanging="332"/>
        <w:spacing w:after="0" w:line="282" w:lineRule="auto"/>
        <w:tabs>
          <w:tab w:leader="none" w:pos="34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Pursuant to 17 CFR 240.12d2-2(b), the Exchange has complied with its rules to strike the class of securities from listing and/or withdraw registration on the Exchange.</w:t>
      </w:r>
    </w:p>
    <w:p>
      <w:pPr>
        <w:spacing w:after="0" w:line="162" w:lineRule="exact"/>
        <w:rPr>
          <w:sz w:val="24"/>
          <w:szCs w:val="24"/>
          <w:color w:val="auto"/>
        </w:rPr>
      </w:pPr>
    </w:p>
    <w:p>
      <w:pPr>
        <w:ind w:left="340" w:hanging="332"/>
        <w:spacing w:after="0" w:line="282" w:lineRule="auto"/>
        <w:tabs>
          <w:tab w:leader="none" w:pos="340"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Pursuant to 17 CFR 240.12d2-2(c), the Issuer has complied with the rules of the Exchange and the requirements of 17 CFR 240.12d2-2(c) governing the voluntary withdrawal of the class of securities from listing and registration on the Exchange.</w:t>
      </w:r>
    </w:p>
    <w:p>
      <w:pPr>
        <w:spacing w:after="0" w:line="162" w:lineRule="exact"/>
        <w:rPr>
          <w:sz w:val="24"/>
          <w:szCs w:val="24"/>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WM Technology, Inc. certifies that it has reasonable grounds to believe that it meets all of the requirements for filing the Form 25 and has caused this notification to be signed on its behalf by the undersigned duly authorized person.</w:t>
      </w:r>
    </w:p>
    <w:p>
      <w:pPr>
        <w:spacing w:after="0" w:line="200" w:lineRule="exact"/>
        <w:rPr>
          <w:sz w:val="24"/>
          <w:szCs w:val="24"/>
          <w:color w:val="auto"/>
        </w:rPr>
      </w:pPr>
    </w:p>
    <w:p>
      <w:pPr>
        <w:spacing w:after="0" w:line="201"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28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April 17, 2026</w:t>
            </w:r>
          </w:p>
        </w:tc>
        <w:tc>
          <w:tcPr>
            <w:tcW w:w="8420" w:type="dxa"/>
            <w:vAlign w:val="bottom"/>
            <w:gridSpan w:val="2"/>
          </w:tcPr>
          <w:p>
            <w:pPr>
              <w:ind w:left="3080"/>
              <w:spacing w:after="0"/>
              <w:rPr>
                <w:sz w:val="20"/>
                <w:szCs w:val="20"/>
                <w:color w:val="auto"/>
              </w:rPr>
            </w:pPr>
            <w:r>
              <w:rPr>
                <w:rFonts w:ascii="Times New Roman" w:cs="Times New Roman" w:eastAsia="Times New Roman" w:hAnsi="Times New Roman"/>
                <w:sz w:val="18"/>
                <w:szCs w:val="18"/>
                <w:b w:val="1"/>
                <w:bCs w:val="1"/>
                <w:color w:val="auto"/>
              </w:rPr>
              <w:t>By: /s/ Douglas Francis</w:t>
            </w:r>
          </w:p>
        </w:tc>
      </w:tr>
      <w:tr>
        <w:trPr>
          <w:trHeight w:val="27"/>
        </w:trPr>
        <w:tc>
          <w:tcPr>
            <w:tcW w:w="2820" w:type="dxa"/>
            <w:vAlign w:val="bottom"/>
            <w:tcBorders>
              <w:bottom w:val="single" w:sz="8" w:color="auto"/>
            </w:tcBorders>
          </w:tcPr>
          <w:p>
            <w:pPr>
              <w:spacing w:after="0"/>
              <w:rPr>
                <w:sz w:val="2"/>
                <w:szCs w:val="2"/>
                <w:color w:val="auto"/>
              </w:rPr>
            </w:pPr>
          </w:p>
        </w:tc>
        <w:tc>
          <w:tcPr>
            <w:tcW w:w="3380" w:type="dxa"/>
            <w:vAlign w:val="bottom"/>
          </w:tcPr>
          <w:p>
            <w:pPr>
              <w:spacing w:after="0"/>
              <w:rPr>
                <w:sz w:val="2"/>
                <w:szCs w:val="2"/>
                <w:color w:val="auto"/>
              </w:rPr>
            </w:pPr>
          </w:p>
        </w:tc>
        <w:tc>
          <w:tcPr>
            <w:tcW w:w="5040" w:type="dxa"/>
            <w:vAlign w:val="bottom"/>
            <w:tcBorders>
              <w:bottom w:val="single" w:sz="8" w:color="auto"/>
            </w:tcBorders>
          </w:tcPr>
          <w:p>
            <w:pPr>
              <w:spacing w:after="0"/>
              <w:rPr>
                <w:sz w:val="2"/>
                <w:szCs w:val="2"/>
                <w:color w:val="auto"/>
              </w:rPr>
            </w:pPr>
          </w:p>
        </w:tc>
      </w:tr>
      <w:tr>
        <w:trPr>
          <w:trHeight w:val="214"/>
        </w:trPr>
        <w:tc>
          <w:tcPr>
            <w:tcW w:w="28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Date</w:t>
            </w:r>
          </w:p>
        </w:tc>
        <w:tc>
          <w:tcPr>
            <w:tcW w:w="3380" w:type="dxa"/>
            <w:vAlign w:val="bottom"/>
          </w:tcPr>
          <w:p>
            <w:pPr>
              <w:spacing w:after="0"/>
              <w:rPr>
                <w:sz w:val="18"/>
                <w:szCs w:val="18"/>
                <w:color w:val="auto"/>
              </w:rPr>
            </w:pPr>
          </w:p>
        </w:tc>
        <w:tc>
          <w:tcPr>
            <w:tcW w:w="50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Douglas Francis</w:t>
            </w:r>
          </w:p>
        </w:tc>
      </w:tr>
      <w:tr>
        <w:trPr>
          <w:trHeight w:val="216"/>
        </w:trPr>
        <w:tc>
          <w:tcPr>
            <w:tcW w:w="2820" w:type="dxa"/>
            <w:vAlign w:val="bottom"/>
          </w:tcPr>
          <w:p>
            <w:pPr>
              <w:spacing w:after="0"/>
              <w:rPr>
                <w:sz w:val="18"/>
                <w:szCs w:val="18"/>
                <w:color w:val="auto"/>
              </w:rPr>
            </w:pPr>
          </w:p>
        </w:tc>
        <w:tc>
          <w:tcPr>
            <w:tcW w:w="3380" w:type="dxa"/>
            <w:vAlign w:val="bottom"/>
          </w:tcPr>
          <w:p>
            <w:pPr>
              <w:spacing w:after="0"/>
              <w:rPr>
                <w:sz w:val="18"/>
                <w:szCs w:val="18"/>
                <w:color w:val="auto"/>
              </w:rPr>
            </w:pPr>
          </w:p>
        </w:tc>
        <w:tc>
          <w:tcPr>
            <w:tcW w:w="50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Chief Executive Officer</w:t>
            </w:r>
          </w:p>
        </w:tc>
      </w:tr>
      <w:tr>
        <w:trPr>
          <w:trHeight w:val="238"/>
        </w:trPr>
        <w:tc>
          <w:tcPr>
            <w:tcW w:w="2820" w:type="dxa"/>
            <w:vAlign w:val="bottom"/>
          </w:tcPr>
          <w:p>
            <w:pPr>
              <w:spacing w:after="0"/>
              <w:rPr>
                <w:sz w:val="20"/>
                <w:szCs w:val="20"/>
                <w:color w:val="auto"/>
              </w:rPr>
            </w:pPr>
          </w:p>
        </w:tc>
        <w:tc>
          <w:tcPr>
            <w:tcW w:w="3380" w:type="dxa"/>
            <w:vAlign w:val="bottom"/>
          </w:tcPr>
          <w:p>
            <w:pPr>
              <w:spacing w:after="0"/>
              <w:rPr>
                <w:sz w:val="20"/>
                <w:szCs w:val="20"/>
                <w:color w:val="auto"/>
              </w:rPr>
            </w:pPr>
          </w:p>
        </w:tc>
        <w:tc>
          <w:tcPr>
            <w:tcW w:w="50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(Principal Executive Officer)</w:t>
            </w:r>
          </w:p>
        </w:tc>
      </w:tr>
      <w:tr>
        <w:trPr>
          <w:trHeight w:val="918"/>
        </w:trPr>
        <w:tc>
          <w:tcPr>
            <w:tcW w:w="2820" w:type="dxa"/>
            <w:vAlign w:val="bottom"/>
            <w:tcBorders>
              <w:bottom w:val="single" w:sz="8" w:color="auto"/>
            </w:tcBorders>
          </w:tcPr>
          <w:p>
            <w:pPr>
              <w:spacing w:after="0"/>
              <w:rPr>
                <w:sz w:val="24"/>
                <w:szCs w:val="24"/>
                <w:color w:val="auto"/>
              </w:rPr>
            </w:pPr>
          </w:p>
        </w:tc>
        <w:tc>
          <w:tcPr>
            <w:tcW w:w="3380" w:type="dxa"/>
            <w:vAlign w:val="bottom"/>
            <w:tcBorders>
              <w:bottom w:val="single" w:sz="8" w:color="auto"/>
            </w:tcBorders>
          </w:tcPr>
          <w:p>
            <w:pPr>
              <w:spacing w:after="0"/>
              <w:rPr>
                <w:sz w:val="24"/>
                <w:szCs w:val="24"/>
                <w:color w:val="auto"/>
              </w:rPr>
            </w:pPr>
          </w:p>
        </w:tc>
        <w:tc>
          <w:tcPr>
            <w:tcW w:w="5040" w:type="dxa"/>
            <w:vAlign w:val="bottom"/>
            <w:tcBorders>
              <w:bottom w:val="single" w:sz="8" w:color="auto"/>
            </w:tcBorders>
          </w:tcPr>
          <w:p>
            <w:pPr>
              <w:spacing w:after="0"/>
              <w:rPr>
                <w:sz w:val="24"/>
                <w:szCs w:val="24"/>
                <w:color w:val="auto"/>
              </w:rPr>
            </w:pPr>
          </w:p>
        </w:tc>
      </w:tr>
    </w:tbl>
    <w:p>
      <w:pPr>
        <w:spacing w:after="0" w:line="1" w:lineRule="exact"/>
        <w:rPr>
          <w:sz w:val="24"/>
          <w:szCs w:val="24"/>
          <w:color w:val="auto"/>
        </w:rPr>
      </w:pPr>
    </w:p>
    <w:sectPr>
      <w:pgSz w:w="11900" w:h="16838" w:orient="portrait"/>
      <w:cols w:equalWidth="0" w:num="1">
        <w:col w:w="11240"/>
      </w:cols>
      <w:pgMar w:left="320" w:top="44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4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2026-04-17T16:10:32Z</dcterms:created>
  <dcterms:modified xsi:type="dcterms:W3CDTF">2026-04-17T16:10:32Z</dcterms:modified>
</cp:coreProperties>
</file>