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þ</w:t>
      </w:r>
      <w:r>
        <w:rPr>
          <w:rFonts w:ascii="Arial" w:cs="Arial" w:eastAsia="Arial" w:hAnsi="Arial"/>
          <w:sz w:val="16"/>
          <w:szCs w:val="16"/>
          <w:color w:val="auto"/>
        </w:rPr>
        <w:t>Rule 13d-1(c)</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G8136L106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60" w:type="dxa"/>
            <w:vAlign w:val="bottom"/>
            <w:tcBorders>
              <w:top w:val="single" w:sz="8" w:color="auto"/>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280" w:type="dxa"/>
            <w:vAlign w:val="bottom"/>
            <w:tcBorders>
              <w:top w:val="single" w:sz="8" w:color="auto"/>
              <w:right w:val="single" w:sz="8" w:color="auto"/>
            </w:tcBorders>
          </w:tcPr>
          <w:p>
            <w:pPr>
              <w:spacing w:after="0"/>
              <w:rPr>
                <w:sz w:val="22"/>
                <w:szCs w:val="22"/>
                <w:color w:val="auto"/>
              </w:rPr>
            </w:pPr>
          </w:p>
        </w:tc>
        <w:tc>
          <w:tcPr>
            <w:tcW w:w="105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RP Investment Advisors LP</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center"/>
              <w:ind w:left="210"/>
              <w:spacing w:after="0" w:line="170" w:lineRule="exact"/>
              <w:rPr>
                <w:sz w:val="20"/>
                <w:szCs w:val="20"/>
                <w:color w:val="auto"/>
              </w:rPr>
            </w:pPr>
            <w:r>
              <w:rPr>
                <w:rFonts w:ascii="Arial" w:cs="Arial" w:eastAsia="Arial" w:hAnsi="Arial"/>
                <w:sz w:val="18"/>
                <w:szCs w:val="18"/>
                <w:b w:val="1"/>
                <w:bCs w:val="1"/>
                <w:color w:val="auto"/>
                <w:w w:val="99"/>
              </w:rPr>
              <w:t>2</w:t>
            </w:r>
          </w:p>
        </w:tc>
        <w:tc>
          <w:tcPr>
            <w:tcW w:w="280" w:type="dxa"/>
            <w:vAlign w:val="bottom"/>
            <w:tcBorders>
              <w:right w:val="single" w:sz="8" w:color="auto"/>
            </w:tcBorders>
          </w:tcPr>
          <w:p>
            <w:pPr>
              <w:spacing w:after="0"/>
              <w:rPr>
                <w:sz w:val="14"/>
                <w:szCs w:val="14"/>
                <w:color w:val="auto"/>
              </w:rPr>
            </w:pPr>
          </w:p>
        </w:tc>
        <w:tc>
          <w:tcPr>
            <w:tcW w:w="10580" w:type="dxa"/>
            <w:vAlign w:val="bottom"/>
            <w:tcBorders>
              <w:right w:val="single" w:sz="8" w:color="auto"/>
            </w:tcBorders>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9"/>
        </w:trPr>
        <w:tc>
          <w:tcPr>
            <w:tcW w:w="560" w:type="dxa"/>
            <w:vAlign w:val="bottom"/>
            <w:tcBorders>
              <w:lef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9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1"/>
                <w:szCs w:val="21"/>
                <w:color w:val="auto"/>
              </w:rPr>
            </w:pPr>
          </w:p>
        </w:tc>
        <w:tc>
          <w:tcPr>
            <w:tcW w:w="8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 þ</w:t>
            </w:r>
          </w:p>
        </w:tc>
        <w:tc>
          <w:tcPr>
            <w:tcW w:w="780" w:type="dxa"/>
            <w:vAlign w:val="bottom"/>
            <w:tcBorders>
              <w:bottom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280" w:type="dxa"/>
            <w:vAlign w:val="bottom"/>
            <w:tcBorders>
              <w:right w:val="single" w:sz="8" w:color="auto"/>
            </w:tcBorders>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 USE ONLY</w:t>
            </w: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Ontario, Canada</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1"/>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780" w:type="dxa"/>
            <w:vAlign w:val="bottom"/>
            <w:tcBorders>
              <w:bottom w:val="single" w:sz="8" w:color="auto"/>
              <w:right w:val="single" w:sz="8" w:color="auto"/>
            </w:tcBorders>
          </w:tcPr>
          <w:p>
            <w:pPr>
              <w:spacing w:after="0"/>
              <w:rPr>
                <w:sz w:val="19"/>
                <w:szCs w:val="19"/>
                <w:color w:val="auto"/>
              </w:rPr>
            </w:pPr>
          </w:p>
        </w:tc>
        <w:tc>
          <w:tcPr>
            <w:tcW w:w="8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60" w:type="dxa"/>
            <w:vAlign w:val="bottom"/>
            <w:tcBorders>
              <w:left w:val="single" w:sz="8" w:color="auto"/>
            </w:tcBorders>
          </w:tcPr>
          <w:p>
            <w:pPr>
              <w:spacing w:after="0"/>
              <w:rPr>
                <w:sz w:val="16"/>
                <w:szCs w:val="16"/>
                <w:color w:val="auto"/>
              </w:rPr>
            </w:pPr>
          </w:p>
        </w:tc>
        <w:tc>
          <w:tcPr>
            <w:tcW w:w="1200" w:type="dxa"/>
            <w:vAlign w:val="bottom"/>
            <w:tcBorders>
              <w:right w:val="single" w:sz="8" w:color="auto"/>
            </w:tcBorders>
            <w:gridSpan w:val="2"/>
          </w:tcPr>
          <w:p>
            <w:pPr>
              <w:jc w:val="center"/>
              <w:ind w:right="510"/>
              <w:spacing w:after="0" w:line="189" w:lineRule="exact"/>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tcPr>
          <w:p>
            <w:pPr>
              <w:jc w:val="right"/>
              <w:ind w:right="270"/>
              <w:spacing w:after="0" w:line="189" w:lineRule="exact"/>
              <w:rPr>
                <w:sz w:val="20"/>
                <w:szCs w:val="20"/>
                <w:color w:val="auto"/>
              </w:rPr>
            </w:pPr>
            <w:r>
              <w:rPr>
                <w:rFonts w:ascii="Arial" w:cs="Arial" w:eastAsia="Arial" w:hAnsi="Arial"/>
                <w:sz w:val="18"/>
                <w:szCs w:val="18"/>
                <w:b w:val="1"/>
                <w:bCs w:val="1"/>
                <w:color w:val="auto"/>
              </w:rPr>
              <w:t>7</w:t>
            </w:r>
          </w:p>
        </w:tc>
        <w:tc>
          <w:tcPr>
            <w:tcW w:w="8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560" w:type="dxa"/>
            <w:vAlign w:val="bottom"/>
            <w:tcBorders>
              <w:left w:val="single" w:sz="8" w:color="auto"/>
            </w:tcBorders>
          </w:tcPr>
          <w:p>
            <w:pPr>
              <w:spacing w:after="0"/>
              <w:rPr>
                <w:sz w:val="3"/>
                <w:szCs w:val="3"/>
                <w:color w:val="auto"/>
              </w:rPr>
            </w:pPr>
          </w:p>
        </w:tc>
        <w:tc>
          <w:tcPr>
            <w:tcW w:w="120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right w:val="single" w:sz="8" w:color="auto"/>
            </w:tcBorders>
          </w:tcPr>
          <w:p>
            <w:pPr>
              <w:spacing w:after="0"/>
              <w:rPr>
                <w:sz w:val="3"/>
                <w:szCs w:val="3"/>
                <w:color w:val="auto"/>
              </w:rPr>
            </w:pPr>
          </w:p>
        </w:tc>
        <w:tc>
          <w:tcPr>
            <w:tcW w:w="8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vMerge w:val="continue"/>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1,050,000</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Borders>
              <w:right w:val="single" w:sz="8" w:color="auto"/>
            </w:tcBorders>
          </w:tcPr>
          <w:p>
            <w:pPr>
              <w:spacing w:after="0"/>
              <w:rPr>
                <w:sz w:val="24"/>
                <w:szCs w:val="24"/>
                <w:color w:val="auto"/>
              </w:rPr>
            </w:pPr>
          </w:p>
        </w:tc>
        <w:tc>
          <w:tcPr>
            <w:tcW w:w="1058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4.2% (1)</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PN, IA, FI</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upon 25,000,000 shares of Class A common stock outstanding as reported by the Issuer in its quarterly report on Form 10-Q, filed with the Securities and Exchange Commission on November 13, 2019.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G8136L106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60" w:type="dxa"/>
            <w:vAlign w:val="bottom"/>
            <w:tcBorders>
              <w:top w:val="single" w:sz="8" w:color="auto"/>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280" w:type="dxa"/>
            <w:vAlign w:val="bottom"/>
            <w:tcBorders>
              <w:top w:val="single" w:sz="8" w:color="auto"/>
              <w:right w:val="single" w:sz="8" w:color="auto"/>
            </w:tcBorders>
          </w:tcPr>
          <w:p>
            <w:pPr>
              <w:spacing w:after="0"/>
              <w:rPr>
                <w:sz w:val="22"/>
                <w:szCs w:val="22"/>
                <w:color w:val="auto"/>
              </w:rPr>
            </w:pPr>
          </w:p>
        </w:tc>
        <w:tc>
          <w:tcPr>
            <w:tcW w:w="105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RP Select Opportunities Master Fund Ltd.</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center"/>
              <w:ind w:left="210"/>
              <w:spacing w:after="0" w:line="170" w:lineRule="exact"/>
              <w:rPr>
                <w:sz w:val="20"/>
                <w:szCs w:val="20"/>
                <w:color w:val="auto"/>
              </w:rPr>
            </w:pPr>
            <w:r>
              <w:rPr>
                <w:rFonts w:ascii="Arial" w:cs="Arial" w:eastAsia="Arial" w:hAnsi="Arial"/>
                <w:sz w:val="18"/>
                <w:szCs w:val="18"/>
                <w:b w:val="1"/>
                <w:bCs w:val="1"/>
                <w:color w:val="auto"/>
                <w:w w:val="99"/>
              </w:rPr>
              <w:t>2</w:t>
            </w:r>
          </w:p>
        </w:tc>
        <w:tc>
          <w:tcPr>
            <w:tcW w:w="280" w:type="dxa"/>
            <w:vAlign w:val="bottom"/>
            <w:tcBorders>
              <w:right w:val="single" w:sz="8" w:color="auto"/>
            </w:tcBorders>
          </w:tcPr>
          <w:p>
            <w:pPr>
              <w:spacing w:after="0"/>
              <w:rPr>
                <w:sz w:val="14"/>
                <w:szCs w:val="14"/>
                <w:color w:val="auto"/>
              </w:rPr>
            </w:pPr>
          </w:p>
        </w:tc>
        <w:tc>
          <w:tcPr>
            <w:tcW w:w="10580" w:type="dxa"/>
            <w:vAlign w:val="bottom"/>
            <w:tcBorders>
              <w:right w:val="single" w:sz="8" w:color="auto"/>
            </w:tcBorders>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9"/>
        </w:trPr>
        <w:tc>
          <w:tcPr>
            <w:tcW w:w="560" w:type="dxa"/>
            <w:vAlign w:val="bottom"/>
            <w:tcBorders>
              <w:lef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9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1"/>
                <w:szCs w:val="21"/>
                <w:color w:val="auto"/>
              </w:rPr>
            </w:pPr>
          </w:p>
        </w:tc>
        <w:tc>
          <w:tcPr>
            <w:tcW w:w="8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 þ</w:t>
            </w:r>
          </w:p>
        </w:tc>
        <w:tc>
          <w:tcPr>
            <w:tcW w:w="780" w:type="dxa"/>
            <w:vAlign w:val="bottom"/>
            <w:tcBorders>
              <w:bottom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280" w:type="dxa"/>
            <w:vAlign w:val="bottom"/>
            <w:tcBorders>
              <w:right w:val="single" w:sz="8" w:color="auto"/>
            </w:tcBorders>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 USE ONLY</w:t>
            </w: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1"/>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837,500</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780" w:type="dxa"/>
            <w:vAlign w:val="bottom"/>
            <w:tcBorders>
              <w:bottom w:val="single" w:sz="8" w:color="auto"/>
              <w:right w:val="single" w:sz="8" w:color="auto"/>
            </w:tcBorders>
          </w:tcPr>
          <w:p>
            <w:pPr>
              <w:spacing w:after="0"/>
              <w:rPr>
                <w:sz w:val="19"/>
                <w:szCs w:val="19"/>
                <w:color w:val="auto"/>
              </w:rPr>
            </w:pPr>
          </w:p>
        </w:tc>
        <w:tc>
          <w:tcPr>
            <w:tcW w:w="8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60" w:type="dxa"/>
            <w:vAlign w:val="bottom"/>
            <w:tcBorders>
              <w:left w:val="single" w:sz="8" w:color="auto"/>
            </w:tcBorders>
          </w:tcPr>
          <w:p>
            <w:pPr>
              <w:spacing w:after="0"/>
              <w:rPr>
                <w:sz w:val="16"/>
                <w:szCs w:val="16"/>
                <w:color w:val="auto"/>
              </w:rPr>
            </w:pPr>
          </w:p>
        </w:tc>
        <w:tc>
          <w:tcPr>
            <w:tcW w:w="1200" w:type="dxa"/>
            <w:vAlign w:val="bottom"/>
            <w:tcBorders>
              <w:right w:val="single" w:sz="8" w:color="auto"/>
            </w:tcBorders>
            <w:gridSpan w:val="2"/>
          </w:tcPr>
          <w:p>
            <w:pPr>
              <w:jc w:val="center"/>
              <w:ind w:right="510"/>
              <w:spacing w:after="0" w:line="189" w:lineRule="exact"/>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tcPr>
          <w:p>
            <w:pPr>
              <w:jc w:val="right"/>
              <w:ind w:right="270"/>
              <w:spacing w:after="0" w:line="189" w:lineRule="exact"/>
              <w:rPr>
                <w:sz w:val="20"/>
                <w:szCs w:val="20"/>
                <w:color w:val="auto"/>
              </w:rPr>
            </w:pPr>
            <w:r>
              <w:rPr>
                <w:rFonts w:ascii="Arial" w:cs="Arial" w:eastAsia="Arial" w:hAnsi="Arial"/>
                <w:sz w:val="18"/>
                <w:szCs w:val="18"/>
                <w:b w:val="1"/>
                <w:bCs w:val="1"/>
                <w:color w:val="auto"/>
              </w:rPr>
              <w:t>7</w:t>
            </w:r>
          </w:p>
        </w:tc>
        <w:tc>
          <w:tcPr>
            <w:tcW w:w="8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560" w:type="dxa"/>
            <w:vAlign w:val="bottom"/>
            <w:tcBorders>
              <w:left w:val="single" w:sz="8" w:color="auto"/>
            </w:tcBorders>
          </w:tcPr>
          <w:p>
            <w:pPr>
              <w:spacing w:after="0"/>
              <w:rPr>
                <w:sz w:val="3"/>
                <w:szCs w:val="3"/>
                <w:color w:val="auto"/>
              </w:rPr>
            </w:pPr>
          </w:p>
        </w:tc>
        <w:tc>
          <w:tcPr>
            <w:tcW w:w="120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right w:val="single" w:sz="8" w:color="auto"/>
            </w:tcBorders>
          </w:tcPr>
          <w:p>
            <w:pPr>
              <w:spacing w:after="0"/>
              <w:rPr>
                <w:sz w:val="3"/>
                <w:szCs w:val="3"/>
                <w:color w:val="auto"/>
              </w:rPr>
            </w:pPr>
          </w:p>
        </w:tc>
        <w:tc>
          <w:tcPr>
            <w:tcW w:w="8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vMerge w:val="continue"/>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837,500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837,500</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Borders>
              <w:right w:val="single" w:sz="8" w:color="auto"/>
            </w:tcBorders>
          </w:tcPr>
          <w:p>
            <w:pPr>
              <w:spacing w:after="0"/>
              <w:rPr>
                <w:sz w:val="24"/>
                <w:szCs w:val="24"/>
                <w:color w:val="auto"/>
              </w:rPr>
            </w:pPr>
          </w:p>
        </w:tc>
        <w:tc>
          <w:tcPr>
            <w:tcW w:w="1058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3.35% (1)</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upon 25,000,000 shares of Class A common stock outstanding as reported by the Issuer in its quarterly report on Form 10-Q, filed with the Securities and Exchange Commission on November 13, 2019.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G8136L106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60" w:type="dxa"/>
            <w:vAlign w:val="bottom"/>
            <w:tcBorders>
              <w:top w:val="single" w:sz="8" w:color="auto"/>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1</w:t>
            </w:r>
          </w:p>
        </w:tc>
        <w:tc>
          <w:tcPr>
            <w:tcW w:w="280" w:type="dxa"/>
            <w:vAlign w:val="bottom"/>
            <w:tcBorders>
              <w:top w:val="single" w:sz="8" w:color="auto"/>
              <w:right w:val="single" w:sz="8" w:color="auto"/>
            </w:tcBorders>
          </w:tcPr>
          <w:p>
            <w:pPr>
              <w:spacing w:after="0"/>
              <w:rPr>
                <w:sz w:val="22"/>
                <w:szCs w:val="22"/>
                <w:color w:val="auto"/>
              </w:rPr>
            </w:pPr>
          </w:p>
        </w:tc>
        <w:tc>
          <w:tcPr>
            <w:tcW w:w="105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RP Debt Opportunities Fund Ltd.</w:t>
            </w:r>
          </w:p>
        </w:tc>
        <w:tc>
          <w:tcPr>
            <w:tcW w:w="0" w:type="dxa"/>
            <w:vAlign w:val="bottom"/>
          </w:tcPr>
          <w:p>
            <w:pPr>
              <w:spacing w:after="0"/>
              <w:rPr>
                <w:sz w:val="1"/>
                <w:szCs w:val="1"/>
                <w:color w:val="auto"/>
              </w:rPr>
            </w:pPr>
          </w:p>
        </w:tc>
      </w:tr>
      <w:tr>
        <w:trPr>
          <w:trHeight w:val="169"/>
        </w:trPr>
        <w:tc>
          <w:tcPr>
            <w:tcW w:w="560" w:type="dxa"/>
            <w:vAlign w:val="bottom"/>
            <w:tcBorders>
              <w:left w:val="single" w:sz="8" w:color="auto"/>
            </w:tcBorders>
          </w:tcPr>
          <w:p>
            <w:pPr>
              <w:jc w:val="center"/>
              <w:ind w:left="210"/>
              <w:spacing w:after="0" w:line="170" w:lineRule="exact"/>
              <w:rPr>
                <w:sz w:val="20"/>
                <w:szCs w:val="20"/>
                <w:color w:val="auto"/>
              </w:rPr>
            </w:pPr>
            <w:r>
              <w:rPr>
                <w:rFonts w:ascii="Arial" w:cs="Arial" w:eastAsia="Arial" w:hAnsi="Arial"/>
                <w:sz w:val="18"/>
                <w:szCs w:val="18"/>
                <w:b w:val="1"/>
                <w:bCs w:val="1"/>
                <w:color w:val="auto"/>
                <w:w w:val="99"/>
              </w:rPr>
              <w:t>2</w:t>
            </w:r>
          </w:p>
        </w:tc>
        <w:tc>
          <w:tcPr>
            <w:tcW w:w="280" w:type="dxa"/>
            <w:vAlign w:val="bottom"/>
            <w:tcBorders>
              <w:right w:val="single" w:sz="8" w:color="auto"/>
            </w:tcBorders>
          </w:tcPr>
          <w:p>
            <w:pPr>
              <w:spacing w:after="0"/>
              <w:rPr>
                <w:sz w:val="14"/>
                <w:szCs w:val="14"/>
                <w:color w:val="auto"/>
              </w:rPr>
            </w:pPr>
          </w:p>
        </w:tc>
        <w:tc>
          <w:tcPr>
            <w:tcW w:w="10580" w:type="dxa"/>
            <w:vAlign w:val="bottom"/>
            <w:tcBorders>
              <w:right w:val="single" w:sz="8" w:color="auto"/>
            </w:tcBorders>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9"/>
        </w:trPr>
        <w:tc>
          <w:tcPr>
            <w:tcW w:w="560" w:type="dxa"/>
            <w:vAlign w:val="bottom"/>
            <w:tcBorders>
              <w:left w:val="single" w:sz="8" w:color="auto"/>
            </w:tcBorders>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9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1"/>
                <w:szCs w:val="21"/>
                <w:color w:val="auto"/>
              </w:rPr>
            </w:pPr>
          </w:p>
        </w:tc>
        <w:tc>
          <w:tcPr>
            <w:tcW w:w="8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 þ</w:t>
            </w:r>
          </w:p>
        </w:tc>
        <w:tc>
          <w:tcPr>
            <w:tcW w:w="780" w:type="dxa"/>
            <w:vAlign w:val="bottom"/>
            <w:tcBorders>
              <w:bottom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3</w:t>
            </w:r>
          </w:p>
        </w:tc>
        <w:tc>
          <w:tcPr>
            <w:tcW w:w="280" w:type="dxa"/>
            <w:vAlign w:val="bottom"/>
            <w:tcBorders>
              <w:right w:val="single" w:sz="8" w:color="auto"/>
            </w:tcBorders>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 USE ONLY</w:t>
            </w: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4</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Cayman Islands</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1"/>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212,500</w:t>
            </w:r>
          </w:p>
        </w:tc>
        <w:tc>
          <w:tcPr>
            <w:tcW w:w="0" w:type="dxa"/>
            <w:vAlign w:val="bottom"/>
          </w:tcPr>
          <w:p>
            <w:pPr>
              <w:spacing w:after="0"/>
              <w:rPr>
                <w:sz w:val="1"/>
                <w:szCs w:val="1"/>
                <w:color w:val="auto"/>
              </w:rPr>
            </w:pPr>
          </w:p>
        </w:tc>
      </w:tr>
      <w:tr>
        <w:trPr>
          <w:trHeight w:val="224"/>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780" w:type="dxa"/>
            <w:vAlign w:val="bottom"/>
            <w:tcBorders>
              <w:bottom w:val="single" w:sz="8" w:color="auto"/>
              <w:right w:val="single" w:sz="8" w:color="auto"/>
            </w:tcBorders>
          </w:tcPr>
          <w:p>
            <w:pPr>
              <w:spacing w:after="0"/>
              <w:rPr>
                <w:sz w:val="19"/>
                <w:szCs w:val="19"/>
                <w:color w:val="auto"/>
              </w:rPr>
            </w:pPr>
          </w:p>
        </w:tc>
        <w:tc>
          <w:tcPr>
            <w:tcW w:w="8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60" w:type="dxa"/>
            <w:vAlign w:val="bottom"/>
            <w:tcBorders>
              <w:left w:val="single" w:sz="8" w:color="auto"/>
            </w:tcBorders>
          </w:tcPr>
          <w:p>
            <w:pPr>
              <w:spacing w:after="0"/>
              <w:rPr>
                <w:sz w:val="16"/>
                <w:szCs w:val="16"/>
                <w:color w:val="auto"/>
              </w:rPr>
            </w:pPr>
          </w:p>
        </w:tc>
        <w:tc>
          <w:tcPr>
            <w:tcW w:w="1200" w:type="dxa"/>
            <w:vAlign w:val="bottom"/>
            <w:tcBorders>
              <w:right w:val="single" w:sz="8" w:color="auto"/>
            </w:tcBorders>
            <w:gridSpan w:val="2"/>
          </w:tcPr>
          <w:p>
            <w:pPr>
              <w:jc w:val="center"/>
              <w:ind w:right="510"/>
              <w:spacing w:after="0" w:line="189" w:lineRule="exact"/>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tcPr>
          <w:p>
            <w:pPr>
              <w:jc w:val="right"/>
              <w:ind w:right="270"/>
              <w:spacing w:after="0" w:line="189" w:lineRule="exact"/>
              <w:rPr>
                <w:sz w:val="20"/>
                <w:szCs w:val="20"/>
                <w:color w:val="auto"/>
              </w:rPr>
            </w:pPr>
            <w:r>
              <w:rPr>
                <w:rFonts w:ascii="Arial" w:cs="Arial" w:eastAsia="Arial" w:hAnsi="Arial"/>
                <w:sz w:val="18"/>
                <w:szCs w:val="18"/>
                <w:b w:val="1"/>
                <w:bCs w:val="1"/>
                <w:color w:val="auto"/>
              </w:rPr>
              <w:t>7</w:t>
            </w:r>
          </w:p>
        </w:tc>
        <w:tc>
          <w:tcPr>
            <w:tcW w:w="8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560" w:type="dxa"/>
            <w:vAlign w:val="bottom"/>
            <w:tcBorders>
              <w:left w:val="single" w:sz="8" w:color="auto"/>
            </w:tcBorders>
          </w:tcPr>
          <w:p>
            <w:pPr>
              <w:spacing w:after="0"/>
              <w:rPr>
                <w:sz w:val="3"/>
                <w:szCs w:val="3"/>
                <w:color w:val="auto"/>
              </w:rPr>
            </w:pPr>
          </w:p>
        </w:tc>
        <w:tc>
          <w:tcPr>
            <w:tcW w:w="120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right w:val="single" w:sz="8" w:color="auto"/>
            </w:tcBorders>
          </w:tcPr>
          <w:p>
            <w:pPr>
              <w:spacing w:after="0"/>
              <w:rPr>
                <w:sz w:val="3"/>
                <w:szCs w:val="3"/>
                <w:color w:val="auto"/>
              </w:rPr>
            </w:pPr>
          </w:p>
        </w:tc>
        <w:tc>
          <w:tcPr>
            <w:tcW w:w="8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2"/>
            <w:vMerge w:val="continue"/>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w:t>
            </w:r>
          </w:p>
        </w:tc>
        <w:tc>
          <w:tcPr>
            <w:tcW w:w="8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212,500</w:t>
            </w: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9</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212,500</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10</w:t>
            </w:r>
          </w:p>
        </w:tc>
        <w:tc>
          <w:tcPr>
            <w:tcW w:w="280" w:type="dxa"/>
            <w:vAlign w:val="bottom"/>
            <w:tcBorders>
              <w:right w:val="single" w:sz="8" w:color="auto"/>
            </w:tcBorders>
          </w:tcPr>
          <w:p>
            <w:pPr>
              <w:spacing w:after="0"/>
              <w:rPr>
                <w:sz w:val="24"/>
                <w:szCs w:val="24"/>
                <w:color w:val="auto"/>
              </w:rPr>
            </w:pPr>
          </w:p>
        </w:tc>
        <w:tc>
          <w:tcPr>
            <w:tcW w:w="10580" w:type="dxa"/>
            <w:vAlign w:val="bottom"/>
            <w:tcBorders>
              <w:right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11</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0.85% (1)</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12</w:t>
            </w:r>
          </w:p>
        </w:tc>
        <w:tc>
          <w:tcPr>
            <w:tcW w:w="28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21"/>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w:t>
            </w:r>
          </w:p>
        </w:tc>
        <w:tc>
          <w:tcPr>
            <w:tcW w:w="78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upon 25,000,000 shares of Class A common stock outstanding as reported by the Issuer in its quarterly report on Form 10-Q, filed with the Securities and Exchange Commission on November 13, 2019.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22" w:lineRule="exact"/>
        <w:rPr>
          <w:sz w:val="20"/>
          <w:szCs w:val="20"/>
          <w:color w:val="auto"/>
        </w:rPr>
      </w:pPr>
    </w:p>
    <w:p>
      <w:pPr>
        <w:sectPr>
          <w:pgSz w:w="11900" w:h="16838" w:orient="portrait"/>
          <w:cols w:equalWidth="0" w:num="2">
            <w:col w:w="900" w:space="400"/>
            <w:col w:w="10120"/>
          </w:cols>
          <w:pgMar w:left="240" w:top="904" w:right="2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Silver Spike Acquisition Corp. (the “Issuer”)</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22" w:lineRule="exact"/>
        <w:rPr>
          <w:sz w:val="20"/>
          <w:szCs w:val="20"/>
          <w:color w:val="auto"/>
        </w:rPr>
      </w:pPr>
    </w:p>
    <w:p>
      <w:pPr>
        <w:sectPr>
          <w:pgSz w:w="11900" w:h="16838" w:orient="portrait"/>
          <w:cols w:equalWidth="0" w:num="2">
            <w:col w:w="900" w:space="400"/>
            <w:col w:w="10120"/>
          </w:cols>
          <w:pgMar w:left="240" w:top="904" w:right="2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1114 6th Ave, 41st Floor, New York, NY 10036</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222" w:lineRule="exact"/>
        <w:rPr>
          <w:sz w:val="20"/>
          <w:szCs w:val="20"/>
          <w:color w:val="auto"/>
        </w:rPr>
      </w:pPr>
    </w:p>
    <w:p>
      <w:pPr>
        <w:sectPr>
          <w:pgSz w:w="11900" w:h="16838" w:orient="portrait"/>
          <w:cols w:equalWidth="0" w:num="2">
            <w:col w:w="900" w:space="400"/>
            <w:col w:w="10120"/>
          </w:cols>
          <w:pgMar w:left="240" w:top="904" w:right="239" w:bottom="1440" w:gutter="0" w:footer="0" w:header="0"/>
          <w:type w:val="continuous"/>
        </w:sectPr>
      </w:pPr>
    </w:p>
    <w:p>
      <w:pPr>
        <w:spacing w:after="0" w:line="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statement is jointly filed by and on behalf of each of RP Investment Advisors LP, RP Debt Opportunities Fund Ltd. and RP Select Opportunities Master Fund Ltd. RP Debt Opportunities Fund Ltd. and RP Select Opportunities Master Fund Ltd. are the record and direct beneficial owners of the securities covered by this statement. RP Investment Advisors LP is the investment advisor of, and may be deemed to beneficially own securities owned by, RP Debt Opportunities Fund Ltd. and RP Select Opportunities Master Fund Ltd.</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the reporting persons may be deemed to be a member of a group with respect to the Issuer or securities of the Issuer for the purposes of Section 13(d) or 13(g) of the Act. Each of the reporting persons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 of each of the reporting persons is 39 Hazelton Avenue, Toronto, Ontario, Canada, M5R 2E3.</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the cover page(s) hereto.</w:t>
      </w:r>
    </w:p>
    <w:p>
      <w:pPr>
        <w:sectPr>
          <w:pgSz w:w="11900" w:h="16838" w:orient="portrait"/>
          <w:cols w:equalWidth="0" w:num="1">
            <w:col w:w="11420"/>
          </w:cols>
          <w:pgMar w:left="240" w:top="904" w:right="2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222" w:lineRule="exact"/>
        <w:rPr>
          <w:sz w:val="20"/>
          <w:szCs w:val="20"/>
          <w:color w:val="auto"/>
        </w:rPr>
      </w:pPr>
    </w:p>
    <w:p>
      <w:pPr>
        <w:sectPr>
          <w:pgSz w:w="11900" w:h="16838" w:orient="portrait"/>
          <w:cols w:equalWidth="0" w:num="2">
            <w:col w:w="900" w:space="400"/>
            <w:col w:w="10120"/>
          </w:cols>
          <w:pgMar w:left="240" w:top="904" w:right="2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Class A Common Stock</w:t>
      </w:r>
    </w:p>
    <w:p>
      <w:pPr>
        <w:sectPr>
          <w:pgSz w:w="11900" w:h="16838" w:orient="portrait"/>
          <w:cols w:equalWidth="0" w:num="1">
            <w:col w:w="11420"/>
          </w:cols>
          <w:pgMar w:left="240" w:top="904" w:right="2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11" w:lineRule="exact"/>
        <w:rPr>
          <w:sz w:val="20"/>
          <w:szCs w:val="20"/>
          <w:color w:val="auto"/>
        </w:rPr>
      </w:pPr>
    </w:p>
    <w:p>
      <w:pPr>
        <w:sectPr>
          <w:pgSz w:w="11900" w:h="16838" w:orient="portrait"/>
          <w:cols w:equalWidth="0" w:num="2">
            <w:col w:w="880" w:space="420"/>
            <w:col w:w="10120"/>
          </w:cols>
          <w:pgMar w:left="240" w:top="904" w:right="2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G8136L106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97" w:lineRule="exact"/>
        <w:rPr>
          <w:sz w:val="20"/>
          <w:szCs w:val="20"/>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300" w:right="360" w:hanging="1292"/>
        <w:spacing w:after="0" w:line="215" w:lineRule="exact"/>
        <w:tabs>
          <w:tab w:leader="none" w:pos="652"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0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filing as a non-U.S. institution in accordance with Rule 240.13d-1(b)(1)(ii)(J), please specify the type of institution: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920" w:hanging="264"/>
        <w:spacing w:after="0"/>
        <w:tabs>
          <w:tab w:leader="none" w:pos="9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See Item 9 on the cover page(s) hereto.</w:t>
      </w:r>
    </w:p>
    <w:p>
      <w:pPr>
        <w:spacing w:after="0" w:line="225" w:lineRule="exact"/>
        <w:rPr>
          <w:rFonts w:ascii="Arial" w:cs="Arial" w:eastAsia="Arial" w:hAnsi="Arial"/>
          <w:sz w:val="18"/>
          <w:szCs w:val="18"/>
          <w:b w:val="1"/>
          <w:bCs w:val="1"/>
          <w:color w:val="auto"/>
        </w:rPr>
      </w:pPr>
    </w:p>
    <w:p>
      <w:pPr>
        <w:ind w:left="920" w:hanging="264"/>
        <w:spacing w:after="0"/>
        <w:tabs>
          <w:tab w:leader="none" w:pos="9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See Item 11 on the cover page(s) hereto.</w:t>
      </w:r>
    </w:p>
    <w:p>
      <w:pPr>
        <w:spacing w:after="0" w:line="225" w:lineRule="exact"/>
        <w:rPr>
          <w:rFonts w:ascii="Arial" w:cs="Arial" w:eastAsia="Arial" w:hAnsi="Arial"/>
          <w:sz w:val="18"/>
          <w:szCs w:val="18"/>
          <w:b w:val="1"/>
          <w:bCs w:val="1"/>
          <w:color w:val="auto"/>
        </w:rPr>
      </w:pPr>
    </w:p>
    <w:p>
      <w:pPr>
        <w:ind w:left="900" w:hanging="244"/>
        <w:spacing w:after="0"/>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25" w:lineRule="exact"/>
        <w:rPr>
          <w:rFonts w:ascii="Arial" w:cs="Arial" w:eastAsia="Arial" w:hAnsi="Arial"/>
          <w:sz w:val="18"/>
          <w:szCs w:val="18"/>
          <w:b w:val="1"/>
          <w:bCs w:val="1"/>
          <w:color w:val="auto"/>
        </w:rPr>
      </w:pPr>
    </w:p>
    <w:p>
      <w:pPr>
        <w:ind w:left="1200" w:hanging="220"/>
        <w:spacing w:after="0"/>
        <w:tabs>
          <w:tab w:leader="none" w:pos="1200" w:val="left"/>
        </w:tabs>
        <w:numPr>
          <w:ilvl w:val="2"/>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See Item 5 on the cover page(s) hereto.</w:t>
      </w:r>
    </w:p>
    <w:p>
      <w:pPr>
        <w:spacing w:after="0" w:line="225" w:lineRule="exact"/>
        <w:rPr>
          <w:rFonts w:ascii="Arial" w:cs="Arial" w:eastAsia="Arial" w:hAnsi="Arial"/>
          <w:sz w:val="18"/>
          <w:szCs w:val="18"/>
          <w:b w:val="1"/>
          <w:bCs w:val="1"/>
          <w:color w:val="auto"/>
        </w:rPr>
      </w:pPr>
    </w:p>
    <w:p>
      <w:pPr>
        <w:ind w:left="1240" w:hanging="260"/>
        <w:spacing w:after="0"/>
        <w:tabs>
          <w:tab w:leader="none" w:pos="1240" w:val="left"/>
        </w:tabs>
        <w:numPr>
          <w:ilvl w:val="2"/>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See Item 6 on the cover page(s) hereto.</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2"/>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See Item 7 on the cover page(s) hereto.</w:t>
      </w:r>
    </w:p>
    <w:p>
      <w:pPr>
        <w:spacing w:after="0" w:line="225" w:lineRule="exact"/>
        <w:rPr>
          <w:rFonts w:ascii="Arial" w:cs="Arial" w:eastAsia="Arial" w:hAnsi="Arial"/>
          <w:sz w:val="18"/>
          <w:szCs w:val="18"/>
          <w:b w:val="1"/>
          <w:bCs w:val="1"/>
          <w:color w:val="auto"/>
        </w:rPr>
      </w:pPr>
    </w:p>
    <w:p>
      <w:pPr>
        <w:ind w:left="1280" w:hanging="300"/>
        <w:spacing w:after="0"/>
        <w:tabs>
          <w:tab w:leader="none" w:pos="1280" w:val="left"/>
        </w:tabs>
        <w:numPr>
          <w:ilvl w:val="2"/>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See Item 8 on the cover page(s) hereto.</w:t>
      </w:r>
    </w:p>
    <w:p>
      <w:pPr>
        <w:spacing w:after="0" w:line="269" w:lineRule="exact"/>
        <w:rPr>
          <w:rFonts w:ascii="Arial" w:cs="Arial" w:eastAsia="Arial" w:hAnsi="Arial"/>
          <w:sz w:val="18"/>
          <w:szCs w:val="18"/>
          <w:b w:val="1"/>
          <w:bCs w:val="1"/>
          <w:color w:val="auto"/>
        </w:rPr>
      </w:pPr>
    </w:p>
    <w:p>
      <w:pPr>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The shares of Class A common stock, par value $0.0001 per share (the “Shares”) of Silver Spike Acquisition Corp., a blank check company incorporated in the Cayman Islands (the “Issuer”), reported herein are held by RP Debt Opportunities Fund Ltd. and RP Select Opportunities Master Fund Ltd. (the “Funds”), which are managed by RP Investment Advisors LP, an Ontario limited partnership (the “Advisor”). The Advisor, in its capacity as the investment manager of the Funds, has the power to vote and the power to direct the disposition of all Shares held by the Funds. Accordingly, for the purposes of Reg. Section 240.13d-3, the Advisor may be deemed to beneficially own an aggregate of 1,050,000 Shares, or 4.2% of the 25,000,000 Shares that were issued and outstanding as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1809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the Shares reported herein, the reporting persons also hold warrants of the Issuer, with CUSIP number G8136L114. The Advisor may be deemed to beneficially own an aggregate of 525,000 warrants, consisting of 418,750 warrants held by RP Select Opportunities Master Fund Ltd. and 106,250 warrants held by RP Debt Opportunities Fund Ltd. Each whole warrant entitles the holder thereof to purchase one share of Class A common stock, and only whole warrants are exercisable. Each warrant will become exercisable on the later of 30 days after the completion of an initial business combination (“Initial Business Combination”), as described in more detail in the Issuer’s prospectus dated August 7, 2019 and filed with the SEC on August 9, 2019 (the “Prospectus”), or 12 months from the date of the Prospectus, and will expire five years after the completion of the Initial Business Combination or earlier upon redemption or liquidation. The warrants are not presently exercisable and contain provisions that would prevent the holder from exercising in the event that it would cause the holder to beneficially own in excess of 9.8% (or such other amount as specified by the holder) of the Issuer’s outstanding shares of common stock.</w:t>
      </w:r>
    </w:p>
    <w:p>
      <w:pPr>
        <w:spacing w:after="0" w:line="19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This report shall not be deemed an admission that the Advisor,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8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7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7" w:name="page8"/>
    <w:bookmarkEnd w:id="7"/>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February 14, 2020</w:t>
      </w:r>
      <w:r>
        <w:rPr>
          <w:sz w:val="20"/>
          <w:szCs w:val="20"/>
          <w:color w:val="auto"/>
        </w:rPr>
        <w:tab/>
      </w:r>
      <w:r>
        <w:rPr>
          <w:rFonts w:ascii="Arial" w:cs="Arial" w:eastAsia="Arial" w:hAnsi="Arial"/>
          <w:sz w:val="18"/>
          <w:szCs w:val="18"/>
          <w:b w:val="1"/>
          <w:bCs w:val="1"/>
          <w:color w:val="auto"/>
        </w:rPr>
        <w:t>RP INVESTMENT ADVISORS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Richard Pilosof</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 Chief Executive Officer, RP Investment Advisors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LP by its General Partner RP Investment Advisors GP</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Inc.</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RP DEBT OPPORTUNITIES FUND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Richard Pilosof</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 Chief Executive Officer, RP Investment Advisors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LP by its General Partner RP Investment Advisors GP</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Inc.</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RP SELECT OPPORTUNITIES MASTER FUND LTD.</w:t>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Richard Pilosof</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 Chief Executive Officer, RP Investment Advisors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LP by its General Partner RP Investment Advisors GP</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8" w:name="page9"/>
    <w:bookmarkEnd w:id="8"/>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0">
        <w:r>
          <w:rPr>
            <w:rFonts w:ascii="Arial" w:cs="Arial" w:eastAsia="Arial" w:hAnsi="Arial"/>
            <w:sz w:val="16"/>
            <w:szCs w:val="16"/>
            <w:u w:val="single" w:color="auto"/>
            <w:color w:val="0000EE"/>
          </w:rPr>
          <w:t>Joint Filing Agreement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19"/>
          </w:cols>
          <w:pgMar w:left="440" w:top="90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14, 2020</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Pursuant to and in accordance with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the rules and regulations thereunder, each party hereto hereby agrees to the joint filing, on behalf of each of them, of any filing required by such party under Section 13 or Section 16 of the Exchange Act or any rule or regulation thereunder (including any amendment, restatement, supplement, and/or exhibit thereto) with the Securities and Exchange Commission (and, if such security is registered on a national securities exchange, also with the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spacing w:after="0" w:line="17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WITNESS WHEREOF, each party hereto, being duly authorized, has caused this agreement to be executed and effective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RP INVESTMENT ADVISORS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Richard Pilosof</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Title: Chief Executive Officer, RP Investment Advisors</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LP by its General Partner RP Investment Advisors GP</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Inc.</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RP DEBT OPPORTUNITIES FUND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Richard Pilosof</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Title: Chief Executive Officer, RP Investment Advisors</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LP by its General Partner RP Investment Advisors GP</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Inc.</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RP SELECT OPPORTUNITIES MASTER FUND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Richard Pilosof</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Title: Chief Executive Officer, RP Investment Advisors</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LP by its General Partner RP Investment Advisors GP</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Inc.</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2020-02-14T11:28:20Z</dcterms:created>
  <dcterms:modified xsi:type="dcterms:W3CDTF">2020-02-14T11:28:20Z</dcterms:modified>
</cp:coreProperties>
</file>