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8"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before="7" w:after="283"/>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before="5" w:after="283"/>
        <w:jc w:val="center"/>
        <w:rPr/>
      </w:pPr>
      <w:r>
        <w:rPr/>
      </w:r>
    </w:p>
    <w:p>
      <w:pPr>
        <w:pStyle w:val="TextBody"/>
        <w:bidi w:val="0"/>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September 26, 2024</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WM TECHNOLOGY, INC.</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042" w:type="dxa"/>
        <w:jc w:val="center"/>
        <w:tblInd w:w="0" w:type="dxa"/>
        <w:tblLayout w:type="fixed"/>
        <w:tblCellMar>
          <w:top w:w="28" w:type="dxa"/>
          <w:left w:w="28" w:type="dxa"/>
          <w:bottom w:w="28" w:type="dxa"/>
          <w:right w:w="28" w:type="dxa"/>
        </w:tblCellMar>
      </w:tblPr>
      <w:tblGrid>
        <w:gridCol w:w="1345"/>
        <w:gridCol w:w="1181"/>
        <w:gridCol w:w="1193"/>
        <w:gridCol w:w="762"/>
        <w:gridCol w:w="762"/>
        <w:gridCol w:w="770"/>
        <w:gridCol w:w="884"/>
        <w:gridCol w:w="884"/>
        <w:gridCol w:w="1261"/>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001-39021</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98-1605615</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before="0" w:after="0"/>
        <w:jc w:val="center"/>
        <w:rPr/>
      </w:pPr>
      <w:r>
        <w:rPr/>
      </w:r>
    </w:p>
    <w:tbl>
      <w:tblPr>
        <w:tblW w:w="4662" w:type="dxa"/>
        <w:jc w:val="left"/>
        <w:tblInd w:w="0" w:type="dxa"/>
        <w:tblLayout w:type="fixed"/>
        <w:tblCellMar>
          <w:top w:w="28" w:type="dxa"/>
          <w:left w:w="28" w:type="dxa"/>
          <w:bottom w:w="28" w:type="dxa"/>
          <w:right w:w="28" w:type="dxa"/>
        </w:tblCellMar>
      </w:tblPr>
      <w:tblGrid>
        <w:gridCol w:w="1194"/>
        <w:gridCol w:w="1051"/>
        <w:gridCol w:w="1055"/>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41 Discovery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Irvine,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92618</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(844) 933-3627</w:t>
      </w:r>
    </w:p>
    <w:p>
      <w:pPr>
        <w:pStyle w:val="TextBody"/>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bidi w:val="0"/>
        <w:spacing w:before="10" w:after="283"/>
        <w:jc w:val="left"/>
        <w:rPr/>
      </w:pPr>
      <w:r>
        <w:rPr/>
      </w:r>
    </w:p>
    <w:p>
      <w:pPr>
        <w:pStyle w:val="TextBody"/>
        <w:bidi w:val="0"/>
        <w:spacing w:lineRule="auto" w:line="29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obligations of the registrant under any of the following provisions:</w:t>
      </w:r>
    </w:p>
    <w:p>
      <w:pPr>
        <w:pStyle w:val="TextBody"/>
        <w:bidi w:val="0"/>
        <w:spacing w:before="1" w:after="283"/>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9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85"/>
        <w:gridCol w:w="1912"/>
        <w:gridCol w:w="1934"/>
        <w:gridCol w:w="436"/>
        <w:gridCol w:w="436"/>
        <w:gridCol w:w="438"/>
        <w:gridCol w:w="777"/>
        <w:gridCol w:w="777"/>
        <w:gridCol w:w="1110"/>
      </w:tblGrid>
      <w:tr>
        <w:trPr/>
        <w:tc>
          <w:tcPr>
            <w:tcW w:w="2385"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6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6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MAPS</w:t>
            </w:r>
          </w:p>
        </w:tc>
        <w:tc>
          <w:tcPr>
            <w:tcW w:w="2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r>
        <w:trPr/>
        <w:tc>
          <w:tcPr>
            <w:tcW w:w="62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Warrants, each whole warrant exercisable for one share of Class A Common Stock at an exercise price of $11.50 per share</w:t>
            </w:r>
          </w:p>
        </w:tc>
        <w:tc>
          <w:tcPr>
            <w:tcW w:w="1310"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MAPSW</w:t>
            </w:r>
          </w:p>
        </w:tc>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bidi w:val="0"/>
        <w:spacing w:before="0" w:after="0"/>
        <w:jc w:val="left"/>
        <w:rPr/>
      </w:pPr>
      <w:r>
        <w:rPr/>
      </w:r>
    </w:p>
    <w:p>
      <w:pPr>
        <w:pStyle w:val="TextBody"/>
        <w:bidi w:val="0"/>
        <w:spacing w:lineRule="auto" w:line="290" w:before="34"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right"/>
        <w:rPr/>
      </w:pPr>
      <w:r>
        <w:rPr>
          <w:rFonts w:ascii="Times New Roman;sans-serif" w:hAnsi="Times New Roman;sans-serif"/>
          <w:b w:val="false"/>
          <w:color w:val="000000"/>
          <w:sz w:val="20"/>
        </w:rPr>
        <w:t xml:space="preserve">Emerging growth company </w:t>
      </w:r>
      <w:r>
        <w:rPr>
          <w:color w:val="000000"/>
        </w:rPr>
        <w:t>☐</w:t>
      </w:r>
    </w:p>
    <w:p>
      <w:pPr>
        <w:pStyle w:val="TextBody"/>
        <w:bidi w:val="0"/>
        <w:spacing w:before="0" w:after="0"/>
        <w:jc w:val="right"/>
        <w:rPr/>
      </w:pPr>
      <w:r>
        <w:rPr/>
      </w:r>
    </w:p>
    <w:p>
      <w:pPr>
        <w:pStyle w:val="TextBody"/>
        <w:bidi w:val="0"/>
        <w:spacing w:lineRule="auto" w:line="290"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26, 2024, upon the recommendation of the Nominating and Corporate Governance Committee of the Board, the Board appointed Glen Ibbott to fill an existing vacancy on the Board and to serve on the Board as a Class I director until the Company’s 2025 annual meeting of stockholders and until his successor is duly appointed and qualified, or until his earlier death, resignation or removal, effective on October 1, 2024. The Board appointed Mr. Ibbott to the Audit Committee. The Board has also determined that Mr. Ibbott qualifies as an “audit committee financial expert” under the criteria set forth in Item 407(d)(5) of Regulation S-K.</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arrangements or understandings between Mr. Ibbott and any other persons pursuant to which either was selected as a director. The Board has determined that Mr. Ibbott qualifies as an independent director under the independence requirements set forth under Rule 5605(a)(2) of the Nasdaq Rules and listing standards. Additionally, there are no transactions involving the Company and Mr. Ibbott that the Company would be required to report pursuant to Item 404(a) of Regulation S-K.</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Mr. Ibbott’s appointment to the Board and pursuant to the Company’s non-employee director compensation policy, which is filed as Exhibit 10.16# to the Company’s Annual Report on Form 10-K (File No. 001-39021) filed with the Securities and Exchange Commission (the “SEC”) on May 24, 2024. Mr. Ibbott will be awarded an initial, one-time grant of restricted stock units with a value of approximately $166,667 vesting on the date of the next annual meeting of the Company’s stockholders.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aforementioned appointment to the Board, the Company entered into its standard indemnification agreement with Mr. Ibbott, which is filed as Exhibit 10.6# to the Company’s Current Report on Form 8-K (File No. 001-39021) filed with the SEC on June 21,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7.01    Regulation FD Disclosure</w:t>
      </w:r>
      <w:r>
        <w:rPr>
          <w:rFonts w:ascii="Times New Roman;sans-serif" w:hAnsi="Times New Roman;sans-serif"/>
          <w:b w:val="false"/>
          <w:color w:val="000000"/>
          <w:sz w:val="20"/>
        </w:rPr>
        <w:t>.</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 2024, the Company issued a press release announcing the appointment of Mr. Ibbott to the Board. A copy of the Company’s press release announcing the appointment is attached hereto as Exhibit 99.1.</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this Item 7.01, including Exhibit 99.1 attached hereto, is being furnished and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120" w:after="120"/>
        <w:jc w:val="left"/>
        <w:rPr/>
      </w:pPr>
      <w:r>
        <w:rPr>
          <w:rFonts w:ascii="Times New Roman;sans-serif" w:hAnsi="Times New Roman;sans-serif"/>
          <w:b/>
          <w:color w:val="000000"/>
          <w:sz w:val="20"/>
        </w:rPr>
        <w:t xml:space="preserve">(d) Exhibits. </w:t>
      </w:r>
      <w:r>
        <w:rPr>
          <w:rFonts w:ascii="Times New Roman;sans-serif" w:hAnsi="Times New Roman;sans-serif"/>
          <w:b w:val="false"/>
          <w:color w:val="000000"/>
          <w:sz w:val="20"/>
        </w:rPr>
        <w:t>The following exhibits are filed with this Current Report on Form 8-K:</w:t>
      </w:r>
    </w:p>
    <w:tbl>
      <w:tblPr>
        <w:tblW w:w="7408" w:type="dxa"/>
        <w:jc w:val="left"/>
        <w:tblInd w:w="0" w:type="dxa"/>
        <w:tblLayout w:type="fixed"/>
        <w:tblCellMar>
          <w:top w:w="28" w:type="dxa"/>
          <w:left w:w="28" w:type="dxa"/>
          <w:bottom w:w="28" w:type="dxa"/>
          <w:right w:w="28" w:type="dxa"/>
        </w:tblCellMar>
      </w:tblPr>
      <w:tblGrid>
        <w:gridCol w:w="174"/>
        <w:gridCol w:w="152"/>
        <w:gridCol w:w="155"/>
        <w:gridCol w:w="109"/>
        <w:gridCol w:w="109"/>
        <w:gridCol w:w="109"/>
        <w:gridCol w:w="1928"/>
        <w:gridCol w:w="1928"/>
        <w:gridCol w:w="2744"/>
      </w:tblGrid>
      <w:tr>
        <w:trPr/>
        <w:tc>
          <w:tcPr>
            <w:tcW w:w="1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Exhibits</w:t>
            </w:r>
          </w:p>
        </w:tc>
      </w:tr>
      <w:tr>
        <w:trPr/>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ex991mapsboardofdirector-g.htm">
              <w:r>
                <w:rPr>
                  <w:rStyle w:val="InternetLink"/>
                  <w:rFonts w:ascii="Times New Roman;sans-serif" w:hAnsi="Times New Roman;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991mapsboardofdirector-g.htm">
              <w:r>
                <w:rPr>
                  <w:rStyle w:val="InternetLink"/>
                  <w:rFonts w:ascii="Times New Roman;sans-serif" w:hAnsi="Times New Roman;sans-serif"/>
                  <w:b w:val="false"/>
                  <w:color w:val="0000FF"/>
                  <w:sz w:val="20"/>
                  <w:u w:val="single"/>
                </w:rPr>
                <w:t>Press Release</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r>
        <w:trPr/>
        <w:tc>
          <w:tcPr>
            <w:tcW w:w="4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10" w:after="283"/>
        <w:jc w:val="left"/>
        <w:rPr/>
      </w:pPr>
      <w:r>
        <w:rPr/>
      </w:r>
    </w:p>
    <w:p>
      <w:pPr>
        <w:pStyle w:val="TextBody"/>
        <w:bidi w:val="0"/>
        <w:spacing w:lineRule="auto" w:line="29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795" w:type="dxa"/>
        <w:jc w:val="left"/>
        <w:tblInd w:w="0" w:type="dxa"/>
        <w:tblLayout w:type="fixed"/>
        <w:tblCellMar>
          <w:top w:w="28" w:type="dxa"/>
          <w:left w:w="28" w:type="dxa"/>
          <w:bottom w:w="28" w:type="dxa"/>
          <w:right w:w="28" w:type="dxa"/>
        </w:tblCellMar>
      </w:tblPr>
      <w:tblGrid>
        <w:gridCol w:w="372"/>
        <w:gridCol w:w="327"/>
        <w:gridCol w:w="327"/>
        <w:gridCol w:w="327"/>
        <w:gridCol w:w="327"/>
        <w:gridCol w:w="327"/>
        <w:gridCol w:w="383"/>
        <w:gridCol w:w="383"/>
        <w:gridCol w:w="383"/>
        <w:gridCol w:w="771"/>
        <w:gridCol w:w="771"/>
        <w:gridCol w:w="1097"/>
      </w:tblGrid>
      <w:tr>
        <w:trPr/>
        <w:tc>
          <w:tcPr>
            <w:tcW w:w="37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2007"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October 1, 2024</w:t>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WM TECHNOLOGY, INC.</w:t>
            </w:r>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Susan Echard</w:t>
            </w:r>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Susan Echard</w:t>
            </w:r>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10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180"/>
        <w:jc w:val="right"/>
        <w:rPr>
          <w:rFonts w:ascii="Times New Roman;sans-serif" w:hAnsi="Times New Roman;sans-serif"/>
          <w:b/>
          <w:color w:val="000000"/>
          <w:sz w:val="22"/>
        </w:rPr>
      </w:pPr>
      <w:r>
        <w:rPr>
          <w:rFonts w:ascii="Times New Roman;sans-serif" w:hAnsi="Times New Roman;sans-serif"/>
          <w:b/>
          <w:color w:val="000000"/>
          <w:sz w:val="22"/>
        </w:rPr>
        <w:t>Exhibit 99.1</w:t>
      </w:r>
    </w:p>
    <w:p>
      <w:pPr>
        <w:pStyle w:val="TextBody"/>
        <w:bidi w:val="0"/>
        <w:spacing w:before="180" w:after="180"/>
        <w:jc w:val="center"/>
        <w:rPr/>
      </w:pPr>
      <w:r>
        <w:rPr/>
        <w:drawing>
          <wp:inline distT="0" distB="0" distL="0" distR="0">
            <wp:extent cx="2857500" cy="8953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857500" cy="895350"/>
                    </a:xfrm>
                    <a:prstGeom prst="rect">
                      <a:avLst/>
                    </a:prstGeom>
                  </pic:spPr>
                </pic:pic>
              </a:graphicData>
            </a:graphic>
          </wp:inline>
        </w:drawing>
      </w:r>
    </w:p>
    <w:p>
      <w:pPr>
        <w:pStyle w:val="TextBody"/>
        <w:bidi w:val="0"/>
        <w:spacing w:lineRule="auto" w:line="288" w:before="180" w:after="180"/>
        <w:jc w:val="center"/>
        <w:rPr>
          <w:rFonts w:ascii="Times New Roman;sans-serif" w:hAnsi="Times New Roman;sans-serif"/>
          <w:b/>
          <w:color w:val="000000"/>
          <w:sz w:val="28"/>
        </w:rPr>
      </w:pPr>
      <w:r>
        <w:rPr>
          <w:rFonts w:ascii="Times New Roman;sans-serif" w:hAnsi="Times New Roman;sans-serif"/>
          <w:b/>
          <w:color w:val="000000"/>
          <w:sz w:val="28"/>
        </w:rPr>
        <w:t>WM Technology, Inc. Appoints Glen Ibbott to Board of Directors</w:t>
      </w:r>
    </w:p>
    <w:p>
      <w:pPr>
        <w:pStyle w:val="TextBody"/>
        <w:bidi w:val="0"/>
        <w:spacing w:lineRule="auto" w:line="288" w:before="120" w:after="120"/>
        <w:jc w:val="both"/>
        <w:rPr/>
      </w:pPr>
      <w:r>
        <w:rPr>
          <w:rFonts w:ascii="Times New Roman;sans-serif" w:hAnsi="Times New Roman;sans-serif"/>
          <w:b w:val="false"/>
          <w:color w:val="373737"/>
          <w:sz w:val="22"/>
          <w:shd w:fill="FFFFFF" w:val="clear"/>
        </w:rPr>
        <w:t>I</w:t>
      </w:r>
      <w:r>
        <w:rPr>
          <w:rFonts w:ascii="Times New Roman;sans-serif" w:hAnsi="Times New Roman;sans-serif"/>
          <w:b w:val="false"/>
          <w:color w:val="373737"/>
          <w:sz w:val="22"/>
        </w:rPr>
        <w:t>RVINE</w:t>
      </w:r>
      <w:r>
        <w:rPr>
          <w:rFonts w:ascii="Times New Roman;sans-serif" w:hAnsi="Times New Roman;sans-serif"/>
          <w:b w:val="false"/>
          <w:color w:val="000000"/>
          <w:sz w:val="22"/>
        </w:rPr>
        <w:t>, Calif., October 1, 2024 — Weedmaps (Nasdaq: MAPS) a leading online cannabis marketplace for consumers, today announced the appointment of Glen Ibbott to the Company’s Board of Directors, effective October 1.</w:t>
      </w:r>
    </w:p>
    <w:p>
      <w:pPr>
        <w:pStyle w:val="TextBody"/>
        <w:bidi w:val="0"/>
        <w:spacing w:lineRule="auto" w:line="288" w:before="120" w:after="120"/>
        <w:jc w:val="both"/>
        <w:rPr>
          <w:color w:val="000000"/>
        </w:rPr>
      </w:pPr>
      <w:r>
        <w:rPr>
          <w:color w:val="000000"/>
        </w:rPr>
        <w:t>“</w:t>
      </w:r>
      <w:r>
        <w:rPr>
          <w:rFonts w:ascii="Times New Roman;sans-serif" w:hAnsi="Times New Roman;sans-serif"/>
          <w:b w:val="false"/>
          <w:color w:val="000000"/>
          <w:sz w:val="22"/>
        </w:rPr>
        <w:t xml:space="preserve">Glen is an accomplished leader with deep experience in the cannabis industry and we are excited to have him join WM Technology’s Board of Directors,” said Doug Francis, Executive Chair, WM Technology. “He brings a wealth of insight to our Board as we continue to grow both as a business and an industry, and pursue our mission of enabling safe, legal access to cannabis for consumers worldwide.” </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seasoned executive with more than 25 years of experience, Ibbott is the founder of GK Financial Ventures, a financial consulting company. He previously spent nearly seven years as Chief Financial Officer of Aurora Cannabis Inc., a Nasdaq and TSX-listed global cannabis company. Prior to his time at Aurora, Ibbott was CFO at biotechnology company QLT Inc., and before that, he held a number of senior finance roles at publicly traded companies across Canada. </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Ibbott holds MBAs from both Cornell University and Queen’s University, an undergraduate degree in Business Administration (Accounting) from Simon Fraser University, and is a Canadian Chartered Professional Accountant. </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"It’s an exciting time to be in cannabis –– both in the U.S. and globally –– and with what I believe is the greatest support for cannabis in the U.S. than at any time before,” Ibbott said. “I look forward to sharing my expertise and experience with the WM Technology team as we continue to navigate this dynamic industry and build long-term value for our shareholders.”</w:t>
      </w:r>
    </w:p>
    <w:p>
      <w:pPr>
        <w:pStyle w:val="TextBody"/>
        <w:bidi w:val="0"/>
        <w:spacing w:before="120" w:after="120"/>
        <w:jc w:val="both"/>
        <w:rPr/>
      </w:pPr>
      <w:r>
        <w:rPr/>
      </w:r>
    </w:p>
    <w:p>
      <w:pPr>
        <w:pStyle w:val="TextBody"/>
        <w:bidi w:val="0"/>
        <w:spacing w:lineRule="auto" w:line="288" w:before="120" w:after="120"/>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color w:val="000000"/>
          <w:sz w:val="22"/>
        </w:rPr>
      </w:pPr>
      <w:r>
        <w:rPr>
          <w:rFonts w:ascii="Times New Roman;sans-serif" w:hAnsi="Times New Roman;sans-serif"/>
          <w:b/>
          <w:color w:val="000000"/>
          <w:sz w:val="22"/>
        </w:rPr>
        <w:t>About WM Technology</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Founded in 2008, WM Technology operates Weedmaps, a leading cannabis marketplace for consumers, as well as a broad set of eCommerce and compliance software solutions for cannabis businesses and brands in U.S. state-legal markets. WM Technology holds a strong belief in the power of cannabis and the importance of enabling safe, legal access to consumers worldwide.</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Over the past 15 years, the Weedmaps marketplace has become a premier destination for cannabis consumers to discover and browse cannabis-related products, access daily dispensary deals, order ahead for pick-up and delivery by participating retailers (where applicable), and learn about the plant. The Company also offers eCommerce-enablement tools designed to help cannabis retailers and brands reach consumers, create business efficiency, and manage industry-specific compliance needs.</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is committed to advocating for full U.S. legalization, industry-wide social equity, and continued education about the plant through key partnerships and cannabis subject matter experts.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pPr>
      <w:r>
        <w:rPr>
          <w:rFonts w:ascii="Times New Roman;sans-serif" w:hAnsi="Times New Roman;sans-serif"/>
          <w:b w:val="false"/>
          <w:color w:val="000000"/>
          <w:sz w:val="22"/>
        </w:rPr>
        <w:t xml:space="preserve">Headquartered in Irvine, California, WM Technology supports remote and hybrid work for eligible employees. Visit us at </w:t>
      </w:r>
      <w:r>
        <w:rPr>
          <w:rFonts w:ascii="Times New Roman;sans-serif" w:hAnsi="Times New Roman;sans-serif"/>
          <w:b w:val="false"/>
          <w:color w:val="1155CC"/>
          <w:sz w:val="22"/>
        </w:rPr>
        <w:t>www.weedmaps.com</w:t>
      </w:r>
      <w:r>
        <w:rPr>
          <w:rFonts w:ascii="Times New Roman;sans-serif" w:hAnsi="Times New Roman;sans-serif"/>
          <w:b w:val="false"/>
          <w:color w:val="000000"/>
          <w:sz w:val="22"/>
        </w:rPr>
        <w:t>.</w: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color w:val="000000"/>
          <w:sz w:val="22"/>
        </w:rPr>
      </w:pPr>
      <w:r>
        <w:rPr>
          <w:rFonts w:ascii="Times New Roman;sans-serif" w:hAnsi="Times New Roman;sans-serif"/>
          <w:b/>
          <w:color w:val="000000"/>
          <w:sz w:val="22"/>
        </w:rPr>
        <w:t>CONTACT:</w: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color w:val="000000"/>
          <w:sz w:val="22"/>
        </w:rPr>
      </w:pPr>
      <w:r>
        <w:rPr>
          <w:rFonts w:ascii="Times New Roman;sans-serif" w:hAnsi="Times New Roman;sans-serif"/>
          <w:b/>
          <w:color w:val="000000"/>
          <w:sz w:val="22"/>
        </w:rPr>
        <w:t>Investor Relations</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investors@weedmaps.com</w: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color w:val="000000"/>
          <w:sz w:val="22"/>
        </w:rPr>
      </w:pPr>
      <w:r>
        <w:rPr>
          <w:rFonts w:ascii="Times New Roman;sans-serif" w:hAnsi="Times New Roman;sans-serif"/>
          <w:b/>
          <w:color w:val="000000"/>
          <w:sz w:val="22"/>
        </w:rPr>
        <w:t>Media</w:t>
      </w:r>
    </w:p>
    <w:p>
      <w:pPr>
        <w:pStyle w:val="TextBody"/>
        <w:bidi w:val="0"/>
        <w:spacing w:lineRule="auto" w:line="288"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press@weedmaps.com</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1321</Words>
  <Characters>7233</Characters>
  <CharactersWithSpaces>8480</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