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Camire Brian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WM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 DISCOVERY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WM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MAPS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422" w:lineRule="exact"/>
        <w:rPr>
          <w:sz w:val="24"/>
          <w:szCs w:val="24"/>
          <w:color w:val="auto"/>
        </w:rPr>
      </w:pPr>
    </w:p>
    <w:p>
      <w:pPr>
        <w:sectPr>
          <w:pgSz w:w="11900" w:h="16838" w:orient="portrait"/>
          <w:cols w:equalWidth="0" w:num="3">
            <w:col w:w="3200" w:space="72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31,312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1.3801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597,846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as well as any related brokerage commission fees. The sale satisfies the tax withholding obligations to be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Brian Camire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02/20/2025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363" TargetMode="External"/><Relationship Id="rId14"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2025-02-20T15:19:44Z</dcterms:created>
  <dcterms:modified xsi:type="dcterms:W3CDTF">2025-02-20T15:19:44Z</dcterms:modified>
</cp:coreProperties>
</file>