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Registration No. 333-261466</w:t>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1145540</wp:posOffset>
            </wp:positionH>
            <wp:positionV relativeFrom="paragraph">
              <wp:posOffset>182880</wp:posOffset>
            </wp:positionV>
            <wp:extent cx="3429000" cy="1020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00" cy="10204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36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Up to 1,938,798 Shares of Class A Common Stock</w:t>
      </w:r>
    </w:p>
    <w:p>
      <w:pPr>
        <w:spacing w:after="0" w:line="4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 </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Offered by the Selling Securityholders</w:t>
      </w:r>
    </w:p>
    <w:p>
      <w:pPr>
        <w:spacing w:after="0" w:line="310" w:lineRule="exact"/>
        <w:rPr>
          <w:sz w:val="24"/>
          <w:szCs w:val="24"/>
          <w:color w:val="auto"/>
        </w:rPr>
      </w:pPr>
    </w:p>
    <w:p>
      <w:pPr>
        <w:jc w:val="both"/>
        <w:ind w:left="400" w:right="419"/>
        <w:spacing w:after="0" w:line="25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named in this prospectus (the “Selling Securityholders”) of up to 1,938,798 shares of our Class A Common Stock, par value $0.0001 per share (“Class A Common Stock”), consisting of (i) 1,244,258 shares of Class A Common Stock issued pursuant to that certain Asset Purchase Agreement, dated September 3, 2021 (the “Asset Purchase Agreement”), by and among MembersRSVP, LLC d/b/a Sprout (“Sprout”), Text Ripple, Inc. (“Text Ripple”), the Company, WM Loyalty, LLC, certain equityholders of Sprout and Text Ripple and Jaret Christopher, as sellers’ representative and (ii) 694,540 shares of Class A Common Stock issued pursuant to that certain Equity Interest Purchase Agreement, dated September 28, 2021 (the “Equity Interest Purchase Agreement” and together with the Asset Purchase Agreement, the “Purchase Agreements”), by and among Ghost Management Group, LLC, Transport Logistics Holding Company, LLC d/b/a Merry Go Jane (“TLHC”), certain securityholders of TLHC and Justin Morris, as sellers’ representative. We will not receive any proceeds from the sale of the shares of Class A Common Stock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196" w:lineRule="exact"/>
        <w:rPr>
          <w:sz w:val="24"/>
          <w:szCs w:val="24"/>
          <w:color w:val="auto"/>
        </w:rPr>
      </w:pPr>
    </w:p>
    <w:p>
      <w:pPr>
        <w:jc w:val="both"/>
        <w:ind w:left="400" w:right="419"/>
        <w:spacing w:after="0" w:line="255" w:lineRule="auto"/>
        <w:rPr>
          <w:sz w:val="20"/>
          <w:szCs w:val="20"/>
          <w:color w:val="auto"/>
        </w:rPr>
      </w:pPr>
      <w:r>
        <w:rPr>
          <w:rFonts w:ascii="Times New Roman" w:cs="Times New Roman" w:eastAsia="Times New Roman" w:hAnsi="Times New Roman"/>
          <w:sz w:val="18"/>
          <w:szCs w:val="18"/>
          <w:color w:val="auto"/>
        </w:rPr>
        <w:t>Our registration of the shares of Class A Common Stock covered by this prospectus does not mean that the Selling Securityholders will offer or sell any of the shares of Class A Common Stock. The Selling Securityholders may offer, sell or distribute all or a portion of their shares of Class A Common Stock publicly or through private transactions at prevailing market prices or at negotiated prices. We will not receive any proceeds from the sale of shares of Class A Common Stock by the Selling Securityholders pursuant to this prospectus. We provide more information about how the Selling Securityholders may sell the shares of Class A Common Stock in the section entitled “Plan of Distribution.”</w:t>
      </w:r>
    </w:p>
    <w:p>
      <w:pPr>
        <w:spacing w:after="0" w:line="189" w:lineRule="exact"/>
        <w:rPr>
          <w:sz w:val="24"/>
          <w:szCs w:val="24"/>
          <w:color w:val="auto"/>
        </w:rPr>
      </w:pPr>
    </w:p>
    <w:p>
      <w:pPr>
        <w:jc w:val="both"/>
        <w:ind w:left="400" w:right="419"/>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Select Market (“Nasdaq”) under the symbol “MAPS.” On December 6, 2024, the closing price of our Class A Common Stock was $1.40.</w:t>
      </w:r>
    </w:p>
    <w:p>
      <w:pPr>
        <w:spacing w:after="0" w:line="162" w:lineRule="exact"/>
        <w:rPr>
          <w:sz w:val="24"/>
          <w:szCs w:val="24"/>
          <w:color w:val="auto"/>
        </w:rPr>
      </w:pPr>
    </w:p>
    <w:p>
      <w:pPr>
        <w:jc w:val="both"/>
        <w:ind w:left="400" w:right="419"/>
        <w:spacing w:after="0" w:line="282" w:lineRule="auto"/>
        <w:rPr>
          <w:sz w:val="20"/>
          <w:szCs w:val="20"/>
          <w:color w:val="auto"/>
        </w:rPr>
      </w:pPr>
      <w:r>
        <w:rPr>
          <w:rFonts w:ascii="Times New Roman" w:cs="Times New Roman" w:eastAsia="Times New Roman" w:hAnsi="Times New Roman"/>
          <w:sz w:val="18"/>
          <w:szCs w:val="18"/>
          <w:color w:val="auto"/>
        </w:rPr>
        <w:t xml:space="preserve">See the section entitled “Risk Factors” beginning on page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 xml:space="preserve"> of this prospectus to read about certain risks and uncertainties you should consider before investing in our securities.</w:t>
      </w:r>
    </w:p>
    <w:p>
      <w:pPr>
        <w:spacing w:after="0" w:line="162" w:lineRule="exact"/>
        <w:rPr>
          <w:sz w:val="24"/>
          <w:szCs w:val="24"/>
          <w:color w:val="auto"/>
        </w:rPr>
      </w:pPr>
    </w:p>
    <w:p>
      <w:pPr>
        <w:jc w:val="both"/>
        <w:ind w:left="400" w:right="419"/>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019"/>
          </w:cols>
          <w:pgMar w:left="1440" w:top="223"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date of this prospectus is December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147320</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3" w:right="1440" w:bottom="1440"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1"/>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16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ii</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w w:val="92"/>
              </w:rPr>
              <w:t>iii</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6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THE OFFERING</w:t>
            </w:r>
          </w:p>
        </w:tc>
        <w:tc>
          <w:tcPr>
            <w:tcW w:w="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45</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MARKET INFORMATION FOR COMMON STOCK AND DIVIDEND POLICY</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46</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16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66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w:t>
            </w:r>
          </w:p>
        </w:tc>
        <w:tc>
          <w:tcPr>
            <w:tcW w:w="14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RESULTS OF OPERATIONS</w:t>
            </w:r>
          </w:p>
        </w:tc>
        <w:tc>
          <w:tcPr>
            <w:tcW w:w="28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color w:val="0000EE"/>
              </w:rPr>
              <w:t>47</w:t>
            </w:r>
          </w:p>
        </w:tc>
        <w:tc>
          <w:tcPr>
            <w:tcW w:w="20" w:type="dxa"/>
            <w:vAlign w:val="bottom"/>
          </w:tcPr>
          <w:p>
            <w:pPr>
              <w:spacing w:after="0"/>
              <w:rPr>
                <w:sz w:val="17"/>
                <w:szCs w:val="17"/>
                <w:color w:val="auto"/>
              </w:rPr>
            </w:pPr>
          </w:p>
        </w:tc>
      </w:tr>
      <w:tr>
        <w:trPr>
          <w:trHeight w:val="75"/>
        </w:trPr>
        <w:tc>
          <w:tcPr>
            <w:tcW w:w="18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BUSINESS</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72</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MANAGEMENT</w:t>
            </w:r>
          </w:p>
        </w:tc>
        <w:tc>
          <w:tcPr>
            <w:tcW w:w="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85</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94</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0000EE"/>
                <w:w w:val="96"/>
              </w:rPr>
              <w:t>109</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6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6"/>
              </w:rPr>
              <w:t>114</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16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SELLING SECURITYHOLDERS</w:t>
            </w:r>
          </w:p>
        </w:tc>
        <w:tc>
          <w:tcPr>
            <w:tcW w:w="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w w:val="96"/>
              </w:rPr>
              <w:t>116</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SECURITIES</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6"/>
              </w:rPr>
              <w:t>118</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MATERIAL UNITED STATES FEDERAL INCOME TAX CONSEQUENCES</w:t>
            </w:r>
          </w:p>
        </w:tc>
        <w:tc>
          <w:tcPr>
            <w:tcW w:w="3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0000EE"/>
                <w:w w:val="96"/>
              </w:rPr>
              <w:t>126</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6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6"/>
              </w:rPr>
              <w:t>130</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3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0000EE"/>
                <w:w w:val="96"/>
              </w:rPr>
              <w:t>132</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EXPERTS</w:t>
            </w:r>
          </w:p>
        </w:tc>
        <w:tc>
          <w:tcPr>
            <w:tcW w:w="30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6"/>
              </w:rPr>
              <w:t>132</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0000EE"/>
                <w:w w:val="96"/>
              </w:rPr>
              <w:t>132</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INDEX TO FINANCIAL STATEMENTS</w:t>
            </w:r>
          </w:p>
        </w:tc>
        <w:tc>
          <w:tcPr>
            <w:tcW w:w="20" w:type="dxa"/>
            <w:vAlign w:val="bottom"/>
            <w:shd w:val="clear" w:color="auto" w:fill="CCEEFF"/>
          </w:tcPr>
          <w:p>
            <w:pPr>
              <w:spacing w:after="0"/>
              <w:rPr>
                <w:sz w:val="19"/>
                <w:szCs w:val="19"/>
                <w:color w:val="auto"/>
              </w:rPr>
            </w:pPr>
          </w:p>
        </w:tc>
        <w:tc>
          <w:tcPr>
            <w:tcW w:w="28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5"/>
              </w:rPr>
              <w:t>F-1</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-4474210</wp:posOffset>
            </wp:positionV>
            <wp:extent cx="1111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provided in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our business, financial condition, results of operations and prospects may have changed.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or provide any assurance as to the reliability of, any other information that others may give you. Neither we nor the Selling Securityholders will make an offer to sell these securities in any jurisdiction where the offer or sale is not permitted.</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entitled “Where You Can Find More Information.”</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June 16, 2021 (the “Closing Date”), Silver Spike Acquisition Corp., our predecessor company, consummated the Business Combination (as defined below), which was previously announced, pursuant to that certain Agreement and Plan of Merger, dated December 10, 2020 (the “Merger Agreement”), by and among Silver Spike, Silver Spike Merger Sub LLC, a Delaware limited liability company and a wholly owned direct subsidiary of Silver Spike (“Merger Sub”), WM Holding Company, LLC, a Delaware limited liability company (when referred to for pre-Business Combination periods, “Legacy WMH” and when referred to for post-Business Combination periods, “WMH LLC”),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WMH LLC became the surviving company and continued in existence as a subsidiary of Silver Spike (the transactions contemplated by the Merger Agreement, the “Business Combination”). On the Closing Date, and in connection with the closing of the Business Combination (the “Closing”), Silver Spike changed its name to WM Technology, Inc.</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“WMH,” “we,” “us,” “our” and similar terms refer to WM Technology, Inc. (f/k/a Silver Spike Acquisition Corp.) and its consolidated subsidiaries (including Legacy WMH). References to “Silver Spike” refer to our predecessor company prior to the consummation of the Business Combination.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Section 27A of the Securities Act, and Section 21E of the Securities Exchange Act of 1934, as amended (the “Exchange Act.”). We have based these forward-looking statements on our current expectations and projections about future events. All statements, other than statements of present or historical fact included in this prospectus, our future financial performance, strategy, expansion plans, future operations, future operating results, estimated revenues, losses, projected costs, prospects, plans and objectives of management are forward-looking statements. Any statements that refer to projections, forecasts or other characterizations of future events or circumstances, including any underlying assumptions,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prospectus. We caution you that these forward-looking statements are subject to numerous risks and uncertainties, most of which are difficult to predict and many of which are beyond our control.</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Forward-looking statements in this prospectus may include, for example, statements about:</w:t>
      </w:r>
    </w:p>
    <w:p>
      <w:pPr>
        <w:spacing w:after="0" w:line="117" w:lineRule="exact"/>
        <w:rPr>
          <w:sz w:val="20"/>
          <w:szCs w:val="20"/>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including key business metrics and any underlying assumptions thereunder;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clients and retain existing clients;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timing related to commercial product launches;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go-to-market strategy;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expand our offerings;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advantages and growth strategies;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future operations;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material weaknesses in our internal controls and our ability to remediate any such material weakness on the timing we anticipate, or at all;</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listing on the Nasdaq Stock Exchange;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restatement on our reputation and investor confidence in us and the increased possibility of legal proceedings and regulatory inquiries;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conditions, including but not limited to inflation, uncertain credit and global financial markets, recent and potential future disruptions in access to bank deposits or lending commitments due to bank failures; recent and potential future geopolitical events, including the military conflicts between Russia and Ukraine and Israel and Hamas and the related risk of a larger regional conflict; and the occurrence of a catastrophic event, including but not limited to severe weather, war, or terrorist attack;</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regional or local economic and market conditions affecting the cannabis industry;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industry;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capitalize on new and existing cannabis markets, including our ability to successfully monetize our solutions in those markets;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anticipate and address changes in the end-user market in the cannabis industry;</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solutions, bring them to market in a timely manner and make enhancements to our platform and our ability to maintain and grow our two-sided marketplace, including our ability to acquire and retain paying clients;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future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security vulnerabilities;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or competitive factors.</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Should one or more of the risks or uncertainties described in this prospectus actually occur,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and any accompanying prospectus supplement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051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3405" cy="81051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21"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“Management’s Discussion and Analysis of Financial Condition and Results of Operations,” “Business” and the consolidated financial statements and related notes included elsewhere in this prospectus before making an investment decision.</w:t>
      </w:r>
    </w:p>
    <w:p>
      <w:pPr>
        <w:spacing w:after="0" w:line="3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On the Closing Date, and in connection with the closing of the Business Combination, Silver Spike was domesticated and continues as a Delaware corporation, and changed its name to WM Technology, Inc.</w:t>
      </w:r>
    </w:p>
    <w:p>
      <w:pPr>
        <w:spacing w:after="0" w:line="84"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(“POS”) solutions, to provide consumers with the ability to browse by strain, price, cannabinoids and other information regarding locally available cannabis products, through our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We believe the size, loyalty and engagement of our user base and the frequency of consumption of cannabis by our user base makes the Weedmaps marketplace highly valuable to our clients.</w:t>
      </w:r>
    </w:p>
    <w:p>
      <w:pPr>
        <w:spacing w:after="0" w:line="3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Our ability to implement our business strategy is subject to numerous risks that you should be aware of before making an investment decision. These risks are described more fully in the section entitled “Risk Factors,” immediately following this prospectus summary. These risks include the following, among others:</w:t>
      </w:r>
    </w:p>
    <w:p>
      <w:pPr>
        <w:spacing w:after="0" w:line="68" w:lineRule="exact"/>
        <w:rPr>
          <w:sz w:val="20"/>
          <w:szCs w:val="20"/>
          <w:color w:val="auto"/>
        </w:rPr>
      </w:pPr>
    </w:p>
    <w:p>
      <w:pPr>
        <w:ind w:left="1020" w:right="299" w:hanging="350"/>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our costs increase, we may not be able to generate sufficient revenue to achieve profitability in the future.</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our existing clients and consumers or to acquire new clients and consumers in a cost-effective manner, our revenue may decrease and our business may be harmed.</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offer the optimal pricing of our products and solutions.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expand effectively into new markets, our revenue and business will be adversely affected.</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the illicit cannabis market could impact our ability to succeed.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856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3405" cy="785622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020" w:right="299" w:hanging="350"/>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concentrated in California, and, as a result, our performance may be affected by factors unique to the California market.</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 enforcement may deem our clients to be in violation of U.S. federal law, and, in particular the Controlled Substances Act (“CSA”). A change in U.S. federal policy on cannabis enforcement and strict enforcement of federal cannabis laws against our clients would undermine our business model and materially affect our business and operations.</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55"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80" w:lineRule="exact"/>
        <w:rPr>
          <w:rFonts w:ascii="Times New Roman" w:cs="Times New Roman" w:eastAsia="Times New Roman" w:hAnsi="Times New Roman"/>
          <w:sz w:val="18"/>
          <w:szCs w:val="18"/>
          <w:color w:val="auto"/>
        </w:rPr>
      </w:pPr>
    </w:p>
    <w:p>
      <w:pPr>
        <w:jc w:val="both"/>
        <w:ind w:left="1020" w:right="299" w:hanging="350"/>
        <w:spacing w:after="0" w:line="255"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generally do not, and cannot, ensure that our clients will conduct their business activities in a manner compliant with such regulations and requirements, despite providing features to help support our clients’ compliance with the complex, disparate and constantly evolving regulations and other legal requirements applicable to the cannabis industry.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80"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U.S. state laws and regulations.</w:t>
      </w:r>
    </w:p>
    <w:p>
      <w:pPr>
        <w:spacing w:after="0" w:line="11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rapid changes in the cannabis industry and applicable laws and regulations make predicting and evaluating our future prospects difficult, and may increase the risk that we will not be successful.</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business is dependent, in part, upon continued market acceptance of cannabis by consumers, any negative trends could adversely affect our business operations.</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business is dependent on the continued legalization of cannabis.</w:t>
      </w:r>
    </w:p>
    <w:p>
      <w:pPr>
        <w:spacing w:after="0" w:line="11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clients face challenges unique to the cannabis industry that can impact their financial health and long-term viability. If our clients struggle financially or do not remain viable, it can negatively impact our ability to generate new revenue, maintain existing revenue or collect on outstanding receivables.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clients and consumers using our platform fail to provide high-quality content that attracts consumers, we may not be able to generate sufficient consumer traffic to remain competitive.</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dependent upon our brand recognition and reputation, and the erosion or degradation of our brand recognition or reputation would likely adversely affect our business and operating results.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face intense competition in the cannabis information market, and we expect competition to further intensify as the cannabis industry continues to evolve.</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employee operations and organization effectively, our brand, business and operating results could be harmed.</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recruit, train, retain and motivate key personnel, we may not achieve our business objectives.</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current marketing model is not effective in attracting new clients, we may need to employ higher-cost sales and marketing methods to attract and retain clients, which could adversely affect our profitability.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3336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3405" cy="733361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1020" w:right="299" w:hanging="350"/>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6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 system and the payment systems of our clients depend on third-party providers and are subject to evolving laws and regulations.</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banking relations, and we may have difficulty accessing or consistently maintaining banking or other financial services due to our connection with the cannabis industry.</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drive engagement on our platform, as well as changes to our user engagement and advertising strategy and practices, pose risks to our business.</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incident, including 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 of the internet continues to develop, and unfavorable changes could substantially harm our business and operating results.</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5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as of December 31, 2023. 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75"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restatement of our prior quarterly financial statements may affect investor confidence and raise reputational issues and may subject us to additional risks and uncertainties, including increased professional costs and the increased possibility of legal proceedings and regulatory inquiries.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Class A Common Stock and certain of our Public Warrants have been, and may continue to be, volatile, and the value of our Class A Common Stock and such Warrants may decline.</w:t>
      </w:r>
    </w:p>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Silver Spike, which was incorporated on June 7, 2019 as a Cayman Islands exempted company and formed for the purpose of effecting a merger, amalgamation, share exchange, asset acquisition, share purchase, reorganization or similar business combination with one or more businesses. Silver Spike completed its initial public offering in August 2019. In June 2021, Merger Sub merged with and into Legacy WMH, whereupon the separate limited liability company existence of Merger Sub ceased and Legacy WMH became the surviving company and continued in existence as a subsidiary of Silver Spike. Prior to the Closing Date, Silver Spike changed its jurisdiction of incorporation from the Cayman Islands to the State of Delaware by deregistering as an exempted company in the Cayman Islands and domesticating and continuing as a corporation formed under the laws of the State of Delaware (the “Domestication”). On the Closing Date, and in connection with the Closing, Silver Spike changed its name to WM Technology.</w:t>
      </w:r>
    </w:p>
    <w:p>
      <w:pPr>
        <w:spacing w:after="0" w:line="86" w:lineRule="exact"/>
        <w:rPr>
          <w:sz w:val="20"/>
          <w:szCs w:val="20"/>
          <w:color w:val="auto"/>
        </w:rPr>
      </w:pPr>
    </w:p>
    <w:p>
      <w:pPr>
        <w:jc w:val="both"/>
        <w:ind w:left="320" w:right="299"/>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41 Discovery, Irvine, California 92618. Our telephone number is (844) 933-3627.</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2773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3405" cy="27730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1020"/>
          </w:cols>
          <w:pgMar w:left="440" w:top="263" w:right="439" w:bottom="1440" w:gutter="0" w:footer="0" w:header="0"/>
        </w:sectPr>
      </w:pP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158" w:lineRule="exact"/>
        <w:rPr>
          <w:sz w:val="20"/>
          <w:szCs w:val="20"/>
          <w:color w:val="auto"/>
        </w:rPr>
      </w:pPr>
    </w:p>
    <w:p>
      <w:pPr>
        <w:ind w:left="1320"/>
        <w:spacing w:after="0" w:line="286" w:lineRule="auto"/>
        <w:rPr>
          <w:sz w:val="20"/>
          <w:szCs w:val="20"/>
          <w:color w:val="auto"/>
        </w:rPr>
      </w:pPr>
      <w:r>
        <w:rPr>
          <w:rFonts w:ascii="Times New Roman" w:cs="Times New Roman" w:eastAsia="Times New Roman" w:hAnsi="Times New Roman"/>
          <w:sz w:val="18"/>
          <w:szCs w:val="18"/>
          <w:b w:val="1"/>
          <w:bCs w:val="1"/>
          <w:color w:val="auto"/>
        </w:rPr>
        <w:t>Shares of Class A Common Stock Offered by the Selling Securityholders</w:t>
      </w:r>
    </w:p>
    <w:p>
      <w:pPr>
        <w:spacing w:after="0" w:line="1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WM Technology, Inc.</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1,938,798 shares of Class A Common Stock.</w:t>
      </w:r>
    </w:p>
    <w:p>
      <w:pPr>
        <w:spacing w:after="0" w:line="158" w:lineRule="exact"/>
        <w:rPr>
          <w:sz w:val="20"/>
          <w:szCs w:val="20"/>
          <w:color w:val="auto"/>
        </w:rPr>
      </w:pPr>
    </w:p>
    <w:p>
      <w:pPr>
        <w:jc w:val="both"/>
        <w:ind w:right="1280"/>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Class A Common Stock by the Selling Securityholders.</w:t>
      </w:r>
    </w:p>
    <w:p>
      <w:pPr>
        <w:spacing w:after="0" w:line="104" w:lineRule="exact"/>
        <w:rPr>
          <w:sz w:val="20"/>
          <w:szCs w:val="20"/>
          <w:color w:val="auto"/>
        </w:rPr>
      </w:pPr>
    </w:p>
    <w:p>
      <w:pPr>
        <w:sectPr>
          <w:pgSz w:w="11900" w:h="16838" w:orient="portrait"/>
          <w:cols w:equalWidth="0" w:num="2">
            <w:col w:w="5040" w:space="600"/>
            <w:col w:w="5380"/>
          </w:cols>
          <w:pgMar w:left="440" w:top="263" w:right="4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108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Market for Class A Common Stock</w:t>
            </w: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Our Class A Common Stock is currently traded on</w:t>
            </w:r>
          </w:p>
        </w:tc>
      </w:tr>
      <w:tr>
        <w:trPr>
          <w:trHeight w:val="234"/>
        </w:trPr>
        <w:tc>
          <w:tcPr>
            <w:tcW w:w="10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Nasdaq under the symbol “MAPS.”</w:t>
            </w:r>
          </w:p>
        </w:tc>
      </w:tr>
      <w:tr>
        <w:trPr>
          <w:trHeight w:val="333"/>
        </w:trPr>
        <w:tc>
          <w:tcPr>
            <w:tcW w:w="1080" w:type="dxa"/>
            <w:vAlign w:val="bottom"/>
          </w:tcPr>
          <w:p>
            <w:pPr>
              <w:spacing w:after="0"/>
              <w:rPr>
                <w:sz w:val="24"/>
                <w:szCs w:val="24"/>
                <w:color w:val="auto"/>
              </w:rPr>
            </w:pPr>
          </w:p>
        </w:tc>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See  the  section  entitled  “Risk  Factors”  and  other</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information  included  in  this  prospectus,  and  under</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similar headings in any amendments or supplements to</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this prospectus, for a discussion of factors you should</w:t>
            </w:r>
          </w:p>
        </w:tc>
      </w:tr>
      <w:tr>
        <w:trPr>
          <w:trHeight w:val="234"/>
        </w:trPr>
        <w:tc>
          <w:tcPr>
            <w:tcW w:w="10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consider before investing in our securities.</w:t>
            </w:r>
          </w:p>
        </w:tc>
      </w:tr>
      <w:tr>
        <w:trPr>
          <w:trHeight w:val="226"/>
        </w:trPr>
        <w:tc>
          <w:tcPr>
            <w:tcW w:w="1080" w:type="dxa"/>
            <w:vAlign w:val="bottom"/>
          </w:tcPr>
          <w:p>
            <w:pPr>
              <w:spacing w:after="0"/>
              <w:rPr>
                <w:sz w:val="19"/>
                <w:szCs w:val="19"/>
                <w:color w:val="auto"/>
              </w:rPr>
            </w:pPr>
          </w:p>
        </w:tc>
        <w:tc>
          <w:tcPr>
            <w:tcW w:w="3660" w:type="dxa"/>
            <w:vAlign w:val="bottom"/>
            <w:tcBorders>
              <w:bottom w:val="single" w:sz="8" w:color="auto"/>
            </w:tcBorders>
          </w:tcPr>
          <w:p>
            <w:pPr>
              <w:spacing w:after="0"/>
              <w:rPr>
                <w:sz w:val="19"/>
                <w:szCs w:val="19"/>
                <w:color w:val="auto"/>
              </w:rPr>
            </w:pPr>
          </w:p>
        </w:tc>
        <w:tc>
          <w:tcPr>
            <w:tcW w:w="524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429"/>
        </w:trPr>
        <w:tc>
          <w:tcPr>
            <w:tcW w:w="10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spacing w:after="0"/>
              <w:rPr>
                <w:sz w:val="24"/>
                <w:szCs w:val="24"/>
                <w:color w:val="auto"/>
              </w:rPr>
            </w:pPr>
          </w:p>
        </w:tc>
      </w:tr>
      <w:tr>
        <w:trPr>
          <w:trHeight w:val="182"/>
        </w:trPr>
        <w:tc>
          <w:tcPr>
            <w:tcW w:w="108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tcPr>
          <w:p>
            <w:pPr>
              <w:spacing w:after="0"/>
              <w:rPr>
                <w:sz w:val="15"/>
                <w:szCs w:val="15"/>
                <w:color w:val="auto"/>
              </w:rPr>
            </w:pPr>
          </w:p>
        </w:tc>
        <w:tc>
          <w:tcPr>
            <w:tcW w:w="5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type w:val="continuous"/>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As our costs increase, we may not be able to generate sufficient revenue to achieve profitability in the future.</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revenue declined in 2023 compared with 2022 and remained relatively flat when compared with 2021. Our revenue may continue to decline due to a number of factors including, but not limited to, slowdowns in the pace of issuance of new licenses to cannabis retailers and brands, and the decline in the number of new major geographic markets in which the sale of cannabis is permitted and to which we have not already expanded. Accordingly, we may not be able to generate sufficient revenue to offset potential cost increases and our ability to achieve and sustain profitability may be impacted. Additionally, we expect our costs to increase in future periods as we expend substantial financial and other resources on, among other things:</w:t>
      </w:r>
    </w:p>
    <w:p>
      <w:pPr>
        <w:spacing w:after="0" w:line="81" w:lineRule="exact"/>
        <w:rPr>
          <w:sz w:val="20"/>
          <w:szCs w:val="20"/>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including continued investment in our current marketing efforts and future marketing initiatives;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of additional employees, including in our product and engineering teams;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domestically and internationally in an effort to increase our consumer and client usage, client base and our sales to our clients;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products, and increased investment in the ongoing development of our existing products;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any acquired companies into our operations;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continued compliance with various regulations applicable to public companies and cannabis industry businesses and other work arising from the growth and maturity of our company.</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These expenditures may not result in additional revenue or the growth of our business. If we fail to continue to grow revenue or to achieve profitability, the market price of our securities could decline, and our business, operating results and financial condition could be adversely affected.</w:t>
      </w:r>
    </w:p>
    <w:p>
      <w:pPr>
        <w:spacing w:after="0" w:line="172"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existing clients and consumers or to acquire new clients and consumers in a cost-effective manner, our revenue may decrease and our business may be harmed.</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compete in a dynamic, innovative market, which we expect will continue to evolve rapidly. We believe that our success is dependent on our ability to continue identifying and anticipating the needs of our clients and consumers and growing our two-sided marketplace by retaining our existing clients and consumers and adding new clients and consumers. This two-sided marketplace may grow more slowly than we expect or than it has grown in the past. As we have become larger through organic growth, the number of paying clients and monthly revenue per client have at times slowed or declined and may similarly slow or decline in the future, even if we continue to add clients and consumers on an absolute basis. Although we expect that our growth rates will continue to slow during certain periods as our business increases in size, if we fail to retain either our existing clients or consumers, the value of our two-sided marketplace will be diminished.</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the costs associated with client and consumer retention are substantially lower than costs associated with the acquisition of new clients or consumers. We have incurred significant costs to attract clients and consumers to our platform and expect to incur significant additional costs to attract and retain clients and consumers for the foreseeable future. Because expenditures on our platform can represent a significant financial investment for our clients, our ability to retain clients depends in part on our ability to create and maintain high levels of client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consumer satisfaction, which we may not always be capable of providing, including for reasons outside of our control. Additionally, in order to retain our clients, we may be required to identify ways to help our clients convert consumers more effectively. Our clients generally do not have long-term obligations to purchase our products and solutions and generally may cancel their use of our products and solutions at any time without penalty. Thus, any decrease in client satisfaction or other change negatively affecting our ability to retain existing clients or consumers, even if such losses are offset by an increase in revenue resulting from the acquisition of new clients or consumers, could have rapid, concentrated and adverse effect on our business and operating results.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fail to offer the optimal pricing of our products and solutions.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have limited experience in determining the optimal pricing of our products and solutions, and we have in the past changed and may in the future change our pricing model. We also have historically priced our add-on premium offerings in a bid-auction format. Our ability to continue growing depends on our ability to maintain and expand our client base. If our clients do not believe the incremental additional cost we are charging for Weedmaps for Business is justified by the additional components included in our software bundles or that our add-on offerings do not generate proper return on investment, such clients may decline to continue using our services, and our revenue and other financial results may be adversely impacted.</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If we fail to expand effectively into new markets, our revenue and business will be adversely affected.</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While a key part of our business strategy is to add clients and consumers in our existing geographic markets, we also intend to expand our operations into new markets if and as cannabis continues to be legalized. Any such expansion places us in competitive markets with which we may be unfamiliar, requires us to invest significant time and resources, including to analyze the potential applicability of new and complicated regulations regarding the usage, sale and marketing of cannabis in such markets, and involves various risks, including the possibility that returns on such investments will not be achieved for several years, if at all. As a result of new market expansions, we may incur losses or otherwise fail to enter new markets successfully. In attempting to establish a presence in new markets, we expect to incur significant expenses and face various other challenges, such as expanding our compliance efforts to cover those new markets. These efforts may prove more expensive than we currently anticipate, and we may not succeed in increasing our revenues sufficiently to offset these expenses. Our current and any future expansion plans will require significant resources and management attention.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Competition from the illicit cannabis market could impact our ability to succeed.</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clients face competition from illegal market operators that are unlicensed and unregulated including illegal dispensaries and illicit market suppliers selling cannabis and cannabis-based products, particularly in states like California. Because these illegal market participants do not comply with the regulations governing the cannabis industry, their operations may have significantly lower costs. The perpetuation of the illegal market for cannabis may have a material adverse effect on our clients and our business, results of operations, as well as the perception of cannabis use. Furthermore, given the restrictions on regulated cannabis retail, it is possible that legal cannabis consumers revert to the illicit market as a matter of convenience. In particular, we rely on licensed cannabis businesses to drive the growth of our revenue and the use of our products, and the failure of the licensed cannabis markets to sufficiently overtake or eliminate the illegal market may have an adverse effect on our ability to grow our revenue, particularly if the slow pace of licensing allows the illegal market to gain a foothold, which may be more likely to occur in jurisdictions with an extended period of time between the authorization of consumer possession and the time at which licensed retailers become operational. In such jurisdictions, the timeline for licensed cannabis businesses overtaking the illegal market may be extended.</w:t>
      </w:r>
    </w:p>
    <w:p>
      <w:pPr>
        <w:spacing w:after="0" w:line="18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concentrated in California, and, as a result, our performance may be affected by factors unique to the California market.</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California represents one of the largest state legal cannabis markets in the United States, and approximately 52%, 56% and 61% of our revenue for the years ended December 31, 2023, 2022 and 2021, were generated in California. As new markets develop and our current markets expand, we anticipate that there will be a further reduction in the percentage of our revenue generated in California, but we do not know with any certainty when and to what degree, if ever, this would occur. Moreover, the cannabis market in California is rapidly evolving, and we expect our growth in California to continue as the cannabis industry continues to develop, which could further concentrate our client base. As a result, our business and results of operations are particularly susceptible to, and may be disproportionately impacted by, trends in the California cannabis market, as well as adverse economic, regulatory, political and other conditions in California.</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or legal proceedings could expose us to significant liabilities and have a negative impact on our reputation or business.</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From time to time, we may be party to various claims and legal proceedings. For example, in August 2022, our board of directors determined to voluntarily report an internal complaint and subsequent internal investigation to the SEC. Since that date, we have responded to subpoenas from the SEC’s Division of Enforcement and on July 22, 2024, we reached an agreement in principle with the SEC staff to resolve the SEC staff’s investigation with respect to the Company. The settlement was approved by the SEC, and the administrative cease-and-desist order was entered in September 2024. In addition, on October 17, 2024, a putative shareholder class action complaint, captioned Seret Ishak v. WM Technology, Inc. et al., No. 2:24-cv-08959, was filed in the U.S. District Court for the Central District of California, naming us and certain former and current officers and/or directors of the Company and Silver Spike as defendants. The lawsuit alleges that we made material misrepresentations and/or omissions of material fact relating to historical public reporting of the Company’s monthly active users (“MAUs”) metric. In addition, on November 8, 2024, a shareholder derivative action, captioned DeGennaro v. Francis, et. al, Case No. 8:24-cv-02454, was filed in the U.S. District Court for the Central District of California against certain members of our Board of Directors and certain former and current officers. The derivative complaint alleges that the individual defendants authorized or permitted materially false statements and/or material omissions of fact relating to historical public reporting of MAUs. Further, on November 18, 2024, a shareholder derivative action, captioned Pearson v. Francis, et. al, Case No. 8:24-cv-02525 was filed in the U.S. District Court for the Central District of California against certain former and current members of our Board of Directors and certain former and current officers. The derivative complaint alleges, among other things, that the individual defendants authorized or permitted materially false statements and/or material omissions of fact relating to historical public reporting of MAUs and corporate governance matters.</w:t>
      </w:r>
    </w:p>
    <w:p>
      <w:pPr>
        <w:spacing w:after="0" w:line="8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Regardless of the outcome, such proceedings can have an adverse impact on us because of legal costs, penalties and other sanctions, diversion of management resources, negative publicity and reputational harm and other factors.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Even when not merited, the defense of any lawsuits or legal proceedings, including potential securities litigation, is expensive and may divert management’s attention, and we may incur significant expenses in defending any lawsuits or legal proceedings. The results of litigation and other legal proceedings are inherently uncertain, and adverse judgments or settlements in some of these legal disputes may result in adverse monetary damages, penalties or injunctive relief against us, which could negatively impact our financial position, cash flows or results of operations. We evaluate all claims and proceedings to assess the likelihood of unfavorable outcomes and to estimate, if probable and estimable,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 In addition, any claims or litigation, even if fully indemnified or insured, could damage our reputation and make it more difficult to compete effectively or to obtain adequate insurance in the future.</w:t>
      </w:r>
    </w:p>
    <w:p>
      <w:pPr>
        <w:spacing w:after="0" w:line="183"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Federal law enforcement may deem our clients to be in violation of U.S. federal law, and, in particular the Controlled Substances Act (“CSA”). A change in U.S. federal policy on cannabis enforcement and strict enforcement of federal cannabis laws against our clients would undermine our business model and materially affect our business and operations.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U.S. federal law, and more specifically the CSA, proscribes the cultivation, processing, distribution, sale, advertisement and possession of cannabis. As a result, U.S. federal law enforcement authorities, in their attempt to regulate the illegal or unauthorized production, distribution, promotion, sale, possession, or use of cannabis, may seek to bring criminal actions against our clients under the CSA. On August 4, 2021, the U.S. Attorney’s Office for the Eastern District of California withdrew a subpoena served on us in September 2019, and informed us that it had no present plan to exercise its discretion to proceed further in the matter. The U.S. Attorney’s Office for the Eastern District of California also stated that its decision was not a grant of immunity, however, and there can be no assurance that the U.S. Attorney’s Office for the Eastern District of California — either the U.S. Attorney’s Office for the Eastern District of California or another Department of Justice (“DOJ”) entity — will not initiate another investigation in the future. If our clients are found to be violating U.S. federal law relating to cannabis, they may be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subject not only to criminal charges and convictions, but also to forfeiture of property, significant fines and penalties, 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Further, to the extent any law enforcement actions require us to respond to subpoenas, or undergo search warrants, for client records, cannabis businesses could elect to cease using our products. Until the U.S. federal government changes the laws with respect to cannabis, and particularly if the U.S. Congress does not extend the Omnibus Spending Bill’s protection of state medical cannabis programs, described below,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w:t>
      </w:r>
    </w:p>
    <w:p>
      <w:pPr>
        <w:spacing w:after="0" w:line="18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clients are contractually required to represent, warrant and covenant to us that they conduct their business in compliance with applicable state law, which includes any applicable licensing requirements and the regulatory framework enacted by each state or province in which they do business. Clients further contractually agree to indemnify us for any damages we may suffer as a result of their noncompliance. We rely on our clients’ contractual representations, and generally do not verify them, other than with respect to the licensing information of our clients operating cannabis retail businesses, where we currently require such clients to provide evidence of a valid state or provincial cannabis license prior to their initial access and from time to time during the term of their use of such products. We require all operational cannabis retailer clients, including storefronts and delivery services, to display on their listing a valid, unexpired state-issued license number. We also currently require cannabis brand clients to provide evidence of a valid state or provincial license in order to get access to our listings and premium placement products. Additionally, many states do not require a license to sell CBD products at retail, and the illicit market could fraudulently attempt to use our CBD listings product to sell products containing THC. While we periodically audit and respond to reports related to our CBD listings, it is difficult to monitor the individual products listed, and marketing claims contained, in the listings of our CBD clients. As a result, some of our clients or their listings currently and in the future may not be in compliance with licensing and related requirements under applicable state or provincial laws and regulations. There could be legal enforcement actions against unlicensed or insufficiently licensed entities selling cannabis or CBD, which could negatively impact us.</w:t>
      </w:r>
    </w:p>
    <w:p>
      <w:pPr>
        <w:spacing w:after="0" w:line="8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Any legal or regulatory enforcement against us based on the business solutions that we offer, the third-party content available on our platform or noncompliance by our clients with licensing and other legal requirements, could subject us to various risks, including monetary penalties and the risk that we elect or are compelled to remove content from our platform and would likely cause us to experience negative publicity. Any of these developments could materially and adversely impact our business, operating results, financial condition, brand and reputation.</w:t>
      </w:r>
    </w:p>
    <w:p>
      <w:pPr>
        <w:spacing w:after="0" w:line="1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generally do not, and cannot, ensure that our clients will conduct their business activities in a manner compliant with such regulations and requirements, despite providing features to help support our clients’ compliance with the complex, disparate and constantly evolving regulations and other legal requirements applicable to the cannabis industry.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generally do not, and cannot, ensure that our clients will conduct their business activities in a manner compliant with certain regulations and other legal requirements applicable to the cannabis industry, in whole or in part, even if our solutions provide features to support our clients’ compliance with such regulations and requirements. Their legal noncompliance could result in regulatory and even criminal actions against them, which could have a material adverse impact on our business and operating results or financial condition. For additional information, see the other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risk factors in this section entitled “Risk Factors—Risks Related to our Business and Industry,” including “Some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who engage in false or deceptive advertising practices to use our solutions may subject us to negative publicity, which could have similar adverse impacts on us.”</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dependent on U.S. state laws and regulations.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Although cannabis is a restricted controlled substance under the federal CSA, U.S. states have legalized cannabis to varying degrees through state-specific regulatory frameworks.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Laws and regulations affecting the cannabis industry in states and territories of the United States are continually changing. Any change or even the speed of changes could require us to incur substantial costs associated with compliance or alter our business plan, and could detrimentally affect our operations, revenue and profitability. Similarly, if the pace of issuance of new cannabis licenses is slower than expected, our ability to acquire new clients and grow our revenue could be harmed. The commercial cannabis industry is still a young industry, and we cannot predict the impact of the compliance regime to which it may be 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Given the concentration of our revenue from the sale of listing products, any increase in the stringency of any applicable laws, including U.S. state, or Canadian federal laws and regulations relating to cannabis, or any escalation in the enforcement of such existing laws and regulations against the current or putative cannabis industry within any jurisdiction, could negatively impact the profitability or viability of cannabis businesses in such affected jurisdictions, which in turn could materially adversely affect our business and operating results.</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Additionally, in some jurisdictions we may be required to seek and obtain a blanket approval of our platform in order to enable potential clients to access our services, and such approval may be subject to significant regulatory discretion. U.S. state, or Canadian federal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 any adverse pronouncements from political leaders or regulators about businesses related to the legal cannabis industry could adversely affect the price of our securities.</w:t>
      </w:r>
    </w:p>
    <w:p>
      <w:pPr>
        <w:spacing w:after="0" w:line="18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rapid changes in the cannabis industry and applicable laws and regulations make predicting and evaluating our future prospects difficult, and may increase the risk that we will not be successful.</w:t>
      </w:r>
    </w:p>
    <w:p>
      <w:pPr>
        <w:spacing w:after="0" w:line="5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cannabis industry, and the complex regulatory regime applicable to it, is evolving rapidly and may develop in ways that we cannot anticipate. The pace of dramatic change in the cannabis industry makes it difficult to assess our future prospects, and you should evaluate our business in light of the risks and difficulties we may encounter as the industry continues to evolve. These risks and difficulties include:</w:t>
      </w:r>
    </w:p>
    <w:p>
      <w:pPr>
        <w:spacing w:after="0" w:line="72" w:lineRule="exact"/>
        <w:rPr>
          <w:sz w:val="20"/>
          <w:szCs w:val="20"/>
          <w:color w:val="auto"/>
        </w:rPr>
      </w:pPr>
    </w:p>
    <w:p>
      <w:pPr>
        <w:jc w:val="both"/>
        <w:ind w:left="1000" w:right="29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complex, disparate and rapidly evolving regulatory regimes imposed by U.S. federal, state and local and other non-U.S. governments around the world applicable to cannabis and cannabis-related businesses;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rapidly evolving trends in the cannabis industry and the way consumers and cannabis industry businesses interact with technology;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increasing our base of clients and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preserve and build our brand while upgrading our existing offerings;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attracting, hiring and retaining qualified personnel to manage operations;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changes in the cannabis industry if sales of cannabis expand significantly beyond a regulated model;</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commodification of the cannabis industry;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implementing and executing our business and marketing strategies;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expanding our business into new and existing cannabis markets.</w:t>
      </w:r>
    </w:p>
    <w:p>
      <w:pPr>
        <w:spacing w:after="0" w:line="11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If the demand for our platform and software solutions does not develop as we expect, or if we fail to address the needs of our clients or consumers, our business will be harmed. We may not be able to successfully address these risks and difficulties, which could harm our business and operating results.</w:t>
      </w:r>
    </w:p>
    <w:p>
      <w:pPr>
        <w:spacing w:after="0" w:line="334"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is dependent, in part, upon continued market acceptance of cannabis by consumers, any negative trends could adversely affect our business operations.</w:t>
      </w:r>
    </w:p>
    <w:p>
      <w:pPr>
        <w:spacing w:after="0" w:line="5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We are dependent on public support, continued market acceptance and the proliferation of consumers in the legalized cannabis markets in states and territories of the United States. While we believe that the market and opportunities in the space will continue to grow, we cannot predict the future growth rate or size of the market. Any downturns in, or negative outlooks on, the cannabis industry may adversely affect our business and financial condition.</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Expansion of our business is dependent on the continued legalization of cannabis.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Expansion of our business is in part dependent upon continued legislative authorization, including by voter initiatives and referendums, of cannabis in various jurisdictions worldwide. Any number of factors could slow, halt, or even reverse progress in this area. For example, in 2023, ballot measures to allow for adult use succeeded in Ohio, but failed in Oklahoma. In addition, implementation of state laws is often a multi-year process following a ballot initiative or legislation. Further,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 how to legalize cannabis as well as the interpretation, implementation, and enforcement of applicable laws or regulations. Any one of these factors could slow or halt the legalization of cannabis, which would negatively impact our ability to expand our business.</w:t>
      </w:r>
    </w:p>
    <w:p>
      <w:pPr>
        <w:spacing w:after="0" w:line="86" w:lineRule="exact"/>
        <w:rPr>
          <w:sz w:val="20"/>
          <w:szCs w:val="20"/>
          <w:color w:val="auto"/>
        </w:rPr>
      </w:pPr>
    </w:p>
    <w:p>
      <w:pPr>
        <w:jc w:val="both"/>
        <w:ind w:left="300" w:right="299"/>
        <w:spacing w:after="0" w:line="243" w:lineRule="auto"/>
        <w:rPr>
          <w:sz w:val="20"/>
          <w:szCs w:val="20"/>
          <w:color w:val="auto"/>
        </w:rPr>
      </w:pPr>
      <w:r>
        <w:rPr>
          <w:rFonts w:ascii="Times New Roman" w:cs="Times New Roman" w:eastAsia="Times New Roman" w:hAnsi="Times New Roman"/>
          <w:sz w:val="18"/>
          <w:szCs w:val="18"/>
          <w:color w:val="auto"/>
        </w:rPr>
        <w:t>Additionally, the expansion of our business also depends on jurisdictions in which cannabis is currently legalized not narrowing, limiting or repealing existing laws legalizing and regulating cannabis, or altering the regulatory landscape in a way that diminishes the viability of cannabis businesses in those jurisdictions. For example, in April 2019, a lawsuit was filed in the Fresno County Superior Court challenging the California Bureau of Cannabis Control</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regulation that allowed cannabis businesses to deliver products in local jurisdictions which had prohibited the sale of cannabis. In November 2020, in a mixed result, the Fresno County Superior Court upheld the state regulation that allows licensed cannabis delivery companies to offer services anywhere in the state, while also affirming that cities and counties can forbid those operations, though enforcement of the bans is also up to the local governments. While a recent amendment (S.B. 1186), which became effective in January 2024, prevents local governments from banning the delivery of medical cannabis to patients, adult-use cannabis storefront retail and delivery operations may continue to be restricted by some cities and counties. The imposition or potential enforcement of local jurisdiction delivery bans may negatively impact the viability and attractiveness of our offerings in California going forward. We generated approximately 52%, 56% and 61% of our revenue for the years ended December 31, 2023, 2022 and 2021 in California, and such developments may in turn have a material adverse effect on our business, operating results and financial condition. For more information, see “—Our business is concentrated in California, and, as a result, our performance may be affected by factors unique to the California market.” Additionally, if such challenges are successful in any other jurisdictions that have legalized or are in the process of legalizing cannabis, our ability to expand our business would be negatively impacted.</w:t>
      </w:r>
    </w:p>
    <w:p>
      <w:pPr>
        <w:spacing w:after="0" w:line="105" w:lineRule="exact"/>
        <w:rPr>
          <w:sz w:val="20"/>
          <w:szCs w:val="20"/>
          <w:color w:val="auto"/>
        </w:rPr>
      </w:pPr>
    </w:p>
    <w:p>
      <w:pPr>
        <w:ind w:left="460" w:right="299" w:hanging="168"/>
        <w:spacing w:after="0" w:line="195" w:lineRule="auto"/>
        <w:tabs>
          <w:tab w:leader="none" w:pos="46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 2021, the Bureau of Cannabis Control merged with two other state agencies regulating California cannabis to form the Department of Cannabis Control, which presently regulates all California commercial cannabis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-241300</wp:posOffset>
            </wp:positionV>
            <wp:extent cx="8229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clients face challenges unique to the cannabis industry that can impact their financial health and long-term viability. If our clients struggle financially or do not remain viable, it can negatively impact our ability to generate new revenue, maintain existing revenue or collect on outstanding receivables.</w:t>
      </w:r>
    </w:p>
    <w:p>
      <w:pPr>
        <w:spacing w:after="0" w:line="6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paying clients face challenges including, among other factors, limited access to capital (relative to other industries) and the impact of Section 280E of the Code (which, as applied to certain cannabis businesses, disallows the deduction of “ordinary and necessary” business expenses, such as below-the-line deductions, essentially resulting in federal income tax liability calculated based on gross income), limiting cash flow and liquidity of many industry participants. Additionally, the cannabis industry faced price deflation in 2023 and 2022 further pressuring many of our paying clients. This resulted in financial hardship for certain cannabis companies, including some of our paying clients which caused elevated churn and bad debt expense in 2023 and 2022. If our clients struggle financially or do not remain viable, it can negatively impact our ability to generate new revenue, maintain existing revenue or collect on outstanding receivables. We have customers with past due balances and our failure to collect a significant portion of such balances could adversely affect our cash and provision for doubtful accounts. See “Accounts Receivable, Net” of Note 2, “Summary of Significant Accounting Policies” to the audited consolidated financial statements included in this prospectus.</w:t>
      </w:r>
    </w:p>
    <w:p>
      <w:pPr>
        <w:spacing w:after="0" w:line="186"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clients and consumers using our platform fail to provide high-quality content that attracts consumers, we may not be able to generate sufficient consumer traffic to remain competitive.</w:t>
      </w:r>
    </w:p>
    <w:p>
      <w:pPr>
        <w:spacing w:after="0" w:line="5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success depends on our platform providing consumers with useful information about our clients and their products, which in turn depends on the content provided by consumers and clients. For example, the platform will not provide useful information about cannabis brands or products if clients or consumers do not contribute content that is helpful and reliable, or if they remove previously submitted content.</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Additionally, if we filter out helpful content or fail to filter out unhelpful content, clients and consumers alike may stop or reduce their use of our platform and products, which could negatively impact our business. Allegations made against us, whether or not accurate, can materially harm our reputation and operating results. While we are continually seeking to improve our ability to identify and remove offensive, biased, unreliable, inauthentic, duplicative, fraudulent or otherwise unhelpful content, and have implemented safeguards on the platform to facilitate those efforts, we cannot guarantee that those efforts or safeguards will be effective or adequate. If our website is not perceived as providing useful, accurate and current information about our clients and their products, consumers may stop or reduce their use of our platform, which could suppress the demand for our advertising placements and adversely affect our business and operating results.</w:t>
      </w:r>
    </w:p>
    <w:p>
      <w:pPr>
        <w:spacing w:after="0" w:line="184"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5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believe that our business is highly dependent on our brand identity and our reputation, which is critical to our ability to attract and retain clients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75"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marketing efforts;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high-quality, innovative and error- and bug-free platform;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high satisfaction among clients and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perceived value of our platform;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implementing and developing new features, including alternative revenue streams;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enforce trademarks and other indicia of origin that are valuable to our brand;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differentiate our platform from competitors’ products;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laws and regulations, including those applicable to any political action committees affiliated with us and to our registered lobbying activities;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client support;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perceived data breach or data loss, or misuse or perceived misuse of our platform.</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addition, our brand recognition and reputation may be affected by factors that are outside our control, such as:</w:t>
      </w:r>
    </w:p>
    <w:p>
      <w:pPr>
        <w:spacing w:after="0" w:line="117" w:lineRule="exact"/>
        <w:rPr>
          <w:sz w:val="20"/>
          <w:szCs w:val="20"/>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competitors or other third parties;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timeliness of our clients’ delivery businesses;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experiences with clients or products identified through our platform;</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regarding our company or operations, as well as with respect to events or activities attributed to us, our employees, partners, including celebrities who endorse or promote our brand, or others associated with any of these parties;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delays or attacks on our platform;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regulatory developments.</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324"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face intense competition in the cannabis information market, and we expect competition to further intensify as the cannabis industry continues to evolve.</w:t>
      </w:r>
    </w:p>
    <w:p>
      <w:pPr>
        <w:spacing w:after="0" w:line="51"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The cannabis information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information market. Our direct competitors for individual components or parts of our platform include cannabis-focused, two-sided networks like Leafly (for retailer listing pages) and Dutchie and Jane Technologies (for menu embed and orders functionality). In addition, our platform also may compete with current or potential products and solutions offered by internet search engines and advertising networks, like Google, general two-sided networks like Yelp, various other newspaper, television, media companies, outdoor billboard advertising, and online merchant platforms, such as Shopify, Square and Lightspeed. For example, Uber Eats announced a partnership with a Canadian retailer in November 2021 to allow consumers to place cannabis orders for pickup via Uber Eats. If the regulatory regime for cannabis becomes more settled and the legal market for cannabis becomes more accepted, competition may further intensify as new participants may be encouraged to enter the cannabis information market, including established companies, such as tobacco and alcohol companies. Such companies may have substantially greater financial, technical and other resources than us or existing market participants. Additionally, as consumers and cannabis industry clients demand richer data, integrations with other cannabis industry participants such as point-of-sale providers and loyalty service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budgets. Some of our competitors previously raised significant amounts of capital. For example, in August 2021, Jane announced the closing of a $100 million Series C round of funding; in October 2021, Dutchie announced the closing of a $350 million Series D round of funding at a valuation of $3.75 billion; and in February of 2022, Leafly became a public company and began trading on Nasdaq via SPAC business combination. Our competitors may be able to use such capital infusions to more successfully enter new markets opening up.</w:t>
      </w:r>
    </w:p>
    <w:p>
      <w:pPr>
        <w:spacing w:after="0" w:line="9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Additionally, as the legalization of cannabis continues, cannabis cultivators, distributors and retailers have and likely will continue to experience consolidation as existing cannabis businesses seek to obtain greater market share and purchasing power and new entrants seek to establish a significant market presence. Consolidation of retailers in the cannabis industry could reduce the size of our potential client base and give remaining clients greater bargaining or purchasing power. This may in turn erode the prices for our advertising placements and result in decreased margins. Consolidation could particularly affect smaller cannabis businesses, with whom we have historically conducted the majority of our business. Further, heightened competition between cannabis businesses could ultimately have a negative impact on the viability of individual market participants, which could reduce or eliminate their ability to purchase our products and solution.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May 16, 2024, President Biden announced that the U.S. Attorney General initiated proceedings to transfer cannabis from Schedule I to Schedule III, through an NPRM published on May 21, 2024. This decision is expected to have far-reaching implications that are not yet fully understood. For example, rescheduling may increase competitors in this space if non-cannabis technology companies who have previously avoided the space now decide to enter the market.</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If we are unable to compete effectively for any of these reasons, we may be unable to maintain our operations or develop our products and solutions, and as a result our business and operating results may be adversely affected.</w:t>
      </w:r>
    </w:p>
    <w:p>
      <w:pPr>
        <w:spacing w:after="0" w:line="15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employee operations and organization effectively, our brand, business and operating results could be harmed.</w:t>
      </w:r>
    </w:p>
    <w:p>
      <w:pPr>
        <w:spacing w:after="0" w:line="51" w:lineRule="exact"/>
        <w:rPr>
          <w:sz w:val="20"/>
          <w:szCs w:val="20"/>
          <w:color w:val="auto"/>
        </w:rPr>
      </w:pPr>
    </w:p>
    <w:p>
      <w:pPr>
        <w:jc w:val="both"/>
        <w:ind w:left="300" w:right="299"/>
        <w:spacing w:after="0" w:line="267" w:lineRule="auto"/>
        <w:rPr>
          <w:sz w:val="20"/>
          <w:szCs w:val="20"/>
          <w:color w:val="auto"/>
        </w:rPr>
      </w:pPr>
      <w:r>
        <w:rPr>
          <w:rFonts w:ascii="Times New Roman" w:cs="Times New Roman" w:eastAsia="Times New Roman" w:hAnsi="Times New Roman"/>
          <w:sz w:val="17"/>
          <w:szCs w:val="17"/>
          <w:color w:val="auto"/>
        </w:rPr>
        <w:t>We have experienced rapid organic growth in our headcount and operations, which placed substantial demands on management and our operational infrastructure. As a result of both macroeconomic and industry challenges, as well as misalignment between our organizational growth and business growth, we completed a substantial reduction in force in 2022 and experienced significant executive departures during 2023 and 2022. As a result of these changes, many of our current employees have been with us for less than 24 months. To execute on our growth strategy, we will need to continue to increase the productivity of our current employees as well as hire, train and manage new employees, as well as improve existing, and implement new, transaction processing, operational and financial systems, procedures and controls. We intend to continue making substantial investments in our technology, sales and data infrastructure. As our business matures, we may make periodic changes and adjustments to our organization in response to various internal and external considerations, including market opportunities, the competitive landscape, new and enhanced products, acquisitions, sales performance, availability of employee talent and costs, while maintaining the beneficial aspects of our existing corporate culture, which we believe fosters innovation, teamwork and a passion for our products and clients. In some instances, these changes have resulted in a temporary lack of focus and reduced productivity, which may occur again in connection with any future changes to our organization and may negatively affect our results of operations. If we are unable to adapt quickly and effectively to changes or adjustments to our organization, our business will be harmed. If we are unable to manage our employee operations and organization effectively, the quality of our platform, efficiency of our operations, and management of our expenses could suffer, which could negatively impact our brand, business, profitability and operating results.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recruit, train, retain and motivate key personnel, we may not achieve our business objectives.</w:t>
      </w:r>
    </w:p>
    <w:p>
      <w:pPr>
        <w:spacing w:after="0" w:line="121" w:lineRule="exact"/>
        <w:rPr>
          <w:sz w:val="20"/>
          <w:szCs w:val="20"/>
          <w:color w:val="auto"/>
        </w:rPr>
      </w:pPr>
    </w:p>
    <w:p>
      <w:pPr>
        <w:jc w:val="both"/>
        <w:ind w:left="300" w:right="319"/>
        <w:spacing w:after="0" w:line="312" w:lineRule="auto"/>
        <w:rPr>
          <w:sz w:val="20"/>
          <w:szCs w:val="20"/>
          <w:color w:val="auto"/>
        </w:rPr>
      </w:pPr>
      <w:r>
        <w:rPr>
          <w:rFonts w:ascii="Times New Roman" w:cs="Times New Roman" w:eastAsia="Times New Roman" w:hAnsi="Times New Roman"/>
          <w:sz w:val="17"/>
          <w:szCs w:val="17"/>
          <w:color w:val="auto"/>
        </w:rPr>
        <w:t>Our future success depends on our continued ability to recruit, train, retain and motivate key personnel, including Doug Francis, our Chief Executive Officer and Principal Executive Officer, and Brian Camire, our General Counsel.</w:t>
      </w:r>
    </w:p>
    <w:p>
      <w:pPr>
        <w:spacing w:after="0" w:line="3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Competition for qualified personnel in the technology industry is intense, particularly in Southern California, where we are headquartered. Additionally, we face additional challenges in attracting, retaining and motivating highly qualified personnel due to our relationship to the cannabis industry, which is rapidly evolving and has varying levels of social acceptance. The loss of the services of a significant portion of our workforce or any member of our senior management or the inability to hire or retain qualified personnel could adversely affect our ability to execute our business plan and harm our operating results. We generally do not maintain fixed term employment contracts or key man life insurance with any of our employees.</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addition, from July 2023 through November 2024, we had an interim Chief Financial Officer, which, as noted in our Notification of Late Filing on Form 12b-25 with the SEC, had an impact on our ability to complete our financial statements. If we are unable to recruit and retain a qualified replacement in a timely manner it could result in management, operating and financial reporting difficulties, which could have an adverse effect on our business.</w:t>
      </w:r>
    </w:p>
    <w:p>
      <w:pPr>
        <w:spacing w:after="0" w:line="176"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Many consumers locate our website through internet search engines, like Google, and paid digital advertisements in certain jurisdictions. The prominence of our website in response to internet searches is a critical factor in the attractiveness of our advertising placements, and our digital marketing efforts, such as search engine optimization, are intended to improve our search result rankings and draw additional traffic to our website. Visits to our website could decline significantly if we are listed less prominently or fail to appear in search results for any reason, including ineffective implementation of our digital marketing strategies or any change by a search engine to its ranking algorithms or advertising policies.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Visits to our website could also decline if our accounts on Facebook, Instagram, X, formerly known as Twitter or LinkedIn are shut down or restricted. We work across these social networks to increase brand awareness of our company by consumers and clients, and to promote client acquisition. Our engagement on these social media platforms is subject to their respective terms of service and community guidelines, which generally restrict the promotion, sale and, often, depiction of cannabis. While we do not directly promote the sale of cannabis or cannabis-related products by our clients on these social media platforms, the perception that we may be engaging in such promotion or our inadvertent violation of other aspects of these platforms’ terms of service or community guidelines may result in our accounts being shut down or restricted. For example, our Instagram account was suspended from December 2021 to February 2022, in March 2022 and in November 2022 for a short period. Our accounts might also be suspended or restricted due to changes in the rules and regulations of such social media platforms. Any such suspension or restriction could result in reduced traffic to our website and diminished demand for our products, which could adversely affect our business and operating results.</w:t>
      </w:r>
    </w:p>
    <w:p>
      <w:pPr>
        <w:spacing w:after="0" w:line="186"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current marketing model is not effective in attracting new clients, we may need to employ higher-cost sales and marketing methods to attract and retain clients, which could adversely affect our profitability.</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use our sales team to build relationships with our client base. Our sales team builds and maintains relationships with clients primarily through phone and email contact, which is designed to allow us to cost-effectively service a large number of clients. We have significantly invested in our enterprise and field sales teams, and we may need to further employ more resource-intensive sales methods to continue to attract and retain clients, particularly as we increase the number of our clients and our client base employs more sophisticated marketing operations, strategies and processes. This could cause us to incur higher sales and marketing expenses, which could adversely affect our business and operating results.</w:t>
      </w:r>
    </w:p>
    <w:p>
      <w:pPr>
        <w:spacing w:after="0" w:line="18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6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platform is available for download on iOS and Android, and is also accessible online. The availability of our platform and its various functionalities to a significant percentage of our clients is subject to standard policies and terms of service of these third-party platforms, which govern the promotion, distribution and operation generally of our platform. In addition, each platform provider has broad discretion to change and interpret its terms of service and other policies with respect to our platform and its functionalities, and those changes and interpretations may be unfavorable. A platform provider may also change its fee structure, add fees associated with access to and use of its platform, or restrict how users can access the platform, which would similarly be unfavorable.</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For example, we have at times been unable to offer our WM Orders functionality in our iOS Weedmaps mobile application and are currently unable to offer such functionality in our Android Weedmaps mobile application due to restrictions imposed by the Apple iTunes App Store and Google Play, respectively. While our platform is still available in the Apple iTunes App Store and on Google Play for download, there can be no assurance that our platform or all of its functionalities will remain available in the immediate or longer term. To the extent that we are limited or prohibited from making some or all of our solutions available through any third-party platform, including the Apple iTunes App Store or the Google Play Store, we may need, or choose, to provide our solutions through alternative venues that may be more difficult for potential users to access. Limits on, or discontinuation of, access to our mobile platform or its various functionalities could, in turn, have a material adverse impact on utilization of our platform, our business and our ability to attract clients and consumers.</w:t>
      </w:r>
    </w:p>
    <w:p>
      <w:pPr>
        <w:spacing w:after="0" w:line="190"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6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It is critical to our success that clients and consumers within our geographic markets be able to access our platform at all times. We have previously experienced service disruptions, and in the future, we may experience service disruptions, outages or other performance problems due to a variety of factors, including infrastructure changes, human or software errors, capacity constraints and distributed denial of service, or DDoS, fraud or security attacks. In some instances, we may not be able to identify the cause or causes of these performance problems within an acceptable period of time. It may become increasingly difficult to maintain and improve the availability of our platform, especially during peak usage times and as our products become more complex and our traffic increases. If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platform is unavailable when consumers attempt to access it or it does not load as quickly as they expect, consumers may seek other solutions and may not return to our platform as often in the future, or at all. This would harm our ability to attract clients and decrease the frequency with which they subscribe for our advertising placements. We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 our technology and network architecture to accommodate actual and anticipated changes in technology, our business and operating results would be harmed.</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expect to continue making significant investments in the functionality, performance, reliability, design, security and scalability of our platform. We may experience difficulties with the development of our platform that could delay or prevent the implementation of new solutions and enhancements. Software development involves a significant amount of time and resources for our product development team, and we may not be able to continue making those investments in the future. To the extent we are not able to continue successfully improving and enhancing our platform, our business could be adversely affected.</w:t>
      </w:r>
    </w:p>
    <w:p>
      <w:pPr>
        <w:spacing w:after="0" w:line="183"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payment system and the payment systems of our clients depend on third-party providers and are subject to evolving laws and regulations.</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have engaged third-party service providers to perform credit and debit card processing services for client’s payments to us, and we understand that some of our clients use those services. We also may engage third-party service providers in the future to provide fraud analysis services and we may integrate with third-party service providers used by our clients to process payments made by consumers if done in a manner compliant with applicable federal and local law. If these service providers do not perform adequately or if our relationships, or the relationships of our clients, with these current or future service providers were to terminate, our ability or the ability of our clients to process payments could be adversely affected and our business could be harmed. The laws and regulations related to payments are complex and are potentially impacted by tensions between federal and state treatment of the vaporization, tobacco, nicotine, cannabis, hemp and cannabis accessories industries. These laws and regulations also vary across different jurisdictions in the United States, Canada and globally. As a result, we are required to spend significant time and effort to comply with those laws and regulations. Any failure or claim of our failure to comply, or any failure by our third-party service providers to comply, could cost us substantial resources, could result in liabilities, or could force us to stop offering our clients the ability to pay with credit cards, debit cards and bank transfers. As we expand the availability of these payment methods or offer new payment methods to our clients in the future, we may become subject to additional regulations and compliance requirements.</w:t>
      </w:r>
    </w:p>
    <w:p>
      <w:pPr>
        <w:spacing w:after="0" w:line="8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Due to the constantly evolving and complex laws and regulations applicable to our industry, third-party merchant banks and third-party payment processors may consider our business a high risk. This could cause a third party to discontinue its services to us, and we may not be able to find a suitable replacement. If this were to occur, we would need to collect from our clients using less efficient methods, which could adversely impact our collections, revenues and financial performance. Additionally, if a third party were to discontinue its services to us or if the applicable laws and regulations were to evolve in a way that impacted us negatively, we may not be able to realize our plans of expanding our business offerings, which could have a material adverse effect on our operations and our plans for expansion. For more information, see “—We are subject to industry standards, governmental laws, regulations and other legal obligations, particularly related to privacy, data protection and information security and any actual or perceived failure to comply with such obligations could harm our business” below.</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Further, through our agreement with our third-party credit card processors, we are subject to payment card association operating rules and certification requirements, including restrictions on product mix and the Payment Card Industry Data Security Standard (“PCI-DSS”). We are also subject to rules governing electronic funds transfers. Any change in these rules and requirements could make it difficult or impossible for us to comply. Additionally, any data breach or failure to hold certain information in accordance with PCI-DSS may have an adverse effect on our business and results of operations.</w:t>
      </w:r>
    </w:p>
    <w:p>
      <w:pPr>
        <w:spacing w:after="0" w:line="183"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6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calculate and track performance metrics with internal tools, which are not independently verified by any third-party. While we believe our metrics are reasonable estimates of our user or client base for the applicable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of measurement, the methodologies used to measure these metrics and how we define such metrics require significant judgment and may be susceptible to algorithm or other technical errors. For example, user accounts are based on email addresses, and a user could use multiple email addresses to establish multiple accounts, and clients in many instances will have multiple accounts. Additionally, a user could also use technology (such as incognito browsing, blocking or deleting cookies and IP addresses or other similar methods) that may decrease our ability to obtain useful information with respect to the number of and behavior of users, and as a result, we may include users who are not actively engaging with our platform in the manner in which we assume, and/or we may count as unique users multiple visits by the same underlying user. As a result, the data we report may not be accurate, and we believe unique user statistics could include a significant number of repeat underlying users. Our internal tools and processes we use to identify multiple accounts or fraudulent accounts have a number of limitations, and our methodologies for tracking performance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For example, we determined to discontinue reporting monthly active users as a key operational metric as a result of our reevaluation of the value of this metric to investors in light of its significant quarterly fluctuations that we do not believe necessarily reflect the underlying and most important trends in our business. If our performance metrics, including any key metrics we disclose in the future, are not accurate measurements of our business, user or client base, or traffic levels; if we discover material inaccuracies in such metrics, we may not be able to effectively implement our business strategy, our reputation may be harmed, and our operating and financial results could be adversely affected.</w:t>
      </w:r>
    </w:p>
    <w:p>
      <w:pPr>
        <w:spacing w:after="0" w:line="9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clients, analysts and investors may rely on our metrics, including additional metrics we may disclose in the future, as a representation of our performance. If these third parties do not perceive such metrics to be accurate representations of our business, or if we discover material inaccuracies in our user metrics, our reputation may be harmed and retailers may be less willing to list a business on our platform, which could negatively affect our business, financial condition, or results of operations.</w:t>
      </w:r>
    </w:p>
    <w:p>
      <w:pPr>
        <w:spacing w:after="0" w:line="179"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successfully drive engagement on our platform, as well as changes to our user engagement and advertising strategy and practices, pose risks to our business.</w:t>
      </w:r>
    </w:p>
    <w:p>
      <w:pPr>
        <w:spacing w:after="0" w:line="5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clients use our products and services as they believe the value received from paying for our products and services justifies the cost of those services. We believe the overall level of engagement of our users with our clients is critical to our success and our long-term financial performance. As we evolve our user engagement and advertising strategy and practices, we may not be successful in improving user engagement in a cost-efficient manner, or at all. Certain operating decisions, including our substantially decreased usage of pop-under advertisements, may significantly decrease our user engagement and/or traffic, increase the cost of generating user engagement and/or traffic or decrease our overall success rate in promoting engagement on our platform. Declining user growth, engagement or traffic could make us less attractive to our clients, which may seriously harm our business. In addition, we continue to compete with other companies to attract and retain consumer attention. A number of factors have affected and could potentially negatively affect our reported user engagement and/or traffic and our overall user engagement with our clients, including if:</w:t>
      </w:r>
    </w:p>
    <w:p>
      <w:pPr>
        <w:spacing w:after="0" w:line="84" w:lineRule="exact"/>
        <w:rPr>
          <w:sz w:val="20"/>
          <w:szCs w:val="20"/>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a compelling consumer experience to entice consumers to use our products and services, or our consumers don’t have the ability to maximize the consumer experience;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convince consumers and clients of the value and usefulness of our platform and services;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find cost-effective marketing channels or other strategies to drive traffic to our website, including replacing any pop-under advertisements that we have decreased our usage of or discontinued;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fail to operate effectively on the iOS or Android mobile operating systems;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continue to develop products that work with a variety of mobile operating systems, networks and smartphones;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a compelling consumer experience because of the decisions we make regarding the type and frequency of advertisements that we display or the structure and design of our products;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engage more with competing platforms or products at the expense of ours or those of our clients;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manner in which we promote engagement or traffic is seen by consumers or clients as unappealing or harm our brand image or reputation;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concerns about the privacy implications, safety, or security of our products;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are subject to increased regulatory scrutiny or approvals, or there are changes in our products that are mandated or prompted by legislation, regulatory authorities, executive actions, or litigation, including settlements or consent decrees, that adversely affect the consumer experience;</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or other problems frustrate the consumer experience, including by providers that host our platforms, particularly if those problems prevent us from delivering our product experience in a fast and reliable manner;</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partners, or other companies in our industry segment are the subject of adverse media reports or other negative publicity, some of which may be inaccurate or include confidential information that we are unable to correct or retract; or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reduce consumer activity on our website or our applications by making it easier for our consumers to interact directly with our clients.</w:t>
      </w:r>
    </w:p>
    <w:p>
      <w:pPr>
        <w:spacing w:after="0" w:line="5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Any decrease to consumer retention, growth, or engagement could render our products less attractive to consumers, advertisers, or partners, and could seriously harm our business.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prevent others from aggregating or misappropriating data from our websites.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From time to time, third parties have misappropriated data from our website through website scraping, software robots or other means, and aggregated this data on their websites with data from other companies. Additionally, copycat websites have misappropriated data on our network and attempted to imitate our brand or the functionality of our website. We may be unable to detect all such websites in a timely manner and even timely technological and legal measures may be insufficient to halt their operations or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operating results or financial condition. In addition, to the extent that such activity creates confusion among clients or consumers, decreases the likelihood that consumers use our platform to access information, or reduces the distinctiveness of our products in the marketplace, our brand and business could be harmed.</w:t>
      </w:r>
    </w:p>
    <w:p>
      <w:pPr>
        <w:spacing w:after="0" w:line="190"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third parties upon which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may collect, receive, store, generate, use, protect, secure, dispose of, transmit, disclose, or otherwise make accessible (collectively “process”) proprietary, confidential, and sensitive data, including personal data, intellectual property, and trade secrets. We rely upon third parties (such as service providers) for certain data processing-related activities, such as data centers, cloud hosting platforms, marketing communications, and application providers. For example, we rely on data centers and other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 Additionally, we rely on a number of third-party “cloud-based” providers of corporate infrastructure services relating to, among other things, human resources, electronic communication services, some financial functions and systems used to provide solutions to our clients, and we are therefore dependent on the security systems of these providers. We may also share or receive sensitive data with or from third parties.</w:t>
      </w:r>
    </w:p>
    <w:p>
      <w:pPr>
        <w:spacing w:after="0" w:line="8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Our ability to monitor these third parties’ information security practices is limited, and these third parties may not have adequate information security measures in place. If our third-party service providers experience a security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 In particular, severe ransomware attacks are becoming increasingly prevalent – particularly for companies like ours that are engaged in critical infrastructure or manufacturing –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8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For example, 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 confidential or other sensitive data could cause our reputation to be harmed and result in claims against us, and cannabis businesses may elect not to purchase our products or, in the case of existing clients, renew their agreements with us or we may incur increased insurance costs. The costs associated with any material defects or errors in our software or other performance problems may be substantial and could harm our operating results and growth prospects. In addition to bugs, we may not detect and remediate all identified vulnerabilities including on a timely basis. Further, we may experience delays in developing and deploying remedial measures and patches designed to address identified vulnerabilities. Vulnerabilities could be exploited and result in a security incident.</w:t>
      </w:r>
    </w:p>
    <w:p>
      <w:pPr>
        <w:spacing w:after="0" w:line="8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Any actual or perceived security incident could damage our reputation and brand, result in decreased utilization of our platform or prevent users from using our platform, expose us to fines and penalties, government investigations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and a risk of litigation and possible liability, require us to expend significant capital and other resources (including management’s attention) to alleviate any resulting problems and otherwise to remediate the incident, and require us to expend increased cybersecurity protection costs. We may incur significant costs in an effort to detect and prevent security incidents. Numerous state, federal and foreign laws and regulations require companies to notify individuals, regulatory authorities, or other stakeholders of certain security involving incidents, including those that involve certain types of personal data. Any disclosures of security incidents, pursuant to these laws or regulations or otherwise, could lead to regulatory investigations and enforcement and negative publicity, and may cause our clients and consumers to lose confidence in the effectiveness of our data security measures.</w:t>
      </w:r>
    </w:p>
    <w:p>
      <w:pPr>
        <w:spacing w:after="0" w:line="8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Any of these impacts or circumstances arising from an actual or perceived security incident could materially and adversely affect our business, financial condition, reputation and relationships with clients and consumers.</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insurance requirements, could have a material and adverse effect on our business, including our financial condition, operating results, and reputation.</w:t>
      </w:r>
    </w:p>
    <w:p>
      <w:pPr>
        <w:spacing w:after="0" w:line="350"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employees face risks related to macroeconomic conditions and catastrophic events, including health crises, such as outbreaks of contagious disease that have adversely impacted and could in the future adversely impact our business, financial condition and operating results.</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Macroeconomic conditions, including but not limited to inflation, uncertain credit and global financial markets, recent and potential future disruptions in access to bank deposits or lending commitments due to bank failures; geopolitical events, including the military conflicts between Russia and Ukraine and Israel and Hamas; and the occurrence of a catastrophic event, including but not limited to severe weather, war, or terrorist attack, could adversely impact our business, financial condition and operating results. We also face risks related to health epidemics, like the COVID-19 pandemic and other adverse health developments. For example, in connection with the COVID-19 pandemic, governments implemented significant measures intended to control the spread of the virus, including closures, quarantines, travel restrictions and other social distancing directives.</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To the extent that restrictions or prevention and mitigation measures are implemented in connection with any future pandemic or outbreak of disease, there may be an adverse impact on global economic conditions and consumer confidence and spending, which could materially and adversely affect our operations as well as our relationships with clients and consumers. For instance, despite the overall increases in demand described below, some of our clients’ operations were initially significantly disrupted in certain jurisdictions, causing a temporary significant decrease in activity on our platform in those jurisdictions.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Shelter-in-place orders and similar regulations resulting from catastrophic events could impact our client’s ability to operate their businesses, consumers’ ability to pick up orders, and our client’s ability to make deliveries. Such events have in the past caused, and may in the future cause, a temporary closure of our clients’ businesses, either due to government mandate or voluntary preventative measures, and many of our clients may not be able to withstand prolonged interruptions to their businesses, and may be forced to go out of business. Any limitations on or disruptions or closures of our clients’ businesses could adversely affect our business. Further, we may experience a decrease in new clients due to a lack of financial resources or a decline in new markets as businesses and financial markets deal with the impact of any future catastrophic events. Further, these conditions may impact our ability to access financial markets to obtain the necessary funding to expand our business, which may adversely affect our liquidity and working capital.</w:t>
      </w:r>
    </w:p>
    <w:p>
      <w:pPr>
        <w:spacing w:after="0" w:line="86"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It is not currently possible to ascertain the overall impact of such an event on our business. However, if such an event occurs, the event may harm our business, and may also have the effect of heightening many of the other risks described in this “Risk Factors” section.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quarterly and annual operating results may adversely affect our business and prospects.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You should consider our business and prospects in light of the risks and difficulties we encounter in the uncertain and rapidly evolving market for our solutions. Because the cannabis information market is new and evolving, predicting its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w:t>
      </w:r>
    </w:p>
    <w:p>
      <w:pPr>
        <w:spacing w:after="0" w:line="75"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clients and consumers and retain existing clients and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revenue and appropriately plan our expenses;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changes in search engine placement and prominence;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on our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in existing markets and successfully enter new markets;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regional or economic conditions;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licensed cannabis markets to successfully grow and out compete illegal cannabis markets;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effectively manage an adequate rate of growth;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increase traffic to our platform;</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defending claims, including intellectual property infringement claims and related judgments or settlements;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or other regulation affecting our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platform availability and any related impact on our business, reputation or brand;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qualified personnel;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natural or man-made catastrophic events;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controls, including the material weakness that we have identified.</w:t>
      </w:r>
    </w:p>
    <w:p>
      <w:pPr>
        <w:spacing w:after="0" w:line="3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improve our products and solutions in ways that forego short-term gains.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seek to provide the best experience for the clients and consumers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 than planned or the changes mentioned above may not produce the long-term benefits that we expect, in which case our business and operating results could be adversely affected.</w:t>
      </w:r>
    </w:p>
    <w:p>
      <w:pPr>
        <w:spacing w:after="0" w:line="314"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and anti-corruption laws and regulations. Compliance with these legal standards could impair our ability to compete in domestic and international markets. We can face criminal liability and other serious consequences for violations which can harm our business.</w:t>
      </w:r>
    </w:p>
    <w:p>
      <w:pPr>
        <w:spacing w:after="0" w:line="72"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 the U.S. Foreign Corrupt Practices Act of 1977, as amended, the U.S. domestic bribery statute contained in 18 U.S.C. § 201, the U.S. Travel Act, and other state and national anti-bribery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Export controls and trade sanctions laws and regulations may restrict or prohibit altogether the provision, sale, or supply of our products to certain governments, persons, entities, countries, and territories, including those that are the target of comprehensive sanctions or an embargo.</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334"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inherent in foreign operations, including social, political and economic flux and compliance with additional U.S. and foreign laws, including those related to anti-bribery and anti-corruption, and may not be able to successfully maintain or expand our foreign operations.</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sell our Weedmaps for Business offering in the United States and have a limited number of non-monetized listings in several other countries including Austria, Canada, Germany, the Netherlands, Spain and Switzerland.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 Additionally, as our foreign operations expand, or more of our expenses are denominated in currencies other than the U.S. dollar, our operating results may be more greatly affected by fluctuations in the exchange rates of the currencies in which we do business. In addition, as our foreign operations continue to grow, we are subject to a variety of risks inherent in doing business internationally, including:</w:t>
      </w:r>
    </w:p>
    <w:p>
      <w:pPr>
        <w:spacing w:after="0" w:line="80" w:lineRule="exact"/>
        <w:rPr>
          <w:sz w:val="20"/>
          <w:szCs w:val="20"/>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legal and regulatory environment in foreign jurisdictions, including with respect to privacy and data protection, and unexpected changes in laws, regulatory requirements and enforcement;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levels of credit risk and payment fraud;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tax requirements of multiple jurisdictions;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difficulties of integrating any foreign acquisitions;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present our content effectively in foreign languages;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 variety of foreign laws, including certain employment laws requiring national collective bargaining agreements that set minimum salaries, benefits, working conditions and termination requirements;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global operations and the increased travel, infrastructure and compliance costs associated with multiple foreign locations;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might add difficulties in repatriating cash earned outside the United States and otherwise preventing us from freely moving cash;</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restrictions and changes in trade regulation;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statutory equity requirements;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the U.S. Foreign Corrupt Practices Act of 1977, as amended, the U.K. Bribery Act 2010, the Corruption of Public Officials Act (Canada), and similar laws in other jurisdictions;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controls and economic sanctions administered by the U.S. Department of Commerce Bureau of Industry and Security and the U.S. Treasury Department’s Office of Foreign Assets Control.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industry standards, governmental laws and regulations, contractual obligations, industry standards, policies, and other obligations governing privacy, data protection and information security, and any actual or perceived failure to comply with such obligations could harm our business.</w:t>
      </w:r>
    </w:p>
    <w:p>
      <w:pPr>
        <w:spacing w:after="0" w:line="6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process personal data and other sensitive information, including proprietary and confidential business data, intellectual property, and sensitive third-party data. Our data processing subjects us to various federal, state, provincial and foreign laws and regulations, as well as other obligations including contractual obligations, industry standards and internal and external policies related to privacy, data protection, and information security.</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Controlling the Assault of Non-Solicited Pornography and Marketing Act of 2003 and the Telephone Consumer Protection Act of 1991 (“TCPA”) impose specific requirements on communications with customers. For example,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w:t>
      </w:r>
    </w:p>
    <w:p>
      <w:pPr>
        <w:spacing w:after="0" w:line="80"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for certain data breaches. A number of other proposals are being considered or have passed at the federal, state, and local levels, and we expect more states to pass similar laws in the future. Many foreign countries and governmental bodies, including Canada, the United Kingdom (“UK”), and the European Union (“E.U.”) and other relevant jurisdictions where we conduct business, have laws and regulations concerning the processing of personal information. For example, in Canada, the federal Personal Information Protection and Electronic Documents Act, or PIPEDA and various related provincial laws may apply to our operations. Further, Canada has robust anti-spam legislation, the Anti-Spam Legislation, or CASL. The penalties for non-compliance under CASL are significant. In addition, the E.U.’s General Data Protection Regulation, or the EU GDPR, and the United Kingdom’s GDPR, or UK GDPR (collectively, “GDPR”), may also apply to our operations. The GDPR provides for substantial penalties for noncompliance.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9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may be subject to new laws governing the privacy of consumer health data. For example, Washington’s My Health My Data Act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 We are also bound by contractual obligations related to data privacy and security, and our efforts to comply with such obligations may not be successful. For example, certain privacy laws, such as the CCPA, require our customers to impose specific contractual restrictions on their service providers.</w:t>
      </w:r>
    </w:p>
    <w:p>
      <w:pPr>
        <w:spacing w:after="0" w:line="8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If there is no lawful manner for us to transfer personal data from the EEA, the UK or other jurisdictions to the United States, or if the requirements for a legally-compliant transfer are too onerous, we could face significant adverse consequences, including, increased exposure to regulatory actions, substantial fines and penalties, the inability to transfer data and work with partners, vendors and other third parties, and injunctions against our processing or transferring of personal data related to our EU users.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8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72"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evolving, becoming increasingly stringent, and creating uncertainty. These obligations may be modified, interpreted and applied in an inconsistent manner from one jurisdiction to another, and may conflict with one another, other requirements or legal obligations. Future laws, regulations, standards and other obligations, or amendments or changes in the interpretation of existing laws, regulations, standards and other obligations, could impair our or (or the third parties upon whom we rely) ability to collect, use, disclose or otherwise process information relating to employees or consumers, which could decrease demand for our applications, increase our costs and impair our ability to maintain and grow our client and consumer bases and increase revenue.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Any failure or perceived failure by us or the third parties upon whom we rely to comply with federal, state, provincial or foreign laws or regulations, industry standards, contractual obligations or other legal obligations may result in governmental enforcement actions (e.g., investigations, fines, penalties, audits, inspections, and similar) and prosecutions, private litigation (including class actions) and mass arbitration demands, adverse publicity that could cause employees, clients and consumers to lose trust in us,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01"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Governmental regulation of the internet continues to develop, and unfavorable changes could substantially harm our business and operating results.</w:t>
      </w:r>
    </w:p>
    <w:p>
      <w:pPr>
        <w:spacing w:after="0" w:line="5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 and increase the cost of providing online products and solutions. These laws may govern, among other issues,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taxation, tariffs, pricing, content, copyrights, distribution, electronic contracts and other communications, consumer protection, broadband residential internet access and the characteristics and quality of offerings. It is not clear how existing laws governing issues such as property ownership, sales, use and other taxes, and libel apply to the internet or online services. There is also a risk that these laws may be interpreted and applied in conflicting ways across jurisdictions, and in a manner that is not consistent with our current practices. Unfavorable resolution of these issues may limit our business activities, expose us to potential legal claims or cause us to spend significant resources on ensuring compliance, any of which could harm our business and operating results.</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brought against us as a result of content we provide.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provide educational information regarding the use and potential effects of various types of cannabis products through our platform, including information regarding therapeutic uses for cannabis. If our content, or content we obtain from third parties, contains inaccuracies, it is possible that consumers or others may sue us for various causes of action. Although our website and mobile applications contain terms and conditions, including disclaimers of liability, that are intended to reduce or eliminate our liability, the law governing the validity and enforceability of online agreements and other electronic transactions is evolving. We could be subject to claims by third parties that our online agreements with consumers that provide the terms and conditions for use of our websites and mobile applications are unenforceable. A finding by a court that these agreements are invalid and that we are subject to liability could harm our business and require costly changes to our business.</w:t>
      </w:r>
    </w:p>
    <w:p>
      <w:pPr>
        <w:spacing w:after="0" w:line="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For content that we publish or provide ourselves, we have editorial procedures in place to provide quality control of the information that we publish or provide. However, we cannot assure you that our editorial and other quality control procedures will be sufficient to ensure that there are no errors or omissions in particular content. Even if potential claims do not result in liability to us, investigating and defending against these claims could be expensive and time-consuming and could divert management’s attention away from our operations. In addition, our business is based on establishing the reputation of our platform as trustworthy and dependable sources of educational information. Allegations of impropriety or inaccuracy, even if unfounded, could harm our reputation and business.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legal claims based on the content published to our platform.</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may be subject to legal claims relating to information made available through our platform, including claims for defamation, libel, negligence and copyright or trademark infringement, among others. These claims or allegations could divert management time and attention away from our business and result in significant costs to investigate and defend, regardless of the merits of the claims or allegations. In some instances, we may elect or be compelled to remove content, or may be forced to pay substantial damages or administrative monetary penalties, if we are unsuccessful in our efforts to defend against these claims or allegations. If we elect, or are compelled, to remove valuable content from our platform, our platform or services may become less useful to consumers, which could have a negative impact on our business and financial performance. This risk may also be greater in certain jurisdictions outside of the United States where our protections from such liability may be unclear.</w:t>
      </w:r>
    </w:p>
    <w:p>
      <w:pPr>
        <w:spacing w:after="0" w:line="33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investments in alternative revenue streams or acquisitions could disrupt our business and adversely affect our operating results, financial condition and cash flows.</w:t>
      </w:r>
    </w:p>
    <w:p>
      <w:pPr>
        <w:spacing w:after="0" w:line="5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believe that our long-term growth depends in part on our ability to develop and monetize additional aspects of our platform. Developing new products and solutions may involve significant investments of capital, time, resources and managerial attention. We have limited experience with developing, implementing and managing revenue streams other than our core listing business, and there can be no assurance that we will successfully implement any new products or solutions. External factors, such as additional regulatory compliance obligations, may also affect the successful implementation of new products and solutions through our platform.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Additionally, we may make acquisitions that could be material to our business, operating results, financial condition and cash flows. Our ability as an organization to successfully acquire and integrate technologies or businesses is unproven. Acquisitions involve many risks, including the following:</w:t>
      </w:r>
    </w:p>
    <w:p>
      <w:pPr>
        <w:spacing w:after="0" w:line="68" w:lineRule="exact"/>
        <w:rPr>
          <w:sz w:val="20"/>
          <w:szCs w:val="20"/>
          <w:color w:val="auto"/>
        </w:rPr>
      </w:pPr>
    </w:p>
    <w:p>
      <w:pPr>
        <w:jc w:val="both"/>
        <w:ind w:left="1000" w:right="319" w:hanging="348"/>
        <w:spacing w:after="0" w:line="25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negatively affect our operating results, financial condition or cash flows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disrupt our ongoing business, divert resources, increase our expenses and distract our management;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a delay or reduction of sales for both us and the company we acquired due to uncertainty about continuity and effectiveness of products or support from either company;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or may be unable to, successfully sell any acquired products;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involve the entry into geographic or business markets in which we have little or no prior experience or where competitors have stronger market positions;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strain on our financial and managerial controls and reporting systems and procedures;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known and unknown liabilities associated with an acquired company;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debt to fund such acquisitions, such debt may subject us to material restrictions on our ability to conduct our business as well as financial maintenance covenants;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impairment charges related to potential write-downs of acquired assets or goodwill in future acquisitions;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issue a significant amount of equity or convertible debt securities in connection with future acquisitions, existing equity holders may be diluted and earnings per share may decrease;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varying intellectual property protection strategies and other activities of an acquired company.</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spacing w:after="0" w:line="33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which may not be available on favorable terms, if at all, causing dilution to our stockholders, restricting our operations or adversely affecting our ability to operate our business.</w:t>
      </w:r>
    </w:p>
    <w:p>
      <w:pPr>
        <w:spacing w:after="0" w:line="5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the course of running our business, we may need to raise capital, certain forms of which may cause dilution to our stockholders. If our need is due to unforeseen circumstances or material expenditures or if our operating results are worse than expected, then we cannot be certain that we will be able to obtain additional financing on favorable terms, if at all, and these additional financings could cause further dilution to our stockholders. Due to the current legal status of cannabis under U.S. federal law, we have 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 lenders to accelerate repayment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our stock price may fall, and you may lose some or all of your investment.</w:t>
      </w:r>
    </w:p>
    <w:p>
      <w:pPr>
        <w:spacing w:after="0" w:line="176"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operating results may be harmed if we are deemed responsible for the collection and remittance of state sales taxes or other indirect taxes.</w:t>
      </w:r>
    </w:p>
    <w:p>
      <w:pPr>
        <w:spacing w:after="0" w:line="5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do not collect sales and value-added tax as part of our client agreements in the United States or Canada, based on our determination that such tax is not applicable to our platform. Sales and use, value-added and similar tax laws and rates vary greatly by jurisdiction. If we are deemed an agent for the clients on our platform under state or other applicable tax law, we may be deemed responsible for collecting and remitting sales taxes directly to certain states or jurisdictions. It is possible that one or more states or other jurisdictions could seek to impose sales, use or other tax obligations on us with regard to the ordering functionality that we offer our clients. These taxes may be applicable to past sales. In addition, the U.S. Supreme Court’s ruling in South Dakota v. Wayfair that a U.S. state may require an online retailer with no in-state property or personnel to collect and remit sales tax on sales to the state’s residents may permit wider enforcement of sales tax collection requirements, which may increase the jurisdictions in which we may be required to collect and/or remit taxes. A successful assertion that we should be collecting sales, use or other taxes or remitting such taxes directly to states or other jurisdictions could result in substantial tax liabilities for past sales and additional administrative expenses and increase the cost of our products and solutions, which could harm our business and operating results.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potential adverse tax consequences both domestically and in foreign jurisdictions.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 expenses. Additionally, the amount of income taxes paid is subject to our interpretation of applicable tax laws in the jurisdictions in which we operate and to changes in tax laws. Significant judgment is required in determining our worldwide provision for income taxes and other tax liabilities. From time to time, we may be subject to income and non-income tax audits. While we believe we have complied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 results of operations and financial condition. In addition, audits may require ongoing time and attention from our management, which could limit their ability to focus on other aspects of our business and impact our business in the future.</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standards or other factors could negatively impact our future effective tax rate.</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future effective tax rate may be affected by such factors as changes in tax laws,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 Although we believe that our tax estimates are reasonable, we cannot ensure that the final determination of tax audits or tax disputes will not be different from what is reflected in our historical income tax provisions and accruals.</w:t>
      </w:r>
    </w:p>
    <w:p>
      <w:pPr>
        <w:spacing w:after="0" w:line="18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and compliance in multiple jurisdictions may have a material adverse effect on our business, cash flow, financial condition or operating results.</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are subject to the income tax laws of the United States, Canada and several other foreign jurisdictions. New income, sales, use or other tax laws, statutes, rules, regulations, or ordinances could be enacted at any time, which could affect the tax treatment of our U.S. and foreign earnings. Any new taxes could adversely affect our domestic and foreign business operations and our business and financial performance. In addition, existing tax laws, statutes, rules, regulations, or ordinances, such as Section 280E of the Code, discussed in our Annual Report on Form 10-K,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w:t>
      </w:r>
    </w:p>
    <w:p>
      <w:pPr>
        <w:spacing w:after="0" w:line="338"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as of December 31, 2023. 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 Effective internal controls are necessary for us to provide reliable financial reports and prevent fraud.</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management, we assessed the effectiveness of our internal control over financial reporting as of December 31, 2023, using the criteria set forth by the Committee of Sponsoring Organizations of the Treadway Commission (COSO) in Internal Control — Integrated Framework (2013). Based on management’s assessment of our internal control over financial reporting, under the criteria described in the preceding sentence, management has identified material weaknesses in internal control during the year ended December 31, 2023.</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following entity-level material weaknesses have been identified: We did not fully maintain components of the COSO framework, including elements of the control environment, risk assessment, information and communication and monitoring activities components, relating to (i) developing general control activities over technology to support the achievement of objectives across the entity, (ii) sufficiency of processes related to identifying and analyzing risks to the achievement of objectives, including technology, across the entity, and (iii) sufficiency of selecting and developing control activities that contribute to the mitigation of risks to the achievement of objectives to acceptable levels.</w:t>
      </w:r>
    </w:p>
    <w:p>
      <w:pPr>
        <w:spacing w:after="0" w:line="8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entity-level material weaknesses contributed to other material weaknesses within our system of internal control over financial reporting as follow:</w:t>
      </w:r>
    </w:p>
    <w:p>
      <w:pPr>
        <w:spacing w:after="0" w:line="54" w:lineRule="exact"/>
        <w:rPr>
          <w:sz w:val="20"/>
          <w:szCs w:val="20"/>
          <w:color w:val="auto"/>
        </w:rPr>
      </w:pPr>
    </w:p>
    <w:p>
      <w:pPr>
        <w:jc w:val="both"/>
        <w:ind w:left="1000" w:right="299" w:hanging="348"/>
        <w:spacing w:after="0" w:line="253"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information technology (IT) general controls for certain information systems supporting our key financial reporting processes. Specifically, we did not design, implement and maintain (a) change management controls to ensure that program and data changes affecting financial applications and underlying accounting records are identified, tested, authorized and implemented appropriately, (b) access controls to ensure appropriate IT segregation of duties are maintained that adequately restrict and segregate privileged access between environments which support development and production, and (c) controls to monitor on an on-going basis for the proper segregation of privileged access between environments which support development and production. As a result, IT application controls and business process controls that are dependent on the ineffective IT general controls, or that rely on data produced from systems impacted by the ineffective IT general controls, are also deemed ineffective, which affects substantially all of our financial statement account balances and disclosures.</w:t>
      </w:r>
    </w:p>
    <w:p>
      <w:pPr>
        <w:spacing w:after="0" w:line="8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information technology (IT) general controls for certain information systems supporting our key financial reporting processes. Specifically, we did not design, implement and maintain sufficient change management, security, and operations controls for certain in-scope on-premise applications and vendor-supported applications.</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process-level controls related to the order-to-cash cycle (including revenues, accounts receivables, and deferred revenue), procure-to-pay-cycle (including operating expenses, prepaid expenses and other current assets, accounts payable and accrued expenses), capitalized software, and long-term assets. The material weakness related to the order-to-cash cycle resulted in an inadequate policy associated with our revenue recognition policies related to the cash collection of a certain subset of our customers that had been placed on a cash basis and, in turn, the restatement of our unaudited condensed consolidated financial statements in its prior three quarters reported in 2023 as of and for the three months ended March 31, 2023, six months ended June 30, 2023 and nine months ended September 30, 2023</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included in our quarterly reports on Form 10-Q for the corresponding periods. Additionally, this material weakness could result in a misstatement of any account balances or disclosures that would result in a material misstatement to the annual or interim consolidated financial statements that would not be prevented or detected.</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Additionally, these material weaknesses could result in a misstatement of any account balances or disclosures that would result in a material misstatement to the annual or interim consolidated financial statements that would not be prevented or detected.</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Management has been implementing and continues to implement measures to remediate the material weaknesses. However, until the remediation plan is implemented, tested, and deemed effective, we cannot assure that our actions will adequately remediate the material weaknesses or that additional material weaknesses in our internal controls will not be identified in the future. Additionally, these remediation measures may be time consuming and costly and there is no assurance that these initiatives will ultimately have the intended effects. For example, in the year ended December 31, 2022, we identified a material weakness in internal control related to ineffective information technology general controls in the areas of user access and program change-management over certain information technology systems that support our financial reporting processes. We took measures to remediate this material weakness and our remediation efforts concluded as of June 30, 2023 when it was affirmed such measures had been implemented. However, as of July 2023, administrative access to the sandbox environment where development activities take place was extended to users with administrative access to the production environment, thereby negating the remediation efforts taken. This access was not subject to our monthly monitoring control activity and persisted through the remainder of the year ended December 31, 2023. The lack of successful completion of our remediation efforts related to this material weakness identified for the year ended December 31, 2022 is reflected in the first bullet of our 2023 material weaknesses discussed above.</w:t>
      </w:r>
    </w:p>
    <w:p>
      <w:pPr>
        <w:spacing w:after="0" w:line="8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As a result, investors may lose confidence in the accuracy and completeness of our financial reporting, access to capital markets and perceptions of our creditworthiness could be adversely affected and our stock price may decline as a result. Also, the existence of any current or future material weakness could require management to devote significant time and incur significant expense to remediate any such material weakness, and management may not be able to remediate any such material weakness in a timely manner, or at all. These events could have a material and adverse effect on our business, operating results, financial condition and prospects. We cannot assure you that the measures we have taken to date, or any measures we may take in the future, will be sufficient to avoid potential future material weaknesses.</w:t>
      </w:r>
    </w:p>
    <w:p>
      <w:pPr>
        <w:spacing w:after="0" w:line="334"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restatement of our prior quarterly financial statements may affect investor confidence and raise reputational issues and may subject us to additional risks and uncertainties, including increased professional costs and the increased possibility of legal proceedings and regulatory inquiries.</w:t>
      </w:r>
    </w:p>
    <w:p>
      <w:pPr>
        <w:spacing w:after="0" w:line="67" w:lineRule="exact"/>
        <w:rPr>
          <w:sz w:val="20"/>
          <w:szCs w:val="20"/>
          <w:color w:val="auto"/>
        </w:rPr>
      </w:pPr>
    </w:p>
    <w:p>
      <w:pPr>
        <w:jc w:val="both"/>
        <w:ind w:left="300" w:right="299"/>
        <w:spacing w:after="0" w:line="270" w:lineRule="auto"/>
        <w:rPr>
          <w:sz w:val="20"/>
          <w:szCs w:val="20"/>
          <w:color w:val="auto"/>
        </w:rPr>
      </w:pPr>
      <w:r>
        <w:rPr>
          <w:rFonts w:ascii="Times New Roman" w:cs="Times New Roman" w:eastAsia="Times New Roman" w:hAnsi="Times New Roman"/>
          <w:sz w:val="17"/>
          <w:szCs w:val="17"/>
          <w:color w:val="auto"/>
        </w:rPr>
        <w:t>As discussed in Note 2 to our audited consolidated financial statements included in this prospectus, we determined to restate our unaudited condensed consolidated financial statements as of and for the three months ended March 31, 2023, six months ended June 30, 2023 and nine months ended September 30, 2023 after we identified errors in the application of our revenue recognition policies related to the cash collection of a certain subset of our customers that had been placed on a cash basis. As a result of this error and the resulting restatement of our unaudited condensed consolidated financial statements for the impacted periods, we have incurred, and may continue to incur, unanticipated costs for accounting and legal fees in connection with or related to the restatement, and have become subject to a number of additional risks and uncertainties, including the increased possibility of litigation and regulatory inquiries. Any of the foregoing may affect investor confidence in the accuracy of our financial disclosures and may raise reputational risks for our business, both of which could harm our business and financial results.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19" w:lineRule="exact"/>
        <w:rPr>
          <w:sz w:val="20"/>
          <w:szCs w:val="20"/>
          <w:color w:val="auto"/>
        </w:rPr>
      </w:pPr>
    </w:p>
    <w:p>
      <w:pPr>
        <w:jc w:val="both"/>
        <w:ind w:left="300" w:right="319"/>
        <w:spacing w:after="0" w:line="284" w:lineRule="auto"/>
        <w:rPr>
          <w:sz w:val="20"/>
          <w:szCs w:val="20"/>
          <w:color w:val="auto"/>
        </w:rPr>
      </w:pPr>
      <w:r>
        <w:rPr>
          <w:rFonts w:ascii="Times New Roman" w:cs="Times New Roman" w:eastAsia="Times New Roman" w:hAnsi="Times New Roman"/>
          <w:sz w:val="18"/>
          <w:szCs w:val="18"/>
          <w:i w:val="1"/>
          <w:iCs w:val="1"/>
          <w:color w:val="auto"/>
        </w:rPr>
        <w:t>In this discussion of risks related to our organizational structure, references to “we,” “us” and “our” generally refer to WM Technology Inc.</w:t>
      </w:r>
    </w:p>
    <w:p>
      <w:pPr>
        <w:spacing w:after="0" w:line="156"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our only material asset is our interest in WMH LLC, and we are accordingly dependent upon distributions made by WMH LLC and its subsidiaries to pay taxes, make payments under the tax receivable agreement and pay dividends.</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are a holding company with no material assets other than our ownership of units of WMH LLC (“WMH Units”) and our managing member interest in WMH LLC. As a result, we have no independent means of generating revenue or cash flow. Our ability to pay taxes, make payments under the tax receivable agreement (the “TRA”) and pay dividends will depend on the financial results and cash flows of WMH LLC and its subsidiaries and the distributions we receive from WMH LLC. Deterioration in the financial condition, earnings or cash flow of WMH LLC and its subsidiaries for any reason could limit or impair WMH LLC’s ability to pay such distributions. Additionally, to the extent that we need funds and WMH LLC and/or any of its subsidiaries are restricted from making such distributions under applicable law or regulation or under the terms of any financing arrangements, or WMH LLC is otherwise unable to provide such funds, it could materially adversely affect our liquidity and financial condition.</w:t>
      </w:r>
    </w:p>
    <w:p>
      <w:pPr>
        <w:spacing w:after="0" w:line="80"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WMH LLC will continue to be treated as a partnership for U.S. federal income tax purposes and, as such, generally will not be subject to any entity-level U.S. federal income tax. Instead, WMH LLC’s taxable income will be allocated to holders of WMH Units, including us. Accordingly, we will be required to pay income taxes on our allocable share of any net taxable income of WMH LLC. Under the terms of the amended operating agreement, WMH LLC is obligated to make tax distributions to holders of WMH Units (including us) calculated at certain assumed tax rates. In addition to tax expenses, we will also incur expenses related to our operations, including payment obligations under the TRA agreement (and the cost of administering such payment obligations), which could be significant. We intend to cause WMH LLC to make distributions to holders of WMH Units in amounts sufficient to cover all applicable taxes (calculated at assumed tax rates), relevant operating expenses, payments under the TRA and dividends, if any, declared by us. However, as discussed below, WMH LLC’s ability to make such distributions may be subject to various limitations and restrictions including, but not limited to, restrictions on distributions that would either violate any contract or agreement to which WMH LLC is then a party, including debt agreements, or any applicable law, or that would have the effect of rendering WMH LLC insolvent. If our cash resources are insufficient to meet our obligations under the TRA and to fund our obligations, we may be required to incur additional indebtedness to provide the liquidity needed to make such payments, which could materially adversely affect our liquidity and financial condition and subject us to various restrictions imposed by any such lenders. To the extent that we are unable to make payments under the TRA for any reason, such payments will be deferred and will accrue interest until paid; provided, however, that nonpayment for a specified period may constitute a material breach of a material obligation under the TRA and therefore accelerate payments due under the TRA.</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Additionally, although WMH LLC generally will not be subject to any entity-level U.S. federal income tax, it may be liable under the Code and related guidance for adjustments to its tax return, absent an election to the contrary. In the event WMH LLC’s calculations of taxable income are incorrect, its members, including us, in later years may be subject to material liabilities pursuant to these provisions.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Dividends on our Class A Common Stock, if any, will be paid at the discretion of our board of directors, which will consider, among other things, our business, operating results, financial condition, current and expected cash needs, plans for expansion and any legal or contractual limitations on its ability to pay such dividends. Financing arrangements may include restrictive covenants that restrict our ability to pay dividends or make other distributions to our stockholders. In addition, WMH LLC is generally prohibited under Delaware law from making a distribution to a member to the extent that, at the time of the distribution, after giving effect to the distribution, the liabilities of WMH LLC (with certain exceptions) exceed the fair value of its assets. WMH LLC’s subsidiaries are generally subject to similar legal limitations on their ability to make distributions to WMH LLC. If WMH LLC does not have sufficient funds to make distributions, our ability to declare and pay cash dividends may also be restricted or impaired.</w:t>
      </w:r>
    </w:p>
    <w:p>
      <w:pPr>
        <w:spacing w:after="0" w:line="190"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WMH LLC will be required to make distributions to us and the other holders of WMH Units, and the distributions that WMH LLC will be required to make may be substantial.</w:t>
      </w:r>
    </w:p>
    <w:p>
      <w:pPr>
        <w:spacing w:after="0" w:line="5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As discussed above, WMH LLC will generally be required from time to time to make pro rata distributions in cash to us and the other holders of WMH Units at certain assumed tax rates in amounts that are intended to be sufficient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to cover the taxes on our and the other WMH equity holders’ respective allocable shares of the taxable income of WMH LLC. As a result of (i) potential differences in the amount of net taxable income allocable to us and the other holders of WMH Units, (ii) the lower tax rate applicable to corporations than individuals and (iii) the use of an assumed tax rate (based on the tax rate applicable to individuals) in calculating WMH LLC’s distribution obligations, we may receive tax distributions significantly in excess of our tax liabilities and obligations to make payments under the TRA. We will determine in our sole discretion the appropriate uses for any excess cash so accumulated, which may include, among other uses, dividends, the payment of obligations under the TRA and the payment of other expenses. We will have no obligation to distribute such excess cash (or other available cash other than any declared dividend) to the holders of Class A Common Stock. No adjustments to the redemption or exchange ratio of WMH Units for shares of Class A Common Stock will be made as a result of either (i) any cash dividend by us or (ii) any cash that we retain and do not distribute to our stockholders. To the extent that we do not distribute such excess cash as dividends on Class A Common Stock and instead, for example, hold such cash balances or lend them to WMH LLC, other holders of WMH Units would benefit from any value attributable to such cash balances as a result of their ownership of Class A Common Stock following a redemption or exchange of their WMH Units.</w:t>
      </w:r>
    </w:p>
    <w:p>
      <w:pPr>
        <w:spacing w:after="0" w:line="192"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required to pay the WMH LLC Class A equity holders and any other persons that become parties to the tax receivable agreement for certain tax benefits we may receive and the amounts payable may be substantial.</w:t>
      </w:r>
    </w:p>
    <w:p>
      <w:pPr>
        <w:spacing w:after="0" w:line="5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Acquisitions by us of Legacy WMH common units in the Business Combination and subsequent taxable redemptions or exchanges of Class A units representing limited liability company interests of WMH LLC (the “Class A Units”) by the WMH LLC equity holders for shares of Class A Common Stock or cash pursuant to the exchange agreement have resulted, and are expected to continue to result in, favorable tax attributes for us.</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we entered into the TRA with WMH Class A equity holders and their representative. Under the TRA, we generally are required to pay to the WMH LLC Class A equity holders, in the aggregate, 85% of the amount of cash savings, if any, in U.S. federal, state and local income tax or franchise tax that we actually realize as a result of (i) increases to the tax basis of WMH LLC’s assets resulting from acquisitions by us of Legacy WMH common units for cash in the Business Combination and taxable redemptions or exchanges of Class A Units for shares of Class A Common Stock or cash pursuant to the exchange agreement, (ii) tax benefits related to imputed interest or (iii) tax attributes resulting from payments made under the TRA. The payment obligations under the TRA are our obligations and not obligations of WMH LLC.</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payments we will be required to make under the TRA may be substantial. Potential payments will depend on the future tax savings that we will be realize (or, in certain circumstances, are deemed to realize), and the TRA payments made by us will be calculated based in part on the market value of the Class A Common Stock at the time of each redemption or exchange under the exchange agreement and the prevailing applicable tax rates applicable to us over the life of the TRA and will depend on us generating sufficient taxable income to realize the tax benefits that are subject to the TRA. Payments under the TRA are not conditioned on the WMH LLC Class A equity holders’ continued ownership of us. See Note 16, “Income Taxes,” to our audited consolidated financial statements included in this prospectus.</w:t>
      </w:r>
    </w:p>
    <w:p>
      <w:pPr>
        <w:spacing w:after="0" w:line="18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5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Payments under the TRA will be based on the tax reporting positions we determine, and the U.S. Internal Revenue Service (“IRS”) or another tax authority may challenge all or a part of the existing tax basis, tax basis increases, or other tax attributes subject to the TRA, and a court could sustain such challenge. The parties to the TRA will not reimburse us for any payments previously made if such tax basis, or other tax benefits are subsequently disallowed, except that any excess payments made to a party under the TRA will be netted against future payments otherwise to be made under the TRA, if any, after the determination of such excess.</w:t>
      </w:r>
    </w:p>
    <w:p>
      <w:pPr>
        <w:spacing w:after="0" w:line="79" w:lineRule="exact"/>
        <w:rPr>
          <w:sz w:val="20"/>
          <w:szCs w:val="20"/>
          <w:color w:val="auto"/>
        </w:rPr>
      </w:pPr>
    </w:p>
    <w:p>
      <w:pPr>
        <w:jc w:val="both"/>
        <w:ind w:left="300" w:right="299"/>
        <w:spacing w:after="0" w:line="273" w:lineRule="auto"/>
        <w:rPr>
          <w:sz w:val="20"/>
          <w:szCs w:val="20"/>
          <w:color w:val="auto"/>
        </w:rPr>
      </w:pPr>
      <w:r>
        <w:rPr>
          <w:rFonts w:ascii="Times New Roman" w:cs="Times New Roman" w:eastAsia="Times New Roman" w:hAnsi="Times New Roman"/>
          <w:sz w:val="17"/>
          <w:szCs w:val="17"/>
          <w:color w:val="auto"/>
        </w:rPr>
        <w:t>In addition, the TRA provides that if (1) we breach any of our material obligations under the TRA (including in the event that we are more than three months late making a payment that is due under the TRA, except in the case of certain liquidity exceptions) (2) we are subject to certain bankruptcy, insolvency or similar proceedings, or (3) at any time, we elect an early termination of the TRA, our obligations under the TRA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arising from the tax deductions, tax basis and other tax attributes subject to the TRA. The TRA also provides that, upon certain mergers, asset sales or other forms of business combination, or certain other changes of control, (x) our obligations under the TRA with respect to Class A Units that have been exchanged or redeemed prior to or in connection with such change of control transaction would accelerate and become payable in a lump sum as described above and (y) with respect to Class A Units that have not been exchanged as of such change of control transaction, our or our successor’s obligations under the TRA would be based on certain assumptions, including that we or our successor would have sufficient taxable income to fully utilize the increased tax deductions and tax basis and other benefits covered by the TRA As a result, upon any acceleration of our obligations under the TRA (including upon a change of control), we could be required to make payments under the TRA that are greater than 85% of our actual cash tax savings, which could negatively impact our liquidity. The change of control provisions in the TRA may also result in situations where the WMH LLC Class A equity holders have interests that differ from or are in addition to those of the holders of our Class A Common Stock.</w:t>
      </w:r>
    </w:p>
    <w:p>
      <w:pPr>
        <w:spacing w:after="0" w:line="8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our own, our ability to make payments under the TRA depends on the ability of WMH LLC to make distributions to us. To the extent that we are unable to make payments under the TRA for any reason, such payments will be deferred and will accrue interest until paid, which could negatively impact our results of operations and could also affect our liquidity in periods in which such payments are made.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Risks Related to the Cannabis Industry</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Cannabis remains prohibited under federal law, and therefore, strict enforcement of federal laws regarding cannabis would likely result in our inability to execute our business plan.</w:t>
      </w:r>
    </w:p>
    <w:p>
      <w:pPr>
        <w:spacing w:after="0" w:line="4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Cannabis, other than hemp (defined by the U.S. government as </w:t>
      </w:r>
      <w:r>
        <w:rPr>
          <w:rFonts w:ascii="Times New Roman" w:cs="Times New Roman" w:eastAsia="Times New Roman" w:hAnsi="Times New Roman"/>
          <w:sz w:val="18"/>
          <w:szCs w:val="18"/>
          <w:i w:val="1"/>
          <w:iCs w:val="1"/>
          <w:color w:val="auto"/>
        </w:rPr>
        <w:t>Cannabis sativa</w:t>
      </w:r>
      <w:r>
        <w:rPr>
          <w:rFonts w:ascii="Times New Roman" w:cs="Times New Roman" w:eastAsia="Times New Roman" w:hAnsi="Times New Roman"/>
          <w:sz w:val="18"/>
          <w:szCs w:val="18"/>
          <w:color w:val="auto"/>
        </w:rPr>
        <w:t xml:space="preserve"> L. with a THC concentration of not more than 0.3% on a dry weight basis), is a prohibited controlled substance under the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The U.S. Supreme Court has ruled that the federal government has the authority to regulate and criminalize the sale, possession and use of cannabis, even for individual medical purposes, regardless of whether it is legal under state law. Since 2014, however, the U.S. government has not prioritized the enforcement of those laws against cannabis companies complying with state law and their vendors. No reversal of that policy of prosecutorial discretion is expected under a Biden administration given his actions on cannabis to date, and statements of Attorney General Merrick Garland discussed further below, although prosecutions against state-legal entities cannot be ruled out entirely at this time.</w:t>
      </w:r>
    </w:p>
    <w:p>
      <w:pPr>
        <w:spacing w:after="0" w:line="8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On January 4, 2018, then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 As a result, federal prosecutors could and still can use their prosecutorial discretion to decide to prosecute even state legal cannabis activities. Since the Sessions Memo was issued over five years ago, however, U.S. Attorneys have generally not prioritized the targeting of state law compliant entities. In March 2023, Attorney General Merrick Garland testified in a Congressional hearing that the Department of Justice was continuing its work on a new memorandum regarding cannabis enforcement. Garland stated that the policy will be “very close to what was done in the Cole memorandum” but was yet to be finalized. Though no official timeline has been announced, industry participants expect such a memorandum to be issued in 2024.</w:t>
      </w:r>
    </w:p>
    <w:p>
      <w:pPr>
        <w:spacing w:after="0" w:line="8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cannot assure that each U.S. Attorney’s Office in each judicial district where we operate will not choose to enforce federal laws governing cannabis sales against state-legal companies like our business clients. The basis for the federal government’s lack of recent enforcement with respect to the cannabis industry extends beyond the strong public sentiment and ongoing prosecutorial discretion. Since 2014, versions of the U.S. omnibus spending bill have included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 provision prohibiting the DOJ, which includes the DEA, from using appropriated funds to prevent states from implementing their medical-use cannabis laws (formerly known as the Rohrabacher-Bluemnauer Amendment, and now known as the Joyce Amendment). In 2021, President Joe Biden became the first president to propose a budget with the Joyce amendment included. The amendment most recently was renewed through the signing of the stopgap spending bill. While the Joyce Amendment has continuously been renewed since its inception with little fanfare, there is no assurance that Congress will approve inclusion of a similar prohibition on DOJ spending in future appropriations bills.</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USA vs. McIntosh</w:t>
      </w:r>
      <w:r>
        <w:rPr>
          <w:rFonts w:ascii="Times New Roman" w:cs="Times New Roman" w:eastAsia="Times New Roman" w:hAnsi="Times New Roman"/>
          <w:sz w:val="18"/>
          <w:szCs w:val="18"/>
          <w:color w:val="auto"/>
        </w:rPr>
        <w:t>, the U.S. Court of Appeals for the Ninth Circuit held that the provision prohibits the DOJ from spending funds to prosecute individuals who engage in conduct permitted by state medical-use cannabis laws and who strictly comply with such laws. The court noted that, if the spending bill provision were not continued, prosecutors could enforce against conduct occurring during the statute of limitations even while the provision was previously in force. Other courts that have considered the issue have ruled similarly, although courts disagree about which party bears the burden of proof of showing compliance or noncompliance with state law. Our policies do not prohibit our state-licensed cannabis retailers from engaging in the cannabis business for adult use that is permissible under state and local laws. Consequently, certain of our retailers currently (and may in the future) sell adult-use cannabis, if permitted by such state and local laws now or in the future, and therefore may be outside any protections extended to medical-use cannabis under the spending bill provision. This could subject our clients to greater and/or different federal legal and other risks as compared to businesses where cannabis is sold exclusively for medical use, which could in turn materially adversely affect our business. Furthermore, any change in the federal government’s enforcement posture with respect to state licensed cannabis sales, including the enforcement postures of individual federal prosecutors in judicial districts where we operate, would result in our inability to execute our business plan, and we would likely suffer significant losses with respect to client base, which would adversely affect our operations, cash flow and financial condition.</w:t>
      </w:r>
    </w:p>
    <w:p>
      <w:pPr>
        <w:spacing w:after="0" w:line="8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Additionally, financial transactions involving proceeds generated by cannabis-related conduct can form the basis for prosecution under the federal money laundering statutes, unlicensed money transmitter statutes and the Bank Secrecy Act of 1970, as amended (the “Bank Secrecy Act”). The penalties for violation of these laws include imprisonment, substantial fines and forfeiture. Prior to the DOJ’s rescission of the Cole Memo, supplemental guidance from the DOJ issued under the Obama Administration directed federal prosecutors to consider the federal enforcement priorities enumerated in the Cole Memo when determining whether to charge institutions or individuals with any of the financial crimes described above based upon cannabis-related activity. With the rescission of the Cole Memo, there is increased uncertainty and added risk that federal law enforcement authorities could seek to pursue money laundering charges against entities or individuals engaged in supporting the cannabis industry.</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Federal prosecutors have significant discretion and no assurance can be given that the federal prosecutor in each judicial district where we operate will not choose to strictly enforce the federal laws governing cannabis production or distribution. Any change in the federal government’s enforcement posture with respect to state-licensed cultivation of cannabis, including the enforcement postures of individual federal prosecutors in judicial districts where we operate, would result in our inability to execute our business plan, and we would likely suffer significant losses with respect to our investment in cannabis facilities in the United States. Furthermore, following any such change in the federal government’s enforcement position, we could be subject to prosecution, which could lead to imprisonment and/or the imposition of penalties, fines, or forfeiture.</w:t>
      </w:r>
    </w:p>
    <w:p>
      <w:pPr>
        <w:spacing w:after="0" w:line="8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During his campaign, President Biden promised federal reform on cannabis, including decriminalization generally. In 2022, President Biden signed into law the “Medical Marijuana and Cannabidiol Research Expansion Act,” a bill aimed at easing restrictions on cannabis research – bipartisan legislation which is the first standalone cannabis reform bill to pass both the House and Senate. Additionally, on October 6, 2022, President Biden issued a presidential proclamation pardoning federal convictions for simple marijuana possession offenses, encouraging state governors to do the same on the state level where permissible, and requesting that the Secretary of Health and Human Services (“HHS”) and the Attorney General initiate an administrative process to review cannabis’s Schedule I classification under the CSA. On August 29, 2023, HHS issued a letter to the DEA recommending that cannabis be reclassified as a Schedule III controlled substance under the CSA. On May 16, 2024, President Biden announced that the U.S. Attorney General initiated proceedings to transfer cannabis from Schedule I to Schedule III, through an NPRM published on May 21, 2024. This is a momentous change whose full implications are currently unknown. The DEA’s decision to reclassify cannabis would neither legalize nor likely eliminate current state cannabis programs. If placed under Schedule III, cannabis will remain a controlled substance and state-legal programs will continue to operate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outside of federally legal channels in their distribution of the substance particularly because no state operator holds a DEA registration to possess or distribute cannabis. However, some fear that the DEA or FDA may impose additional requirements or begin to target enforcement of state cannabis programs. If our clients are ultimately negatively impacted by rescheduling, we would likely be unable to execute our business plan, and our business and financial results would be adversely affected.</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Additionally, although the current U.S. Attorney General is expected to issue policy guidance to federal prosecutors that they should not interfere with cannabis businesses operating in compliance with states’ laws, any such guidance would not have the force of law, and could not be enforced by the courts. The President alone cannot legalize medical cannabis, and as states have demonstrated, legalizing medical cannabis can take many different forms.</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On January 20, 2021, President Biden formally nominated Merrick Garland to his cabinet as the U.S. Attorney General. Confirmation hearings for Attorney General Garland began on February 22, 2021. On the first date of his confirmation hearing, Attorney General Garland stated that he did not see enforcement of federal cannabis law as a high priority use of resources for the DOJ: “This is a question of the prioritization of our resources and prosecutorial discretion. It does not seem to me a useful use of limited resources that we have, to be pursuing prosecutions in states that have legalized and that are regulating the use of marijuana, either medically or otherwise. I don’t think that’s a useful use. I do think we need to be sure there are no end-runs around the state laws that criminal enterprises are doing. So that kind of enforcement should be continued. But I don’t think it’s a good use of our resources, where states have already authorized. That only confuses people, obviously, within the state.” In April 2022, Attorney General Garland reiterated that prosecuting the possession of cannabis is “not an efficient use” of federal resources, especially “given the ongoing opioid and methamphetamine epidemic[s]” facing the nation. And, in March 2023, Attorney General Garland testified that the Department of Justice was continuing its progress on a new cannabis enforcement guidance, which he described as “very close to what was done in the Cole memorandum.” While the statement is not a promise to avoid federal interference with state cannabis laws, it does continue to signal that the enforcement priorities of DOJ lie elsewhere.</w:t>
      </w:r>
    </w:p>
    <w:p>
      <w:pPr>
        <w:spacing w:after="0" w:line="8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Furthermore, while industry observers are hopeful that there will continue to be incremental federal cannabis policy reform, we cannot provide assurances about the content, timing or chances of passage of a bill legalizing cannabis. In recent years, members of the U.S. Congress from both parties have introduced bills to end the federal cannabis prohibition, by de-scheduling cannabis completely and regulating it, as well as incremental reform bills, including the “Medical Marijuana and Cannabidiol Research Expansion Act” described above. While the timing of federal reform remains unknown, it is expected that federal policy on cannabis will continue becoming more, rather than less, permissive, and legislative efforts to legalize cannabis or cannabis banking at the national level are likely to continue in 2024. However, the outcome of the 2024 presidential election could impact reform in ways that are unpredictable. Accordingly, we cannot predict the timing of any change in federal law or possible changes in federal enforcement.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186"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our clients are subject to a variety of U.S. and foreign laws regarding financial transactions related to cannabis, which could subject our clients to legal claims or otherwise adversely affect our business.</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and our clients are subject to a variety of laws and regulations in the United States regarding financial transactions. Violations of the U.S. anti-money laundering (“AML”) laws require proceeds from enumerated criminal activity, which includes trafficking in cannabis in violation of the CSA. Financial institutions that both we and our clients rely on are subject to the Bank Secrecy Act, as amended by Title III of the USA Patriot Act. In Canada, the Proceeds of Crime (Money Laundering) and Terrorist Financing Act (Canada), as amended and the rules and regulations thereunder and the Criminal Code (Canada) apply. The penalties for violation of these laws include imprisonment, substantial fines and forfeiture.</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2014, the DOJ under the Obama administration directed federal prosecutors to exercise restraint in prosecuting AML violations arising in the state legal cannabis programs and to consider the federal enforcement priorities enumerated in the Cole Memo when determining whether to charge institutions or individuals based upon cannabis-related activity. Around the same time, the Treasury Department issued guidance that clarified how financial institutions can provide services to cannabis-related businesses, consistent with financial institutions’ obligations under the Bank Secrecy Act. Then-Attorney General Sessions’ rescission of the DOJ’s guidance on the state cannabis programs in early 2018 increased uncertainty and heightened the risk that federal law enforcement authorities could seek to pursue money laundering charges against entities, or individuals, engaged in supporting the cannabis industry.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January 31, 2018, the Treasury Department issued additional guidance that the 2014 Guidance would remain in place until further notice, despite the rescission of the DOJ’s earlier guidance memoranda. A detailed description of current U.S. policy and the legal status of cannabis, including President Biden’s stance on cannabis enforcement and current and foreseeable decriminalization and legalization initiatives, can be found in the “U.S. and Territories” section.</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are subject to a variety of laws and regulations in the United States, Canada and elsewhere that prohibit money laundering, including the Proceeds of Crime and Terrorist Financing Act (Canada) and the Money Laundering Control Act (U.S.),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our offerings. If any of our clients’ business activities, any dividends or distributions therefrom, or any profits or revenue accruing thereby are found to be in violation of money laundering statutes, our clients could be subject to criminal liability and significant penalties and fines. Any violations of these laws, or allegations of such violations, by our clients could disrupt our operations and involve significant management distraction and expenses. As a result, a significant number of our clients facing money laundering charges could materially affect our business, operations and financial condition. Additionally, proceeds from our clients’ business activities, including payments we have received from those clients, could be subject to seizure or forfeiture if they are found to be illegal proceeds of a crime transmitted in violation of anti-money laundering laws, which could have a material adverse effect on our business. Finally, if any of our clients are found to be violating the above statutes, this could have a material adverse effect on their ability to access or maintain financial services, as discussed in detail below, which could, in turn, have a material adverse effect on our business.</w:t>
      </w:r>
    </w:p>
    <w:p>
      <w:pPr>
        <w:spacing w:after="0" w:line="191"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banking relations, and we may have difficulty accessing or consistently maintaining banking or other financial services due to our connection with the cannabis industry.</w:t>
      </w:r>
    </w:p>
    <w:p>
      <w:pPr>
        <w:spacing w:after="0" w:line="5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Although we do not grow or sell cannabis products, our general connection with the cannabis industry may hamper our efforts to do business or establish collaborative relationships with others that may fear disruption or increased regulatory scrutiny of their own activities.</w:t>
      </w:r>
    </w:p>
    <w:p>
      <w:pPr>
        <w:spacing w:after="0" w:line="6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are dependent on the banking industry to support the financial functions of our products and solutions. Our business operating functions including payroll for our employees and other expenses are reliant on traditional banking. Additionally, many of our clients pay us via wire transfer to our bank accounts, or via checks that we deposit into our banks. We require access to banking services for both us and our clients to receive payments in a timely manner. Lastly, to the extent we rely on any lines of credit, these could be affected by our relationships with financial institutions and could be jeopardized if we lose access to a bank account. Important components of our offerings depend on client accounts and relationships, which in turn depend on banking functions. Most federal and federally-insured state banks currently do not serve businesses that grow and sell cannabis products on the stated ground that growing and selling cannabis is illegal under federal law, even though the Treasury Department’s Financial Crimes Enforcement Network (“FinCEN”), issued guidelines to banks in February 2014 that clarified how financial institutions can provide services to cannabis-related businesses, consistent with financial institutions’ obligations under the Bank Secrecy Act. While the federal government has generally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and the subsequent risks this uncertainty presents to financial institutions may result in their discontinuing services to the cannabis industry or limit their ability to provide services to the cannabis industry or ancillary businesses providing services to the cannabis industry.</w:t>
      </w:r>
    </w:p>
    <w:p>
      <w:pPr>
        <w:spacing w:after="0" w:line="85" w:lineRule="exact"/>
        <w:rPr>
          <w:sz w:val="20"/>
          <w:szCs w:val="20"/>
          <w:color w:val="auto"/>
        </w:rPr>
      </w:pPr>
    </w:p>
    <w:p>
      <w:pPr>
        <w:jc w:val="both"/>
        <w:ind w:left="300" w:right="299"/>
        <w:spacing w:after="0" w:line="270" w:lineRule="auto"/>
        <w:rPr>
          <w:sz w:val="20"/>
          <w:szCs w:val="20"/>
          <w:color w:val="auto"/>
        </w:rPr>
      </w:pPr>
      <w:r>
        <w:rPr>
          <w:rFonts w:ascii="Times New Roman" w:cs="Times New Roman" w:eastAsia="Times New Roman" w:hAnsi="Times New Roman"/>
          <w:sz w:val="17"/>
          <w:szCs w:val="17"/>
          <w:color w:val="auto"/>
        </w:rPr>
        <w:t>As a result of federal-level illegality and the risk that providing services to state-licensed cannabis businesses poses to banks, cannabis-related businesses face difficulties accessing banks that will provide services to them. When cannabis businesses are able to find a bank that will provide services, they face extensive client due diligence in light of complex state regulatory requirements and guidance from FinCEN, and these reviews may be time-consuming and costly, potentially creating additional barriers to financial services for, and imposing additional compliance requirements on, us and our clients. FinCEN requires a party in trade or business to file with the IRS, a Form 8300 report within 15 days of receiving a cash payment of over $10,000. While we receive very few cash payments for the products we sell, if we fail to comply with these laws and regulations, the imposition of a substantial penalty could have a material adverse effect on our business, results of operations and financial condition. We cannot assure that our strategies and techniques for designing our products and solutions for our clients will operate effectively and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efficiently and not be adversely impacted by any refusal or reluctance of banks to serve businesses that grow and sell cannabis products. A change in banking regulations or a change in the position of the banking industry that permits banks to serve businesses that grow and sell cannabis products may increase competition for us, facilitate new entrants into the industry offering products or solutions similar to those that we offer, or otherwise adversely affect our results of operations. Also, the inability of potential clients in our target market to open accounts and otherwise use the services of banks or other financial institutions may make it difficult for us to conduct business, including receiving payments in a timely manner.</w:t>
      </w:r>
    </w:p>
    <w:p>
      <w:pPr>
        <w:spacing w:after="0" w:line="8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do not sell cannabis, or products that contain cannabis; accordingly, our company is not part of the cannabis industry that generally has been restricted from using federal and federally insured banks. However, because of “weed” in our name and the fact that our revenue is generated largely from companies licensed as operators in the cannabis industry, banks have and may continue to consider us to be subject to banking restrictions related to cannabis. If we were to lose any of our banking relationships or fail to secure additional banking relationships in the future, we could experience difficulty and incur increased costs in the administration of our business, paying our employees, accepting payments from clients, each of which may adversely affect our reputation or results of operations. Additionally, the closure of many or one of our bank accounts due to a bank’s reluctance to provide services to a business working with state legal cannabis businesses would require significant management attention from us and could materially adversely affect our business and operations. In addition to banks and financial institutions, merchant processors may take a similar view of the risks of working with us since we provide services to cannabis businesses, and loss of any of our merchant processor relationships could have similar results. Moreover, Visa and Mastercard currently prohibit processing of transactions involving the sale of cannabis on their networks, and Mastercard has reportedly issued cease-and-desist letters to certain banks and payment processors to stop allowing such transactions on its debit cards. Although consumers cannot currently purchase products on the Weedmaps marketplace and we do not currently use, nor have we historically used, any of our merchant processing relationships to process payments for cannabis transactions, to the extent Visa or Mastercard extend these restrictions to cannabis-related businesses, our merchant processing relationships could be terminated, or we could be prevented from processing any Visa or Mastercard transactions, which could have a material adverse effect on our business and results of operations. Furthermore, our clients may be adversely impacted by Visa’s or Mastercard’s policies, which could in turn have a material adverse effect on our business and results of operations.</w:t>
      </w:r>
    </w:p>
    <w:p>
      <w:pPr>
        <w:spacing w:after="0" w:line="184"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Participating in transactions involving proceeds derived from cannabis may constitute criminal money laundering.</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Participating in transactions involving proceeds derived from cannabis may constitute criminal money laundering. It is a federal crime to engage in certain transactions involving the proceeds of a “specified unlawful activity” (a “SUA”) when those transactions are designed to promote an underlying SUA, or conceal the source of the funds. Violations of the CSA and violations of a state’s laws may be deemed to be SUAs. In the event that any of our investments, or any proceeds thereof, any dividends or distributions therefrom, or any profits or revenues were found to be in violation of anti-money laundering legislation or otherwise, such transactions may be viewed as proceeds of crime under one or more of statutes of the United States or any other applicable jurisdiction. This could restrict or otherwise jeopardize our ability to declare or pay dividends, effect other distributions, or subsequently require us to repatriate such funds back to the United States from Canada or other foreign jurisdictions.</w:t>
      </w:r>
    </w:p>
    <w:p>
      <w:pPr>
        <w:spacing w:after="0" w:line="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any of our clients’ business activities, any dividends or distributions therefrom, or any profits or revenue accruing thereby are found to be in violation of money laundering statutes, we and our investors could be subject to criminal liability and significant penalties and fines. Any violations of these laws, or allegations of such violations could disrupt our operations and involve significant management distraction and expenses. Facing money laundering charges could materially affect our business, operations and financial condition. Additionally, proceeds from our clients’ business activities, if found to be in violation of anti-money laundering laws, could subject payments we have received from those clients to seizure or forfeiture, if they are found to be illegal proceeds of a crime committed by a client, which could have a material adverse effect on our business and our investors. Finally, if we or any of our clients are found to be violating the above statutes, this could have a material adverse effect on our ability to access or maintain financial services, as discussed in detail below, which could, in turn, have a material adverse effect on our business.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using bankruptcy courts due to our involvement in the regulated cannabis industry.</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We currently have no need or plans to seek bankruptcy protection. U.S. courts have held that debtors whose income is derived from cannabis or cannabis assets in violation of the CSA cannot seek federal bankruptcy protections.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Although we are not in the business of growing or processing cannabis or selling or even possessing cannabis or cannabis products, a U.S. court could determine that our revenue is derived from cannabis or cannabis assets and prevent us from obtaining bankruptcy protections if necessary.</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conduct of third parties may jeopardize our business.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cannot guarantee that our systems, protocols and practices will prevent all unauthorized or illegal activities by our clients. Our success depends in part on our clients’ ability to operate consistently with the regulatory and licensing requirements of each state, local and regional jurisdiction in which they operate. We have a dedicated Policy &amp; Compliance Operations team that reviews cannabis license information for operational cannabis retail clients, both on submission and on an ongoing basis, to ensure validity and accuracy. We require all operational cannabis retailer clients, including storefronts and delivery services, to display on their WMH listing a valid, unexpired state-issued license number. For certain of our products or services, we request additional verification and documentation. We cannot ensure that the conduct of our clients, who are third parties, and their actions could expose them to legal sanctions and costs, which would in turn, adversely affect our business and operations.</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conduct of third parties may jeopardize our regulatory compliance.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While we are a technology company, not a cannabis licensee, and as such, are not subject to commercial cannabis regulations that apply to cannabis operators, we cannot guarantee that our systems, protocols and practices will prevent any and all unauthorized or illegal activities by our clients. Our success depends in part on our clients’ ability to operate consistently with the regulatory and licensing requirements of each state, local and regional jurisdiction in which they operate. Despite the procedures and protocols in place for license verification by our Policy &amp; Compliance Operations team, any non-compliance by our clients could put our business at risk, as discussed herein, and could also subject us to potential actions by state regulators, to the extent they could be applied to technology service providers, which could materially adversely affect our business, operations, financial condition, brand and reputation.</w:t>
      </w:r>
    </w:p>
    <w:p>
      <w:pPr>
        <w:spacing w:after="0" w:line="184"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FDA regulation of adult-use and medical-use cannabis, as well as e-cigarettes and other vaping products, could negatively affect the cannabis industry, which would directly affect our financial condition.</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Should the federal government legalize cannabis for adult-use and/or medical-use, it is possible that the U.S. Food and Drug Administration (the “FDA”) would seek to regulate it under the Food, Drug and Cosmetics Act of 1938, as it has with federally legal hemp. Additionally, the FDA may issue rules and regulations including certified good manufacturing practices related to the growth, cultivation, harvesting and processing of adult-use and medical-use cannabis. Clinical trials may be needed to verify efficacy and safety. It is also possible that the FDA would require that facilities where adult-use and medical-use cannabis is grown register with the FDA and comply with certain federally prescribed regulations.</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as a result of the recent lung injuries and deaths associated with e-cigarettes and other vaping products, the FDA and the U.S. Centers for Disease Control and Prevention (the “CDC”) have warned consumers not to use vaping products containing tetrahydrocannabinol (“THC”). While the FDA and the CDC continue to conduct ongoing investigations, it is currently unknown when and whether the FDA will impose additional rules and regulations on e-cigarettes and other vaping products.</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the event that some or all of these regulations are imposed, we do not know what the impact would be on the adult-use and medical-use cannabis industry, including what costs, requirements and possible prohibitions may be enforced. If our clients are unable to comply with any new rules, regulations or registration as prescribed by the FDA, or are unable to do so in a cost-effective manner, our clients may be unable to continue to operate their respective business in its current form, or at all, which may also result in our clients being unable to continue engaging our technology services.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Synthetic or hemp-derived products may compete with cannabis use and products.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hemp and pharmaceutical industry may attempt to compete with or dominate the cannabis industry, and in particular, legal cannabis, through the development and distribution of hemp-derived or synthetic products which emulate the effects and treatment of cannabis. If they are successful, the widespread popularity of such products could change the demand, volume and profitability of the cannabis industry. This could adversely affect the ability of our clients to secure long-term profitability and success.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Recently, there has been a proliferation of the extraction of delta-8-THC and other intoxicating cannabinoids from industrial hemp and infusion of these isomers into various saleable and finished products. Utilizing the legality of industrial hemp under U.S. federal law, many such products are available for sale through unlicensed channels and are shipped in interstate commerce. Additionally, some hemp companies sell hemp-derived THC products with state authorization. Given the similar intoxicating effects to cannabis-derived THC, which is an illegal substance under the CSA, and its substantially lower price point, patients and consumers may choose to consume hemp-derived products in lieu of cannabis-derived products. In light of the substantial investment our clients have made and continue to make in state-licensed cannabis facilities, the widespread use of hemp-derived THC or synthetic products could adversely impact our clients, which could, in turn, have a material adverse effect on our business and results of operations.</w:t>
      </w:r>
    </w:p>
    <w:p>
      <w:pPr>
        <w:spacing w:after="0" w:line="190"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believe that Section 230(c)(1) of the Communications Decency Act (“CDA”) provides immunity from civil and state criminal liability, but it is possible that it does not.</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believe that Section 230(c)(1)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website, such as WM News, WM Learn and WM Policy. All of these sections are general news and information, and none of these sections are advertisements for, or listing pages of, cannabis businesses, except in limited circumstances related to descriptions of certain cannabis strains. For additional information about Section 230, see the section captioned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Despite our belief that we are protected by Section 230, it is possible that we are not, which would subject us to legal, business and operational risks. In addition, there have been various Congressional efforts to restrict the scope of the protections available to online platforms under Section 230 of the CDA, and our current protections from liability for third-party content in the United States could decrease or change. We could incur significant costs investigating and defending such claims and, if we are found liable, significant damages. We could also face fines or orders restricting or blocking our services in particular geographies as a result of content hosted on our services. For example, recently enacted legislation in Germany may impose significant fines for failure to comply with certain content removal and disclosure obligations.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continue to be subject to constraints on marketing our products.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Certain of the states in which we operate have enacted strict regulations regarding marketing and sales activities on cannabis products, which could affect our cannabis retail clients’ demand for our listing and marketing services. There may be restrictions on sales and marketing activities of cannabis businesses imposed by government regulatory bodies that can hinder the development of our business and operating results because of the restrictions our clients face. If our clients are unable to effectively market our products and compete for market share, or if the costs of compliance with government legislation and regulation cannot be absorbed through increased selling prices for our products for our clients, this could hamper demand for our products and services from licensed cannabis retailers, which could result in a loss of revenue.</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Cannabis businesses are subject to unfavorable U.S. tax treatment.</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Until and unless cannabis is rescheduled to Schedule III, Section 280E of the Code may continue to apply to cannabis and does not allow any deduction or credit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beyond costs of goods sold and asserting assessments and penalties for additional taxes owed. Section 280E may have a lesser impact on cannabis cultivation and manufacturing operations than on sales operations, which directly affects our clients, who are cannabis retailers. However, Section 280E and related IRS enforcement activity have had a significant impact on the operations of all cannabis companies. While the Section does not directly affect our Company, it lowers our clients’ profitability, and could result in decreased demand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for our listing and marketing services. An otherwise profitable cannabis business may operate at a loss after taking into account its U.S. income tax expenses. This affects us because our sales and operating results could be adversely affected if our clients decrease their marketing budgets and are operating on lower profit margins as a result of unfavorable treatment by the Code.</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Service providers to cannabis businesses may also be subject to unfavorable U.S. tax treatment.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discussed above, under Section 280E of the Code, no deduction or credit is allowed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and asserting assessments and penalties for additional taxes owed. While we do believe that Section 280E does not apply to our business, or ancillary service providers that work with state-licensed cannabis businesses, if the IRS interprets the section to apply, it would significantly and materially affect our profitability and financial condition.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Cannabis businesses may be subject to civil asset forfeiture.</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Any property owned by participants in the cannabis industry used in the course of conducting such business, or that represents proceeds of such business or is traceable to proceeds of such business, could be subject to seizure by law enforcement and subsequent civil asset forfeiture because of the illegality of the cannabis industry under federal law. Even if the owner of the property or the assets is never charged with a crime, the property in question could still be seized and subject to an administrative proceeding by which, with minimal due process, it could be subject to forfeiture. Forfeiture of assets of our cannabis business clients could adversely affect our revenues if it impedes their profitability or operations and our clients’ ability to continue to subscribe to our services.</w:t>
      </w:r>
    </w:p>
    <w:p>
      <w:pPr>
        <w:spacing w:after="0" w:line="18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involvement in the cannabis industry, we may have a difficult time obtaining the various insurances that are desired to operate our business, which may expose us to additional risk and financial liability.</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Insurance that is otherwise readily available, such as general liability and directors’ and officers’ insurance, is more difficult for us to find and is more expensive or contains significant exclusions because our clients are cannabis industry participants. There are no guarantees that we will be able to find such insurance coverage in the future or that the cost will be affordable to us. If we are forced to go without such insurance coverage, it may prevent us from entering into certain business sectors, may inhibit our growth, and may expose us to additional risk and financial liabilities. If we experience an uninsured loss, it may result in loss of anticipated cash flow and could materially adversely affect our results of operations, financial condition and business.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There may be difficulty enforcing certain of our commercial agreements and contracts.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Courts will not enforce a contract deemed to involve a violation of law or public policy. Because cannabis remains illegal under U.S. federal law, parties to contracts involving the state legal cannabis industry have argued that the agreement was void as federally illegal or against public policy. Some courts have accepted this argument in certain cases, usually against the company trafficking in cannabis. While courts have enforced contracts related to activities by state-legal cannabis companies, and the trend is generally to enforce contracts with state-legal cannabis companies and their vendors, there remains doubt and uncertainty that we will be able to enforce our commercial agreements in court for this reason. We cannot be assured that we will have a remedy for breach of contract, which would have a material adverse effect on our business.</w:t>
      </w:r>
    </w:p>
    <w:p>
      <w:pPr>
        <w:spacing w:after="0" w:line="18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directors, officers, employees and investors who are not U.S. citizens may face constraints on cross-border travel into the United States.</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Because cannabis remains illegal under U.S. federal law, non-U.S. citizens employed at or investing in companies doing business in the state legal cannabis industry could face detention, denial of entry or lifetime bans from the United States for their business associations with cannabis businesses. Entry to the United States happens at the sole discretion of the officers on duty of the U.S. Customs and Border Protection (“CBP”), and these officers have wide latitude to ask questions to determine the admissibility of a foreign national. The government of Canada has started warning travelers on its website that previous use of cannabis, or any substance prohibited by U.S. federal laws, could mean denial of entry to the United States. Business or financial involvement in the legal cannabis industry in Canada or in the United States could also be grounds for U.S. border guards to deny entry. On September 21, 2018, CBP released a statement outlining its current position with respect to enforcement of the laws of the United States. It stated that Canada’s legalization of cannabis will not change CBP enforcement of U.S. laws regarding controlled substances and because cannabis continues to be a controlled substance under U.S. federal law, working in or facilitating the proliferation of the legal marijuana industry in U.S. states where it is deemed legal or in Canada may affect admissibility to the United States. CBP updated its stated policy on October 9, 2018 to clarify that a Canadian citizen coming to the United States for reasons unrelated to the cannabis industry will generally be admissible to the United States.</w:t>
      </w:r>
    </w:p>
    <w:p>
      <w:pPr>
        <w:spacing w:after="0" w:line="8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a result, CBP has affirmed that employees, directors, officers, managers and investors of companies involved in business activities related to cannabis in the United States or Canada (such as us), who are not U.S. citizens, face the risk of being barred from entry into the United States for life. On October 9, 2018, CBP released an additional policy statement indicating that Canadian citizens working in or facilitating the proliferation of the legal cannabis industry in Canada, if travelling to the United States for reasons unrelated to the cannabis industry, will generally be admissible. However, if the traveler is found to be entering into the United States for reasons related to the cannabis industry, he or she may be deemed inadmissible. Ultimately, travel restrictions imposed on our directors, officers, employees and investors could impair our ability to conduct business and to freely explore new strategic relationships.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among our existing executive officers, directors and their respective affiliates may prevent new investors from influencing significant corporate decisions.</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of November 29, 2024, our affiliates, executive officers, directors and their respective affiliates as a group beneficially own approximately 22.3% of our outstanding Class A Common Stock and Class V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us or changes in management and will make the approval of certain transactions difficult or impossible without the support of these stockholders.</w:t>
      </w:r>
    </w:p>
    <w:p>
      <w:pPr>
        <w:spacing w:after="0" w:line="18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under the U.S. federal securities laws, and the reduced reporting requirements applicable to smaller reporting companies could make our common stock less attractive to investors.</w:t>
      </w:r>
    </w:p>
    <w:p>
      <w:pPr>
        <w:spacing w:after="0" w:line="6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under U.S. federal securities laws. For as long as we continue to be a smaller reporting company, we may take advantage of exemptions from various reporting requirements that are applicable to other public companies that are not smaller reporting companies, including reduced disclosure obligations regarding executive compensation in our periodic reports and proxy statements. Investors may not find our common stock attractive because we may rely on these exemptions. If some investors find our common stock less attractive as a result, there may be a less active trading market for our common stock and our stock price may be more volatile.</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declare any dividends in the foreseeable future.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do not anticipate declaring any cash dividends to holders of Class A Common Stock in the foreseeable future. Consequently, investors may need to rely on sales of their shares after price appreciation, which may never occur, as the only way to realize any future gains on their investment.</w:t>
      </w:r>
    </w:p>
    <w:p>
      <w:pPr>
        <w:spacing w:after="0" w:line="172"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specific courts as the exclusive forum for certain stockholder litigation matters, which could limit the ability of our stockholders to obtain a favorable forum for disputes with us or our directors, officers or employees.</w:t>
      </w:r>
    </w:p>
    <w:p>
      <w:pPr>
        <w:spacing w:after="0" w:line="67"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current or former directors, officers or other employees for breach of fiduciary duty, other similar actions, any other action as to which the Delaware General Corporation Law (the “DGCL”) confers jurisdiction to the Court of Chancery of the State of Delaware and any action or proceeding concerning the validity of our Certificate of Incorporation or our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 in writing to the selection of an alternative forum. This provision would not apply to suits brought to enforce a duty or liability created by the Exchange Act or any other claim for which the federal courts have exclusive jurisdiction. Our Certificate of Incorporation also provides that, unless we consent in writing to the selection of an alternative forum, the federal district courts of the U.S. shall be the exclusive forum for the resolution of any complaint asserting a cause of action arising under the Securities Act. This provision may limit the ability of our stockholders to bring a claim in a judicial forum that such stockholder finds favorable for disputes with us and our directors, officers or other employees and may have the effect of discouraging lawsuits against our directors, officers and other employees. Furthermore, our stockholders may be subject to increased costs to bring these claims, and the exclusive forum provision could have the effect of discouraging claims or limiting investors’ ability to bring claims in a judicial forum that they find favorable.</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 In March 2020, the Delaware Supreme Court issued a decision in </w:t>
      </w:r>
      <w:r>
        <w:rPr>
          <w:rFonts w:ascii="Times New Roman" w:cs="Times New Roman" w:eastAsia="Times New Roman" w:hAnsi="Times New Roman"/>
          <w:sz w:val="18"/>
          <w:szCs w:val="18"/>
          <w:i w:val="1"/>
          <w:iCs w:val="1"/>
          <w:color w:val="auto"/>
        </w:rPr>
        <w:t>Salzburg et al. v. Sciabacucchi</w:t>
      </w:r>
      <w:r>
        <w:rPr>
          <w:rFonts w:ascii="Times New Roman" w:cs="Times New Roman" w:eastAsia="Times New Roman" w:hAnsi="Times New Roman"/>
          <w:sz w:val="18"/>
          <w:szCs w:val="18"/>
          <w:color w:val="auto"/>
        </w:rPr>
        <w:t>, which found that an exclusive forum provision providing for claims under the Securities Act to be brought in federal court is facially valid under Delaware law. We intend to enforce this provision, but we do not know whether courts in other jurisdictions will agree with this decision or enforce it. If a court were to find the exclusive forum provision contained in our Certificate of Incorporation to be inapplicable or unenforceable in an action, we may incur additional costs associated with resolving such action in other jurisdictions, which could harm our business, prospects, financial condition and operating results.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 of a substantial number of our shares in the public market could cause the market price of our Class A Common Stock to drop significantly, even if our business is doing well.</w:t>
      </w:r>
    </w:p>
    <w:p>
      <w:pPr>
        <w:spacing w:after="0" w:line="5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are unable to predict the effect that sales may have on the prevailing market price of our Class A Common Stock and the public warrants originally issued in the initial public offering of Silver Spike (the “Public Warrants”).</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To the extent the Public Warrants or other exercisable securities are exercised, additional shares of our Class A Common Stock will be issued, which will result in dilution to the holders of our Class A Common Stock and increase the number of shares eligible for resale in the public market. Sales, or the potential sales, of substantial numbers of shares in the public market by the selling security holders could increase the volatility of the market price of our Class A Common Stock or adversely affect the market price of our Class A Common Stock.</w:t>
      </w:r>
    </w:p>
    <w:p>
      <w:pPr>
        <w:spacing w:after="0" w:line="341"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Class A Common Stock or preferred stock, including under our equity incentive plan. Any such issuances would dilute the interest of our stockholders and likely present other risks.</w:t>
      </w:r>
    </w:p>
    <w:p>
      <w:pPr>
        <w:spacing w:after="0" w:line="5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may issue a substantial number of additional shares of Class A Common Stock or preferred stock, including under our equity incentive plan. Any such issuances of additional shares of Class A Common Stock or preferred stock:</w:t>
      </w:r>
    </w:p>
    <w:p>
      <w:pPr>
        <w:spacing w:after="0" w:line="68" w:lineRule="exact"/>
        <w:rPr>
          <w:sz w:val="20"/>
          <w:szCs w:val="20"/>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interests of our investors;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Class A Common Stock if preferred stock is issued with rights senior to those afforded our Class A Common Stock;</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Class A Common Stock and/or Warrants.</w:t>
      </w:r>
    </w:p>
    <w:p>
      <w:pPr>
        <w:spacing w:after="0" w:line="370" w:lineRule="exact"/>
        <w:rPr>
          <w:sz w:val="20"/>
          <w:szCs w:val="20"/>
          <w:color w:val="auto"/>
        </w:rPr>
      </w:pPr>
    </w:p>
    <w:p>
      <w:pPr>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and the Public Warrants have been, and may continue to be, volatile, and the value of our Class A Common Stock and Warrants may decline.</w:t>
      </w:r>
    </w:p>
    <w:p>
      <w:pPr>
        <w:spacing w:after="0" w:line="5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and the Public Warrants have been and may continue to be subject to wide fluctuations in response to numerous factors, many of which are beyond our control, including:</w:t>
      </w:r>
    </w:p>
    <w:p>
      <w:pPr>
        <w:spacing w:after="0" w:line="54" w:lineRule="exact"/>
        <w:rPr>
          <w:sz w:val="20"/>
          <w:szCs w:val="20"/>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projected operational and financial results;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industry;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or conclusion of legal proceedings that involve us;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or services by us or our competitors;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joint ventures;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capital-raising activities or commitments;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by investors or analysts of third-party data regarding our business that may not reflect our financial performance;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securities, including short selling of our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civil unrest, war, foreign invasions, terrorism, or public health crises, or responses to such events.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Furthermore, the stock markets frequently experience extreme price and volume fluctuations that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elections, interest rate changes, or international currency fluctuations, may negatively impact the market price of our Class A Common Stock and the Public Warrants. As a result of such fluctuations, you may not realize any return on your investment in us and may lose some or all of your investment. In the past, companies that have experienced volatility in the market price of their stock have been subject to securities class action litigation or derivative litigation. For example, stockholders have filed or threatened to file derivative lawsuits, purportedly on our behalf, in the past and may do so in the future. Such litigation could result in substantial costs and divert our management’s attention from other business concerns.</w:t>
      </w:r>
    </w:p>
    <w:p>
      <w:pPr>
        <w:spacing w:after="0" w:line="190"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meet, and may not regain compliance with, the listing standards of the Nasdaq Stock Market LLC (“Nasdaq”), and as a result our Class A Common Stock may be delisted. Delisting could adversely affect the liquidity of our Class A Common Stock and the market price of our Class A Common Stock could decrease.</w:t>
      </w:r>
    </w:p>
    <w:p>
      <w:pPr>
        <w:spacing w:after="0" w:line="6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Class A Common Stock is currently listed on the Nasdaq Global Select Market, which has minimum requirements that a company must meet in order to remain listed. These requirements include maintaining a minimum closing bid price of $1.00 per share, which closing bid price cannot fall below $1.00 per share for a period of more than 30 consecutive business days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October 9, 2024, we received a letter from the Listing Qualifications Department of The Nasdaq Stock Market LLC (“Nasdaq”) notifying us that, for the last 30 consecutive trading days, the closing bid price for our Class A Common Stock was below $1.00 per share, which is the minimum closing bid price required for continued listing on the Nasdaq Global Select Market pursuant to Nasdaq Listing Rule 5450(a)(1) (the “Notice”). In accordance with Nasdaq Listing Rule 5810(c)(3)(A), we are provided a compliance period of 180 calendar days from the date of the Notice, or until April 7, 2025, to regain compliance with the minimum closing bid price requirement. If at any time during the 180 calendar day grace period, the closing bid price of our Class A Common Stock is at least $1.00 per share for a minimum of ten consecutive business days (unless the Nasdaq staff exercises its discretion to extend this ten business day period pursuant to Nasdaq Listing Rule 5810(c)(3)(H)), Nasdaq will provide us written confirmation of compliance, and the matter will be closed.</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we do not regain compliance during the compliance period, we may be provided a second 180 calendar day period to regain compliance if we apply to transfer the listing of our Class A Common Stock to the Nasdaq Capital Market. To qualify, we must meet the continued listing requirement for market value of publicly-held shares and all other initial listing standards for the Nasdaq Capital Market (with the exception of the minimum bid price requirement), based on our most recent public filings and market information and notify Nasdaq of our intent to cure the deficiency by effecting a reverse stock split, if necessary. If we do not regain compliance within the allotted compliance periods, including any extensions that may be granted by Nasdaq, our Class A Common Stock will be subject to delisting. We would have the right to appeal a determination to delist our Class A Common Stock, and our Class A Common Stock would remain listed on the Nasdaq Global Select Market until the completion of the appeal process.</w:t>
      </w:r>
    </w:p>
    <w:p>
      <w:pPr>
        <w:spacing w:after="0" w:line="86"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regain compliance with the minimum bid price requirement during the 180-day compliance period, secure a second 180-day period to regain compliance, or maintain compliance with the other Nasdaq listing requirements.</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Additionally, if a reverse stock split is implemented, there can be no assurance that the market price per new share of our Class A Common Stock following the reverse stock split will remain unchanged or will increase in proportion to the reduction in the number of old shares of our Class A Common Stock outstanding before the reverse stock split. The liquidity of the shares of our Class A Common Stock may be affected adversely by any reverse stock split given the reduced number of shares of our Class A Common Stock that will be outstanding following such reverse stock split. Furthermore, following any reverse stock split, the resulting market price of our Class A Common Stock may not attract new investors and may not satisfy the investing requirements of those investors.</w:t>
      </w:r>
    </w:p>
    <w:p>
      <w:pPr>
        <w:spacing w:after="0" w:line="8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event that our Class A Common Stock is delisted from Nasdaq as a result of our failure to regain compliance with the minimum closing bid price requirement, as a result of Nasdaq not granting us an extension or the panel not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granting us a favorable decision or due to our failure to continue to comply with any other requirement for continued listing on Nasdaq, trading of our Class A Common Stock could be conducted in the over-the-counter market or on an electronic bulletin board established for unlisted securities such as the Pink Sheets or the OTC Bulletin Board, but there can be no assurance that our Class A Common Stock will be eligible for trading on such alternative exchange or market.</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Additionally, if our Class A Common Stock is delisted from Nasdaq, the liquidity of our Class A Common Stock would be adversely affected, the market price of our Class A Common Stock could decrease, our ability to obtain sufficient additional capital to fund our operations and transactions in our Class A Common Stock could lose federal preemption of state securities laws. Furthermore, there could also be a further reduction in our coverage by securities analysts and the news media and broker-dealers may be deterred from making a market in or otherwise seeking or generating interest in our Class A Common Stock, which could cause the price of our Class A Common Stock to decline further. Moreover, delisting may also negatively affect our clients’, customers’ and employees’ confidence in us and employee morale.</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global, regional or local economic and market conditions may adversely affect our business, operating results and financial condition.</w:t>
      </w:r>
    </w:p>
    <w:p>
      <w:pPr>
        <w:spacing w:after="0" w:line="5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performance is subject to global economic conditions and economic conditions in one or more of our key markets, which impact spending by our clients and consumers. A majority of our clients are small and medium-sized businesses that operate one or two retail locations, and their access to capital, liquidity and other financial resources is constrained due to the regulatory restrictions applicable to cannabis businesses. As a result, these clients have been and may be further disproportionately affected by economic downturns.</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Clients may choose to allocate their spending to items other than our platform, especially during economic downturns. Economic conditions may also adversely impact retail sales of cannabis. Declining retail sales of cannabis could result in our clients going out of business or deciding to stop using our platform to conserve financial resources. Negative economic conditions may also affect third parties with whom we have entered into relationships and upon whom we depend in order to grow our business.</w:t>
      </w:r>
    </w:p>
    <w:p>
      <w:pPr>
        <w:spacing w:after="0" w:line="75"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Furthermore, economic downturns could also lead to limitations on our ability to obtain debt or equity financing on favorable terms or at all, reduced liquidity, decreases in the market price of our securities, decreases in the fair market value of our financial or other assets, and write-downs of and increased credit and collectability risk on our trade receivables, any of which could have a material adverse effect on our business, operating results or financial condition.</w:t>
      </w:r>
    </w:p>
    <w:p>
      <w:pPr>
        <w:spacing w:after="0" w:line="179"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Catastrophic events may disrupt our business and impair our ability to provide our platform to clients and consumers, resulting in costs for remediation, client and consumer dissatisfaction and other business or financial losses.</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operations depend, in part, on our ability to protect our facilities against damage or interruption from natural disasters, power or telecommunications failures, criminal acts and similar events. Despite precautions taken at our facilities, the occurrence of a natural disaster, an act of terrorism, vandalism or sabotage, spikes in usage volume or other unanticipated problems at a facility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revenue, subject us to liability and lead to decreased usage of our platform and decrease sales of our advertising placements, any of which could harm our business.</w:t>
      </w:r>
    </w:p>
    <w:p>
      <w:pPr>
        <w:spacing w:after="0" w:line="18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increased costs and administrative burden as a result of operating as a public company, and our management will continue to devote substantial time to new compliance initiatives.</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As a public company, we are subject to the requirements of the Exchange Act, the Sarbanes-Oxley Act, the Dodd-Frank Wall Street Reform and Consumer Protection Act of 2010, and the rules and regulations promulgated and to be promulgated thereunder, Public Company Accounting Oversight Board (the “PCAOB”), as well as rules adopted, and to be adopted, by the SEC and the Nasdaq Stock Market. Our management and other personnel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or reduce our net income. Compliance with public company requirements will increase costs and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make certain activities more time-consuming. A number of those requirements will require us to carry out activities we have not done previously. For example, we created new board committees and adopted new internal controls and disclosure controls and procedures. In addition, expenses associated with SEC reporting requirements will be incurred. Furthermore, if any issues in complying with those requirements are identified (for example, our recent identification of material weaknesses in our internal controls over financial reporting and any additional material weaknesses or significant deficiency in the internal control over financial reporting that we or our independent registered public accounting firm may identify in the future), we could incur additional costs rectifying those issues, and the existence of those issues could adversely affect our reputation or investor perceptions of it. It may also be more expensive to obtain director and officer liability insurance. We cannot predict or estimate the amount or timing of additional costs it may incur to respond to these requirements. The impact of these requirements could also make it more difficult for us to attract and retain qualified persons to serve on our board of directors, our board committees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17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may engage in misconduct or other improper activities, which could have an adverse effect on our business, prospects, financial condition and operating results.</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may engage in misconduct or other illegal activity. Misconduct by these parties could include intentional, reckless or negligent conduct or other activities that violate laws and regulations, including production standards, U.S. federal and state fraud, abuse, data privacy and security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operating results.</w:t>
      </w:r>
    </w:p>
    <w:p>
      <w:pPr>
        <w:spacing w:after="0" w:line="191"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Certain securities and industry analysts may not publish, have in the past ceased publishing, or may in the future cease publishing research or reports about us, our business or our market, or may adversely change their recommendations regarding our Class A Common Stock, which could cause the price and trading volume of our Class A Common Stock to decline.</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funds to satisfy indemnification claims of our directors and executive officers.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have agreed to indemnify our officers and directors to the fullest extent permitted by law. Accordingly, any indemnification provided will be able to be satisfied by us only if we have sufficient funds.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All of the Class A Common Stock offered by the Selling Securityholders pursuant to this prospectus will be sold by the Selling Securityholders for their respective accounts. We will not receive any of the proceeds from these sales.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 AND DIVIDEND POLICY</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Class A Common Stock and Public Warrants are currently listed on Nasdaq under the symbols “MAPS” and “MAPSW”, respectively. As of November 29, 2024, there were 97,730,177 shares of Class A Common Stock issued and outstanding and 55,486,361 shares of our Class V common stock (the “Class V Common Stock”) issued and outstanding. No market exists for the Class V Common Stock.</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of November 29, 2024, there were 112 holders of record of our Class A Common Stock, 12 holders of record of our Class V Common Stock and 2 holders of record of our Public Warrants.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have not paid any cash dividends on the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we or our subsidiaries incur. We do not anticipate declaring any cash dividends to holders of Common Stock in the foreseeable future.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7"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notes to those statements included in this prospectus. Certain information contained in the discussion and analysis set forth below contains forward-looking statements that involve risks and uncertainties. Our actual results may differ materially from those anticipated in these forward-looking statements as a result of many factors. Please see the sections entitled “Cautionary Note Regarding Forward-Looking Statements” and “Risk Factors” and elsewhere in this prospectus.</w:t>
      </w: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Third Quarter 2024 Financial Highlights</w:t>
      </w:r>
    </w:p>
    <w:p>
      <w:pPr>
        <w:spacing w:after="0" w:line="121" w:lineRule="exact"/>
        <w:rPr>
          <w:sz w:val="20"/>
          <w:szCs w:val="20"/>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$46.6 million as compared to $46.7 million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paying clients was 5,100, as compared to 5,414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net revenues per paying client was $3,043, as compared to $2,874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$5.3 million as compared to net loss of $2.5 million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$11.3 million as compared to $10.7 million in the prior year.</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Fiscal Year 2023 Financial Highlights</w:t>
      </w:r>
    </w:p>
    <w:p>
      <w:pPr>
        <w:spacing w:after="0" w:line="121" w:lineRule="exact"/>
        <w:rPr>
          <w:sz w:val="20"/>
          <w:szCs w:val="20"/>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was $188.0 million as compared to $215.5 million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paying clients was 5,419, as compared to 5,457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net revenue per paying client was $2,891, as compared to $3,291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$15.7 million as compared to $82.7 million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$36.9 million.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totaled $34.4 million as of December 31, 2023, with no long-term debt.</w:t>
      </w:r>
    </w:p>
    <w:p>
      <w:pPr>
        <w:spacing w:after="0" w:line="11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For further information about how we calculate EBITDA and Adjusted EBITDA as well as limitations of its use and a reconciliation of EBITDA and Adjusted EBITDA to net income (loss), see “Net Income (Loss) to EBITDA and Adjusted EBITDA” under the heading Non-GAAP Financial Measures below.</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(“SaaS”) solutions software offering (“Weedmaps for Business”). The Weedmaps marketplace is a premier destination for cannabis consumers to discover and browse information regarding cannabis and cannabis products with 5,100 average monthly paying clients during the three months ended September 30, 2024 on the supply-side of our marketplace. These paying clients include retailers, brands and other client types (such as doctors). Further, these clients, who can choose to purchase multiple listings solutions for each business, had purchased approximately 8,300 listing pages as of September 30, 2024.</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sell our Weedmaps for Business suite in the United States and have a limited number of non-monetized listings in several other countries including Austria, Canada, Germany, the Netherlands, Spain and Switzerland. We operate in the United States, Canada and other foreign jurisdictions where medical and/or adult cannabis use is legal under state or national law. As of September 30, 2024, we actively operated in over 35 U.S. states and territories that have adult-use and/or medical-use regulations in place. Substantially all of our revenue was generated in the United States during the periods presented. We define actively operated markets as those U.S. states or territories with greater than $1,000 monthly revenue.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We monitor the following key financial and operational metrics to evaluate our business, measure our performance, identify trends affecting our business, formulate business plans, and make strategic decisions.</w:t>
      </w:r>
    </w:p>
    <w:p>
      <w:pPr>
        <w:spacing w:after="0" w:line="54"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following tables summarize our financial performance for the three and nine months ended September 30, 2024 compared with the same period in 2023 and for the year ended December 31, 2023 compared to our financial performance for the years ended December 31, 2022 and 2021. For a detailed discussion of our results of operations, see “Results of Operations for the Three and Nine Months Ended September 30, 2024 and 2023” and “Results of Operations for the Years Ended December 31, 2023, 2022 and 2021” below.</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 the Three and Nine Months Ended September 30, 2024 and 2023</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23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50"/>
        </w:trPr>
        <w:tc>
          <w:tcPr>
            <w:tcW w:w="38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27"/>
        </w:trPr>
        <w:tc>
          <w:tcPr>
            <w:tcW w:w="3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9"/>
                <w:szCs w:val="19"/>
                <w:color w:val="auto"/>
              </w:rPr>
            </w:pPr>
          </w:p>
        </w:tc>
        <w:tc>
          <w:tcPr>
            <w:tcW w:w="7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9"/>
                <w:szCs w:val="19"/>
                <w:color w:val="auto"/>
              </w:rPr>
            </w:pPr>
          </w:p>
        </w:tc>
        <w:tc>
          <w:tcPr>
            <w:tcW w:w="7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0"/>
        </w:trPr>
        <w:tc>
          <w:tcPr>
            <w:tcW w:w="38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gridSpan w:val="3"/>
          </w:tcPr>
          <w:p>
            <w:pPr>
              <w:spacing w:after="0"/>
              <w:rPr>
                <w:sz w:val="4"/>
                <w:szCs w:val="4"/>
                <w:color w:val="auto"/>
              </w:rPr>
            </w:pPr>
          </w:p>
        </w:tc>
        <w:tc>
          <w:tcPr>
            <w:tcW w:w="2320" w:type="dxa"/>
            <w:vAlign w:val="bottom"/>
            <w:tcBorders>
              <w:bottom w:val="single" w:sz="8" w:color="auto"/>
            </w:tcBorders>
            <w:gridSpan w:val="5"/>
          </w:tcPr>
          <w:p>
            <w:pPr>
              <w:spacing w:after="0"/>
              <w:rPr>
                <w:sz w:val="4"/>
                <w:szCs w:val="4"/>
                <w:color w:val="auto"/>
              </w:rPr>
            </w:pPr>
          </w:p>
        </w:tc>
      </w:tr>
      <w:tr>
        <w:trPr>
          <w:trHeight w:val="227"/>
        </w:trPr>
        <w:tc>
          <w:tcPr>
            <w:tcW w:w="3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60" w:type="dxa"/>
            <w:vAlign w:val="bottom"/>
            <w:gridSpan w:val="8"/>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(dollars in thousands, except for net revenues per paying client)</w:t>
            </w:r>
          </w:p>
        </w:tc>
      </w:tr>
      <w:tr>
        <w:trPr>
          <w:trHeight w:val="50"/>
        </w:trPr>
        <w:tc>
          <w:tcPr>
            <w:tcW w:w="3820" w:type="dxa"/>
            <w:vAlign w:val="bottom"/>
          </w:tcPr>
          <w:p>
            <w:pPr>
              <w:spacing w:after="0"/>
              <w:rPr>
                <w:sz w:val="4"/>
                <w:szCs w:val="4"/>
                <w:color w:val="auto"/>
              </w:rPr>
            </w:pPr>
          </w:p>
        </w:tc>
        <w:tc>
          <w:tcPr>
            <w:tcW w:w="1120" w:type="dxa"/>
            <w:vAlign w:val="bottom"/>
            <w:gridSpan w:val="2"/>
          </w:tcPr>
          <w:p>
            <w:pPr>
              <w:spacing w:after="0"/>
              <w:rPr>
                <w:sz w:val="4"/>
                <w:szCs w:val="4"/>
                <w:color w:val="auto"/>
              </w:rPr>
            </w:pPr>
          </w:p>
        </w:tc>
        <w:tc>
          <w:tcPr>
            <w:tcW w:w="116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tcPr>
          <w:p>
            <w:pPr>
              <w:spacing w:after="0"/>
              <w:rPr>
                <w:sz w:val="4"/>
                <w:szCs w:val="4"/>
                <w:color w:val="auto"/>
              </w:rPr>
            </w:pPr>
          </w:p>
        </w:tc>
        <w:tc>
          <w:tcPr>
            <w:tcW w:w="1120" w:type="dxa"/>
            <w:vAlign w:val="bottom"/>
            <w:gridSpan w:val="2"/>
          </w:tcPr>
          <w:p>
            <w:pPr>
              <w:spacing w:after="0"/>
              <w:rPr>
                <w:sz w:val="4"/>
                <w:szCs w:val="4"/>
                <w:color w:val="auto"/>
              </w:rPr>
            </w:pPr>
          </w:p>
        </w:tc>
      </w:tr>
      <w:tr>
        <w:trPr>
          <w:trHeight w:val="337"/>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9"/>
                <w:szCs w:val="29"/>
                <w:color w:val="auto"/>
                <w:vertAlign w:val="superscript"/>
              </w:rPr>
              <w:t>(1)</w:t>
            </w:r>
          </w:p>
        </w:tc>
        <w:tc>
          <w:tcPr>
            <w:tcW w:w="112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$46,552</w:t>
            </w:r>
          </w:p>
        </w:tc>
        <w:tc>
          <w:tcPr>
            <w:tcW w:w="1160" w:type="dxa"/>
            <w:vAlign w:val="bottom"/>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$46,687</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$136,844</w:t>
            </w:r>
          </w:p>
        </w:tc>
        <w:tc>
          <w:tcPr>
            <w:tcW w:w="112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$141,526</w:t>
            </w:r>
          </w:p>
        </w:tc>
      </w:tr>
      <w:tr>
        <w:trPr>
          <w:trHeight w:val="27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5,318​</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5"/>
              </w:rPr>
              <w:t>(2,512)​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​8,471</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(4,498)​</w:t>
            </w:r>
          </w:p>
        </w:tc>
      </w:tr>
      <w:tr>
        <w:trPr>
          <w:trHeight w:val="54"/>
        </w:trPr>
        <w:tc>
          <w:tcPr>
            <w:tcW w:w="38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24"/>
        </w:trPr>
        <w:tc>
          <w:tcPr>
            <w:tcW w:w="382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9"/>
                <w:szCs w:val="29"/>
                <w:color w:val="auto"/>
                <w:vertAlign w:val="superscript"/>
              </w:rPr>
              <w:t>(2)</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8,576​</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​872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17,853​</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​4,896</w:t>
            </w:r>
          </w:p>
        </w:tc>
      </w:tr>
      <w:tr>
        <w:trPr>
          <w:trHeight w:val="324"/>
        </w:trPr>
        <w:tc>
          <w:tcPr>
            <w:tcW w:w="382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(2)</w:t>
            </w:r>
          </w:p>
        </w:tc>
        <w:tc>
          <w:tcPr>
            <w:tcW w:w="112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$​11,312</w:t>
            </w:r>
          </w:p>
        </w:tc>
        <w:tc>
          <w:tcPr>
            <w:tcW w:w="1160" w:type="dxa"/>
            <w:vAlign w:val="bottom"/>
            <w:gridSpan w:val="2"/>
          </w:tcPr>
          <w:p>
            <w:pPr>
              <w:jc w:val="right"/>
              <w:ind w:right="174"/>
              <w:spacing w:after="0"/>
              <w:rPr>
                <w:sz w:val="20"/>
                <w:szCs w:val="20"/>
                <w:color w:val="auto"/>
              </w:rPr>
            </w:pPr>
            <w:r>
              <w:rPr>
                <w:rFonts w:ascii="Times New Roman" w:cs="Times New Roman" w:eastAsia="Times New Roman" w:hAnsi="Times New Roman"/>
                <w:sz w:val="18"/>
                <w:szCs w:val="18"/>
                <w:color w:val="auto"/>
              </w:rPr>
              <w:t>$10,671</w:t>
            </w:r>
          </w:p>
        </w:tc>
        <w:tc>
          <w:tcPr>
            <w:tcW w:w="1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31,001​</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28,028​</w:t>
            </w:r>
          </w:p>
        </w:tc>
      </w:tr>
      <w:tr>
        <w:trPr>
          <w:trHeight w:val="242"/>
        </w:trPr>
        <w:tc>
          <w:tcPr>
            <w:tcW w:w="3820" w:type="dxa"/>
            <w:vAlign w:val="bottom"/>
            <w:shd w:val="clear" w:color="auto" w:fill="CCEEFF"/>
          </w:tcPr>
          <w:p>
            <w:pPr>
              <w:spacing w:after="0" w:line="242" w:lineRule="exact"/>
              <w:rPr>
                <w:sz w:val="20"/>
                <w:szCs w:val="20"/>
                <w:color w:val="auto"/>
              </w:rPr>
            </w:pPr>
            <w:r>
              <w:rPr>
                <w:rFonts w:ascii="Times New Roman" w:cs="Times New Roman" w:eastAsia="Times New Roman" w:hAnsi="Times New Roman"/>
                <w:sz w:val="17"/>
                <w:szCs w:val="17"/>
                <w:color w:val="auto"/>
              </w:rPr>
              <w:t>Average monthly net revenues per paying client</w:t>
            </w:r>
            <w:r>
              <w:rPr>
                <w:rFonts w:ascii="Times New Roman" w:cs="Times New Roman" w:eastAsia="Times New Roman" w:hAnsi="Times New Roman"/>
                <w:sz w:val="28"/>
                <w:szCs w:val="28"/>
                <w:color w:val="auto"/>
                <w:vertAlign w:val="superscript"/>
              </w:rPr>
              <w:t>(1)</w:t>
            </w: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78"/>
        </w:trPr>
        <w:tc>
          <w:tcPr>
            <w:tcW w:w="3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3,043​</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​2,874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3,025​</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2,831​</w:t>
            </w:r>
          </w:p>
        </w:tc>
      </w:tr>
      <w:tr>
        <w:trPr>
          <w:trHeight w:val="42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9"/>
                <w:szCs w:val="29"/>
                <w:color w:val="auto"/>
                <w:vertAlign w:val="superscript"/>
              </w:rPr>
              <w:t>(4)</w:t>
            </w:r>
          </w:p>
        </w:tc>
        <w:tc>
          <w:tcPr>
            <w:tcW w:w="340" w:type="dxa"/>
            <w:vAlign w:val="bottom"/>
          </w:tcPr>
          <w:p>
            <w:pPr>
              <w:spacing w:after="0"/>
              <w:rPr>
                <w:sz w:val="24"/>
                <w:szCs w:val="24"/>
                <w:color w:val="auto"/>
              </w:rPr>
            </w:pPr>
          </w:p>
        </w:tc>
        <w:tc>
          <w:tcPr>
            <w:tcW w:w="78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5,100</w:t>
            </w:r>
          </w:p>
        </w:tc>
        <w:tc>
          <w:tcPr>
            <w:tcW w:w="420" w:type="dxa"/>
            <w:vAlign w:val="bottom"/>
          </w:tcPr>
          <w:p>
            <w:pPr>
              <w:spacing w:after="0"/>
              <w:rPr>
                <w:sz w:val="24"/>
                <w:szCs w:val="24"/>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5,414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5,027</w:t>
            </w:r>
          </w:p>
        </w:tc>
        <w:tc>
          <w:tcPr>
            <w:tcW w:w="380" w:type="dxa"/>
            <w:vAlign w:val="bottom"/>
          </w:tcPr>
          <w:p>
            <w:pPr>
              <w:spacing w:after="0"/>
              <w:rPr>
                <w:sz w:val="24"/>
                <w:szCs w:val="24"/>
                <w:color w:val="auto"/>
              </w:rPr>
            </w:pPr>
          </w:p>
        </w:tc>
        <w:tc>
          <w:tcPr>
            <w:tcW w:w="7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5,555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-1628775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-1628775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-1628775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93345</wp:posOffset>
            </wp:positionV>
            <wp:extent cx="8229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72" w:lineRule="exact"/>
        <w:rPr>
          <w:sz w:val="20"/>
          <w:szCs w:val="20"/>
          <w:color w:val="auto"/>
        </w:rPr>
      </w:pPr>
    </w:p>
    <w:p>
      <w:pPr>
        <w:jc w:val="both"/>
        <w:ind w:left="640" w:right="299" w:hanging="348"/>
        <w:spacing w:after="0" w:line="24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2023, net revenues has been retrospectively adjusted to reflect the restatement of previously reported revenue. See Note 2, “Summary of Significant Accounting Policies,” to our unaudited condensed consolidated financial statements included in this prospectus for further information.</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further information about how we calculate EBITDA and Adjusted EBITDA as well as limitations of its use and a reconciliation of EBITDA and Adjusted EBITDA to net income (loss), see “Net Income (Loss) to EBITDA and Adjusted EBITDA” below.</w:t>
      </w:r>
    </w:p>
    <w:p>
      <w:pPr>
        <w:jc w:val="both"/>
        <w:ind w:left="640" w:right="299" w:hanging="348"/>
        <w:spacing w:after="0" w:line="236"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net revenues per paying client is defined as the average monthly net revenues for any particular period divided by the average monthly paying clients in the same respective period. Average monthly net revenues per paying client is calculated in the same manner as our previously-reported “average monthly revenue per paying client,” and the description of the metric is being updated solely to clarify that it is calculated using net revenues.</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paying clients are defined as the average of the number of paying clients billed in a month across a particular period (and for which services were provided).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 the Years Ended December 31, 2023, 2022 and 2021</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2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50"/>
        </w:trPr>
        <w:tc>
          <w:tcPr>
            <w:tcW w:w="45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27"/>
        </w:trPr>
        <w:tc>
          <w:tcPr>
            <w:tcW w:w="4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Pr>
          <w:p>
            <w:pPr>
              <w:spacing w:after="0"/>
              <w:rPr>
                <w:sz w:val="19"/>
                <w:szCs w:val="19"/>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9"/>
                <w:szCs w:val="19"/>
                <w:color w:val="auto"/>
              </w:rPr>
            </w:pPr>
          </w:p>
        </w:tc>
        <w:tc>
          <w:tcPr>
            <w:tcW w:w="7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50"/>
        </w:trPr>
        <w:tc>
          <w:tcPr>
            <w:tcW w:w="4520" w:type="dxa"/>
            <w:vAlign w:val="bottom"/>
          </w:tcPr>
          <w:p>
            <w:pPr>
              <w:spacing w:after="0"/>
              <w:rPr>
                <w:sz w:val="4"/>
                <w:szCs w:val="4"/>
                <w:color w:val="auto"/>
              </w:rPr>
            </w:pPr>
          </w:p>
        </w:tc>
        <w:tc>
          <w:tcPr>
            <w:tcW w:w="3900" w:type="dxa"/>
            <w:vAlign w:val="bottom"/>
            <w:tcBorders>
              <w:bottom w:val="single" w:sz="8" w:color="auto"/>
            </w:tcBorders>
            <w:gridSpan w:val="6"/>
          </w:tcPr>
          <w:p>
            <w:pPr>
              <w:spacing w:after="0"/>
              <w:rPr>
                <w:sz w:val="4"/>
                <w:szCs w:val="4"/>
                <w:color w:val="auto"/>
              </w:rPr>
            </w:pPr>
          </w:p>
        </w:tc>
      </w:tr>
      <w:tr>
        <w:trPr>
          <w:trHeight w:val="227"/>
        </w:trPr>
        <w:tc>
          <w:tcPr>
            <w:tcW w:w="4520" w:type="dxa"/>
            <w:vAlign w:val="bottom"/>
          </w:tcPr>
          <w:p>
            <w:pPr>
              <w:spacing w:after="0"/>
              <w:rPr>
                <w:sz w:val="19"/>
                <w:szCs w:val="19"/>
                <w:color w:val="auto"/>
              </w:rPr>
            </w:pPr>
          </w:p>
        </w:tc>
        <w:tc>
          <w:tcPr>
            <w:tcW w:w="3900" w:type="dxa"/>
            <w:vAlign w:val="bottom"/>
            <w:gridSpan w:val="6"/>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(dollars in thousands, except for revenue per paying client)</w:t>
            </w:r>
          </w:p>
        </w:tc>
      </w:tr>
      <w:tr>
        <w:trPr>
          <w:trHeight w:val="51"/>
        </w:trPr>
        <w:tc>
          <w:tcPr>
            <w:tcW w:w="452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1820" w:type="dxa"/>
            <w:vAlign w:val="bottom"/>
            <w:gridSpan w:val="2"/>
          </w:tcPr>
          <w:p>
            <w:pPr>
              <w:spacing w:after="0"/>
              <w:rPr>
                <w:sz w:val="4"/>
                <w:szCs w:val="4"/>
                <w:color w:val="auto"/>
              </w:rPr>
            </w:pPr>
          </w:p>
        </w:tc>
        <w:tc>
          <w:tcPr>
            <w:tcW w:w="1020" w:type="dxa"/>
            <w:vAlign w:val="bottom"/>
            <w:gridSpan w:val="2"/>
          </w:tcPr>
          <w:p>
            <w:pPr>
              <w:spacing w:after="0"/>
              <w:rPr>
                <w:sz w:val="4"/>
                <w:szCs w:val="4"/>
                <w:color w:val="auto"/>
              </w:rPr>
            </w:pPr>
          </w:p>
        </w:tc>
      </w:tr>
      <w:tr>
        <w:trPr>
          <w:trHeight w:val="318"/>
        </w:trPr>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060" w:type="dxa"/>
            <w:vAlign w:val="bottom"/>
            <w:tcBorders>
              <w:bottom w:val="single" w:sz="8" w:color="CCEEFF"/>
            </w:tcBorders>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$187,993</w:t>
            </w:r>
          </w:p>
        </w:tc>
        <w:tc>
          <w:tcPr>
            <w:tcW w:w="1820" w:type="dxa"/>
            <w:vAlign w:val="bottom"/>
            <w:tcBorders>
              <w:bottom w:val="single" w:sz="8" w:color="CCEEFF"/>
            </w:tcBorders>
            <w:gridSpan w:val="2"/>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$215,531</w:t>
            </w:r>
          </w:p>
        </w:tc>
        <w:tc>
          <w:tcPr>
            <w:tcW w:w="1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$193,146</w:t>
            </w:r>
          </w:p>
        </w:tc>
      </w:tr>
      <w:tr>
        <w:trPr>
          <w:trHeight w:val="27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(15,727)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w w:val="97"/>
              </w:rPr>
              <w:t>(82,651)</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$152,218</w:t>
            </w:r>
          </w:p>
        </w:tc>
      </w:tr>
      <w:tr>
        <w:trPr>
          <w:trHeight w:val="54"/>
        </w:trPr>
        <w:tc>
          <w:tcPr>
            <w:tcW w:w="4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20" w:type="dxa"/>
            <w:vAlign w:val="bottom"/>
            <w:gridSpan w:val="2"/>
          </w:tcPr>
          <w:p>
            <w:pPr>
              <w:spacing w:after="0"/>
              <w:rPr>
                <w:sz w:val="4"/>
                <w:szCs w:val="4"/>
                <w:color w:val="auto"/>
              </w:rPr>
            </w:pPr>
          </w:p>
        </w:tc>
        <w:tc>
          <w:tcPr>
            <w:tcW w:w="1020" w:type="dxa"/>
            <w:vAlign w:val="bottom"/>
            <w:gridSpan w:val="2"/>
          </w:tcPr>
          <w:p>
            <w:pPr>
              <w:spacing w:after="0"/>
              <w:rPr>
                <w:sz w:val="4"/>
                <w:szCs w:val="4"/>
                <w:color w:val="auto"/>
              </w:rPr>
            </w:pPr>
          </w:p>
        </w:tc>
      </w:tr>
      <w:tr>
        <w:trPr>
          <w:trHeight w:val="324"/>
        </w:trPr>
        <w:tc>
          <w:tcPr>
            <w:tcW w:w="452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9"/>
                <w:szCs w:val="29"/>
                <w:color w:val="auto"/>
                <w:vertAlign w:val="superscript"/>
              </w:rPr>
              <w:t>(1)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1820" w:type="dxa"/>
            <w:vAlign w:val="bottom"/>
            <w:gridSpan w:val="2"/>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$107,924</w:t>
            </w: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$156,042</w:t>
            </w:r>
          </w:p>
        </w:tc>
      </w:tr>
      <w:tr>
        <w:trPr>
          <w:trHeight w:val="324"/>
        </w:trPr>
        <w:tc>
          <w:tcPr>
            <w:tcW w:w="452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36,907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(9,633)</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31,698</w:t>
            </w:r>
          </w:p>
        </w:tc>
      </w:tr>
      <w:tr>
        <w:trPr>
          <w:trHeight w:val="324"/>
        </w:trPr>
        <w:tc>
          <w:tcPr>
            <w:tcW w:w="452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Average monthly net revenue per paying client</w:t>
            </w:r>
            <w:r>
              <w:rPr>
                <w:rFonts w:ascii="Times New Roman" w:cs="Times New Roman" w:eastAsia="Times New Roman" w:hAnsi="Times New Roman"/>
                <w:sz w:val="29"/>
                <w:szCs w:val="29"/>
                <w:color w:val="auto"/>
                <w:vertAlign w:val="superscript"/>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2,891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3,291</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3,711</w:t>
            </w:r>
          </w:p>
        </w:tc>
      </w:tr>
      <w:tr>
        <w:trPr>
          <w:trHeight w:val="42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9"/>
                <w:szCs w:val="29"/>
                <w:color w:val="auto"/>
                <w:vertAlign w:val="superscript"/>
              </w:rPr>
              <w:t>(3)</w:t>
            </w:r>
          </w:p>
        </w:tc>
        <w:tc>
          <w:tcPr>
            <w:tcW w:w="360" w:type="dxa"/>
            <w:vAlign w:val="bottom"/>
          </w:tcPr>
          <w:p>
            <w:pPr>
              <w:spacing w:after="0"/>
              <w:rPr>
                <w:sz w:val="24"/>
                <w:szCs w:val="24"/>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5,419</w:t>
            </w:r>
          </w:p>
        </w:tc>
        <w:tc>
          <w:tcPr>
            <w:tcW w:w="680" w:type="dxa"/>
            <w:vAlign w:val="bottom"/>
          </w:tcPr>
          <w:p>
            <w:pPr>
              <w:spacing w:after="0"/>
              <w:rPr>
                <w:sz w:val="24"/>
                <w:szCs w:val="24"/>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5,457</w:t>
            </w:r>
          </w:p>
        </w:tc>
        <w:tc>
          <w:tcPr>
            <w:tcW w:w="240" w:type="dxa"/>
            <w:vAlign w:val="bottom"/>
          </w:tcPr>
          <w:p>
            <w:pPr>
              <w:spacing w:after="0"/>
              <w:rPr>
                <w:sz w:val="24"/>
                <w:szCs w:val="24"/>
                <w:color w:val="auto"/>
              </w:rPr>
            </w:pPr>
          </w:p>
        </w:tc>
        <w:tc>
          <w:tcPr>
            <w:tcW w:w="7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4,337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4677410</wp:posOffset>
            </wp:positionH>
            <wp:positionV relativeFrom="paragraph">
              <wp:posOffset>-1491615</wp:posOffset>
            </wp:positionV>
            <wp:extent cx="1289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-1491615</wp:posOffset>
            </wp:positionV>
            <wp:extent cx="137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85090</wp:posOffset>
            </wp:positionV>
            <wp:extent cx="8229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58" w:lineRule="exact"/>
        <w:rPr>
          <w:sz w:val="20"/>
          <w:szCs w:val="20"/>
          <w:color w:val="auto"/>
        </w:rPr>
      </w:pPr>
    </w:p>
    <w:p>
      <w:pPr>
        <w:jc w:val="both"/>
        <w:ind w:left="640" w:right="299" w:hanging="348"/>
        <w:spacing w:after="0" w:line="24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further information about how we calculate EBITDA and Adjusted EBITDA as well as limitations of its use and a reconciliation of EBITDA and Adjusted EBITDA to net income (loss), see “Net Income (Loss) to EBITDA and Adjusted EBITDA” under the heading “Non-GAAP Financial Measures” below.</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net revenues per paying client is defined as the average monthly net revenues for any particular period divided by the average monthly paying clients in the same respective period. Average monthly net revenues per paying client is calculated in the same manner as our previously-reported “average monthly revenue per paying client,” and the description of the metric is being updated solely to clarify that it is calculated using net revenues.</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paying clients are defined as the average of the number of paying clients billed in a month across a particular period (and for which services were provided).</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Income (Loss) to EBITDA and Adjusted EBITDA</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Our financial statements, including net income (loss), are prepared in accordance with GAAP. For more information regarding the components within our net income (loss), see “Components of Our Results of Operations” below.</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Net income for the three months ended September 30, 2024 was $5.3 million compared with a net loss for the three months ended September 30, 2023 of $2.5 million. The change in net income was primarily due to a decrease in total costs and expenses of $10.9 million, change in fair value of warrant liability of $1.0 million, and change in tax receivable agreement (“TRA”) liability of $0.5 million, partially offset by a decrease in revenue of $0.1 million and a decrease in other income (expense) of $3.5 million.</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Net income for the nine months ended September 30, 2024 was $8.5 million compared with a net loss for the nine months ended September 30, 2023 of $4.5 million. The increase in net income was primarily due to a decrease in total costs and expenses of $20.8 million, and change in fair value of warrant liability of $1.0 million, partially offset by a decrease in revenue of $4.7 million, change in tax receivable agreement (“TRA”) liability of $0.8 million and a decrease in other income (expense) of $3.2 million.</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Net loss for the year ended December 31, 2023 was $15.7 million compared to a net loss of $82.7 million for the year ended December 31, 2022. The decrease in net loss of $66.9 million was primarily due to a decrease in revenue of $27.5 million, a decrease in comparatively favorable change in fair value of warrant liability of $23.9 million, a decrease in income from the change in tax receivables agreement liability of $143.6 million resulting from the remeasurement of the TRA liability, a decrease in total costs and expenses of $78.7 million, a decrease in provision from income taxes of $179.0 million resulting from the full valuation recorded against our deferred tax assets during the year ended December 31, 2022 and an increase in other expense of $4.2 million.</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EBITDA and Adjusted EBITDA, both of which are non-GAAP financial measures that we calculate as net income (loss) before interest, taxes and depreciation and amortization expense in the case of EBITDA and further adjusted to exclude stock-based compensation, change in fair value of warrant liability, transaction related bonus, legal settlements and other legal costs, discharge of holdback obligation related to prior acquisition, reduction in force, asset impairment charges, transaction costs, change in TRA liability and other non-cash, unusual and/or infrequent costs in the case of Adjusted EBITDA. Below we have provided a reconciliation of net income (loss) (the most directly comparable GAAP financial measure) to EBITDA; and from EBITDA to Adjusted EBITDA.</w:t>
      </w:r>
    </w:p>
    <w:p>
      <w:pPr>
        <w:spacing w:after="0" w:line="8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present EBITDA and Adjusted EBITDA because these metrics are a key measure used by our management to evaluate our operating performance, generate future operating plans and make strategic decisions regarding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allocation of investment capacity. Accordingly, we believe that EBITDA and Adjusted EBITDA provide useful information to investors and others in understanding and evaluating our operating results in the same manner as our management.</w:t>
      </w:r>
    </w:p>
    <w:p>
      <w:pPr>
        <w:spacing w:after="0" w:line="68"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spacing w:after="0" w:line="68" w:lineRule="exact"/>
        <w:rPr>
          <w:sz w:val="20"/>
          <w:szCs w:val="20"/>
          <w:color w:val="auto"/>
        </w:rPr>
      </w:pPr>
    </w:p>
    <w:p>
      <w:pPr>
        <w:jc w:val="both"/>
        <w:ind w:left="2000" w:right="1320" w:hanging="348"/>
        <w:spacing w:after="0" w:line="266" w:lineRule="auto"/>
        <w:tabs>
          <w:tab w:leader="none" w:pos="2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spacing w:after="0" w:line="67" w:lineRule="exact"/>
        <w:rPr>
          <w:rFonts w:ascii="Times New Roman" w:cs="Times New Roman" w:eastAsia="Times New Roman" w:hAnsi="Times New Roman"/>
          <w:sz w:val="18"/>
          <w:szCs w:val="18"/>
          <w:color w:val="auto"/>
        </w:rPr>
      </w:pPr>
    </w:p>
    <w:p>
      <w:pPr>
        <w:ind w:left="2000" w:right="1320" w:hanging="348"/>
        <w:spacing w:after="0" w:line="282" w:lineRule="auto"/>
        <w:tabs>
          <w:tab w:leader="none" w:pos="2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 and</w:t>
      </w:r>
    </w:p>
    <w:p>
      <w:pPr>
        <w:spacing w:after="0" w:line="53" w:lineRule="exact"/>
        <w:rPr>
          <w:rFonts w:ascii="Times New Roman" w:cs="Times New Roman" w:eastAsia="Times New Roman" w:hAnsi="Times New Roman"/>
          <w:sz w:val="18"/>
          <w:szCs w:val="18"/>
          <w:color w:val="auto"/>
        </w:rPr>
      </w:pPr>
    </w:p>
    <w:p>
      <w:pPr>
        <w:ind w:left="2000" w:right="1300" w:hanging="348"/>
        <w:spacing w:after="0" w:line="282" w:lineRule="auto"/>
        <w:tabs>
          <w:tab w:leader="none" w:pos="2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tax payments that may represent a reduction in cash available to us.</w:t>
      </w:r>
    </w:p>
    <w:p>
      <w:pPr>
        <w:spacing w:after="0" w:line="54" w:lineRule="exact"/>
        <w:rPr>
          <w:sz w:val="20"/>
          <w:szCs w:val="20"/>
          <w:color w:val="auto"/>
        </w:rPr>
      </w:pPr>
    </w:p>
    <w:p>
      <w:pPr>
        <w:ind w:left="1300" w:right="1320"/>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EBITDA and Adjusted EBITDA alongside other financial performance measures, including net income (loss) and our other GAAP results.</w:t>
      </w:r>
    </w:p>
    <w:p>
      <w:pPr>
        <w:spacing w:after="0" w:line="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reconciliation of net income (loss) to non-GAAP EBITDA and Adjusted EBITDA is as follows:</w:t>
      </w:r>
    </w:p>
    <w:p>
      <w:pPr>
        <w:spacing w:after="0" w:line="3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For the Three and Nine Months Ended September 30,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gridSpan w:val="8"/>
          </w:tcPr>
          <w:p>
            <w:pPr>
              <w:jc w:val="right"/>
              <w:ind w:right="15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9"/>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8"/>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3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center"/>
              <w:ind w:left="2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3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80" w:type="dxa"/>
            <w:vAlign w:val="bottom"/>
            <w:gridSpan w:val="10"/>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4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(2,512)</w:t>
            </w: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$ 8,471</w:t>
            </w: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(4,498)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6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4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2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(280)</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4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17,853</w:t>
            </w:r>
          </w:p>
        </w:tc>
        <w:tc>
          <w:tcPr>
            <w:tcW w:w="2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480" w:type="dxa"/>
            <w:vAlign w:val="bottom"/>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26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(585)</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related bonus expense</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settlements and other legal costs</w:t>
            </w: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4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2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 in force (recovery) expense</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300" w:type="dxa"/>
            <w:vAlign w:val="bottom"/>
          </w:tcPr>
          <w:p>
            <w:pPr>
              <w:spacing w:after="0"/>
              <w:rPr>
                <w:sz w:val="20"/>
                <w:szCs w:val="20"/>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Discharge of a holdback obligation related to a prior</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(3,705)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(3,705)</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480" w:type="dxa"/>
            <w:vAlign w:val="bottom"/>
            <w:shd w:val="clear" w:color="auto" w:fill="CCEEFF"/>
          </w:tcPr>
          <w:p>
            <w:pPr>
              <w:spacing w:after="0"/>
              <w:rPr>
                <w:sz w:val="21"/>
                <w:szCs w:val="21"/>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26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11,312</w:t>
            </w:r>
          </w:p>
        </w:tc>
        <w:tc>
          <w:tcPr>
            <w:tcW w:w="480" w:type="dxa"/>
            <w:vAlign w:val="bottom"/>
          </w:tcPr>
          <w:p>
            <w:pPr>
              <w:spacing w:after="0"/>
              <w:rPr>
                <w:sz w:val="23"/>
                <w:szCs w:val="23"/>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10,671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31,001</w:t>
            </w:r>
          </w:p>
        </w:tc>
        <w:tc>
          <w:tcPr>
            <w:tcW w:w="8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28,028</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w w:val="98"/>
              </w:rPr>
              <w:t>For the Years Ended December 31, 2023, 2022 and 2021</w:t>
            </w: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130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3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40" w:type="dxa"/>
            <w:vAlign w:val="bottom"/>
            <w:gridSpan w:val="15"/>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51"/>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3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3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$(15,727)</w:t>
            </w:r>
          </w:p>
        </w:tc>
        <w:tc>
          <w:tcPr>
            <w:tcW w:w="106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(82,651)</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$ 152,218</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spacing w:after="0"/>
              <w:rPr>
                <w:sz w:val="22"/>
                <w:szCs w:val="22"/>
                <w:color w:val="auto"/>
              </w:rPr>
            </w:pPr>
          </w:p>
        </w:tc>
        <w:tc>
          <w:tcPr>
            <w:tcW w:w="106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179,077</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13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11,498</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6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(3,534)</w:t>
            </w:r>
          </w:p>
        </w:tc>
        <w:tc>
          <w:tcPr>
            <w:tcW w:w="1060" w:type="dxa"/>
            <w:vAlign w:val="bottom"/>
            <w:tcBorders>
              <w:bottom w:val="single" w:sz="8" w:color="CCEEFF"/>
            </w:tcBorders>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107,924</w:t>
            </w:r>
          </w:p>
        </w:tc>
        <w:tc>
          <w:tcPr>
            <w:tcW w:w="8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156,042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180" w:type="dxa"/>
            <w:vAlign w:val="bottom"/>
          </w:tcPr>
          <w:p>
            <w:pPr>
              <w:spacing w:after="0"/>
              <w:rPr>
                <w:sz w:val="22"/>
                <w:szCs w:val="22"/>
                <w:color w:val="auto"/>
              </w:rPr>
            </w:pPr>
          </w:p>
        </w:tc>
        <w:tc>
          <w:tcPr>
            <w:tcW w:w="106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23,493</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29,324</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13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(1,505)</w:t>
            </w:r>
          </w:p>
        </w:tc>
        <w:tc>
          <w:tcPr>
            <w:tcW w:w="106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(25,370)</w:t>
            </w:r>
          </w:p>
        </w:tc>
        <w:tc>
          <w:tcPr>
            <w:tcW w:w="8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(166,518)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transaction costs</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50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4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5501005</wp:posOffset>
            </wp:positionH>
            <wp:positionV relativeFrom="paragraph">
              <wp:posOffset>-6025515</wp:posOffset>
            </wp:positionV>
            <wp:extent cx="2571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-6025515</wp:posOffset>
            </wp:positionV>
            <wp:extent cx="2571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-6025515</wp:posOffset>
            </wp:positionV>
            <wp:extent cx="2571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5509260</wp:posOffset>
            </wp:positionH>
            <wp:positionV relativeFrom="paragraph">
              <wp:posOffset>-2159635</wp:posOffset>
            </wp:positionV>
            <wp:extent cx="1543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4883785</wp:posOffset>
            </wp:positionH>
            <wp:positionV relativeFrom="paragraph">
              <wp:posOffset>-2159635</wp:posOffset>
            </wp:positionV>
            <wp:extent cx="1543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ectPr>
          <w:pgSz w:w="11900" w:h="16838" w:orient="portrait"/>
          <w:cols w:equalWidth="0" w:num="1">
            <w:col w:w="11020"/>
          </w:cols>
          <w:pgMar w:left="440" w:top="263" w:right="439" w:bottom="609" w:gutter="0" w:footer="0" w:header="0"/>
        </w:sectPr>
      </w:pPr>
    </w:p>
    <w:bookmarkStart w:id="55" w:name="page56"/>
    <w:bookmarkEnd w:id="55"/>
    <w:tbl>
      <w:tblPr>
        <w:tblLayout w:type="fixed"/>
        <w:tblInd w:w="300" w:type="dxa"/>
        <w:tblCellMar>
          <w:top w:w="0" w:type="dxa"/>
          <w:left w:w="0" w:type="dxa"/>
          <w:bottom w:w="0" w:type="dxa"/>
          <w:right w:w="0" w:type="dxa"/>
        </w:tblCellMar>
      </w:tblPr>
      <w:tr>
        <w:trPr>
          <w:trHeight w:val="161"/>
        </w:trPr>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402"/>
        </w:trPr>
        <w:tc>
          <w:tcPr>
            <w:tcW w:w="1540" w:type="dxa"/>
            <w:vAlign w:val="bottom"/>
            <w:tcBorders>
              <w:top w:val="single" w:sz="8" w:color="0000EE"/>
            </w:tcBorders>
          </w:tcPr>
          <w:p>
            <w:pPr>
              <w:spacing w:after="0"/>
              <w:rPr>
                <w:sz w:val="24"/>
                <w:szCs w:val="24"/>
                <w:color w:val="auto"/>
              </w:rPr>
            </w:pPr>
          </w:p>
        </w:tc>
        <w:tc>
          <w:tcPr>
            <w:tcW w:w="4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0" w:type="dxa"/>
            <w:vAlign w:val="bottom"/>
            <w:gridSpan w:val="8"/>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1"/>
        </w:trPr>
        <w:tc>
          <w:tcPr>
            <w:tcW w:w="1540" w:type="dxa"/>
            <w:vAlign w:val="bottom"/>
          </w:tcPr>
          <w:p>
            <w:pPr>
              <w:spacing w:after="0"/>
              <w:rPr>
                <w:sz w:val="4"/>
                <w:szCs w:val="4"/>
                <w:color w:val="auto"/>
              </w:rPr>
            </w:pPr>
          </w:p>
        </w:tc>
        <w:tc>
          <w:tcPr>
            <w:tcW w:w="42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7"/>
        </w:trPr>
        <w:tc>
          <w:tcPr>
            <w:tcW w:w="15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62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9"/>
                <w:szCs w:val="19"/>
                <w:color w:val="auto"/>
              </w:rPr>
            </w:pPr>
          </w:p>
        </w:tc>
        <w:tc>
          <w:tcPr>
            <w:tcW w:w="84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9"/>
                <w:szCs w:val="19"/>
                <w:color w:val="auto"/>
              </w:rPr>
            </w:pP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9"/>
                <w:szCs w:val="19"/>
                <w:color w:val="auto"/>
              </w:rPr>
            </w:pPr>
          </w:p>
        </w:tc>
      </w:tr>
      <w:tr>
        <w:trPr>
          <w:trHeight w:val="50"/>
        </w:trPr>
        <w:tc>
          <w:tcPr>
            <w:tcW w:w="1540" w:type="dxa"/>
            <w:vAlign w:val="bottom"/>
          </w:tcPr>
          <w:p>
            <w:pPr>
              <w:spacing w:after="0"/>
              <w:rPr>
                <w:sz w:val="4"/>
                <w:szCs w:val="4"/>
                <w:color w:val="auto"/>
              </w:rPr>
            </w:pPr>
          </w:p>
        </w:tc>
        <w:tc>
          <w:tcPr>
            <w:tcW w:w="42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7"/>
        </w:trPr>
        <w:tc>
          <w:tcPr>
            <w:tcW w:w="15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1"/>
        </w:trPr>
        <w:tc>
          <w:tcPr>
            <w:tcW w:w="1540" w:type="dxa"/>
            <w:vAlign w:val="bottom"/>
          </w:tcPr>
          <w:p>
            <w:pPr>
              <w:spacing w:after="0"/>
              <w:rPr>
                <w:sz w:val="4"/>
                <w:szCs w:val="4"/>
                <w:color w:val="auto"/>
              </w:rPr>
            </w:pPr>
          </w:p>
        </w:tc>
        <w:tc>
          <w:tcPr>
            <w:tcW w:w="424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2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related bonus expense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4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10,119</w:t>
            </w:r>
          </w:p>
        </w:tc>
        <w:tc>
          <w:tcPr>
            <w:tcW w:w="26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80" w:type="dxa"/>
            <w:vAlign w:val="bottom"/>
          </w:tcPr>
          <w:p>
            <w:pPr>
              <w:spacing w:after="0"/>
              <w:rPr>
                <w:sz w:val="22"/>
                <w:szCs w:val="22"/>
                <w:color w:val="auto"/>
              </w:rPr>
            </w:pPr>
          </w:p>
        </w:tc>
      </w:tr>
      <w:tr>
        <w:trPr>
          <w:trHeight w:val="41"/>
        </w:trPr>
        <w:tc>
          <w:tcPr>
            <w:tcW w:w="1540" w:type="dxa"/>
            <w:vAlign w:val="bottom"/>
          </w:tcPr>
          <w:p>
            <w:pPr>
              <w:spacing w:after="0"/>
              <w:rPr>
                <w:sz w:val="3"/>
                <w:szCs w:val="3"/>
                <w:color w:val="auto"/>
              </w:rPr>
            </w:pPr>
          </w:p>
        </w:tc>
        <w:tc>
          <w:tcPr>
            <w:tcW w:w="4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7"/>
        </w:trPr>
        <w:tc>
          <w:tcPr>
            <w:tcW w:w="5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Legal settlements and other legal costs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4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26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22"/>
                <w:szCs w:val="22"/>
                <w:color w:val="auto"/>
              </w:rPr>
            </w:pPr>
          </w:p>
        </w:tc>
      </w:tr>
      <w:tr>
        <w:trPr>
          <w:trHeight w:val="40"/>
        </w:trPr>
        <w:tc>
          <w:tcPr>
            <w:tcW w:w="1540" w:type="dxa"/>
            <w:vAlign w:val="bottom"/>
          </w:tcPr>
          <w:p>
            <w:pPr>
              <w:spacing w:after="0"/>
              <w:rPr>
                <w:sz w:val="3"/>
                <w:szCs w:val="3"/>
                <w:color w:val="auto"/>
              </w:rPr>
            </w:pPr>
          </w:p>
        </w:tc>
        <w:tc>
          <w:tcPr>
            <w:tcW w:w="4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7"/>
        </w:trPr>
        <w:tc>
          <w:tcPr>
            <w:tcW w:w="5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Discharge of holdback obligation related to prior acquisition</w:t>
            </w:r>
          </w:p>
        </w:tc>
        <w:tc>
          <w:tcPr>
            <w:tcW w:w="7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40" w:type="dxa"/>
            <w:vAlign w:val="bottom"/>
          </w:tcPr>
          <w:p>
            <w:pPr>
              <w:spacing w:after="0"/>
              <w:rPr>
                <w:sz w:val="22"/>
                <w:szCs w:val="22"/>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(142,352)</w:t>
            </w:r>
          </w:p>
        </w:tc>
        <w:tc>
          <w:tcPr>
            <w:tcW w:w="12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1540" w:type="dxa"/>
            <w:vAlign w:val="bottom"/>
          </w:tcPr>
          <w:p>
            <w:pPr>
              <w:spacing w:after="0"/>
              <w:rPr>
                <w:sz w:val="3"/>
                <w:szCs w:val="3"/>
                <w:color w:val="auto"/>
              </w:rPr>
            </w:pPr>
          </w:p>
        </w:tc>
        <w:tc>
          <w:tcPr>
            <w:tcW w:w="4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57"/>
        </w:trPr>
        <w:tc>
          <w:tcPr>
            <w:tcW w:w="5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 in force (recovery) expense</w:t>
            </w: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4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70"/>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36,907</w:t>
            </w:r>
          </w:p>
        </w:tc>
        <w:tc>
          <w:tcPr>
            <w:tcW w:w="140" w:type="dxa"/>
            <w:vAlign w:val="bottom"/>
          </w:tcPr>
          <w:p>
            <w:pPr>
              <w:spacing w:after="0"/>
              <w:rPr>
                <w:sz w:val="23"/>
                <w:szCs w:val="23"/>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(9,633)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31,698</w:t>
            </w:r>
          </w:p>
        </w:tc>
        <w:tc>
          <w:tcPr>
            <w:tcW w:w="80" w:type="dxa"/>
            <w:vAlign w:val="bottom"/>
          </w:tcPr>
          <w:p>
            <w:pPr>
              <w:spacing w:after="0"/>
              <w:rPr>
                <w:sz w:val="23"/>
                <w:szCs w:val="23"/>
                <w:color w:val="auto"/>
              </w:rPr>
            </w:pPr>
          </w:p>
        </w:tc>
      </w:tr>
      <w:tr>
        <w:trPr>
          <w:trHeight w:val="21"/>
        </w:trPr>
        <w:tc>
          <w:tcPr>
            <w:tcW w:w="15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-1748155</wp:posOffset>
            </wp:positionV>
            <wp:extent cx="1543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-1748155</wp:posOffset>
            </wp:positionV>
            <wp:extent cx="1543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Net Revenues Per Paying Client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Average monthly net revenues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net revenues for any particular period by the average monthly number of paying clients in the same respective period. The increase in our average monthly net revenues per paying client for both the three and nine months ended September 30, 2024 was due to sunset of certain products, which had lower average monthly spending clients, in the fourth quarter of 2023.</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23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50"/>
        </w:trPr>
        <w:tc>
          <w:tcPr>
            <w:tcW w:w="38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27"/>
        </w:trPr>
        <w:tc>
          <w:tcPr>
            <w:tcW w:w="3880" w:type="dxa"/>
            <w:vAlign w:val="bottom"/>
          </w:tcPr>
          <w:p>
            <w:pPr>
              <w:spacing w:after="0"/>
              <w:rPr>
                <w:sz w:val="19"/>
                <w:szCs w:val="19"/>
                <w:color w:val="auto"/>
              </w:rPr>
            </w:pPr>
          </w:p>
        </w:tc>
        <w:tc>
          <w:tcPr>
            <w:tcW w:w="10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108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104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104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0"/>
        </w:trPr>
        <w:tc>
          <w:tcPr>
            <w:tcW w:w="38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77"/>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monthly net revenues per paying client</w:t>
            </w:r>
          </w:p>
        </w:tc>
        <w:tc>
          <w:tcPr>
            <w:tcW w:w="108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$3,043</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$2,874</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$2,831</w:t>
            </w:r>
          </w:p>
        </w:tc>
      </w:tr>
      <w:tr>
        <w:trPr>
          <w:trHeight w:val="54"/>
        </w:trPr>
        <w:tc>
          <w:tcPr>
            <w:tcW w:w="388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-222250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-222250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-222250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-222250</wp:posOffset>
            </wp:positionV>
            <wp:extent cx="342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Average monthly revenue per paying client was $2,891 for the year ended December 31, 2023 compared with $3,291 for the year ended December 31, 2022. The decline in our average monthly net revenue per paying client for the year ended December 31, 2023, as compared to the prior year, was due to spend declines in established markets. We expected these pressures given the continued liquidity challenges that clients are facing.</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Paying Clients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define average monthly paying clients as the monthly average of clients billed each month over a particular period (and for which services were provided). Our paying clients include both individual cannabis businesses as well as retail websites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websites or businesses.</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Average monthly net revenues per paying clients for the three months ended September 30, 2024 decreased 6% to 5,100 average monthly paying clients from 5,414 average monthly paying clients in the same period in 2023. Average monthly paying clients for the nine months ended September 30, 2024 decreased 10% to 5,027 average monthly paying clients from 5,555 average monthly paying clients in the same period in 2023.</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23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50"/>
        </w:trPr>
        <w:tc>
          <w:tcPr>
            <w:tcW w:w="38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27"/>
        </w:trPr>
        <w:tc>
          <w:tcPr>
            <w:tcW w:w="3820" w:type="dxa"/>
            <w:vAlign w:val="bottom"/>
          </w:tcPr>
          <w:p>
            <w:pPr>
              <w:spacing w:after="0"/>
              <w:rPr>
                <w:sz w:val="19"/>
                <w:szCs w:val="19"/>
                <w:color w:val="auto"/>
              </w:rPr>
            </w:pPr>
          </w:p>
        </w:tc>
        <w:tc>
          <w:tcPr>
            <w:tcW w:w="10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106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106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0"/>
        </w:trPr>
        <w:tc>
          <w:tcPr>
            <w:tcW w:w="382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77"/>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monthly paying clients</w:t>
            </w:r>
          </w:p>
        </w:tc>
        <w:tc>
          <w:tcPr>
            <w:tcW w:w="108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5,100</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5,414</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5,027</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5,555</w:t>
            </w:r>
          </w:p>
        </w:tc>
      </w:tr>
      <w:tr>
        <w:trPr>
          <w:trHeight w:val="54"/>
        </w:trPr>
        <w:tc>
          <w:tcPr>
            <w:tcW w:w="382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-222250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-222250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-222250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-222250</wp:posOffset>
            </wp:positionV>
            <wp:extent cx="342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Average monthly paying clients for the year ended December 31, 2023 decreased by approximately 1% to 5,419 average monthly paying clients from 5,457 average monthly paying clients in the same period in 2022. The decrease in average monthly paying clients in 2023 as compared to the same period in 2022 was primarily due to elevated churn as a result of the cannabis industry facing price deflation in 2023.</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Growth of Our Two-Sided Weedmaps Marketplace</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have historically grown through and intend to focus on continuing to grow through the expansion of our two-sided marketplace, which occurs through growth of the number and type of businesses and consumers that we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Growth and Retention of Our Paying Clients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Prices of certain commodity products, including gas prices, are historically volatile and subject to fluctuations arising from changes in domestic and international supply and demand, labor costs, competition, market speculation, government regulations, trade restrictions and tariffs, inflation, the military conflict between Russia and Ukraine and the recent state of war between Israel and Hamas and the related risk of a larger regional conflict. Increasing prices in the component materials for the goods or services of our clients may impact their ability to maintain or increase their spend with us and their ability to pay their invoices on time. Rapid and significant changes in commodity prices may negatively affect our revenue if our clients are unable to mitigate inflationary increases through various customer pricing actions and cost reduction initiatives. This could also negatively impact our net dollar retention and our collections on accounts receivable.</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Regulation and Maturation of Cannabis Markets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believe that we will have significant opportunities for greater growth as more jurisdictions legalize cannabis for medical and/or adult-use and the regulatory environment continues to develop. As of September 30, 2024, thirty-nine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We intend to explore new expansion opportunities as additional jurisdictions legalize cannabis for medical or adult use and leverage our business model informed by our 15-year operating history to enter new markets.</w:t>
      </w:r>
    </w:p>
    <w:p>
      <w:pPr>
        <w:spacing w:after="0" w:line="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also have a significant opportunity to monetize transactions originating from users engaging with a retailer on the Weedmaps marketplace or tracked via one of our Weedmaps for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Weedmaps for Business solutions. A change in U.S. federal regulations could result in our ability to engage in such monetization efforts without adverse consequences to our business. A change in U.S. federal regulations could also increase access to capital and remove limitations of Section 280E of the Internal Revenue Code of 1986, as amended, thus allowing deduction or credit for certain expenses of cannabis business to increase our cash flow and liquidity, as well as those of many industry participants.</w:t>
      </w:r>
    </w:p>
    <w:p>
      <w:pPr>
        <w:spacing w:after="0" w:line="86"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Brand Recognition and Reputation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 Further, we have begun reinvesting in our own on-the-ground and field marketing presence and are increasing the types and cadence of client events. These events and in-store activations allow Weedmaps to engage with consumers at the point of purchase and also afford Weedmaps with the opportunity to engage directly with our clients, understand their needs and challenges and foster goodwill.</w:t>
      </w:r>
    </w:p>
    <w:p>
      <w:pPr>
        <w:spacing w:after="0" w:line="8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Growth</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intend to continue to make focused organic and inorganic investments to grow our revenue and scale operations to support that growth.</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Weedmaps for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8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operating expenses and capital expenditures fluctuate over time, we may accordingly experience short-term, negative impacts to our operating results and cash flows.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revenues are derived primarily from monthly subscriptions to Weedmaps for Business, featured and deal listings, other ad solutions and WM Dispatch. Our Weedmaps for Business subscriptions generally have one-month terms that automatically renew unless notice of cancellation is provided in advance. Featured and deal listings and other ad solutions are offered as add-on products to the Weedmaps for Business subscriptions. Featured and deal listings provide customers with premium placement ad solutions and discount and promotion pricing tools. Other ad solutions include banner ads and promotion tiles on the Company’s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Our cost structure has two components: cost of revenues and operating expenses. Our operating expenses include costs related to selling and marketing, product development, general and administrative functions and depreciation and amortization. Certain of our costs and expenses, including those associated with the operation of our technical infrastructure as well as components of our operating expenses, are generally less variable in nature and may not correlate to changes in revenue.</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Cost of revenues excludes depreciation and amortization expense and primarily consists of web hosting, internet service and credit card processing costs. Cost of revenues is primarily driven by fluctuations in revenue leading to increases or decreases in credit card processing and web hosting cost. We expect our cost of revenue to continue to increase on an absolute basis and remain relatively flat as a percentage of revenue as we scale our business and inventory costs related to multi-media offerings.</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Selling and marketing expenses consist of salaries and benefits, stock-based compensation expense, travel expense and incentive compensation for our sales and marketing employees. In addition, sales and marketing expenses include customer acquisition marketing, events cost and branding and advertising costs.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Expenses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Product development costs consist of salaries and benefits and stock-based compensation expense for employees, including engineering and technical teams who are responsible for building new products, as well as maintaining and improving existing products. Product development costs that do not meet the criteria for capitalization are expensed as incurred. Amortization expense related to capitalized software development cost is included in depreciation, amortization and asset impairment expense in the consolidated statements of operations. We believe that continued investment in our platform is important for our growth and expect our product development expenses will increase in a manner consistent with revenue growth as our operations grow.</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benefit costs and stock-based compensation expense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provision for credit losses and professional and outside services related to legal and other consulting services. General and administrative expenses are primarily driven by headcount required to support our business and meet our obligations as a public company. We expect general and administrative expenses to decline as percentage of revenue as we scale our business and leverage investments in these areas.</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primarily consist of depreciation on computer equipment, furniture and fixtures, leasehold improvements, capitalized software development costs and amortization of intangibles. We expect depreciation and amortization expenses to increase on an absolute basis for the foreseeable future as we scale our business.</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change in fair value of warrant liability, TRA liability remeasurement, interest income and other tax related expenses.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account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300"/>
        <w:spacing w:after="0" w:line="255" w:lineRule="auto"/>
        <w:rPr>
          <w:sz w:val="20"/>
          <w:szCs w:val="20"/>
          <w:color w:val="auto"/>
        </w:rPr>
      </w:pPr>
      <w:r>
        <w:rPr>
          <w:rFonts w:ascii="Times New Roman" w:cs="Times New Roman" w:eastAsia="Times New Roman" w:hAnsi="Times New Roman"/>
          <w:sz w:val="18"/>
          <w:szCs w:val="18"/>
          <w:color w:val="auto"/>
        </w:rPr>
        <w:t>to the periods in which the temporary differences are expected to reverse. Any effects of changes in income tax rates or laws are included in income tax expense in the period of enactment. A valuation allowance is recognized if we determine it is more-likely-than-not that all or a portion of a deferred tax asset will not be recognized. In making such determination, we consider all available evidence, including scheduled reversals of deferred tax liabilities, projected future taxable income, tax planning strategies and recent and expected future results of operation. See Note 2, “Summary of Significant Accounting Policies” to our unaudited condensed consolidated financial statements included in this prospectus for further information.</w:t>
      </w:r>
    </w:p>
    <w:p>
      <w:pPr>
        <w:spacing w:after="0" w:line="3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and Nine Months Ended September 30, 2024 and 2023</w:t>
      </w:r>
    </w:p>
    <w:p>
      <w:pPr>
        <w:spacing w:after="0" w:line="121"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18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0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700" w:type="dxa"/>
            <w:vAlign w:val="bottom"/>
            <w:gridSpan w:val="4"/>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700" w:type="dxa"/>
            <w:vAlign w:val="bottom"/>
            <w:gridSpan w:val="4"/>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51"/>
        </w:trPr>
        <w:tc>
          <w:tcPr>
            <w:tcW w:w="4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4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840" w:type="dxa"/>
            <w:vAlign w:val="bottom"/>
            <w:gridSpan w:val="2"/>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9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43"/>
        </w:trPr>
        <w:tc>
          <w:tcPr>
            <w:tcW w:w="4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4"/>
          </w:tcPr>
          <w:p>
            <w:pPr>
              <w:ind w:left="140"/>
              <w:spacing w:after="0" w:line="243"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spacing w:after="0" w:line="243"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27"/>
        </w:trPr>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4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0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$46,552</w:t>
            </w:r>
          </w:p>
        </w:tc>
        <w:tc>
          <w:tcPr>
            <w:tcW w:w="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$46,687</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$136,844</w:t>
            </w:r>
          </w:p>
        </w:tc>
        <w:tc>
          <w:tcPr>
            <w:tcW w:w="2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$141,526</w:t>
            </w:r>
          </w:p>
        </w:tc>
        <w:tc>
          <w:tcPr>
            <w:tcW w:w="0" w:type="dxa"/>
            <w:vAlign w:val="bottom"/>
          </w:tcPr>
          <w:p>
            <w:pPr>
              <w:spacing w:after="0"/>
              <w:rPr>
                <w:sz w:val="1"/>
                <w:szCs w:val="1"/>
                <w:color w:val="auto"/>
              </w:rPr>
            </w:pPr>
          </w:p>
        </w:tc>
      </w:tr>
      <w:tr>
        <w:trPr>
          <w:trHeight w:val="27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4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0" w:type="dxa"/>
            <w:vAlign w:val="bottom"/>
          </w:tcPr>
          <w:p>
            <w:pPr>
              <w:spacing w:after="0"/>
              <w:rPr>
                <w:sz w:val="1"/>
                <w:szCs w:val="1"/>
                <w:color w:val="auto"/>
              </w:rPr>
            </w:pPr>
          </w:p>
        </w:tc>
      </w:tr>
      <w:tr>
        <w:trPr>
          <w:trHeight w:val="270"/>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220" w:type="dxa"/>
            <w:vAlign w:val="bottom"/>
          </w:tcPr>
          <w:p>
            <w:pPr>
              <w:spacing w:after="0"/>
              <w:rPr>
                <w:sz w:val="23"/>
                <w:szCs w:val="23"/>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11,544</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30,374</w:t>
            </w:r>
          </w:p>
        </w:tc>
        <w:tc>
          <w:tcPr>
            <w:tcW w:w="20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36,171</w:t>
            </w:r>
          </w:p>
        </w:tc>
        <w:tc>
          <w:tcPr>
            <w:tcW w:w="0" w:type="dxa"/>
            <w:vAlign w:val="bottom"/>
          </w:tcPr>
          <w:p>
            <w:pPr>
              <w:spacing w:after="0"/>
              <w:rPr>
                <w:sz w:val="1"/>
                <w:szCs w:val="1"/>
                <w:color w:val="auto"/>
              </w:rPr>
            </w:pPr>
          </w:p>
        </w:tc>
      </w:tr>
      <w:tr>
        <w:trPr>
          <w:trHeight w:val="54"/>
        </w:trPr>
        <w:tc>
          <w:tcPr>
            <w:tcW w:w="4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2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28,355</w:t>
            </w:r>
          </w:p>
        </w:tc>
        <w:tc>
          <w:tcPr>
            <w:tcW w:w="2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27,882</w:t>
            </w:r>
          </w:p>
        </w:tc>
        <w:tc>
          <w:tcPr>
            <w:tcW w:w="0" w:type="dxa"/>
            <w:vAlign w:val="bottom"/>
          </w:tcPr>
          <w:p>
            <w:pPr>
              <w:spacing w:after="0"/>
              <w:rPr>
                <w:sz w:val="1"/>
                <w:szCs w:val="1"/>
                <w:color w:val="auto"/>
              </w:rPr>
            </w:pPr>
          </w:p>
        </w:tc>
      </w:tr>
      <w:tr>
        <w:trPr>
          <w:trHeight w:val="270"/>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22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51,549</w:t>
            </w:r>
          </w:p>
        </w:tc>
        <w:tc>
          <w:tcPr>
            <w:tcW w:w="20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55,839</w:t>
            </w:r>
          </w:p>
        </w:tc>
        <w:tc>
          <w:tcPr>
            <w:tcW w:w="0" w:type="dxa"/>
            <w:vAlign w:val="bottom"/>
          </w:tcPr>
          <w:p>
            <w:pPr>
              <w:spacing w:after="0"/>
              <w:rPr>
                <w:sz w:val="1"/>
                <w:szCs w:val="1"/>
                <w:color w:val="auto"/>
              </w:rPr>
            </w:pPr>
          </w:p>
        </w:tc>
      </w:tr>
      <w:tr>
        <w:trPr>
          <w:trHeight w:val="54"/>
        </w:trPr>
        <w:tc>
          <w:tcPr>
            <w:tcW w:w="4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2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0" w:type="dxa"/>
            <w:vAlign w:val="bottom"/>
          </w:tcPr>
          <w:p>
            <w:pPr>
              <w:spacing w:after="0"/>
              <w:rPr>
                <w:sz w:val="1"/>
                <w:szCs w:val="1"/>
                <w:color w:val="auto"/>
              </w:rPr>
            </w:pPr>
          </w:p>
        </w:tc>
      </w:tr>
      <w:tr>
        <w:trPr>
          <w:trHeight w:val="28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0" w:type="dxa"/>
            <w:vAlign w:val="bottom"/>
          </w:tcPr>
          <w:p>
            <w:pPr>
              <w:spacing w:after="0"/>
              <w:rPr>
                <w:sz w:val="1"/>
                <w:szCs w:val="1"/>
                <w:color w:val="auto"/>
              </w:rPr>
            </w:pPr>
          </w:p>
        </w:tc>
      </w:tr>
      <w:tr>
        <w:trPr>
          <w:trHeight w:val="54"/>
        </w:trPr>
        <w:tc>
          <w:tcPr>
            <w:tcW w:w="4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41,348</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126,648</w:t>
            </w:r>
          </w:p>
        </w:tc>
        <w:tc>
          <w:tcPr>
            <w:tcW w:w="200" w:type="dxa"/>
            <w:vAlign w:val="bottom"/>
            <w:shd w:val="clear" w:color="auto" w:fill="CCEEFF"/>
          </w:tcPr>
          <w:p>
            <w:pPr>
              <w:spacing w:after="0"/>
              <w:rPr>
                <w:sz w:val="23"/>
                <w:szCs w:val="23"/>
                <w:color w:val="auto"/>
              </w:rPr>
            </w:pP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147,439</w:t>
            </w:r>
          </w:p>
        </w:tc>
        <w:tc>
          <w:tcPr>
            <w:tcW w:w="0" w:type="dxa"/>
            <w:vAlign w:val="bottom"/>
          </w:tcPr>
          <w:p>
            <w:pPr>
              <w:spacing w:after="0"/>
              <w:rPr>
                <w:sz w:val="1"/>
                <w:szCs w:val="1"/>
                <w:color w:val="auto"/>
              </w:rPr>
            </w:pPr>
          </w:p>
        </w:tc>
      </w:tr>
      <w:tr>
        <w:trPr>
          <w:trHeight w:val="48"/>
        </w:trPr>
        <w:tc>
          <w:tcPr>
            <w:tcW w:w="43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right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auto"/>
              <w:right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(5,548)</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2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0" w:type="dxa"/>
            <w:vAlign w:val="bottom"/>
          </w:tcPr>
          <w:p>
            <w:pPr>
              <w:spacing w:after="0"/>
              <w:rPr>
                <w:sz w:val="1"/>
                <w:szCs w:val="1"/>
                <w:color w:val="auto"/>
              </w:rPr>
            </w:pPr>
          </w:p>
        </w:tc>
      </w:tr>
      <w:tr>
        <w:trPr>
          <w:trHeight w:val="54"/>
        </w:trPr>
        <w:tc>
          <w:tcPr>
            <w:tcW w:w="4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right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righ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585</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(460)</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54"/>
        </w:trPr>
        <w:tc>
          <w:tcPr>
            <w:tcW w:w="4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(548)</w:t>
            </w: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(1,486)</w:t>
            </w:r>
          </w:p>
        </w:tc>
        <w:tc>
          <w:tcPr>
            <w:tcW w:w="9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70"/>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0" w:type="dxa"/>
            <w:vAlign w:val="bottom"/>
          </w:tcPr>
          <w:p>
            <w:pPr>
              <w:spacing w:after="0"/>
              <w:rPr>
                <w:sz w:val="1"/>
                <w:szCs w:val="1"/>
                <w:color w:val="auto"/>
              </w:rPr>
            </w:pPr>
          </w:p>
        </w:tc>
      </w:tr>
      <w:tr>
        <w:trPr>
          <w:trHeight w:val="48"/>
        </w:trPr>
        <w:tc>
          <w:tcPr>
            <w:tcW w:w="4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(2,512)</w:t>
            </w:r>
          </w:p>
        </w:tc>
        <w:tc>
          <w:tcPr>
            <w:tcW w:w="3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2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0" w:type="dxa"/>
            <w:vAlign w:val="bottom"/>
          </w:tcPr>
          <w:p>
            <w:pPr>
              <w:spacing w:after="0"/>
              <w:rPr>
                <w:sz w:val="1"/>
                <w:szCs w:val="1"/>
                <w:color w:val="auto"/>
              </w:rPr>
            </w:pPr>
          </w:p>
        </w:tc>
      </w:tr>
      <w:tr>
        <w:trPr>
          <w:trHeight w:val="27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23"/>
                <w:szCs w:val="23"/>
                <w:color w:val="auto"/>
              </w:rPr>
            </w:pPr>
          </w:p>
        </w:tc>
        <w:tc>
          <w:tcPr>
            <w:tcW w:w="9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8"/>
        </w:trPr>
        <w:tc>
          <w:tcPr>
            <w:tcW w:w="4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(2,512)</w:t>
            </w:r>
          </w:p>
        </w:tc>
        <w:tc>
          <w:tcPr>
            <w:tcW w:w="3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2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0" w:type="dxa"/>
            <w:vAlign w:val="bottom"/>
          </w:tcPr>
          <w:p>
            <w:pPr>
              <w:spacing w:after="0"/>
              <w:rPr>
                <w:sz w:val="1"/>
                <w:szCs w:val="1"/>
                <w:color w:val="auto"/>
              </w:rPr>
            </w:pPr>
          </w:p>
        </w:tc>
      </w:tr>
      <w:tr>
        <w:trPr>
          <w:trHeight w:val="252"/>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22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(974)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2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48"/>
        </w:trPr>
        <w:tc>
          <w:tcPr>
            <w:tcW w:w="4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22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(1,538)</w:t>
            </w: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200" w:type="dxa"/>
            <w:vAlign w:val="bottom"/>
            <w:shd w:val="clear" w:color="auto" w:fill="CCEEFF"/>
          </w:tcPr>
          <w:p>
            <w:pPr>
              <w:spacing w:after="0"/>
              <w:rPr>
                <w:sz w:val="24"/>
                <w:szCs w:val="24"/>
                <w:color w:val="auto"/>
              </w:rPr>
            </w:pP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(2,787)</w:t>
            </w:r>
          </w:p>
        </w:tc>
        <w:tc>
          <w:tcPr>
            <w:tcW w:w="0" w:type="dxa"/>
            <w:vAlign w:val="bottom"/>
          </w:tcPr>
          <w:p>
            <w:pPr>
              <w:spacing w:after="0"/>
              <w:rPr>
                <w:sz w:val="1"/>
                <w:szCs w:val="1"/>
                <w:color w:val="auto"/>
              </w:rPr>
            </w:pPr>
          </w:p>
        </w:tc>
      </w:tr>
      <w:tr>
        <w:trPr>
          <w:trHeight w:val="27"/>
        </w:trPr>
        <w:tc>
          <w:tcPr>
            <w:tcW w:w="43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440" w:type="dxa"/>
            <w:vAlign w:val="bottom"/>
            <w:tcBorders>
              <w:top w:val="single" w:sz="8" w:color="auto"/>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right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540" w:type="dxa"/>
            <w:vAlign w:val="bottom"/>
            <w:tcBorders>
              <w:top w:val="single" w:sz="8" w:color="auto"/>
              <w:right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auto"/>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5474970</wp:posOffset>
            </wp:positionH>
            <wp:positionV relativeFrom="paragraph">
              <wp:posOffset>-4465320</wp:posOffset>
            </wp:positionV>
            <wp:extent cx="1885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-4465320</wp:posOffset>
            </wp:positionV>
            <wp:extent cx="1885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4120515</wp:posOffset>
            </wp:positionH>
            <wp:positionV relativeFrom="paragraph">
              <wp:posOffset>-4465320</wp:posOffset>
            </wp:positionV>
            <wp:extent cx="1885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154305</wp:posOffset>
            </wp:positionV>
            <wp:extent cx="8229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jc w:val="both"/>
        <w:ind w:left="1640" w:right="1300" w:hanging="348"/>
        <w:spacing w:after="0" w:line="241" w:lineRule="auto"/>
        <w:tabs>
          <w:tab w:leader="none" w:pos="1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2023, net revenues and general and administrative expenses have been retrospectively adjusted to reflect the restatement of previously reported revenue and credit losses. See Note 2, “Summary of Significant Accounting Policies,” to our unaudited condensed consolidated financial statements included in this prospectus for further information.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340" w:type="dxa"/>
            <w:vAlign w:val="bottom"/>
            <w:gridSpan w:val="4"/>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100" w:type="dxa"/>
            <w:vAlign w:val="bottom"/>
            <w:gridSpan w:val="4"/>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00" w:type="dxa"/>
            <w:vAlign w:val="bottom"/>
            <w:gridSpan w:val="3"/>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6"/>
                <w:szCs w:val="16"/>
                <w:color w:val="auto"/>
              </w:rPr>
            </w:pPr>
          </w:p>
        </w:tc>
        <w:tc>
          <w:tcPr>
            <w:tcW w:w="2660" w:type="dxa"/>
            <w:vAlign w:val="bottom"/>
            <w:gridSpan w:val="3"/>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gridSpan w:val="2"/>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2"/>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3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420" w:type="dxa"/>
            <w:vAlign w:val="bottom"/>
            <w:vMerge w:val="restart"/>
          </w:tcPr>
          <w:p>
            <w:pPr>
              <w:spacing w:after="0"/>
              <w:rPr>
                <w:sz w:val="15"/>
                <w:szCs w:val="15"/>
                <w:color w:val="auto"/>
              </w:rPr>
            </w:pPr>
          </w:p>
        </w:tc>
        <w:tc>
          <w:tcPr>
            <w:tcW w:w="4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6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86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vMerge w:val="continue"/>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14"/>
                <w:szCs w:val="14"/>
                <w:b w:val="1"/>
                <w:bCs w:val="1"/>
                <w:color w:val="auto"/>
                <w:w w:val="98"/>
              </w:rPr>
              <w:t>As Restated</w:t>
            </w:r>
            <w:r>
              <w:rPr>
                <w:rFonts w:ascii="Times New Roman" w:cs="Times New Roman" w:eastAsia="Times New Roman" w:hAnsi="Times New Roman"/>
                <w:sz w:val="23"/>
                <w:szCs w:val="23"/>
                <w:b w:val="1"/>
                <w:bCs w:val="1"/>
                <w:color w:val="auto"/>
                <w:w w:val="98"/>
                <w:vertAlign w:val="superscript"/>
              </w:rPr>
              <w:t>1</w:t>
            </w:r>
          </w:p>
        </w:tc>
        <w:tc>
          <w:tcPr>
            <w:tcW w:w="56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14"/>
                <w:szCs w:val="14"/>
                <w:b w:val="1"/>
                <w:bCs w:val="1"/>
                <w:color w:val="auto"/>
                <w:w w:val="98"/>
              </w:rPr>
              <w:t>As Restated</w:t>
            </w:r>
            <w:r>
              <w:rPr>
                <w:rFonts w:ascii="Times New Roman" w:cs="Times New Roman" w:eastAsia="Times New Roman" w:hAnsi="Times New Roman"/>
                <w:sz w:val="23"/>
                <w:szCs w:val="23"/>
                <w:b w:val="1"/>
                <w:bCs w:val="1"/>
                <w:color w:val="auto"/>
                <w:w w:val="98"/>
                <w:vertAlign w:val="superscript"/>
              </w:rPr>
              <w:t>1</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100%</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4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3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7%</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3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25%</w:t>
            </w:r>
          </w:p>
        </w:tc>
        <w:tc>
          <w:tcPr>
            <w:tcW w:w="5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3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26%</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86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55</w:t>
            </w: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5303520</wp:posOffset>
            </wp:positionH>
            <wp:positionV relativeFrom="paragraph">
              <wp:posOffset>-1379220</wp:posOffset>
            </wp:positionV>
            <wp:extent cx="3600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-1379220</wp:posOffset>
            </wp:positionV>
            <wp:extent cx="3600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3820795</wp:posOffset>
            </wp:positionH>
            <wp:positionV relativeFrom="paragraph">
              <wp:posOffset>-1379220</wp:posOffset>
            </wp:positionV>
            <wp:extent cx="3429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3375025</wp:posOffset>
            </wp:positionH>
            <wp:positionV relativeFrom="paragraph">
              <wp:posOffset>-1379220</wp:posOffset>
            </wp:positionV>
            <wp:extent cx="1714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ectPr>
          <w:pgSz w:w="11900" w:h="16838" w:orient="portrait"/>
          <w:cols w:equalWidth="0" w:num="1">
            <w:col w:w="11020"/>
          </w:cols>
          <w:pgMar w:left="440" w:top="263" w:right="439" w:bottom="811" w:gutter="0" w:footer="0" w:header="0"/>
        </w:sectPr>
      </w:pPr>
    </w:p>
    <w:bookmarkStart w:id="60" w:name="page61"/>
    <w:bookmarkEnd w:id="60"/>
    <w:tbl>
      <w:tblPr>
        <w:tblLayout w:type="fixed"/>
        <w:tblInd w:w="300" w:type="dxa"/>
        <w:tblCellMar>
          <w:top w:w="0" w:type="dxa"/>
          <w:left w:w="0" w:type="dxa"/>
          <w:bottom w:w="0" w:type="dxa"/>
          <w:right w:w="0" w:type="dxa"/>
        </w:tblCellMar>
      </w:tblPr>
      <w:tr>
        <w:trPr>
          <w:trHeight w:val="161"/>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2680" w:type="dxa"/>
            <w:vAlign w:val="bottom"/>
          </w:tcPr>
          <w:p>
            <w:pPr>
              <w:spacing w:after="0"/>
              <w:rPr>
                <w:sz w:val="24"/>
                <w:szCs w:val="24"/>
                <w:color w:val="auto"/>
              </w:rPr>
            </w:pPr>
          </w:p>
        </w:tc>
        <w:tc>
          <w:tcPr>
            <w:tcW w:w="2380" w:type="dxa"/>
            <w:vAlign w:val="bottom"/>
            <w:gridSpan w:val="9"/>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24"/>
                <w:szCs w:val="24"/>
                <w:color w:val="auto"/>
              </w:rPr>
            </w:pPr>
          </w:p>
        </w:tc>
        <w:tc>
          <w:tcPr>
            <w:tcW w:w="1560" w:type="dxa"/>
            <w:vAlign w:val="bottom"/>
            <w:gridSpan w:val="7"/>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15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7"/>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50"/>
        </w:trPr>
        <w:tc>
          <w:tcPr>
            <w:tcW w:w="154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3"/>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3"/>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40" w:type="dxa"/>
            <w:vAlign w:val="bottom"/>
            <w:tcBorders>
              <w:bottom w:val="single" w:sz="8" w:color="CCEEFF"/>
            </w:tcBorders>
          </w:tcPr>
          <w:p>
            <w:pPr>
              <w:spacing w:after="0"/>
              <w:rPr>
                <w:sz w:val="21"/>
                <w:szCs w:val="21"/>
                <w:color w:val="auto"/>
              </w:rPr>
            </w:pPr>
          </w:p>
        </w:tc>
        <w:tc>
          <w:tcPr>
            <w:tcW w:w="26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gridSpan w:val="2"/>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gridSpan w:val="4"/>
          </w:tcPr>
          <w:p>
            <w:pPr>
              <w:jc w:val="right"/>
              <w:spacing w:after="0" w:line="243" w:lineRule="exact"/>
              <w:rPr>
                <w:sz w:val="20"/>
                <w:szCs w:val="20"/>
                <w:color w:val="auto"/>
              </w:rPr>
            </w:pPr>
            <w:r>
              <w:rPr>
                <w:rFonts w:ascii="Times New Roman" w:cs="Times New Roman" w:eastAsia="Times New Roman" w:hAnsi="Times New Roman"/>
                <w:sz w:val="14"/>
                <w:szCs w:val="14"/>
                <w:b w:val="1"/>
                <w:bCs w:val="1"/>
                <w:color w:val="auto"/>
                <w:w w:val="98"/>
              </w:rPr>
              <w:t>As Restated</w:t>
            </w:r>
            <w:r>
              <w:rPr>
                <w:rFonts w:ascii="Times New Roman" w:cs="Times New Roman" w:eastAsia="Times New Roman" w:hAnsi="Times New Roman"/>
                <w:sz w:val="23"/>
                <w:szCs w:val="23"/>
                <w:b w:val="1"/>
                <w:bCs w:val="1"/>
                <w:color w:val="auto"/>
                <w:w w:val="98"/>
                <w:vertAlign w:val="superscript"/>
              </w:rPr>
              <w:t>1</w:t>
            </w:r>
          </w:p>
        </w:tc>
        <w:tc>
          <w:tcPr>
            <w:tcW w:w="56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gridSpan w:val="2"/>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gridSpan w:val="4"/>
          </w:tcPr>
          <w:p>
            <w:pPr>
              <w:jc w:val="right"/>
              <w:spacing w:after="0" w:line="243" w:lineRule="exact"/>
              <w:rPr>
                <w:sz w:val="20"/>
                <w:szCs w:val="20"/>
                <w:color w:val="auto"/>
              </w:rPr>
            </w:pPr>
            <w:r>
              <w:rPr>
                <w:rFonts w:ascii="Times New Roman" w:cs="Times New Roman" w:eastAsia="Times New Roman" w:hAnsi="Times New Roman"/>
                <w:sz w:val="14"/>
                <w:szCs w:val="14"/>
                <w:b w:val="1"/>
                <w:bCs w:val="1"/>
                <w:color w:val="auto"/>
                <w:w w:val="98"/>
              </w:rPr>
              <w:t>As Restated</w:t>
            </w:r>
            <w:r>
              <w:rPr>
                <w:rFonts w:ascii="Times New Roman" w:cs="Times New Roman" w:eastAsia="Times New Roman" w:hAnsi="Times New Roman"/>
                <w:sz w:val="23"/>
                <w:szCs w:val="23"/>
                <w:b w:val="1"/>
                <w:bCs w:val="1"/>
                <w:color w:val="auto"/>
                <w:w w:val="98"/>
                <w:vertAlign w:val="superscript"/>
              </w:rPr>
              <w:t>1</w:t>
            </w:r>
          </w:p>
        </w:tc>
        <w:tc>
          <w:tcPr>
            <w:tcW w:w="0" w:type="dxa"/>
            <w:vAlign w:val="bottom"/>
          </w:tcPr>
          <w:p>
            <w:pPr>
              <w:spacing w:after="0"/>
              <w:rPr>
                <w:sz w:val="1"/>
                <w:szCs w:val="1"/>
                <w:color w:val="auto"/>
              </w:rPr>
            </w:pPr>
          </w:p>
        </w:tc>
      </w:tr>
      <w:tr>
        <w:trPr>
          <w:trHeight w:val="311"/>
        </w:trPr>
        <w:tc>
          <w:tcPr>
            <w:tcW w:w="4220" w:type="dxa"/>
            <w:vAlign w:val="bottom"/>
            <w:tcBorders>
              <w:bottom w:val="single" w:sz="8" w:color="CCEEFF"/>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360" w:type="dxa"/>
            <w:vAlign w:val="bottom"/>
            <w:tcBorders>
              <w:bottom w:val="single" w:sz="8" w:color="CCEEFF"/>
            </w:tcBorders>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tcBorders>
              <w:bottom w:val="single" w:sz="8" w:color="CCEEFF"/>
              <w:right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360" w:type="dxa"/>
            <w:vAlign w:val="bottom"/>
            <w:tcBorders>
              <w:bottom w:val="single" w:sz="8" w:color="CCEEFF"/>
            </w:tcBorders>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0"/>
        </w:trPr>
        <w:tc>
          <w:tcPr>
            <w:tcW w:w="4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136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56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36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2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36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tcBorders>
              <w:right w:val="single" w:sz="8" w:color="CCEEFF"/>
            </w:tcBorders>
            <w:shd w:val="clear" w:color="auto" w:fill="CCEEFF"/>
          </w:tcPr>
          <w:p>
            <w:pPr>
              <w:spacing w:after="0"/>
              <w:rPr>
                <w:sz w:val="23"/>
                <w:szCs w:val="2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36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2680" w:type="dxa"/>
            <w:vAlign w:val="bottom"/>
            <w:tcBorders>
              <w:top w:val="single" w:sz="8" w:color="CCEEFF"/>
              <w:right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right w:val="single" w:sz="8" w:color="CCEEFF"/>
            </w:tcBorders>
            <w:shd w:val="clear" w:color="auto" w:fill="CCEEFF"/>
          </w:tcPr>
          <w:p>
            <w:pPr>
              <w:spacing w:after="0"/>
              <w:rPr>
                <w:sz w:val="4"/>
                <w:szCs w:val="4"/>
                <w:color w:val="auto"/>
              </w:rPr>
            </w:pPr>
          </w:p>
        </w:tc>
        <w:tc>
          <w:tcPr>
            <w:tcW w:w="260" w:type="dxa"/>
            <w:vAlign w:val="bottom"/>
            <w:tcBorders>
              <w:top w:val="single" w:sz="8" w:color="auto"/>
              <w:right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5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2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136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560" w:type="dxa"/>
            <w:vAlign w:val="bottom"/>
            <w:tcBorders>
              <w:right w:val="single" w:sz="8" w:color="CCEEFF"/>
            </w:tcBorders>
            <w:shd w:val="clear" w:color="auto" w:fill="CCEEFF"/>
          </w:tcPr>
          <w:p>
            <w:pPr>
              <w:spacing w:after="0"/>
              <w:rPr>
                <w:sz w:val="23"/>
                <w:szCs w:val="2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36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2680" w:type="dxa"/>
            <w:vAlign w:val="bottom"/>
            <w:tcBorders>
              <w:top w:val="single" w:sz="8" w:color="CCEEFF"/>
              <w:right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right w:val="single" w:sz="8" w:color="CCEEFF"/>
            </w:tcBorders>
            <w:shd w:val="clear" w:color="auto" w:fill="CCEEFF"/>
          </w:tcPr>
          <w:p>
            <w:pPr>
              <w:spacing w:after="0"/>
              <w:rPr>
                <w:sz w:val="4"/>
                <w:szCs w:val="4"/>
                <w:color w:val="auto"/>
              </w:rPr>
            </w:pPr>
          </w:p>
        </w:tc>
        <w:tc>
          <w:tcPr>
            <w:tcW w:w="260" w:type="dxa"/>
            <w:vAlign w:val="bottom"/>
            <w:tcBorders>
              <w:top w:val="single" w:sz="8" w:color="auto"/>
              <w:right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13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3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2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right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CCEEFF"/>
              <w:right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220" w:type="dxa"/>
            <w:vAlign w:val="bottom"/>
            <w:tcBorders>
              <w:bottom w:val="single" w:sz="8" w:color="CCEEFF"/>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tcBorders>
              <w:bottom w:val="single" w:sz="8" w:color="CCEEFF"/>
            </w:tcBorders>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0"/>
        </w:trPr>
        <w:tc>
          <w:tcPr>
            <w:tcW w:w="4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5"/>
              </w:rPr>
              <w:t>    0%</w:t>
            </w: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8"/>
        </w:trPr>
        <w:tc>
          <w:tcPr>
            <w:tcW w:w="154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220" w:type="dxa"/>
            <w:vAlign w:val="bottom"/>
            <w:tcBorders>
              <w:bottom w:val="single" w:sz="8" w:color="CCEEFF"/>
              <w:right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1360" w:type="dxa"/>
            <w:vAlign w:val="bottom"/>
            <w:tcBorders>
              <w:bottom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Borders>
              <w:bottom w:val="single" w:sz="8" w:color="CCEEFF"/>
              <w:right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1"/>
              </w:rPr>
              <w:t>    6%</w:t>
            </w:r>
          </w:p>
        </w:tc>
        <w:tc>
          <w:tcPr>
            <w:tcW w:w="1360" w:type="dxa"/>
            <w:vAlign w:val="bottom"/>
            <w:tcBorders>
              <w:bottom w:val="single" w:sz="8" w:color="CCEEFF"/>
            </w:tcBorders>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5"/>
              </w:rPr>
              <w:t>    0%</w:t>
            </w: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1"/>
              </w:rPr>
              <w:t>    0%</w:t>
            </w:r>
          </w:p>
        </w:tc>
        <w:tc>
          <w:tcPr>
            <w:tcW w:w="11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154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220" w:type="dxa"/>
            <w:vAlign w:val="bottom"/>
            <w:tcBorders>
              <w:bottom w:val="single" w:sz="8" w:color="CCEEFF"/>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1360" w:type="dxa"/>
            <w:vAlign w:val="bottom"/>
            <w:tcBorders>
              <w:bottom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Borders>
              <w:bottom w:val="single" w:sz="8" w:color="CCEEFF"/>
              <w:right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360" w:type="dxa"/>
            <w:vAlign w:val="bottom"/>
            <w:tcBorders>
              <w:bottom w:val="single" w:sz="8" w:color="CCEEFF"/>
            </w:tcBorders>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2"/>
        </w:trPr>
        <w:tc>
          <w:tcPr>
            <w:tcW w:w="4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3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8"/>
        </w:trPr>
        <w:tc>
          <w:tcPr>
            <w:tcW w:w="154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42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w:t>
            </w: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60" w:type="dxa"/>
            <w:vAlign w:val="bottom"/>
            <w:tcBorders>
              <w:right w:val="single" w:sz="8" w:color="CCEEFF"/>
            </w:tcBorders>
            <w:shd w:val="clear" w:color="auto" w:fill="CCEEFF"/>
          </w:tcPr>
          <w:p>
            <w:pPr>
              <w:spacing w:after="0"/>
              <w:rPr>
                <w:sz w:val="23"/>
                <w:szCs w:val="23"/>
                <w:color w:val="auto"/>
              </w:rPr>
            </w:pPr>
          </w:p>
        </w:tc>
        <w:tc>
          <w:tcPr>
            <w:tcW w:w="260" w:type="dxa"/>
            <w:vAlign w:val="bottom"/>
            <w:tcBorders>
              <w:right w:val="single" w:sz="8" w:color="CCEEFF"/>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4220" w:type="dxa"/>
            <w:vAlign w:val="bottom"/>
            <w:tcBorders>
              <w:right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 Inc.</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78"/>
              </w:rPr>
              <w:t>   7%</w:t>
            </w: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82"/>
              </w:rPr>
              <w:t>   (3)%</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4"/>
              </w:rPr>
              <w:t>   4%</w:t>
            </w: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5"/>
              </w:rPr>
              <w:t>   (2)%</w:t>
            </w:r>
          </w:p>
        </w:tc>
        <w:tc>
          <w:tcPr>
            <w:tcW w:w="0" w:type="dxa"/>
            <w:vAlign w:val="bottom"/>
          </w:tcPr>
          <w:p>
            <w:pPr>
              <w:spacing w:after="0"/>
              <w:rPr>
                <w:sz w:val="1"/>
                <w:szCs w:val="1"/>
                <w:color w:val="auto"/>
              </w:rPr>
            </w:pPr>
          </w:p>
        </w:tc>
      </w:tr>
      <w:tr>
        <w:trPr>
          <w:trHeight w:val="27"/>
        </w:trPr>
        <w:tc>
          <w:tcPr>
            <w:tcW w:w="1540" w:type="dxa"/>
            <w:vAlign w:val="bottom"/>
            <w:tcBorders>
              <w:top w:val="single" w:sz="8" w:color="CCEEFF"/>
            </w:tcBorders>
            <w:shd w:val="clear" w:color="auto" w:fill="CCEEFF"/>
          </w:tcPr>
          <w:p>
            <w:pPr>
              <w:spacing w:after="0"/>
              <w:rPr>
                <w:sz w:val="2"/>
                <w:szCs w:val="2"/>
                <w:color w:val="auto"/>
              </w:rPr>
            </w:pPr>
          </w:p>
        </w:tc>
        <w:tc>
          <w:tcPr>
            <w:tcW w:w="268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auto"/>
              <w:right w:val="single" w:sz="8" w:color="auto"/>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auto"/>
              <w:right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-3462655</wp:posOffset>
            </wp:positionV>
            <wp:extent cx="3429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-3462655</wp:posOffset>
            </wp:positionV>
            <wp:extent cx="3429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-3462655</wp:posOffset>
            </wp:positionV>
            <wp:extent cx="3429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-3462655</wp:posOffset>
            </wp:positionV>
            <wp:extent cx="1714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240030</wp:posOffset>
            </wp:positionV>
            <wp:extent cx="8229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640" w:right="299" w:hanging="348"/>
        <w:spacing w:after="0" w:line="241"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2023, net revenues and general and administrative expenses have been retrospectively adjusted to reflect the restatement of previously reported revenue and credit losses. See Note 2, “Summary of Significant Accounting Policies,” to our unaudited condensed consolidated financial statements included in this prospectus for further information.</w:t>
      </w: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2024 and 2023</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7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2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50"/>
        </w:trPr>
        <w:tc>
          <w:tcPr>
            <w:tcW w:w="51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900" w:type="dxa"/>
            <w:vAlign w:val="bottom"/>
            <w:vMerge w:val="restart"/>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60" w:type="dxa"/>
            <w:vAlign w:val="bottom"/>
          </w:tcPr>
          <w:p>
            <w:pPr>
              <w:jc w:val="center"/>
              <w:ind w:left="8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54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480" w:type="dxa"/>
            <w:vAlign w:val="bottom"/>
            <w:tcBorders>
              <w:bottom w:val="single" w:sz="8" w:color="auto"/>
            </w:tcBorders>
            <w:gridSpan w:val="2"/>
          </w:tcPr>
          <w:p>
            <w:pPr>
              <w:jc w:val="center"/>
              <w:ind w:left="4"/>
              <w:spacing w:after="0" w:line="243"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540" w:type="dxa"/>
            <w:vAlign w:val="bottom"/>
            <w:tcBorders>
              <w:bottom w:val="single" w:sz="8" w:color="auto"/>
            </w:tcBorders>
            <w:vMerge w:val="continue"/>
          </w:tcPr>
          <w:p>
            <w:pPr>
              <w:spacing w:after="0"/>
              <w:rPr>
                <w:sz w:val="21"/>
                <w:szCs w:val="21"/>
                <w:color w:val="auto"/>
              </w:rPr>
            </w:pPr>
          </w:p>
        </w:tc>
        <w:tc>
          <w:tcPr>
            <w:tcW w:w="4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5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5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$46,552</w:t>
            </w:r>
          </w:p>
        </w:tc>
        <w:tc>
          <w:tcPr>
            <w:tcW w:w="1360" w:type="dxa"/>
            <w:vAlign w:val="bottom"/>
            <w:shd w:val="clear" w:color="auto" w:fill="CCEEFF"/>
          </w:tcPr>
          <w:p>
            <w:pPr>
              <w:jc w:val="center"/>
              <w:ind w:left="124"/>
              <w:spacing w:after="0"/>
              <w:rPr>
                <w:sz w:val="20"/>
                <w:szCs w:val="20"/>
                <w:color w:val="auto"/>
              </w:rPr>
            </w:pPr>
            <w:r>
              <w:rPr>
                <w:rFonts w:ascii="Times New Roman" w:cs="Times New Roman" w:eastAsia="Times New Roman" w:hAnsi="Times New Roman"/>
                <w:sz w:val="18"/>
                <w:szCs w:val="18"/>
                <w:color w:val="auto"/>
              </w:rPr>
              <w:t>$46,687</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$(135)</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54"/>
        </w:trPr>
        <w:tc>
          <w:tcPr>
            <w:tcW w:w="5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5243195</wp:posOffset>
            </wp:positionH>
            <wp:positionV relativeFrom="paragraph">
              <wp:posOffset>-402590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-402590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-402590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4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September 30, 2023, net revenues has been retrospectively adjusted to reflect the restatement of previously reported revenue. See Note 2, “Summary of Significant Accounting Policies,” to our unaudited condensed consolidated financial statements included in this prospectus for further information.</w:t>
      </w:r>
    </w:p>
    <w:p>
      <w:pPr>
        <w:spacing w:after="0" w:line="73"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Net revenues decreased by $0.1 million or less than 0.1% for the three months ended September 30, 2024 compared to the same period in 2023. The decrease was primarily due to a decrease in net revenues from our Featured Listing and WM Deal products of $2.7 million driven by our clients continuing to face constrained marketing budgets, the ongoing consolidation of our industry, partially offset by an increase in net revenues from our Weedmaps for Business and other SaaS solutions of $2.7 million driven by favorable pricing changes partially offset by a loss in revenue from products that were sunset in December 2023.</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Featured Listing and WM Deal products, Weedmaps for Business and other ad solutions represented approximately 63%, 29% and 8% of our total net revenues,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shows our total costs and expenses:</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12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500" w:type="dxa"/>
            <w:vAlign w:val="bottom"/>
            <w:gridSpan w:val="2"/>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120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540" w:type="dxa"/>
            <w:vAlign w:val="bottom"/>
            <w:tcBorders>
              <w:top w:val="single" w:sz="8" w:color="auto"/>
            </w:tcBorders>
            <w:gridSpan w:val="6"/>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12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$ 2,182</w:t>
            </w:r>
          </w:p>
        </w:tc>
        <w:tc>
          <w:tcPr>
            <w:tcW w:w="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$ 3,015</w:t>
            </w:r>
          </w:p>
        </w:tc>
        <w:tc>
          <w:tcPr>
            <w:tcW w:w="10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gridSpan w:val="4"/>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   (833)</w:t>
            </w: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60" w:type="dxa"/>
            <w:vAlign w:val="bottom"/>
          </w:tcPr>
          <w:p>
            <w:pPr>
              <w:spacing w:after="0"/>
              <w:rPr>
                <w:sz w:val="23"/>
                <w:szCs w:val="23"/>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11,544</w:t>
            </w:r>
          </w:p>
        </w:tc>
        <w:tc>
          <w:tcPr>
            <w:tcW w:w="1860" w:type="dxa"/>
            <w:vAlign w:val="bottom"/>
            <w:gridSpan w:val="4"/>
          </w:tcPr>
          <w:p>
            <w:pPr>
              <w:jc w:val="right"/>
              <w:ind w:right="508"/>
              <w:spacing w:after="0"/>
              <w:rPr>
                <w:sz w:val="20"/>
                <w:szCs w:val="20"/>
                <w:color w:val="auto"/>
              </w:rPr>
            </w:pPr>
            <w:r>
              <w:rPr>
                <w:rFonts w:ascii="Times New Roman" w:cs="Times New Roman" w:eastAsia="Times New Roman" w:hAnsi="Times New Roman"/>
                <w:sz w:val="18"/>
                <w:szCs w:val="18"/>
                <w:color w:val="auto"/>
              </w:rPr>
              <w:t>(1,873)</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6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100" w:type="dxa"/>
            <w:vAlign w:val="bottom"/>
          </w:tcPr>
          <w:p>
            <w:pPr>
              <w:spacing w:after="0"/>
              <w:rPr>
                <w:sz w:val="23"/>
                <w:szCs w:val="23"/>
                <w:color w:val="auto"/>
              </w:rPr>
            </w:pPr>
          </w:p>
        </w:tc>
        <w:tc>
          <w:tcPr>
            <w:tcW w:w="1860" w:type="dxa"/>
            <w:vAlign w:val="bottom"/>
            <w:gridSpan w:val="4"/>
          </w:tcPr>
          <w:p>
            <w:pPr>
              <w:jc w:val="right"/>
              <w:ind w:right="508"/>
              <w:spacing w:after="0"/>
              <w:rPr>
                <w:sz w:val="20"/>
                <w:szCs w:val="20"/>
                <w:color w:val="auto"/>
              </w:rPr>
            </w:pPr>
            <w:r>
              <w:rPr>
                <w:rFonts w:ascii="Times New Roman" w:cs="Times New Roman" w:eastAsia="Times New Roman" w:hAnsi="Times New Roman"/>
                <w:sz w:val="18"/>
                <w:szCs w:val="18"/>
                <w:color w:val="auto"/>
              </w:rPr>
              <w:t>(1,657)</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6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920" w:type="dxa"/>
            <w:vAlign w:val="bottom"/>
          </w:tcPr>
          <w:p>
            <w:pPr>
              <w:spacing w:after="0"/>
              <w:rPr>
                <w:sz w:val="23"/>
                <w:szCs w:val="23"/>
                <w:color w:val="auto"/>
              </w:rPr>
            </w:pP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00" w:type="dxa"/>
            <w:vAlign w:val="bottom"/>
          </w:tcPr>
          <w:p>
            <w:pPr>
              <w:spacing w:after="0"/>
              <w:rPr>
                <w:sz w:val="23"/>
                <w:szCs w:val="23"/>
                <w:color w:val="auto"/>
              </w:rPr>
            </w:pPr>
          </w:p>
        </w:tc>
        <w:tc>
          <w:tcPr>
            <w:tcW w:w="1860" w:type="dxa"/>
            <w:vAlign w:val="bottom"/>
            <w:gridSpan w:val="4"/>
          </w:tcPr>
          <w:p>
            <w:pPr>
              <w:jc w:val="right"/>
              <w:ind w:right="508"/>
              <w:spacing w:after="0"/>
              <w:rPr>
                <w:sz w:val="20"/>
                <w:szCs w:val="20"/>
                <w:color w:val="auto"/>
              </w:rPr>
            </w:pPr>
            <w:r>
              <w:rPr>
                <w:rFonts w:ascii="Times New Roman" w:cs="Times New Roman" w:eastAsia="Times New Roman" w:hAnsi="Times New Roman"/>
                <w:sz w:val="18"/>
                <w:szCs w:val="18"/>
                <w:color w:val="auto"/>
              </w:rPr>
              <w:t>(8,382)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0" w:type="dxa"/>
            <w:vAlign w:val="bottom"/>
          </w:tcPr>
          <w:p>
            <w:pPr>
              <w:spacing w:after="0"/>
              <w:rPr>
                <w:sz w:val="1"/>
                <w:szCs w:val="1"/>
                <w:color w:val="auto"/>
              </w:rPr>
            </w:pPr>
          </w:p>
        </w:tc>
      </w:tr>
      <w:tr>
        <w:trPr>
          <w:trHeight w:val="48"/>
        </w:trPr>
        <w:tc>
          <w:tcPr>
            <w:tcW w:w="12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$ 41,348</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52,235</w:t>
            </w:r>
          </w:p>
        </w:tc>
        <w:tc>
          <w:tcPr>
            <w:tcW w:w="1860" w:type="dxa"/>
            <w:vAlign w:val="bottom"/>
            <w:gridSpan w:val="4"/>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(10,887)</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(127)%</w:t>
            </w:r>
          </w:p>
        </w:tc>
        <w:tc>
          <w:tcPr>
            <w:tcW w:w="0" w:type="dxa"/>
            <w:vAlign w:val="bottom"/>
          </w:tcPr>
          <w:p>
            <w:pPr>
              <w:spacing w:after="0"/>
              <w:rPr>
                <w:sz w:val="1"/>
                <w:szCs w:val="1"/>
                <w:color w:val="auto"/>
              </w:rPr>
            </w:pPr>
          </w:p>
        </w:tc>
      </w:tr>
      <w:tr>
        <w:trPr>
          <w:trHeight w:val="162"/>
        </w:trPr>
        <w:tc>
          <w:tcPr>
            <w:tcW w:w="1280" w:type="dxa"/>
            <w:vAlign w:val="bottom"/>
            <w:tcBorders>
              <w:top w:val="single" w:sz="8" w:color="CCEEFF"/>
              <w:bottom w:val="single" w:sz="8" w:color="auto"/>
            </w:tcBorders>
          </w:tcPr>
          <w:p>
            <w:pPr>
              <w:spacing w:after="0"/>
              <w:rPr>
                <w:sz w:val="14"/>
                <w:szCs w:val="14"/>
                <w:color w:val="auto"/>
              </w:rPr>
            </w:pPr>
          </w:p>
        </w:tc>
        <w:tc>
          <w:tcPr>
            <w:tcW w:w="182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4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4831715</wp:posOffset>
            </wp:positionH>
            <wp:positionV relativeFrom="paragraph">
              <wp:posOffset>-1765300</wp:posOffset>
            </wp:positionV>
            <wp:extent cx="3600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-1765300</wp:posOffset>
            </wp:positionV>
            <wp:extent cx="3600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-1765300</wp:posOffset>
            </wp:positionV>
            <wp:extent cx="3600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1" w:lineRule="exact"/>
        <w:rPr>
          <w:sz w:val="20"/>
          <w:szCs w:val="20"/>
          <w:color w:val="auto"/>
        </w:rPr>
      </w:pPr>
    </w:p>
    <w:p>
      <w:pPr>
        <w:jc w:val="both"/>
        <w:ind w:left="640" w:right="319" w:hanging="348"/>
        <w:spacing w:after="0" w:line="241" w:lineRule="auto"/>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September 30, 2023, general and administrative expenses have been retrospectively adjusted to reflect the restatement of previously reported credit losses. See Note 2, “Summary of Significant Accounting Policies,” to our unaudited condensed consolidated financial statements included in this prospectus for further information.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decrease in cost of revenues was primarily related to a decrease of $0.6 million for cost of revenues associated with multi-channel marketing and cloud communication platforms, primarily due to the sunset in December 2023 of WM CRM, WM Screens and WM AdSuite and a decrease of $0.2 million in server costs.</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decrease in sales and marketing expenses was primarily related to decreases in personnel-related costs of $0.4 million, decrease in advertising expense of $1.2 million and a decrease in event expense of $0.3 million. The decrease in personnel related costs was primarily driven by lower headcount resulting in decreases in salaries and wages of $0.4 million, stock-based compensation expense of $0.2 million and payroll tax expense of $0.1 million, partially offset by increases in bonus and commission expense of $0.3 million.</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increase in product development expenses was primarily due to an increase in contracted outside services expense of $0.6 million and an increase in personnel-related costs of $1.1 million. The increase in personnel-related costs was primarily due to increases in salaries and bonus expense of $1.1 million driven by lower capitalized software development costs compared to the same period in 2023, resulting in an increase in net salaries and wages expense.</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due to decreases in salaries and wages of $0.2 million, stock-based compensation expense of $0.5 million, employee benefits of $0.2 million, rent expense of $0.5 million due to gain from lease modification, professional legal and audit services of $0.4 million, facilities expense of $0.8 million, software expense of $0.3 million, and insurance expense of $0.3 million, partially offset by increases in bonus expense of $0.5 million, outside service expense of $0.2 million, office expense of $0.5 million and provision for credit losses of $0.1 million, payroll tax of $0.1 million and severance of $0.1 million.</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expense was primarily due to an increase in capitalized software amortization, partially offset by a decrease in amortization of intangible assets.</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Asset Impairment Charges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decrease in asset impairment charges was primarily due to $8.3 million in impairment of intangible assets and property and equipment associated with the sunset of certain product offerings in December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4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0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47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47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1"/>
        </w:trPr>
        <w:tc>
          <w:tcPr>
            <w:tcW w:w="47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0"/>
        </w:trPr>
        <w:tc>
          <w:tcPr>
            <w:tcW w:w="4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3"/>
              </w:rPr>
              <w:t>$ ​585</w:t>
            </w:r>
          </w:p>
        </w:tc>
        <w:tc>
          <w:tcPr>
            <w:tcW w:w="13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(460)</w:t>
            </w: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 ​1,045</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(227)%</w:t>
            </w:r>
          </w:p>
        </w:tc>
      </w:tr>
      <w:tr>
        <w:trPr>
          <w:trHeight w:val="257"/>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(548)</w:t>
            </w: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(479)</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694%</w:t>
            </w:r>
          </w:p>
        </w:tc>
      </w:tr>
      <w:tr>
        <w:trPr>
          <w:trHeight w:val="40"/>
        </w:trPr>
        <w:tc>
          <w:tcPr>
            <w:tcW w:w="4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43"/>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w:t>
            </w:r>
          </w:p>
        </w:tc>
        <w:tc>
          <w:tcPr>
            <w:tcW w:w="13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3,565</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(3,467)</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r>
      <w:tr>
        <w:trPr>
          <w:trHeight w:val="61"/>
        </w:trPr>
        <w:tc>
          <w:tcPr>
            <w:tcW w:w="47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28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3"/>
              </w:rPr>
              <w:t>$ ​135</w:t>
            </w: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$3,036</w:t>
            </w:r>
          </w:p>
        </w:tc>
        <w:tc>
          <w:tcPr>
            <w:tcW w:w="14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$(2,901</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5106035</wp:posOffset>
            </wp:positionH>
            <wp:positionV relativeFrom="paragraph">
              <wp:posOffset>-967740</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-967740</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-967740</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decrease in other income (expense), net was primarily due to favorable changes in fair value of warrant liability of $1.0 million, a decrease in TRA liability of $0.5 million and a decrease in other income of $3.5 million, primarily due to a non-cash gain recorded in September 2023 of $3.7 million associated with the discharge of a holdback obligation related to a prior acquisition.</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53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227"/>
        </w:trPr>
        <w:tc>
          <w:tcPr>
            <w:tcW w:w="5320" w:type="dxa"/>
            <w:vAlign w:val="bottom"/>
          </w:tcPr>
          <w:p>
            <w:pPr>
              <w:spacing w:after="0"/>
              <w:rPr>
                <w:sz w:val="19"/>
                <w:szCs w:val="19"/>
                <w:color w:val="auto"/>
              </w:rPr>
            </w:pP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4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1"/>
        </w:trPr>
        <w:tc>
          <w:tcPr>
            <w:tcW w:w="53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227"/>
        </w:trPr>
        <w:tc>
          <w:tcPr>
            <w:tcW w:w="5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50"/>
        </w:trPr>
        <w:tc>
          <w:tcPr>
            <w:tcW w:w="5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8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$21</w:t>
            </w:r>
          </w:p>
        </w:tc>
        <w:tc>
          <w:tcPr>
            <w:tcW w:w="1580" w:type="dxa"/>
            <w:vAlign w:val="bottom"/>
            <w:gridSpan w:val="2"/>
            <w:shd w:val="clear" w:color="auto" w:fill="CCEEFF"/>
          </w:tcPr>
          <w:p>
            <w:pPr>
              <w:jc w:val="center"/>
              <w:ind w:left="22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N/M</w:t>
            </w:r>
          </w:p>
        </w:tc>
      </w:tr>
      <w:tr>
        <w:trPr>
          <w:trHeight w:val="54"/>
        </w:trPr>
        <w:tc>
          <w:tcPr>
            <w:tcW w:w="53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4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5243195</wp:posOffset>
            </wp:positionH>
            <wp:positionV relativeFrom="paragraph">
              <wp:posOffset>-401955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-401955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-401955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0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we recorded $21 thousand in income tax provisions due to the impact of the full valuation allowance on its net deferred assets. See Note 2, “Summary of Significant Accounting Policies,” to our unaudited condensed consolidated financial statements included in this prospectus for further information.</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2024 and 2023</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50"/>
        </w:trPr>
        <w:tc>
          <w:tcPr>
            <w:tcW w:w="506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5060" w:type="dxa"/>
            <w:vAlign w:val="bottom"/>
          </w:tcPr>
          <w:p>
            <w:pPr>
              <w:spacing w:after="0"/>
              <w:rPr>
                <w:sz w:val="15"/>
                <w:szCs w:val="15"/>
                <w:color w:val="auto"/>
              </w:rPr>
            </w:pPr>
          </w:p>
        </w:tc>
        <w:tc>
          <w:tcPr>
            <w:tcW w:w="940" w:type="dxa"/>
            <w:vAlign w:val="bottom"/>
            <w:vMerge w:val="restart"/>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0" w:type="dxa"/>
            <w:vAlign w:val="bottom"/>
            <w:gridSpan w:val="2"/>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3"/>
        </w:trPr>
        <w:tc>
          <w:tcPr>
            <w:tcW w:w="5060" w:type="dxa"/>
            <w:vAlign w:val="bottom"/>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1240" w:type="dxa"/>
            <w:vAlign w:val="bottom"/>
            <w:tcBorders>
              <w:bottom w:val="single" w:sz="8" w:color="auto"/>
            </w:tcBorders>
          </w:tcPr>
          <w:p>
            <w:pPr>
              <w:jc w:val="center"/>
              <w:ind w:left="84"/>
              <w:spacing w:after="0" w:line="243"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800" w:type="dxa"/>
            <w:vAlign w:val="bottom"/>
            <w:tcBorders>
              <w:bottom w:val="single" w:sz="8" w:color="auto"/>
            </w:tcBorders>
            <w:gridSpan w:val="2"/>
            <w:vMerge w:val="continue"/>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5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50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$136,844</w:t>
            </w:r>
          </w:p>
        </w:tc>
        <w:tc>
          <w:tcPr>
            <w:tcW w:w="1240" w:type="dxa"/>
            <w:vAlign w:val="bottom"/>
            <w:shd w:val="clear" w:color="auto" w:fill="CCEEFF"/>
          </w:tcPr>
          <w:p>
            <w:pPr>
              <w:jc w:val="center"/>
              <w:ind w:left="84"/>
              <w:spacing w:after="0"/>
              <w:rPr>
                <w:sz w:val="20"/>
                <w:szCs w:val="20"/>
                <w:color w:val="auto"/>
              </w:rPr>
            </w:pPr>
            <w:r>
              <w:rPr>
                <w:rFonts w:ascii="Times New Roman" w:cs="Times New Roman" w:eastAsia="Times New Roman" w:hAnsi="Times New Roman"/>
                <w:sz w:val="18"/>
                <w:szCs w:val="18"/>
                <w:color w:val="auto"/>
              </w:rPr>
              <w:t>$141,526</w:t>
            </w:r>
          </w:p>
        </w:tc>
        <w:tc>
          <w:tcPr>
            <w:tcW w:w="8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$(4,682)</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54"/>
        </w:trPr>
        <w:tc>
          <w:tcPr>
            <w:tcW w:w="506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-402590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-402590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-402590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4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nine months ended September 30, 2023, net revenues has been retrospectively adjusted to reflect the restatement of previously reported revenue. See Note 2, “Summary of Significant Accounting Policies,” to our unaudited condensed consolidated financial statements included in this prospectus for further information.</w:t>
      </w:r>
    </w:p>
    <w:p>
      <w:pPr>
        <w:spacing w:after="0" w:line="73"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Net revenues decreased by $4.7 million, or 3%, for the nine months ended September 30, 2024 compared to the same period in 2023. The decrease was primarily due to a decrease in net revenues from our Featured Listing and WM Deal products of $11.0 million driven by our clients continuing to face constrained marketing budgets, the ongoing consolidation of our industry, partially offset by an increase in net revenues from our Weedmaps for Business and other SaaS solutions of $6.4 million driven by favorable pricing changes partially offset by a loss in revenue from products that were sunset in December 2023.</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For nine months ended September 30, 2024, Featured Listing and WM Deal products, Weedmaps for Business and other ad solutions represented approximately 63%, 29% and 8% of our total net revenues,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shows our total costs and expenses:</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8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36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68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4"/>
          </w:tcPr>
          <w:p>
            <w:pPr>
              <w:ind w:left="100"/>
              <w:spacing w:after="0" w:line="243"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68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36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 (3,019)</w:t>
            </w: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36,171</w:t>
            </w:r>
          </w:p>
        </w:tc>
        <w:tc>
          <w:tcPr>
            <w:tcW w:w="2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(5,797)</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54"/>
        </w:trPr>
        <w:tc>
          <w:tcPr>
            <w:tcW w:w="36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27,882</w:t>
            </w: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55,839</w:t>
            </w:r>
          </w:p>
        </w:tc>
        <w:tc>
          <w:tcPr>
            <w:tcW w:w="2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(4,290)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54"/>
        </w:trPr>
        <w:tc>
          <w:tcPr>
            <w:tcW w:w="36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0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(8,382)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0" w:type="dxa"/>
            <w:vAlign w:val="bottom"/>
          </w:tcPr>
          <w:p>
            <w:pPr>
              <w:spacing w:after="0"/>
              <w:rPr>
                <w:sz w:val="1"/>
                <w:szCs w:val="1"/>
                <w:color w:val="auto"/>
              </w:rPr>
            </w:pPr>
          </w:p>
        </w:tc>
      </w:tr>
      <w:tr>
        <w:trPr>
          <w:trHeight w:val="61"/>
        </w:trPr>
        <w:tc>
          <w:tcPr>
            <w:tcW w:w="36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126,648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147,439</w:t>
            </w: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 (20,791)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(151)%</w:t>
            </w:r>
          </w:p>
        </w:tc>
        <w:tc>
          <w:tcPr>
            <w:tcW w:w="0" w:type="dxa"/>
            <w:vAlign w:val="bottom"/>
          </w:tcPr>
          <w:p>
            <w:pPr>
              <w:spacing w:after="0"/>
              <w:rPr>
                <w:sz w:val="1"/>
                <w:szCs w:val="1"/>
                <w:color w:val="auto"/>
              </w:rPr>
            </w:pPr>
          </w:p>
        </w:tc>
      </w:tr>
      <w:tr>
        <w:trPr>
          <w:trHeight w:val="27"/>
        </w:trPr>
        <w:tc>
          <w:tcPr>
            <w:tcW w:w="360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right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right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auto"/>
              <w:right w:val="single" w:sz="8" w:color="auto"/>
            </w:tcBorders>
            <w:shd w:val="clear" w:color="auto" w:fill="000000"/>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auto"/>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5071745</wp:posOffset>
            </wp:positionH>
            <wp:positionV relativeFrom="paragraph">
              <wp:posOffset>-1654175</wp:posOffset>
            </wp:positionV>
            <wp:extent cx="1200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-1654175</wp:posOffset>
            </wp:positionV>
            <wp:extent cx="1200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-1654175</wp:posOffset>
            </wp:positionV>
            <wp:extent cx="1200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jc w:val="both"/>
        <w:ind w:left="640" w:right="299" w:hanging="348"/>
        <w:spacing w:after="0" w:line="241"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nine months ended September 30, 2023, general and administrative expenses have been retrospectively adjusted to reflect the restatement of previously reported credit losses. See Note 2, “Summary of Significant Accounting Policies,” to our unaudited condensed consolidated financial statements included in this prospectus for further information.</w:t>
      </w: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decrease in cost of revenue was primarily related to a decrease of $2.3 million for cost of revenues associated with multi-channel marketing and cloud communication platforms primarily due to the sunset in December 2023 of WM CRM, WM Screens and WM AdSuite and a decrease of $0.7 million in server costs.</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decrease in sales and marketing expenses was primarily due to a decrease in personnel-related costs of $5.6 million, a decrease in outside services of $0.4 million and a decrease in advertising expense of $0.7 million, partially offset by an increase in event expense of $0.2 million and an increase in print and products expense of $0.7 million. The decrease in personnel-related costs was primarily driven by lower headcount resulting in decreases in salaries and wages of $2.5 million, bonus expense of $1.8 million, payroll taxes of $0.3 million and $1.0 million in stock-based compensation expense.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increase in product development expenses was due to an increase in outside increase in travel and entertainment expense of $0.1 million partially offset by a decrease in personnel-related costs of $1.4 million. The decrease in personnel-related costs was primarily due to decreases in salaries and wages of $1.0 million, driven by a decline in headcount, partially offset by lower capitalized so the same period in 2023 and stock-based compensation expense of $0.4 million.</w:t>
      </w:r>
    </w:p>
    <w:p>
      <w:pPr>
        <w:spacing w:after="0" w:line="3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due to a decrease in personnel-related costs of $3.0 million, a decrease in facilities expense of $1.7 million, a decrease in insurance expense of $1.4 million, a decrease in rent expense of $0.8 million, a decrease in software expense of $0.9 million and a decrease in provision for credit losses of $0.1 million, partially offset by $1.5 million charge recorded in the second quarter of 2024 related to potential settlement of an SEC matter, increases in professional legal and audit services of $0.5 million, an increase in office expense of $0.5 million, an increase in promotional expense of $0.2 million and an increase in outside service expense of $0.9 million.</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decrease in personnel-related costs was primarily driven by lower headcount resulting into a decrease in salaries and wages of $1.2 million, a decrease in severance costs of $0.5 million, a decrease in stock-based compensation expense of $1.8 million, a decrease in employee benefit expense of $0.4 million, partially offset by an increase 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bonus expense of $0.8 million and an increase in payroll tax expense of $0.1 million. See Note 4, “Commitments and Contingencies” to our unaudited condensed consolidated financial statements included in this prospectus for additional information related to the potential settlement of an SEC matter.</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decrease in depreciation and amortization expense was primarily due to an increase in capitalized software amortization, partially offset by a decrease in amortization of intangible assets.</w:t>
      </w:r>
    </w:p>
    <w:p>
      <w:pPr>
        <w:spacing w:after="0" w:line="3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Asset Impairment Charges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decrease in asset impairment charges was primarily due to $8.3 million in impairment of intangible assets and property and equipment associated with the sunset of certain product offerings in December 2023.</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00" w:type="dxa"/>
            <w:vAlign w:val="bottom"/>
          </w:tcPr>
          <w:p>
            <w:pPr>
              <w:spacing w:after="0"/>
              <w:rPr>
                <w:sz w:val="13"/>
                <w:szCs w:val="13"/>
                <w:color w:val="auto"/>
              </w:rPr>
            </w:pPr>
          </w:p>
        </w:tc>
        <w:tc>
          <w:tcPr>
            <w:tcW w:w="150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5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6"/>
                <w:szCs w:val="16"/>
                <w:color w:val="auto"/>
              </w:rPr>
            </w:pPr>
          </w:p>
        </w:tc>
        <w:tc>
          <w:tcPr>
            <w:tcW w:w="15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0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5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9"/>
                <w:szCs w:val="19"/>
                <w:color w:val="auto"/>
              </w:rPr>
            </w:pP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9"/>
                <w:szCs w:val="19"/>
                <w:color w:val="auto"/>
              </w:rPr>
            </w:pPr>
          </w:p>
        </w:tc>
        <w:tc>
          <w:tcPr>
            <w:tcW w:w="8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50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5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50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195</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(780)</w:t>
            </w:r>
          </w:p>
        </w:tc>
        <w:tc>
          <w:tcPr>
            <w:tcW w:w="126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975</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(125)%</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8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(1,486)</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(797)</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54"/>
        </w:trPr>
        <w:tc>
          <w:tcPr>
            <w:tcW w:w="50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60" w:type="dxa"/>
            <w:vAlign w:val="bottom"/>
            <w:shd w:val="clear" w:color="auto" w:fill="CCEEFF"/>
          </w:tcPr>
          <w:p>
            <w:pPr>
              <w:spacing w:after="0"/>
              <w:rPr>
                <w:sz w:val="22"/>
                <w:szCs w:val="22"/>
                <w:color w:val="auto"/>
              </w:rPr>
            </w:pPr>
          </w:p>
        </w:tc>
        <w:tc>
          <w:tcPr>
            <w:tcW w:w="12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(3,246)</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(113)%</w:t>
            </w:r>
          </w:p>
        </w:tc>
        <w:tc>
          <w:tcPr>
            <w:tcW w:w="0" w:type="dxa"/>
            <w:vAlign w:val="bottom"/>
          </w:tcPr>
          <w:p>
            <w:pPr>
              <w:spacing w:after="0"/>
              <w:rPr>
                <w:sz w:val="1"/>
                <w:szCs w:val="1"/>
                <w:color w:val="auto"/>
              </w:rPr>
            </w:pPr>
          </w:p>
        </w:tc>
      </w:tr>
      <w:tr>
        <w:trPr>
          <w:trHeight w:val="61"/>
        </w:trPr>
        <w:tc>
          <w:tcPr>
            <w:tcW w:w="50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(1,653)</w:t>
            </w:r>
          </w:p>
        </w:tc>
        <w:tc>
          <w:tcPr>
            <w:tcW w:w="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9"/>
              </w:rPr>
              <w:t>$ 1,415</w:t>
            </w:r>
          </w:p>
        </w:tc>
        <w:tc>
          <w:tcPr>
            <w:tcW w:w="12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(3,068)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-1002030</wp:posOffset>
            </wp:positionV>
            <wp:extent cx="1885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-1002030</wp:posOffset>
            </wp:positionV>
            <wp:extent cx="1885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-1002030</wp:posOffset>
            </wp:positionV>
            <wp:extent cx="1885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decrease in other income (expense) net was primarily due to favorable changes in fair value of warrant liability of $1.0 million, partially offset by an increase in TRA liability of $0.8 million and a decrease in other expense of $3.2 million, primarily due to a non-cash gain recorded in September 2023 of $3.7 million associated with the discharge of a holdback obligation related to a prior acquisition.</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53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r>
      <w:tr>
        <w:trPr>
          <w:trHeight w:val="227"/>
        </w:trPr>
        <w:tc>
          <w:tcPr>
            <w:tcW w:w="5320" w:type="dxa"/>
            <w:vAlign w:val="bottom"/>
          </w:tcPr>
          <w:p>
            <w:pPr>
              <w:spacing w:after="0"/>
              <w:rPr>
                <w:sz w:val="19"/>
                <w:szCs w:val="19"/>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4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9"/>
                <w:szCs w:val="19"/>
                <w:color w:val="auto"/>
              </w:rPr>
            </w:pPr>
          </w:p>
        </w:tc>
        <w:tc>
          <w:tcPr>
            <w:tcW w:w="34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53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r>
      <w:tr>
        <w:trPr>
          <w:trHeight w:val="227"/>
        </w:trPr>
        <w:tc>
          <w:tcPr>
            <w:tcW w:w="5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50"/>
        </w:trPr>
        <w:tc>
          <w:tcPr>
            <w:tcW w:w="5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84"/>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$72</w:t>
            </w:r>
          </w:p>
        </w:tc>
        <w:tc>
          <w:tcPr>
            <w:tcW w:w="1580" w:type="dxa"/>
            <w:vAlign w:val="bottom"/>
            <w:gridSpan w:val="2"/>
            <w:shd w:val="clear" w:color="auto" w:fill="CCEEFF"/>
          </w:tcPr>
          <w:p>
            <w:pPr>
              <w:jc w:val="center"/>
              <w:ind w:left="202"/>
              <w:spacing w:after="0"/>
              <w:rPr>
                <w:sz w:val="20"/>
                <w:szCs w:val="20"/>
                <w:color w:val="auto"/>
              </w:rPr>
            </w:pPr>
            <w:r>
              <w:rPr>
                <w:rFonts w:ascii="Times New Roman" w:cs="Times New Roman" w:eastAsia="Times New Roman" w:hAnsi="Times New Roman"/>
                <w:sz w:val="18"/>
                <w:szCs w:val="18"/>
                <w:color w:val="auto"/>
                <w:w w:val="96"/>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$72</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N/M</w:t>
            </w:r>
          </w:p>
        </w:tc>
      </w:tr>
      <w:tr>
        <w:trPr>
          <w:trHeight w:val="54"/>
        </w:trPr>
        <w:tc>
          <w:tcPr>
            <w:tcW w:w="532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4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5226050</wp:posOffset>
            </wp:positionH>
            <wp:positionV relativeFrom="paragraph">
              <wp:posOffset>-401955</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-401955</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-401955</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00"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we recorded $72 thousand in income tax provisions due to the impact of the full valuation allowance on its net deferred assets. See Note 2, “Summary of Significant Accounting Policies,” to our unaudited condensed consolidated financial statements included in this prospectus for further information.</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cannabis industry has certain industry holidays that in recent years have resulted in increased purchases by cannabis consumers. Such “holidays” include, but are not limited to 420, July 10th and the Wednesday before Thanksgiving (“Green Wednesday”). Likewise, our clients will typically increase their spend heading into these events. We also typically invest in marketing spend around these holidays which can create some seasonality in our sales and market expenses from quarter to quarter.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tables show our cash, accounts receivable and working capital as of the dates indicated:</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50"/>
        </w:trPr>
        <w:tc>
          <w:tcPr>
            <w:tcW w:w="5820" w:type="dxa"/>
            <w:vAlign w:val="bottom"/>
          </w:tcPr>
          <w:p>
            <w:pPr>
              <w:spacing w:after="0"/>
              <w:rPr>
                <w:sz w:val="4"/>
                <w:szCs w:val="4"/>
                <w:color w:val="auto"/>
              </w:rPr>
            </w:pPr>
          </w:p>
        </w:tc>
        <w:tc>
          <w:tcPr>
            <w:tcW w:w="2600" w:type="dxa"/>
            <w:vAlign w:val="bottom"/>
            <w:tcBorders>
              <w:bottom w:val="single" w:sz="8" w:color="auto"/>
            </w:tcBorders>
            <w:gridSpan w:val="2"/>
          </w:tcPr>
          <w:p>
            <w:pPr>
              <w:spacing w:after="0"/>
              <w:rPr>
                <w:sz w:val="4"/>
                <w:szCs w:val="4"/>
                <w:color w:val="auto"/>
              </w:rPr>
            </w:pPr>
          </w:p>
        </w:tc>
      </w:tr>
      <w:tr>
        <w:trPr>
          <w:trHeight w:val="227"/>
        </w:trPr>
        <w:tc>
          <w:tcPr>
            <w:tcW w:w="5820" w:type="dxa"/>
            <w:vAlign w:val="bottom"/>
          </w:tcPr>
          <w:p>
            <w:pPr>
              <w:spacing w:after="0"/>
              <w:rPr>
                <w:sz w:val="19"/>
                <w:szCs w:val="19"/>
                <w:color w:val="auto"/>
              </w:rPr>
            </w:pPr>
          </w:p>
        </w:tc>
        <w:tc>
          <w:tcPr>
            <w:tcW w:w="260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51"/>
        </w:trPr>
        <w:tc>
          <w:tcPr>
            <w:tcW w:w="58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318"/>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3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$45,043</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$34,350</w:t>
            </w:r>
          </w:p>
        </w:tc>
      </w:tr>
      <w:tr>
        <w:trPr>
          <w:trHeight w:val="27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$ 7,907</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$11,158</w:t>
            </w:r>
          </w:p>
        </w:tc>
      </w:tr>
      <w:tr>
        <w:trPr>
          <w:trHeight w:val="54"/>
        </w:trPr>
        <w:tc>
          <w:tcPr>
            <w:tcW w:w="58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$31,577</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$17,771</w:t>
            </w:r>
          </w:p>
        </w:tc>
      </w:tr>
      <w:tr>
        <w:trPr>
          <w:trHeight w:val="54"/>
        </w:trPr>
        <w:tc>
          <w:tcPr>
            <w:tcW w:w="582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12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4660265</wp:posOffset>
            </wp:positionH>
            <wp:positionV relativeFrom="paragraph">
              <wp:posOffset>-814070</wp:posOffset>
            </wp:positionV>
            <wp:extent cx="12001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of September 30, 2024 and December 31, 2023, we had cash of $45.0 million and $34.4 million, respectively. Our funds are being used for funding our current operations and potential strategic acquisitions in the future. We also intend to increase our capital expenditures to support the organic growth in our business and operations. We expect to fund our liquidity requirements from cash and working capital on hand at September 30, 2024, as well as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2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50"/>
        </w:trPr>
        <w:tc>
          <w:tcPr>
            <w:tcW w:w="62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27"/>
        </w:trPr>
        <w:tc>
          <w:tcPr>
            <w:tcW w:w="6200" w:type="dxa"/>
            <w:vAlign w:val="bottom"/>
          </w:tcPr>
          <w:p>
            <w:pPr>
              <w:spacing w:after="0"/>
              <w:rPr>
                <w:sz w:val="19"/>
                <w:szCs w:val="19"/>
                <w:color w:val="auto"/>
              </w:rPr>
            </w:pPr>
          </w:p>
        </w:tc>
        <w:tc>
          <w:tcPr>
            <w:tcW w:w="114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0"/>
        </w:trPr>
        <w:tc>
          <w:tcPr>
            <w:tcW w:w="6200" w:type="dxa"/>
            <w:vAlign w:val="bottom"/>
          </w:tcPr>
          <w:p>
            <w:pPr>
              <w:spacing w:after="0"/>
              <w:rPr>
                <w:sz w:val="4"/>
                <w:szCs w:val="4"/>
                <w:color w:val="auto"/>
              </w:rPr>
            </w:pPr>
          </w:p>
        </w:tc>
        <w:tc>
          <w:tcPr>
            <w:tcW w:w="2220" w:type="dxa"/>
            <w:vAlign w:val="bottom"/>
            <w:tcBorders>
              <w:bottom w:val="single" w:sz="8" w:color="auto"/>
            </w:tcBorders>
            <w:gridSpan w:val="2"/>
          </w:tcPr>
          <w:p>
            <w:pPr>
              <w:spacing w:after="0"/>
              <w:rPr>
                <w:sz w:val="4"/>
                <w:szCs w:val="4"/>
                <w:color w:val="auto"/>
              </w:rPr>
            </w:pPr>
          </w:p>
        </w:tc>
      </w:tr>
      <w:tr>
        <w:trPr>
          <w:trHeight w:val="227"/>
        </w:trPr>
        <w:tc>
          <w:tcPr>
            <w:tcW w:w="6200" w:type="dxa"/>
            <w:vAlign w:val="bottom"/>
          </w:tcPr>
          <w:p>
            <w:pPr>
              <w:spacing w:after="0"/>
              <w:rPr>
                <w:sz w:val="19"/>
                <w:szCs w:val="19"/>
                <w:color w:val="auto"/>
              </w:rPr>
            </w:pPr>
          </w:p>
        </w:tc>
        <w:tc>
          <w:tcPr>
            <w:tcW w:w="2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50"/>
        </w:trPr>
        <w:tc>
          <w:tcPr>
            <w:tcW w:w="6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318"/>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$27,275</w:t>
            </w:r>
          </w:p>
        </w:tc>
        <w:tc>
          <w:tcPr>
            <w:tcW w:w="1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$12,410</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(9,499)</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(8,870)</w:t>
            </w:r>
          </w:p>
        </w:tc>
      </w:tr>
      <w:tr>
        <w:trPr>
          <w:trHeight w:val="54"/>
        </w:trPr>
        <w:tc>
          <w:tcPr>
            <w:tcW w:w="6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7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(7,083)</w:t>
            </w:r>
          </w:p>
        </w:tc>
        <w:tc>
          <w:tcPr>
            <w:tcW w:w="1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(4,402)</w:t>
            </w:r>
          </w:p>
        </w:tc>
      </w:tr>
      <w:tr>
        <w:trPr>
          <w:trHeight w:val="54"/>
        </w:trPr>
        <w:tc>
          <w:tcPr>
            <w:tcW w:w="620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-814070</wp:posOffset>
            </wp:positionV>
            <wp:extent cx="857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Cash from operating activities consists primarily of net income (loss) adjusted for certain non-cash items, including depreciation and amortization, change in fair value of warrant liability, change in TRA liability, amortization of right-of-use lease assets, stock-based compensation, asset impairment charges, gain on lease termination, provision (recovery) for credit losses, and the effect of changes in working capital.</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2024 was $27.3 million, which resulted from a net income of $8.5 million, together with net cash outflows of $2.2 million from changes in operating assets and liabilities, and non-cash items of $21.0 million, consisting of depreciation and amortization of $9.6 million, change in TRA liability of $1.5 million, amortization of right-of-use lease assets of $3.3 million, stock-based compensation of $7.2 million, partially offset by change in fair value of warrant liability of $0.2 million, gain on lease termination of $0.1 million and provision (recovery) for credit losses of $0.3 million. Net cash outflows from changes in operating assets and liabilities was primarily due to an increase in prepaid expenses and other current assets of $0.4 million, a decrease in accounts payable and accrued expenses of $1.2 million, a decrease in deferred revenue of $0.2 million and a decrease in operating lease liabilities of $5.0 million, partially offset by a decrease in accounts receivable of $3.5 million and a decrease in other assets of $1.0 million. The changes in operating assets and liabilities are mostly due to fluctuations in timing of cash receipts and payments.</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2023 was $12.4 million, which resulted from net loss of $4.5 million, together with net cash outflows of $12.5 million from changes in operating assets and liabilities, and non-cash items of $29.4 million, consisting of depreciation and amortization of $9.4 million, fair value of warrant liability of $0.8 million, change in TRA liability of $0.7 million, amortization of right-of-use lease assets of $3.7 million, asset impairment charges of $8.4 million and stock-based compensation of $10.4 million, partially offset by gain from the discharge of a holdback obligation related to a prior acquisition of $3.7 million and provision (recovery) for credit losses of $0.2 million. Net cash outflows from changes in operating assets and liabilities were primarily due to a decrease in accounts payables and accrued expenses of $15.4 million, a decrease in operating lease liabilities of $4.7 million and a decrease in deferred revenue of $0.2 million, partially offset by a</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decrease in accounts receivables of $5.3 million and a decrease in prepaid expenses and other current assets of $2.4 million. The changes in operating assets and liabilities are mostly due to fluctuations in timing of cash receipts and payments.</w:t>
      </w:r>
    </w:p>
    <w:p>
      <w:pPr>
        <w:spacing w:after="0" w:line="3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2024 was $9.5 million, which resulted from $9.5 million cash paid for capital expenditures which includes purchases of property and equipment, including certain capitalized software development cost.</w:t>
      </w:r>
    </w:p>
    <w:p>
      <w:pPr>
        <w:spacing w:after="0" w:line="68"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2023 was $8.9 million, which resulted from $8.9 million cash paid for capital expenditures which includes purchases of property and equipment, including certain capitalized software development cost.</w:t>
      </w:r>
    </w:p>
    <w:p>
      <w:pPr>
        <w:spacing w:after="0" w:line="3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19"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Net cash outflows from financing activities for the nine months ended September 30, 2024 was $7.1 million, which primarily consists of $7.3 million in distributions payments to members of WMH LLC, $0.1 million in TRA payments and $0.3 million in proceeds from collection of related party note receivable.</w:t>
      </w:r>
    </w:p>
    <w:p>
      <w:pPr>
        <w:spacing w:after="0" w:line="68"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Net cash outflows from financing activities for the nine months ended September 30, 2023 was $4.4 million, which primarily consists of $1.5 million in repayments of insurance premium financing and $3.2 million in distributions payments to members of WMH LLC and $0.3 million in proceeds from collection of related party note receivable.</w:t>
      </w:r>
    </w:p>
    <w:p>
      <w:pPr>
        <w:spacing w:after="0" w:line="3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2023 and 2022</w:t>
      </w:r>
    </w:p>
    <w:p>
      <w:pPr>
        <w:spacing w:after="0" w:line="121"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 and expresses the relationship of certain line items as a percentage of net revenues for those periods. The period-to-period comparison of financial results is not necessarily indicative of future results.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gridSpan w:val="8"/>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0"/>
        </w:trPr>
        <w:tc>
          <w:tcPr>
            <w:tcW w:w="1300" w:type="dxa"/>
            <w:vAlign w:val="bottom"/>
          </w:tcPr>
          <w:p>
            <w:pPr>
              <w:spacing w:after="0"/>
              <w:rPr>
                <w:sz w:val="4"/>
                <w:szCs w:val="4"/>
                <w:color w:val="auto"/>
              </w:rPr>
            </w:pPr>
          </w:p>
        </w:tc>
        <w:tc>
          <w:tcPr>
            <w:tcW w:w="47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4"/>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5"/>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0"/>
        </w:trPr>
        <w:tc>
          <w:tcPr>
            <w:tcW w:w="1300" w:type="dxa"/>
            <w:vAlign w:val="bottom"/>
          </w:tcPr>
          <w:p>
            <w:pPr>
              <w:spacing w:after="0"/>
              <w:rPr>
                <w:sz w:val="4"/>
                <w:szCs w:val="4"/>
                <w:color w:val="auto"/>
              </w:rPr>
            </w:pPr>
          </w:p>
        </w:tc>
        <w:tc>
          <w:tcPr>
            <w:tcW w:w="47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Revenue</w:t>
            </w:r>
          </w:p>
        </w:tc>
        <w:tc>
          <w:tcPr>
            <w:tcW w:w="180" w:type="dxa"/>
            <w:vAlign w:val="bottom"/>
          </w:tcPr>
          <w:p>
            <w:pPr>
              <w:spacing w:after="0"/>
              <w:rPr>
                <w:sz w:val="19"/>
                <w:szCs w:val="19"/>
                <w:color w:val="auto"/>
              </w:rPr>
            </w:pPr>
          </w:p>
        </w:tc>
        <w:tc>
          <w:tcPr>
            <w:tcW w:w="10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 Revenue</w:t>
            </w:r>
          </w:p>
        </w:tc>
      </w:tr>
      <w:tr>
        <w:trPr>
          <w:trHeight w:val="50"/>
        </w:trPr>
        <w:tc>
          <w:tcPr>
            <w:tcW w:w="1300" w:type="dxa"/>
            <w:vAlign w:val="bottom"/>
          </w:tcPr>
          <w:p>
            <w:pPr>
              <w:spacing w:after="0"/>
              <w:rPr>
                <w:sz w:val="4"/>
                <w:szCs w:val="4"/>
                <w:color w:val="auto"/>
              </w:rPr>
            </w:pPr>
          </w:p>
        </w:tc>
        <w:tc>
          <w:tcPr>
            <w:tcW w:w="47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gridSpan w:val="2"/>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gridSpan w:val="8"/>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0"/>
        </w:trPr>
        <w:tc>
          <w:tcPr>
            <w:tcW w:w="1300" w:type="dxa"/>
            <w:vAlign w:val="bottom"/>
          </w:tcPr>
          <w:p>
            <w:pPr>
              <w:spacing w:after="0"/>
              <w:rPr>
                <w:sz w:val="4"/>
                <w:szCs w:val="4"/>
                <w:color w:val="auto"/>
              </w:rPr>
            </w:pPr>
          </w:p>
        </w:tc>
        <w:tc>
          <w:tcPr>
            <w:tcW w:w="474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$187,993</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$ 215,531</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2"/>
        </w:trPr>
        <w:tc>
          <w:tcPr>
            <w:tcW w:w="1300" w:type="dxa"/>
            <w:vAlign w:val="bottom"/>
          </w:tcPr>
          <w:p>
            <w:pPr>
              <w:spacing w:after="0"/>
              <w:rPr>
                <w:sz w:val="21"/>
                <w:szCs w:val="21"/>
                <w:color w:val="auto"/>
              </w:rPr>
            </w:pPr>
          </w:p>
        </w:tc>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68"/>
        </w:trPr>
        <w:tc>
          <w:tcPr>
            <w:tcW w:w="1300" w:type="dxa"/>
            <w:vAlign w:val="bottom"/>
          </w:tcPr>
          <w:p>
            <w:pPr>
              <w:spacing w:after="0"/>
              <w:rPr>
                <w:sz w:val="23"/>
                <w:szCs w:val="23"/>
                <w:color w:val="auto"/>
              </w:rPr>
            </w:pPr>
          </w:p>
        </w:tc>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1300" w:type="dxa"/>
            <w:vAlign w:val="bottom"/>
          </w:tcPr>
          <w:p>
            <w:pPr>
              <w:spacing w:after="0"/>
              <w:rPr>
                <w:sz w:val="23"/>
                <w:szCs w:val="23"/>
                <w:color w:val="auto"/>
              </w:rPr>
            </w:pPr>
          </w:p>
        </w:tc>
      </w:tr>
      <w:tr>
        <w:trPr>
          <w:trHeight w:val="270"/>
        </w:trPr>
        <w:tc>
          <w:tcPr>
            <w:tcW w:w="1300" w:type="dxa"/>
            <w:vAlign w:val="bottom"/>
          </w:tcPr>
          <w:p>
            <w:pPr>
              <w:spacing w:after="0"/>
              <w:rPr>
                <w:sz w:val="23"/>
                <w:szCs w:val="23"/>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47,073</w:t>
            </w:r>
          </w:p>
        </w:tc>
        <w:tc>
          <w:tcPr>
            <w:tcW w:w="80" w:type="dxa"/>
            <w:vAlign w:val="bottom"/>
          </w:tcPr>
          <w:p>
            <w:pPr>
              <w:spacing w:after="0"/>
              <w:rPr>
                <w:sz w:val="23"/>
                <w:szCs w:val="23"/>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25.0%</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82,624</w:t>
            </w:r>
          </w:p>
        </w:tc>
        <w:tc>
          <w:tcPr>
            <w:tcW w:w="280" w:type="dxa"/>
            <w:vAlign w:val="bottom"/>
          </w:tcPr>
          <w:p>
            <w:pPr>
              <w:spacing w:after="0"/>
              <w:rPr>
                <w:sz w:val="23"/>
                <w:szCs w:val="23"/>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38.3%</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36,001</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19.2%</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50,520</w:t>
            </w: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23.4%</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74,313</w:t>
            </w:r>
          </w:p>
        </w:tc>
        <w:tc>
          <w:tcPr>
            <w:tcW w:w="80" w:type="dxa"/>
            <w:vAlign w:val="bottom"/>
          </w:tcPr>
          <w:p>
            <w:pPr>
              <w:spacing w:after="0"/>
              <w:rPr>
                <w:sz w:val="23"/>
                <w:szCs w:val="23"/>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39.5%</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120,787</w:t>
            </w:r>
          </w:p>
        </w:tc>
        <w:tc>
          <w:tcPr>
            <w:tcW w:w="280" w:type="dxa"/>
            <w:vAlign w:val="bottom"/>
          </w:tcPr>
          <w:p>
            <w:pPr>
              <w:spacing w:after="0"/>
              <w:rPr>
                <w:sz w:val="23"/>
                <w:szCs w:val="23"/>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56.0%</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11,498</w:t>
            </w: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0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80" w:type="dxa"/>
            <w:vAlign w:val="bottom"/>
          </w:tcPr>
          <w:p>
            <w:pPr>
              <w:spacing w:after="0"/>
              <w:rPr>
                <w:sz w:val="22"/>
                <w:szCs w:val="22"/>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47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206,450</w:t>
            </w:r>
          </w:p>
        </w:tc>
        <w:tc>
          <w:tcPr>
            <w:tcW w:w="80" w:type="dxa"/>
            <w:vAlign w:val="bottom"/>
            <w:shd w:val="clear" w:color="auto" w:fill="CCEEFF"/>
          </w:tcPr>
          <w:p>
            <w:pPr>
              <w:spacing w:after="0"/>
              <w:rPr>
                <w:sz w:val="23"/>
                <w:szCs w:val="23"/>
                <w:color w:val="auto"/>
              </w:rPr>
            </w:pPr>
          </w:p>
        </w:tc>
        <w:tc>
          <w:tcPr>
            <w:tcW w:w="9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109.8%</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285,153</w:t>
            </w:r>
          </w:p>
        </w:tc>
        <w:tc>
          <w:tcPr>
            <w:tcW w:w="280" w:type="dxa"/>
            <w:vAlign w:val="bottom"/>
            <w:shd w:val="clear" w:color="auto" w:fill="CCEEFF"/>
          </w:tcPr>
          <w:p>
            <w:pPr>
              <w:spacing w:after="0"/>
              <w:rPr>
                <w:sz w:val="23"/>
                <w:szCs w:val="23"/>
                <w:color w:val="auto"/>
              </w:rPr>
            </w:pP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132.3%</w:t>
            </w: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4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4"/>
        </w:trPr>
        <w:tc>
          <w:tcPr>
            <w:tcW w:w="1300" w:type="dxa"/>
            <w:vAlign w:val="bottom"/>
          </w:tcPr>
          <w:p>
            <w:pPr>
              <w:spacing w:after="0"/>
              <w:rPr>
                <w:sz w:val="24"/>
                <w:szCs w:val="24"/>
                <w:color w:val="auto"/>
              </w:rPr>
            </w:pPr>
          </w:p>
        </w:tc>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tcPr>
          <w:p>
            <w:pPr>
              <w:spacing w:after="0"/>
              <w:rPr>
                <w:sz w:val="24"/>
                <w:szCs w:val="24"/>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7"/>
              </w:rPr>
              <w:t>(18,457)</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(69,622)</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(32.3)%</w:t>
            </w: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80" w:type="dxa"/>
            <w:vAlign w:val="bottom"/>
          </w:tcPr>
          <w:p>
            <w:pPr>
              <w:spacing w:after="0"/>
              <w:rPr>
                <w:sz w:val="23"/>
                <w:szCs w:val="23"/>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25,370</w:t>
            </w:r>
          </w:p>
        </w:tc>
        <w:tc>
          <w:tcPr>
            <w:tcW w:w="280" w:type="dxa"/>
            <w:vAlign w:val="bottom"/>
          </w:tcPr>
          <w:p>
            <w:pPr>
              <w:spacing w:after="0"/>
              <w:rPr>
                <w:sz w:val="23"/>
                <w:szCs w:val="23"/>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11.8%</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(1,256)</w:t>
            </w:r>
          </w:p>
        </w:tc>
        <w:tc>
          <w:tcPr>
            <w:tcW w:w="9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142,352</w:t>
            </w: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66.0%</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80" w:type="dxa"/>
            <w:vAlign w:val="bottom"/>
          </w:tcPr>
          <w:p>
            <w:pPr>
              <w:spacing w:after="0"/>
              <w:rPr>
                <w:sz w:val="22"/>
                <w:szCs w:val="22"/>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(1,674)</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47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4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(15,634)</w:t>
            </w:r>
          </w:p>
        </w:tc>
        <w:tc>
          <w:tcPr>
            <w:tcW w:w="9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96,426</w:t>
            </w: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44.7%</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179,077</w:t>
            </w:r>
          </w:p>
        </w:tc>
        <w:tc>
          <w:tcPr>
            <w:tcW w:w="280" w:type="dxa"/>
            <w:vAlign w:val="bottom"/>
          </w:tcPr>
          <w:p>
            <w:pPr>
              <w:spacing w:after="0"/>
              <w:rPr>
                <w:sz w:val="22"/>
                <w:szCs w:val="22"/>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83.1%</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47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23"/>
                <w:szCs w:val="23"/>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(15,727)</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12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(82,651)</w:t>
            </w:r>
          </w:p>
        </w:tc>
        <w:tc>
          <w:tcPr>
            <w:tcW w:w="7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4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100" w:type="dxa"/>
            <w:vAlign w:val="bottom"/>
          </w:tcPr>
          <w:p>
            <w:pPr>
              <w:spacing w:after="0"/>
              <w:rPr>
                <w:sz w:val="23"/>
                <w:szCs w:val="23"/>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(5,829)</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33,338</w:t>
            </w:r>
          </w:p>
        </w:tc>
        <w:tc>
          <w:tcPr>
            <w:tcW w:w="280" w:type="dxa"/>
            <w:vAlign w:val="bottom"/>
          </w:tcPr>
          <w:p>
            <w:pPr>
              <w:spacing w:after="0"/>
              <w:rPr>
                <w:sz w:val="23"/>
                <w:szCs w:val="23"/>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47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7"/>
        </w:trPr>
        <w:tc>
          <w:tcPr>
            <w:tcW w:w="1300" w:type="dxa"/>
            <w:vAlign w:val="bottom"/>
          </w:tcPr>
          <w:p>
            <w:pPr>
              <w:spacing w:after="0"/>
              <w:rPr>
                <w:sz w:val="24"/>
                <w:szCs w:val="24"/>
                <w:color w:val="auto"/>
              </w:rPr>
            </w:pPr>
          </w:p>
        </w:tc>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WM Technology, Inc.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(9,898)</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12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(115,989)</w:t>
            </w:r>
          </w:p>
        </w:tc>
        <w:tc>
          <w:tcPr>
            <w:tcW w:w="7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(53.8)%</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4740" w:type="dxa"/>
            <w:vAlign w:val="bottom"/>
            <w:tcBorders>
              <w:top w:val="single" w:sz="8" w:color="CCEEFF"/>
            </w:tcBorders>
          </w:tcPr>
          <w:p>
            <w:pPr>
              <w:ind w:left="412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4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5552440</wp:posOffset>
            </wp:positionH>
            <wp:positionV relativeFrom="paragraph">
              <wp:posOffset>-4748530</wp:posOffset>
            </wp:positionV>
            <wp:extent cx="12001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4926330</wp:posOffset>
            </wp:positionH>
            <wp:positionV relativeFrom="paragraph">
              <wp:posOffset>-4748530</wp:posOffset>
            </wp:positionV>
            <wp:extent cx="12001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4309110</wp:posOffset>
            </wp:positionH>
            <wp:positionV relativeFrom="paragraph">
              <wp:posOffset>-4748530</wp:posOffset>
            </wp:positionV>
            <wp:extent cx="12001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11020"/>
          </w:cols>
          <w:pgMar w:left="440" w:top="263" w:right="439" w:bottom="973"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2022</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our disaggregated net revenue information:</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Pr>
          <w:p>
            <w:pPr>
              <w:spacing w:after="0"/>
              <w:rPr>
                <w:sz w:val="16"/>
                <w:szCs w:val="16"/>
                <w:color w:val="auto"/>
              </w:rPr>
            </w:pPr>
          </w:p>
        </w:tc>
        <w:tc>
          <w:tcPr>
            <w:tcW w:w="10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6"/>
                <w:szCs w:val="16"/>
                <w:color w:val="auto"/>
              </w:rPr>
            </w:pPr>
          </w:p>
        </w:tc>
      </w:tr>
      <w:tr>
        <w:trPr>
          <w:trHeight w:val="51"/>
        </w:trPr>
        <w:tc>
          <w:tcPr>
            <w:tcW w:w="47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r>
      <w:tr>
        <w:trPr>
          <w:trHeight w:val="227"/>
        </w:trPr>
        <w:tc>
          <w:tcPr>
            <w:tcW w:w="4780" w:type="dxa"/>
            <w:vAlign w:val="bottom"/>
          </w:tcPr>
          <w:p>
            <w:pPr>
              <w:spacing w:after="0"/>
              <w:rPr>
                <w:sz w:val="19"/>
                <w:szCs w:val="19"/>
                <w:color w:val="auto"/>
              </w:rPr>
            </w:pPr>
          </w:p>
        </w:tc>
        <w:tc>
          <w:tcPr>
            <w:tcW w:w="94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0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47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r>
      <w:tr>
        <w:trPr>
          <w:trHeight w:val="227"/>
        </w:trPr>
        <w:tc>
          <w:tcPr>
            <w:tcW w:w="4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80" w:type="dxa"/>
            <w:vAlign w:val="bottom"/>
          </w:tcPr>
          <w:p>
            <w:pPr>
              <w:spacing w:after="0"/>
              <w:rPr>
                <w:sz w:val="19"/>
                <w:szCs w:val="19"/>
                <w:color w:val="auto"/>
              </w:rPr>
            </w:pPr>
          </w:p>
        </w:tc>
      </w:tr>
      <w:tr>
        <w:trPr>
          <w:trHeight w:val="50"/>
        </w:trPr>
        <w:tc>
          <w:tcPr>
            <w:tcW w:w="4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80" w:type="dxa"/>
            <w:vAlign w:val="bottom"/>
          </w:tcPr>
          <w:p>
            <w:pPr>
              <w:spacing w:after="0"/>
              <w:rPr>
                <w:sz w:val="4"/>
                <w:szCs w:val="4"/>
                <w:color w:val="auto"/>
              </w:rPr>
            </w:pPr>
          </w:p>
        </w:tc>
      </w:tr>
      <w:tr>
        <w:trPr>
          <w:trHeight w:val="28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$187,993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$215,531</w:t>
            </w:r>
          </w:p>
        </w:tc>
        <w:tc>
          <w:tcPr>
            <w:tcW w:w="13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$(27,538)</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w:t>
            </w:r>
          </w:p>
        </w:tc>
      </w:tr>
      <w:tr>
        <w:trPr>
          <w:trHeight w:val="54"/>
        </w:trPr>
        <w:tc>
          <w:tcPr>
            <w:tcW w:w="478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-401955</wp:posOffset>
            </wp:positionV>
            <wp:extent cx="1885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-401955</wp:posOffset>
            </wp:positionV>
            <wp:extent cx="1885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-401955</wp:posOffset>
            </wp:positionV>
            <wp:extent cx="1885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revenues decreased by $27.5 million, or 13%, for the year ended December 31, 2023 compared to the same period in 2022. The decrease was primarily driven by a decrease in average monthly net revenue per paying client primarily as a result of a decrease in revenue from our Featured Listings and WM Deal products of $23.1 million, Weedmaps for Business of $3.9 million and other WM Ad solutions of $0.5 million.</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featured and deal listings, Weedmaps for Business and other ad solutions represented 67%, 25% and 8% of our total net revenues, respectively.</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2022, we approved plans to reduce our workforce as part of certain cost-reduction initiatives intended to reduce operating expenses and sharpen our focus on key growth priorities. The decreases in our sales and marketing expenses, product development expenses and general and administrative expenses are primarily driven by the reduction in employee headcount. As of December 31, 2023, we had 440 full-time employees and 19 temporary employees, including 196 in engineering, product and design, 181 in sales and marketing and 82 in general and administrative. As of December 31, 2022, we had 580 full-time employees and 3 temporary employees, including 224 in engineering, product and design, 245 in sales and marketing and 114 in general and administrative. Of these employees, 573 are located in the United States and 10 are located in Canada. The following table shows our total costs and expenses:</w:t>
      </w:r>
    </w:p>
    <w:p>
      <w:pPr>
        <w:spacing w:after="0" w:line="22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50"/>
        </w:trPr>
        <w:tc>
          <w:tcPr>
            <w:tcW w:w="48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4840" w:type="dxa"/>
            <w:vAlign w:val="bottom"/>
          </w:tcPr>
          <w:p>
            <w:pPr>
              <w:spacing w:after="0"/>
              <w:rPr>
                <w:sz w:val="19"/>
                <w:szCs w:val="19"/>
                <w:color w:val="auto"/>
              </w:rPr>
            </w:pPr>
          </w:p>
        </w:tc>
        <w:tc>
          <w:tcPr>
            <w:tcW w:w="7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9"/>
                <w:szCs w:val="19"/>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9"/>
                <w:szCs w:val="19"/>
                <w:color w:val="auto"/>
              </w:rPr>
            </w:pPr>
          </w:p>
        </w:tc>
        <w:tc>
          <w:tcPr>
            <w:tcW w:w="9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48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4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0"/>
        </w:trPr>
        <w:tc>
          <w:tcPr>
            <w:tcW w:w="48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7"/>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$ 12,527</w:t>
            </w:r>
          </w:p>
        </w:tc>
        <w:tc>
          <w:tcPr>
            <w:tcW w:w="3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$ 15,407</w:t>
            </w:r>
          </w:p>
        </w:tc>
        <w:tc>
          <w:tcPr>
            <w:tcW w:w="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(2,880)</w:t>
            </w: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47,073</w:t>
            </w:r>
          </w:p>
        </w:tc>
        <w:tc>
          <w:tcPr>
            <w:tcW w:w="3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82,624</w:t>
            </w:r>
          </w:p>
        </w:tc>
        <w:tc>
          <w:tcPr>
            <w:tcW w:w="60" w:type="dxa"/>
            <w:vAlign w:val="bottom"/>
          </w:tcPr>
          <w:p>
            <w:pPr>
              <w:spacing w:after="0"/>
              <w:rPr>
                <w:sz w:val="23"/>
                <w:szCs w:val="23"/>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(35,551)</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54"/>
        </w:trPr>
        <w:tc>
          <w:tcPr>
            <w:tcW w:w="48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36,001</w:t>
            </w:r>
          </w:p>
        </w:tc>
        <w:tc>
          <w:tcPr>
            <w:tcW w:w="3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50,520</w:t>
            </w:r>
          </w:p>
        </w:tc>
        <w:tc>
          <w:tcPr>
            <w:tcW w:w="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(14,519)</w:t>
            </w: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74,313</w:t>
            </w:r>
          </w:p>
        </w:tc>
        <w:tc>
          <w:tcPr>
            <w:tcW w:w="3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120,787</w:t>
            </w:r>
          </w:p>
        </w:tc>
        <w:tc>
          <w:tcPr>
            <w:tcW w:w="60" w:type="dxa"/>
            <w:vAlign w:val="bottom"/>
          </w:tcPr>
          <w:p>
            <w:pPr>
              <w:spacing w:after="0"/>
              <w:rPr>
                <w:sz w:val="23"/>
                <w:szCs w:val="23"/>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(46,474)</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54"/>
        </w:trPr>
        <w:tc>
          <w:tcPr>
            <w:tcW w:w="48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3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3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380" w:type="dxa"/>
            <w:vAlign w:val="bottom"/>
          </w:tcPr>
          <w:p>
            <w:pPr>
              <w:spacing w:after="0"/>
              <w:rPr>
                <w:sz w:val="22"/>
                <w:szCs w:val="22"/>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20,086</w:t>
            </w:r>
          </w:p>
        </w:tc>
        <w:tc>
          <w:tcPr>
            <w:tcW w:w="32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465%</w:t>
            </w:r>
          </w:p>
        </w:tc>
      </w:tr>
      <w:tr>
        <w:trPr>
          <w:trHeight w:val="61"/>
        </w:trPr>
        <w:tc>
          <w:tcPr>
            <w:tcW w:w="48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r>
      <w:tr>
        <w:trPr>
          <w:trHeight w:val="270"/>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100" w:type="dxa"/>
            <w:vAlign w:val="bottom"/>
            <w:gridSpan w:val="3"/>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206,450</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285,153</w:t>
            </w:r>
          </w:p>
        </w:tc>
        <w:tc>
          <w:tcPr>
            <w:tcW w:w="12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(78,703)</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48"/>
        </w:trPr>
        <w:tc>
          <w:tcPr>
            <w:tcW w:w="48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-1653540</wp:posOffset>
            </wp:positionV>
            <wp:extent cx="1714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-1653540</wp:posOffset>
            </wp:positionV>
            <wp:extent cx="1714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-1653540</wp:posOffset>
            </wp:positionV>
            <wp:extent cx="1714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decrease in cost of revenues in 2023 compared with 2022 was primarily related to a decrease of $3.7 million in cost of revenues associated with outside services expense for WM CRM, WM Screens and WM AdSuite which were sunset in December 2023, partially offset by an increase of $0.9 million for server costs.</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decrease in sales and marketing expenses was primarily related to a decrease in personnel-related costs of $27.0 million, a decrease in outside service of $5.7 million, a decrease in web advertising expense of $2.3 million, a decrease in travel expense of $0.4 million, a decrease in print and products expense of $0.4 million and a decrease in events expense of $0.4 million, partially offset by an increase in branding and advertising expense of $0.4 million. The decrease in personnel-related costs of $27.0 million were primarily due to decreased headcount of approximately 26% in 2023 compared to prior year and includes decrease in salaries and wages of $12.1 million, bonus expense of $5.5 million, stock-based compensation expense of $3.7 million and payroll tax expense of $0.7 million and a decrease in transaction related bonuses of $4.9 million.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decrease in product development expenses was primarily due to decreases in personnel-related costs of $11.7 million, outside services expense of $2.6 million and travel expense of $0.1 million. The decrease in personnel-related costs was primarily due to a decline in headcount of approximately 13% in 2023 compared to prior year and includes decreases in salaries and wages of $6.4 million, bonus expense of $3.8 million, stock-based compensation expense of $1.1 million and payroll tax expense of $0.4 million.</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due to decreases in provision for credit losses of $15.7 million, severance expense of $5.8 million, stock-based compensation expense of $5.3 million, salaries and wages of $5.2 million, insurance costs of $5.1 million, professional fees of $3.1 million, software expense of $1.9 million, employee benefits expense of $1.9 million, facilities expense of $0.6 million, bonus expense of $0.6 million, outside service expense of $0.6 million, donation expense of $0.5 million and payroll tax expense of $0.5 million. The decrease in compensation expense were due to decreased headcount of approximately 28% in 2023 compared to the prior year.</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increase in depreciation and amortization expense was primarily due to an increase in capitalized software amortization of $2.2 million, partially offset by a decrease in depreciation expense related to other assets of $1.6 million.</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Asset Impairment Charges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increase in asset impairment charges was primarily due to $10.9 million in impairment of operating lease ROU asset and $1.3 million in impairment of leasehold improvement associated with our second headquarter space in Los Angeles, California, $8.7 million in impairment of intangible assets, capitalized software and property and equipment associated with the sunset of certain product offerings in December 2023 and $3.5 million related to the impairment of an equity investment. See Note 2, “Summary of Significant Accounting Policies” and Note 4, “Leases,” to our audited consolidated financial statements included in this prospectus for additional information.</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76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Pr>
          <w:p>
            <w:pPr>
              <w:spacing w:after="0"/>
              <w:rPr>
                <w:sz w:val="16"/>
                <w:szCs w:val="16"/>
                <w:color w:val="auto"/>
              </w:rPr>
            </w:pPr>
          </w:p>
        </w:tc>
        <w:tc>
          <w:tcPr>
            <w:tcW w:w="152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49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4940" w:type="dxa"/>
            <w:vAlign w:val="bottom"/>
          </w:tcPr>
          <w:p>
            <w:pPr>
              <w:spacing w:after="0"/>
              <w:rPr>
                <w:sz w:val="19"/>
                <w:szCs w:val="19"/>
                <w:color w:val="auto"/>
              </w:rPr>
            </w:pP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9"/>
                <w:szCs w:val="19"/>
                <w:color w:val="auto"/>
              </w:rPr>
            </w:pPr>
          </w:p>
        </w:tc>
        <w:tc>
          <w:tcPr>
            <w:tcW w:w="6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9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9"/>
                <w:szCs w:val="19"/>
                <w:color w:val="auto"/>
              </w:rPr>
            </w:pPr>
          </w:p>
        </w:tc>
        <w:tc>
          <w:tcPr>
            <w:tcW w:w="5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49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gridSpan w:val="2"/>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4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0"/>
        </w:trPr>
        <w:tc>
          <w:tcPr>
            <w:tcW w:w="49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$ 1,505</w:t>
            </w:r>
          </w:p>
        </w:tc>
        <w:tc>
          <w:tcPr>
            <w:tcW w:w="3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$ 25,370</w:t>
            </w:r>
          </w:p>
        </w:tc>
        <w:tc>
          <w:tcPr>
            <w:tcW w:w="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(23,865)</w:t>
            </w: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r>
      <w:tr>
        <w:trPr>
          <w:trHeight w:val="27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(1,256)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142,352</w:t>
            </w:r>
          </w:p>
        </w:tc>
        <w:tc>
          <w:tcPr>
            <w:tcW w:w="80" w:type="dxa"/>
            <w:vAlign w:val="bottom"/>
          </w:tcPr>
          <w:p>
            <w:pPr>
              <w:spacing w:after="0"/>
              <w:rPr>
                <w:sz w:val="23"/>
                <w:szCs w:val="23"/>
                <w:color w:val="auto"/>
              </w:rPr>
            </w:pP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(143,608)</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r>
      <w:tr>
        <w:trPr>
          <w:trHeight w:val="54"/>
        </w:trPr>
        <w:tc>
          <w:tcPr>
            <w:tcW w:w="49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7"/>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2,574</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2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(254)%</w:t>
            </w:r>
          </w:p>
        </w:tc>
      </w:tr>
      <w:tr>
        <w:trPr>
          <w:trHeight w:val="61"/>
        </w:trPr>
        <w:tc>
          <w:tcPr>
            <w:tcW w:w="49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270"/>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$ 2,823</w:t>
            </w:r>
          </w:p>
        </w:tc>
        <w:tc>
          <w:tcPr>
            <w:tcW w:w="360" w:type="dxa"/>
            <w:vAlign w:val="bottom"/>
          </w:tcPr>
          <w:p>
            <w:pPr>
              <w:spacing w:after="0"/>
              <w:rPr>
                <w:sz w:val="23"/>
                <w:szCs w:val="2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166,048</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(163,225)</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5071745</wp:posOffset>
            </wp:positionH>
            <wp:positionV relativeFrom="paragraph">
              <wp:posOffset>-1002030</wp:posOffset>
            </wp:positionV>
            <wp:extent cx="1200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-1002030</wp:posOffset>
            </wp:positionV>
            <wp:extent cx="1200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-1002030</wp:posOffset>
            </wp:positionV>
            <wp:extent cx="1200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Other income (expense), net decreased by $163.2 million for the year ended December 31, 2023 compared to the same period in 2022. The decrease was primarily due to changes in TRA liability of $143.6 million and comparatively favorable changes in fair value of warrant liability of $23.9 million partially offset by an increase of $4.2 million related to a non-cash gain of $3.7 million associated with the discharge of a holdback obligation related to a prior acquisition and a decrease in political contribution expense of $0.5 million.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6"/>
                <w:szCs w:val="16"/>
                <w:color w:val="auto"/>
              </w:rPr>
            </w:pPr>
          </w:p>
        </w:tc>
        <w:tc>
          <w:tcPr>
            <w:tcW w:w="14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51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26"/>
        </w:trPr>
        <w:tc>
          <w:tcPr>
            <w:tcW w:w="5100" w:type="dxa"/>
            <w:vAlign w:val="bottom"/>
          </w:tcPr>
          <w:p>
            <w:pPr>
              <w:spacing w:after="0"/>
              <w:rPr>
                <w:sz w:val="19"/>
                <w:szCs w:val="19"/>
                <w:color w:val="auto"/>
              </w:rPr>
            </w:pPr>
          </w:p>
        </w:tc>
        <w:tc>
          <w:tcPr>
            <w:tcW w:w="68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1"/>
        </w:trPr>
        <w:tc>
          <w:tcPr>
            <w:tcW w:w="51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26"/>
        </w:trPr>
        <w:tc>
          <w:tcPr>
            <w:tcW w:w="5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2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20" w:type="dxa"/>
            <w:vAlign w:val="bottom"/>
          </w:tcPr>
          <w:p>
            <w:pPr>
              <w:spacing w:after="0"/>
              <w:rPr>
                <w:sz w:val="19"/>
                <w:szCs w:val="19"/>
                <w:color w:val="auto"/>
              </w:rPr>
            </w:pPr>
          </w:p>
        </w:tc>
      </w:tr>
      <w:tr>
        <w:trPr>
          <w:trHeight w:val="50"/>
        </w:trPr>
        <w:tc>
          <w:tcPr>
            <w:tcW w:w="5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84"/>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68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$93</w:t>
            </w:r>
          </w:p>
        </w:tc>
        <w:tc>
          <w:tcPr>
            <w:tcW w:w="10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$179,077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$(178,984)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54"/>
        </w:trPr>
        <w:tc>
          <w:tcPr>
            <w:tcW w:w="51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5106035</wp:posOffset>
            </wp:positionH>
            <wp:positionV relativeFrom="paragraph">
              <wp:posOffset>-401955</wp:posOffset>
            </wp:positionV>
            <wp:extent cx="857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-401955</wp:posOffset>
            </wp:positionV>
            <wp:extent cx="857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-401955</wp:posOffset>
            </wp:positionV>
            <wp:extent cx="857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Provision for income taxes decreased by $179.0 million for the year ended December 31, 2023 compared to the same period in 2022. The decrease was primarily due to a full valuation allowance that was recorded against our deferred tax assets during the year ended December 31, 2022. See Note 16, “Income Taxes,” to our audited consolidated financial statements included in this prospectus.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tables show our cash, accounts receivable and working capital as of the dates indicated:</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840" w:type="dxa"/>
            <w:vAlign w:val="bottom"/>
          </w:tcPr>
          <w:p>
            <w:pPr>
              <w:spacing w:after="0"/>
              <w:rPr>
                <w:sz w:val="16"/>
                <w:szCs w:val="16"/>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51"/>
        </w:trPr>
        <w:tc>
          <w:tcPr>
            <w:tcW w:w="684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27"/>
        </w:trPr>
        <w:tc>
          <w:tcPr>
            <w:tcW w:w="6840" w:type="dxa"/>
            <w:vAlign w:val="bottom"/>
          </w:tcPr>
          <w:p>
            <w:pPr>
              <w:spacing w:after="0"/>
              <w:rPr>
                <w:sz w:val="19"/>
                <w:szCs w:val="19"/>
                <w:color w:val="auto"/>
              </w:rPr>
            </w:pPr>
          </w:p>
        </w:tc>
        <w:tc>
          <w:tcPr>
            <w:tcW w:w="78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50"/>
        </w:trPr>
        <w:tc>
          <w:tcPr>
            <w:tcW w:w="6840" w:type="dxa"/>
            <w:vAlign w:val="bottom"/>
          </w:tcPr>
          <w:p>
            <w:pPr>
              <w:spacing w:after="0"/>
              <w:rPr>
                <w:sz w:val="4"/>
                <w:szCs w:val="4"/>
                <w:color w:val="auto"/>
              </w:rPr>
            </w:pPr>
          </w:p>
        </w:tc>
        <w:tc>
          <w:tcPr>
            <w:tcW w:w="1580" w:type="dxa"/>
            <w:vAlign w:val="bottom"/>
            <w:tcBorders>
              <w:bottom w:val="single" w:sz="8" w:color="auto"/>
            </w:tcBorders>
            <w:gridSpan w:val="2"/>
          </w:tcPr>
          <w:p>
            <w:pPr>
              <w:spacing w:after="0"/>
              <w:rPr>
                <w:sz w:val="4"/>
                <w:szCs w:val="4"/>
                <w:color w:val="auto"/>
              </w:rPr>
            </w:pPr>
          </w:p>
        </w:tc>
      </w:tr>
      <w:tr>
        <w:trPr>
          <w:trHeight w:val="227"/>
        </w:trPr>
        <w:tc>
          <w:tcPr>
            <w:tcW w:w="6840" w:type="dxa"/>
            <w:vAlign w:val="bottom"/>
          </w:tcPr>
          <w:p>
            <w:pPr>
              <w:spacing w:after="0"/>
              <w:rPr>
                <w:sz w:val="19"/>
                <w:szCs w:val="19"/>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50"/>
        </w:trPr>
        <w:tc>
          <w:tcPr>
            <w:tcW w:w="6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318"/>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78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8"/>
                <w:szCs w:val="18"/>
                <w:color w:val="auto"/>
                <w:w w:val="99"/>
              </w:rPr>
              <w:t>$34,350</w:t>
            </w:r>
          </w:p>
        </w:tc>
        <w:tc>
          <w:tcPr>
            <w:tcW w:w="8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$28,583</w:t>
            </w:r>
          </w:p>
        </w:tc>
      </w:tr>
      <w:tr>
        <w:trPr>
          <w:trHeight w:val="27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780" w:type="dxa"/>
            <w:vAlign w:val="bottom"/>
          </w:tcPr>
          <w:p>
            <w:pPr>
              <w:jc w:val="center"/>
              <w:ind w:right="99"/>
              <w:spacing w:after="0"/>
              <w:rPr>
                <w:sz w:val="20"/>
                <w:szCs w:val="20"/>
                <w:color w:val="auto"/>
              </w:rPr>
            </w:pPr>
            <w:r>
              <w:rPr>
                <w:rFonts w:ascii="Times New Roman" w:cs="Times New Roman" w:eastAsia="Times New Roman" w:hAnsi="Times New Roman"/>
                <w:sz w:val="18"/>
                <w:szCs w:val="18"/>
                <w:color w:val="auto"/>
                <w:w w:val="95"/>
              </w:rPr>
              <w:t>$11,158</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$17,438</w:t>
            </w:r>
          </w:p>
        </w:tc>
      </w:tr>
      <w:tr>
        <w:trPr>
          <w:trHeight w:val="54"/>
        </w:trPr>
        <w:tc>
          <w:tcPr>
            <w:tcW w:w="6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7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780" w:type="dxa"/>
            <w:vAlign w:val="bottom"/>
            <w:shd w:val="clear" w:color="auto" w:fill="CCEEFF"/>
          </w:tcPr>
          <w:p>
            <w:pPr>
              <w:jc w:val="center"/>
              <w:ind w:right="79"/>
              <w:spacing w:after="0"/>
              <w:rPr>
                <w:sz w:val="20"/>
                <w:szCs w:val="20"/>
                <w:color w:val="auto"/>
              </w:rPr>
            </w:pPr>
            <w:r>
              <w:rPr>
                <w:rFonts w:ascii="Times New Roman" w:cs="Times New Roman" w:eastAsia="Times New Roman" w:hAnsi="Times New Roman"/>
                <w:sz w:val="18"/>
                <w:szCs w:val="18"/>
                <w:color w:val="auto"/>
                <w:w w:val="99"/>
              </w:rPr>
              <w:t>$17,771</w:t>
            </w:r>
          </w:p>
        </w:tc>
        <w:tc>
          <w:tcPr>
            <w:tcW w:w="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$ 8,660</w:t>
            </w:r>
          </w:p>
        </w:tc>
      </w:tr>
      <w:tr>
        <w:trPr>
          <w:trHeight w:val="54"/>
        </w:trPr>
        <w:tc>
          <w:tcPr>
            <w:tcW w:w="684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-814070</wp:posOffset>
            </wp:positionV>
            <wp:extent cx="2400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of December 31, 2023 and December 31, 2022, we had cash of $34.4 million and $28.6 million, respectively. Our funds are being used for funding our current operations and potential strategic acquisitions in the future. We also intend to increase our capital expenditures to support the organic growth in our business and operations. We expect to fund our liquidity requirements from cash and working capital on hand at December 31, 2023, as well as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3"/>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58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27"/>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50"/>
        </w:trPr>
        <w:tc>
          <w:tcPr>
            <w:tcW w:w="58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27"/>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9"/>
                <w:szCs w:val="19"/>
                <w:color w:val="auto"/>
              </w:rPr>
            </w:pPr>
          </w:p>
        </w:tc>
      </w:tr>
      <w:tr>
        <w:trPr>
          <w:trHeight w:val="50"/>
        </w:trPr>
        <w:tc>
          <w:tcPr>
            <w:tcW w:w="5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318"/>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22,928</w:t>
            </w:r>
          </w:p>
        </w:tc>
        <w:tc>
          <w:tcPr>
            <w:tcW w:w="1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$(11,621)</w:t>
            </w:r>
          </w:p>
        </w:tc>
        <w:tc>
          <w:tcPr>
            <w:tcW w:w="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$ 30,190</w:t>
            </w:r>
          </w:p>
        </w:tc>
      </w:tr>
      <w:tr>
        <w:trPr>
          <w:trHeight w:val="27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$(11,871)</w:t>
            </w:r>
          </w:p>
        </w:tc>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$(17,768)</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$(30,435)</w:t>
            </w:r>
          </w:p>
        </w:tc>
      </w:tr>
      <w:tr>
        <w:trPr>
          <w:trHeight w:val="54"/>
        </w:trPr>
        <w:tc>
          <w:tcPr>
            <w:tcW w:w="5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7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(9,805)</w:t>
            </w: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$ 48,103</w:t>
            </w:r>
          </w:p>
        </w:tc>
      </w:tr>
      <w:tr>
        <w:trPr>
          <w:trHeight w:val="54"/>
        </w:trPr>
        <w:tc>
          <w:tcPr>
            <w:tcW w:w="58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-814070</wp:posOffset>
            </wp:positionV>
            <wp:extent cx="1371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-814070</wp:posOffset>
            </wp:positionV>
            <wp:extent cx="1371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Provided by (Used In) Operating Activities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Cash from operating activities consists primarily of net income (loss) adjusted for certain non-cash items, including depreciation, amortization and asset impairments, change in fair value of warrant liability, change in TRA liability, stock-based compensation, deferred taxes, impairment loss, provision for doubtful accounts and the effect of changes in working capital.</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is also impacted by the effects of changes in operating assets and liabilities such as: accounts receivable which is impacted by the timing of customer billings and related collections from our customers; accounts payable and accrued expenses due to timing of payments; accrued personnel costs which are impacted by employee performance targets and the timing of payments related to employee bonus incentives.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2023 was $22.9 million, which resulted from net loss of $15.7 million, non-cash items of $52.8 million, consisting of asset impairment charges of $24.4 million, stock-based compensation expense of $13.5 million, depreciation and amortization of $12.1 million, amortization of right of use lease assets of $4.9 million, provision for credit losses of $1.8 million, TRA remeasurement of $1.3 million, partially offset by a gain from the discharge of a holdback obligation related to a prior acquisition of $3.7 million, and the change in fair value of warrant liability of $1.5 million. The increase in net cash provided by operating activities was also impacted by net cash outflows of $14.2 million from changes in operating assets and liabilities. The net cash outflows from changes in operating assets and liabilities were primarily due to a decrease in accounts payable and accrued expenses of $15.3 million, a decrease in operating lease liabilities of $6.3 million and a decrease in deferred revenue of $0.3 million, partially offset by a decrease in accounts receivable of $4.5 million and a decrease in prepaid expenses and other assets of $3.3 million. The changes in operating assets and liabilities are mostly due to fluctuations in timing of cash receipts and payments.</w:t>
      </w:r>
    </w:p>
    <w:p>
      <w:pPr>
        <w:spacing w:after="0" w:line="8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2022 was $11.6 million, which resulted from net loss of $82.7 million, together with net cash outflows of $1.5 million from changes in operating assets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liabilities and non-cash items of $72.5 million, consisting of depreciation and amortization of $11.5 million, fair value of warrant liability of $25.4 million, asset impairment charges of $4.3 million, stock-based compensation expense of $23.5 million, TRA remeasurement of $142.4 million, amortization of right of use lease assets of $4.7 million, changes in deferred tax assets of $179.1 million and provision for doubtful accounts of $17.2 million. The net cash outflows from changes in operating assets and liabilities were primarily due to an increase in accounts receivables of $16.3 million, a decrease in deferred revenue of $1.9 million, a decrease in operating lease liabilities of $5.5 million, partially offset by a decrease in prepaid expenses and other current assets of $7.2 million and an increase in accounts payable and accrued expenses of $14.9 million. The changes in operating assets and liabilities are mostly due to fluctuations in timing of cash receipts and payments.</w:t>
      </w:r>
    </w:p>
    <w:p>
      <w:pPr>
        <w:spacing w:after="0" w:line="2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2023 was $11.9 million, which resulted from $11.9 million cash paid for purchases of property and equipment, including certain capitalized software development cost.</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2022 was $17.8 million, which resulted from $16.1 million cash paid for purchases of property and equipment, including certain capitalized software development cost, $1.0 million cash paid for other investments and $0.7 million net cash paid for acquisitions.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2023 was $5.3 million, which resulted from $7.2 million of distribution payments to members of WMH LLC, $1.5 million for repayment of insurance premium financing and $0.4 million in proceeds from collection of related party note receivable.</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Net cash from financing activities for the year ended December 31, 2022 was $9.8 million, which resulted from $7.3 million for repayment of insurance premium financing and $2.4 million of distribution payments to members of WMH LLC.</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left="300" w:right="319"/>
        <w:spacing w:after="0" w:line="255" w:lineRule="auto"/>
        <w:rPr>
          <w:sz w:val="20"/>
          <w:szCs w:val="20"/>
          <w:color w:val="auto"/>
        </w:rPr>
      </w:pPr>
      <w:r>
        <w:rPr>
          <w:rFonts w:ascii="Times New Roman" w:cs="Times New Roman" w:eastAsia="Times New Roman" w:hAnsi="Times New Roman"/>
          <w:sz w:val="18"/>
          <w:szCs w:val="18"/>
          <w:color w:val="auto"/>
        </w:rPr>
        <w:t>We primarily finance our operations and capital expenditures through cash flows generated by operations. 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non-cancellable contractual agreements primarily related to leases and other purchase obligations. As of December 31, 2023, future payments on our operating leases were $45.0 million. See Note 4, “Leases,” to our audited consolidated financial statements included in this prospectus. We also have minimum outstanding purchase obligations of $7.1 million in 2024, $7.3 million in 2025 and $7.5 million in 2026, due under software license agreements, of which the majority relates to our three-year AWS Enterprise agreement.</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December 31, 2023 and 2022, our TRA liability was $1.8 million and $0.5 million, respectively. We expect that the payments we will be required to make under the TRA will not be substantial, and therefore, in conjunction with the recording of a full valuation allowance on the related TRA deferred tax assets, we have also adjusted the TRA liabilities as of December 31, 2023.</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will continue to evaluate the realization of the TRA tax attributes, and in the future, we may conclude that the TRA liability is probable of payment, and if the TRA is reinstated, the payments would be substantial. Assuming a reinstatement of the TRA liability, there are several assumptions that would be relevant such as, no material changes in relevant tax law, that there are no future redemptions or exchanges of Class A Units and that we earn sufficient taxable income to realize all tax benefits that are subject to the TRA, the tax savings associated with acquisitions of common units in the Business Combination would aggregate to approximately $166.3 million, as of December 31, 2023, over 15 years from Closing Date. Under this scenario, we would be required to pay to the Class A Unit holders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approximately 85% of such amount, or $141.3 million, as of December 31, 2023, over the 15-year period from the Closing Date. The actual amounts we will be required to pay may materially differ from these hypothetical amounts, because potential future tax savings that we will be deemed to realize, and the TRA payments made by us, will be calculated based in part on the market value of the Class A Common Stock at the time of each redemption or exchange under the Exchange Agreement and the prevailing applicable tax rates applicable to us over the life of the TRA and will depend on us generating sufficient taxable income to realize the tax benefits that are subject to the TRA. Payments under the TRA are not conditioned on the Class A Unit holders’ continued ownership of us. See Note 16, “Income Taxes,” to our audited consolidated financial statements included in this prospectus.</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and our consolidated financial statements are prepared in accordance with GAAP. The preparation of these condensed consolidated financial statements and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revenue recognition, income taxes, stock-based compensation, capitalized software development costs, provision for doubtful accounts, goodwill and intangible assets and fair value measurements to have the greatest potential impact on our consolidated financial statements. Therefore, we consider these to be our critical accounting policies and estimates. For further information on all of our significant accounting policies, see Note 2, “Summary of Significant Accounting Policies,” to our audited consolidated financial statements included in this prospectus.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recognize revenue when the fundamental criteria for revenue recognition are met. We recognize revenue by applying the following five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it expects to be entitled to in exchange for those services. We exclude sales taxes and other similar taxes from the measurement of the transaction price. The transaction price reflects the amount we expect to receive for such goods, net of discounts. Discounts issued are primarily related to our Together for Equity Access and Legislation, (“WM Teal”), program, through which we provide discounts including free software, advertising, educational materials and training programs to applicants or licenses under social equity licensing programs. We provide a discount to license holders who were awarded special status by the state based on owner qualifications. These are typically given in new markets to add more diversity and inclusion in the cannabis space. We validate a license’s social equity status on the applicable state’s website. For the years ended December 31, 2023, 2022 and 2021, total discounts issued were $4.2 million, $4.5 million and $2.6 million, respectively. For clients that pay in advance for listing and other services, we record deferred revenue and recognize revenue over the applicable subscription term.</w:t>
      </w:r>
    </w:p>
    <w:p>
      <w:pPr>
        <w:spacing w:after="0" w:line="8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revenues are derived primarily from monthly subscriptions to Weedmaps for Business, featured and deal listings and other WM Ad solutions. Our Weedmaps for Business subscriptions generally have one-month terms that automatically renew unless notice of cancellation is provided in advance. Featured and deal listings and other WM Ad solutions are offered as add-on products to the Weedmaps for Business subscriptions. Featured and deal listings provide customers with premium placement ad solutions and discount and promotion pricing tools. Other WM Ad solutions include banner ads and promotion tiles on our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 The determination of the performance obligations and the timing of satisfaction of such obligations either over time or at a point-in-time requires us to make significant judgment and estimates.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When a customer is identified to be a significant collection risk, the Company fully reserves for all outstanding accounts receivable and records a credit loss for these receivables. Revenue for any new service provided to the customer is not probable of collection until the Company has collected or reached a settlement on the customers old outstanding accounts receivable balances. The Company applies all payments received against the customers oldest invoices and does not recognize revenue for any new services provided until the company has collected or reached a settlement on all prior outstanding accounts receivable.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See “Restatement of Previously Reported 2023 Quarterly Revenue and Credit Losses” of Note 2, “Summary of Significant Accounting Policies and Note 3, “Revenue from Contracts with Customers,” to our unaudited condensed consolidated financial statements included in this prospectus for further discussion.</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Critical Accounting Estimates</w:t>
      </w:r>
    </w:p>
    <w:p>
      <w:pPr>
        <w:spacing w:after="0" w:line="2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We are also subject to taxes in foreign jurisdictions. Tax laws and regulations are complex and periodically changing and the determination of our provision for income taxes, including our taxable income, deferred tax assets and TRA liability, requires us to make significant judgment, assumptions and estimates.</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we entered into a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 Business Combination and subsequent redemptions or exchanges of WMH Units, we have established a deferred tax asset for the additional tax basis and a corresponding TRA liability of 85% of the expected benefit. The remaining 15% is recorded within paid-in capital. Our calculation of the TRA asset and liability requires estimates of its future qualified taxable income over the term of the TRA as a basis to determine if the related tax benefits are expected to be realized. As of December 31, 2023 and 2022, TRA liability were $1.8 million and $0.5 million.</w:t>
      </w:r>
    </w:p>
    <w:p>
      <w:pPr>
        <w:spacing w:after="0" w:line="80"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Based on the weight of all available evidence, both positive and negative, we determined during the three months ended December 31, 2022 that a full valuation allowance was required against our net deferred tax assets. We continued the remeasurement of the valuation allowance during the year ended December 31, 2023 and determined that a full valuation allowance was required as of December 31, 2023. See Note 16, “Income Taxes,” to our audited consolidated financial statements included in this prospectus.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measure fair value of employee stock-based compensation awards on the date of grant and allocate the related expense over the requisite service period. The fair value of restricted stock units (“RSUs”) and performance-based restricted stock units (“PRSUs”) is equal to the market price of our Class A common stock on the date of grant. The fair value of the Class P Units is measured using the Black-Scholes-Merton valuation model. When awards include a performance condition that impacts the vesting of the award, we record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Forfeitures of stock-based awards are recognized as they occur. For the years ended December 31, 2023 and 2022, we recognized stock-based compensation expense of $13.5 million and $23.5 million, respectively. See Note 14, “Stock-based Compensation,” to our audited consolidated financial statements included in this prospectus.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Development Costs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capitalize certain costs related to the development and enhancement of the Weedmaps platform and SaaS solutions. In accordance with authoritative guidance, we capitalize these costs when the preliminary development project stage is completed, management has authorized further funding for the completion of the project, and it is probable that the project will be completed and performed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The accounting for website and internal-use software costs requires us to make significant judgment, assumptions and estimates related to the timing and amount of recognized capitalized software development costs. For the years ended December 31, 2023 and 2022, we capitalized $13.1 million and $15.5 million of costs related to the development of software applications.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We measure credit losses on our trade accounts receivable using the current expected credit loss model under Accounting Standards Codification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which is based on the expected losses rather than incurred losses. Under the credit loss model, lifetime expected credit losses are measured and recognized at each reporting date based on historical, current and forecast information.</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calculate the expected credit losses on a pool basis for those trade receivables that have similar risk characteristics. For those trade receivables that do not share similar risk characteristics, the allowance for expected credit losses is calculated on an individual basis. Risk characteristics relevant to our accounts receivable include balance of customer account and aging status. The allowance for credit losses was $8.7 million and $12.2 million as of December 31, 2023 and December 31, 2022, respectively. See Note 2, “Summary of Significant Accounting Policies,” to our audited consolidated financial statements included in this prospectus for additional information.</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Assets and liabilities acquired from acquisitions are recorded at their estimated fair values. The excess of the purchase price over the estimated fair values of the net assets acquired, including identifiable intangible assets, is recorded as goodwill. The accounting for goodwill and intangible assets requires us to make significant judgement, estimates and assumptions. Significant estimates and assumptions in valuing acquired intangible assets and liabilities include projected cash flows attributable to the assets or liabilities, asset useful lives and discount rates.</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Goodwill is not amortized and is subject to annual impairment testing, or between annual tests if an event or change in circumstance occurs that would more likely than not reduce the fair value of a reporting unit below its carrying value. Goodwill is assessed for impairment annually on December 31. For the year ended December 31, 2023, in accordance with our annual assessment policy, we opted to bypass the qualitative assessment and performed a quantitative assessment to test goodwill for impairment. As part of our impairment assessment, the fair value of the reporting unit isestimated using a discounted cash flow valuation which incorporates assumptions regarding long-term growth rates, revenue and earnings projections, estimation of cash flows, discount rates and other factors. Changes in these inputs could materially affect the results of our impairment review. In conducting our quantitative assessment, we determined that the fair value of our goodwill substantially exceeded its carrying amount by approximately 18%, and as a result, no impairment existed as of the annual assessment date of December 31, 2023. If our forecasts of cash flows or other key inputs are negatively revised in the future, the estimated fair value of the reporting unit would be adversely impacted, potentially leading to an impairment in the future that could materially affect our operating results.</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Intangible assets deemed to have finite lives are amortized on a straight-line basis over their estimated useful lives, where the useful life is the period over which the asset is expected to contribute directly, or indirectly, to our future cash flows. Intangible assets are reviewed for impairment on an interim basis when certain events or circumstances exist. For amortizable intangible assets, impairment exists when the carrying amount of the intangible asset exceeds its fair value. At least annually, the remaining useful life is evaluated. We recorded an impairment charge of $6.1 million for the year ended December 31, 2023 related to intangible assets associated with certain product offerings that were sunset in December 2023, which is included in asset impairment charges in the consolidated statements of operations. No intangible asset impairment charges have been recorded for the years ended December 31, 2022 and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2021. See Note 2, “Summary of Significant Accounting Policies,” and Note 9, “Goodwill and Intangible Assets,” to our audited consolidated financial statements included in this prospectus for additional information.</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Long-Lived Assets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assess potential impairments to our long-lived assets, which includes property and equipment and operating lease assets, at least annually or whenever events or circumstances indicate that the carrying amount of an asset may not be recoverable. As of December 31, 2023 and 2022, our operating leases had a weighted average remaining lease term of 6.3 years and 6.8 years and a weighted-average discount rate of 9.8%. Our lease agreements do not provide an implicit rate and as a result, we used an estimated incremental borrowing rate, which was derived from third-party information available at the time we adopted ASC 842 in determining the present value of future lease payments. The rate used is for a secured borrowing of a similar term as the right of use asset. The fair value was estimated using an income approach based on management’s forecast of future cash flows expected to be derived based on current sublease market rent.</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assess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we test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we perform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we rely on a discounted cash flow approach using market participant assumptions of the expected cash flows.</w:t>
      </w:r>
    </w:p>
    <w:p>
      <w:pPr>
        <w:spacing w:after="0" w:line="80" w:lineRule="exact"/>
        <w:rPr>
          <w:sz w:val="20"/>
          <w:szCs w:val="20"/>
          <w:color w:val="auto"/>
        </w:rPr>
      </w:pPr>
    </w:p>
    <w:p>
      <w:pPr>
        <w:jc w:val="both"/>
        <w:ind w:left="300" w:right="319"/>
        <w:spacing w:after="0" w:line="255" w:lineRule="auto"/>
        <w:rPr>
          <w:sz w:val="20"/>
          <w:szCs w:val="20"/>
          <w:color w:val="auto"/>
        </w:rPr>
      </w:pPr>
      <w:r>
        <w:rPr>
          <w:rFonts w:ascii="Times New Roman" w:cs="Times New Roman" w:eastAsia="Times New Roman" w:hAnsi="Times New Roman"/>
          <w:sz w:val="18"/>
          <w:szCs w:val="18"/>
          <w:color w:val="auto"/>
        </w:rPr>
        <w:t>In 2023, we recognized a ROU asset impairment charge of $10.9 million driven by updated sublease assumptions for our second headquarter space in Los Angeles, California, pursuant to an operating lease that expires in 2031. In addition, we recognized ROU asset impairment charges of $0.6 million and $2.4 million during the years ended December 31, 2022 and 2021, respectively, related to certain ROU assets reducing the carrying values of the lease assets to their estimated fair values based on the discounted cash flows of estimated net rental income for the office spaces subleased. The ROU impairment charges are included in general and administrative expenses in the consolidated statements of operations.</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assess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For the year ended December 31, 2023, we recorded impairment charges of $3.9 million of which $2.7 million related to property and equipment associated with certain product offerings that were sunset in December 2023 and $1.3 million related to leasehold improvements associated with the impairment of a ROU asset both of which are included in asset impairment charges in the consolidated statements of operations. No impairments to property and equipment were recorded during the years ended December 31, 2022 and 2021.</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left="300" w:right="299"/>
        <w:spacing w:after="0" w:line="272" w:lineRule="auto"/>
        <w:rPr>
          <w:sz w:val="20"/>
          <w:szCs w:val="20"/>
          <w:color w:val="auto"/>
        </w:rPr>
      </w:pPr>
      <w:r>
        <w:rPr>
          <w:rFonts w:ascii="Times New Roman" w:cs="Times New Roman" w:eastAsia="Times New Roman" w:hAnsi="Times New Roman"/>
          <w:sz w:val="17"/>
          <w:szCs w:val="17"/>
          <w:color w:val="auto"/>
        </w:rPr>
        <w:t xml:space="preserve">In connection with the Business Combination, we assumed 12,499,993 Public Warrants and 7,000,000 Private Placement Warrants. As of December 31, 2023, 12,499,973 of the Public Warrant and all of the Private Placement Warrants remained outstanding. The warrants are measured at fair value under ASC 820 -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The fair value of the Public Warrants is classified as Level 1 financial instruments and is based on the publicly listed trading price of our Public Warrants. The fair value of the Private Warrants is determined with Level 3 inputs using the Black-Scholes model. 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be realized in a current market exchange. Accordingly, the use of different market assumptions and/or different valuation techniques may have a material effect on the estimated fair value, and such changes could materially impact our results of operations in future periods. As of December 31, 2023 and December 31, 2022, warrant liability was $0.6 million and $2.1 million, respectively. See Note 6, “Fair Value Measurements,” to our audited consolidated financial statements included in this prospectus.</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currently have no material recent accounting pronouncements yet to be adopted.</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have operations both within the United States and in foreign jurisdictions,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years ended December 31, 2023, 2022 and 2021. For all periods presented, we believe the exposure to foreign currency fluctuation from operating expenses is immaterial as the related costs do not constitute a significant portion of our total expenses.</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to be cash equivalents.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December 31, 2023, we did not have any cash equivalents.</w:t>
      </w:r>
    </w:p>
    <w:p>
      <w:pPr>
        <w:spacing w:after="0" w:line="9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maximizing income without significantly increasing risk. Because we only hold cash, our portfolio’s fair value is insensitive to interest rate changes. In future periods, we will continue to evaluate our investment policy in order to ensure that we continue to meet our overall objectives. A hypothetical 100 basis point increase or decrease in interest rates would not have a material effect on our financial results.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financial instruments are potentially subject to concentrations of credit risk. We place our cash with high quality credit institutions. From time to time, we maintain cash balances at certain institutions in excess of the Federal Deposit Insurance Corporation limit. As of December 31, 2023, we had cash balances that exceeded the deposit insurance limit with five financial institutions. Management believes that the risk of loss is not significant and has not experienced any losses in such accounts.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Other than as set forth in the note above titled “Growth and Retention of Our Paying Clients”, 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 We do not believe that inflation has had a material effect on our business, financial condition or results of operations during the years ended December 31, 2023, 2022 and 2021.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On the Closing Date, and in connection with the closing of the Business Combination, Silver Spike was domesticated and continues as a Delaware corporation, and changed its name to WM Technology, Inc.</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(“POS”) solutions, to provide consumers with the ability to browse by strain, price, cannabinoids and other information regarding locally available cannabis products, through our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We believe the size, loyalty and engagement of our user base and the frequency of consumption of cannabis by our user base makes the Weedmaps marketplace highly valuable to our clients.</w:t>
      </w:r>
    </w:p>
    <w:p>
      <w:pPr>
        <w:spacing w:after="0" w:line="8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Weedmaps for Business, our SaaS offering, is a comprehensive set of eCommerce and compliance software solutions catered towards cannabis retailers, delivery services and brands that streamline front and back-end operations and help manage compliance needs. These tools support cannabis businesses at every stage in the consumer funnel, enabling them to:</w:t>
      </w:r>
    </w:p>
    <w:p>
      <w:pPr>
        <w:spacing w:after="0" w:line="72" w:lineRule="exact"/>
        <w:rPr>
          <w:sz w:val="20"/>
          <w:szCs w:val="20"/>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Strategically reach prospective cannabis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pickup, delivery and inventory in compliance with local regulations.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 improve the customer experience by creating online browsing and ordering functionality on a brand or retailer (including delivery) operator’s website.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 customer loyalty and re-engage with segments of consumers.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the Weedmaps for Business products in conjunction with any other preferred software solutions via integrations and application programming interfaces (“APIs”).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informed marketing and merchandising decisions using performance analytics and consumer and brand insights to promote products to specific consumer groups.</w:t>
      </w:r>
    </w:p>
    <w:p>
      <w:pPr>
        <w:spacing w:after="0" w:line="5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reserve products for pickup by consumers or delivery to consumers (either through weedmaps.com, on a white labeled WM Store website or third-party websites through our orders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menu embed product), (iii) customizable menus for brands, retailers and delivery operators to embed on their website, (iv) access to our APIs, including real-time connectivity between Weedmaps for Business to a POS to streamline workflows and promote compliance through accuracy and (v) analytics dashboards. We also offer add-on and a la carte products and services for additional fees, as discussed below.</w:t>
      </w:r>
    </w:p>
    <w:p>
      <w:pPr>
        <w:spacing w:after="0" w:line="72" w:lineRule="exact"/>
        <w:rPr>
          <w:sz w:val="20"/>
          <w:szCs w:val="20"/>
          <w:color w:val="auto"/>
        </w:rPr>
      </w:pPr>
    </w:p>
    <w:p>
      <w:pPr>
        <w:jc w:val="both"/>
        <w:ind w:left="300" w:right="299"/>
        <w:spacing w:after="0" w:line="235" w:lineRule="auto"/>
        <w:rPr>
          <w:sz w:val="20"/>
          <w:szCs w:val="20"/>
          <w:color w:val="auto"/>
        </w:rPr>
      </w:pPr>
      <w:r>
        <w:rPr>
          <w:rFonts w:ascii="Times New Roman" w:cs="Times New Roman" w:eastAsia="Times New Roman" w:hAnsi="Times New Roman"/>
          <w:sz w:val="18"/>
          <w:szCs w:val="18"/>
          <w:color w:val="auto"/>
        </w:rPr>
        <w:t>The state-legal cannabis industry in the United States has grown consistently in recent years and was estimated to be between approximately $27-$28 billion in 2023, according to Wall Street analyst estimates, and is expected by some estimates to grow to $40 billion by 2027, assuming a continued pace of new state legalization, with 70%</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of U.S. adults since 2020 in support of having legal access to cannabis. As of September 30, 2024, thirty-nine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Despite expectations of growth, the regulated cannabis market in the United States is still nascent and fragmented, with significant challenges facing both consumers seeking to understand cannabis and find the right products for them and businesses seeking to operate compliantly and to effectively reach and market to cannabis consumers. Within the U.S., cannabis users (defined as adults, aged 21 and older, who have consumed cannabis in the past year) represent less than 22% of the total U.S. adult, aged 21 and older, population today (and less than 16% for those that consumed in the past month)</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On the client side, as of December 31, 2023, there were approximately 11,900 retail licenses across the United States with medical and/or adult-use regulations in place, which is an effective retail density of approximately one retail license per 21,570 residents across these markets in the aggregate, based on data available from individual governmental cannabis license databases and the U.S. Census Bureau estimates for both licenses and population.</w:t>
      </w:r>
    </w:p>
    <w:p>
      <w:pPr>
        <w:spacing w:after="0" w:line="100"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addition to these nascent consumer and business dynamics, cannabis itself is a highly complex, regulated and diverse, non-shelf stable consumer good that spans hundreds of strains and a growing set of form factors available for consumption, including flower, pre-rolls, vapes, edibles, tinctures and concentrates. Despite these complexities, consumers still expect the same product information, discovery and comparison options across multiple channels from cannabis businesses that they expect from other retailers or brands. These consumer expectations, coupled with the lack of normalized product information in the industry, in addition to the unique attributes of cannabis as a nascent and highly regulated consumer product, create significant challenges for retailers and brands who serve cannabis consumers. Retailers and brands must meet these consumer expectations and provide omni-channel engagement opportunities with the same (i) level of service, (ii) richness of product information, (iii) ability to compare prices, and (iv) ease of product and brand discovery that consumers would receive when researching other consumer product categories. Further, brands are limited in their ability to market and sell directly and need to find ways to communicate to consumers. At the same time, these businesses must comply with a rapidly evolving legal and regulatory landscape that differs by state and across cities and counties within each state, creating challenges in the ability to scale in a capital-efficient way.</w:t>
      </w:r>
    </w:p>
    <w:p>
      <w:pPr>
        <w:spacing w:after="0" w:line="15" w:lineRule="exact"/>
        <w:rPr>
          <w:sz w:val="20"/>
          <w:szCs w:val="20"/>
          <w:color w:val="auto"/>
        </w:rPr>
      </w:pPr>
    </w:p>
    <w:p>
      <w:pPr>
        <w:ind w:left="460" w:hanging="168"/>
        <w:spacing w:after="0"/>
        <w:tabs>
          <w:tab w:leader="none" w:pos="460"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news.gallup.com - Grassroots Support for Legalizing Marijuana Hits Record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-127000</wp:posOffset>
            </wp:positionV>
            <wp:extent cx="8229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 w:lineRule="exact"/>
        <w:rPr>
          <w:sz w:val="20"/>
          <w:szCs w:val="20"/>
          <w:color w:val="auto"/>
        </w:rPr>
      </w:pPr>
    </w:p>
    <w:p>
      <w:pPr>
        <w:ind w:left="460" w:right="299" w:hanging="168"/>
        <w:spacing w:after="0" w:line="195" w:lineRule="auto"/>
        <w:tabs>
          <w:tab w:leader="none" w:pos="460"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Numbers of users aged 21 and older are from the 2022 National Survey on Drug Use and Health, number of adults in the United States aged 21 and older are from U.S. Census data</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Product and Solution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182880</wp:posOffset>
            </wp:positionV>
            <wp:extent cx="5280660" cy="2922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8066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1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solutions are designed to address the challenges facing cannabis consumers and businesses. The Weedmaps marketplace allows cannabis consumers to search for and browse cannabis products from retailers and brands, and ultimately reserve products from certain local retailers, in a manner similar to other technology platforms with breadth and depth of product, brand and retailer selection. With the development of Weedmaps for Business, we offer an end-to-end platform for licensed cannabis retailers to comply with state law. We sell a monthly subscription offering to retailer and brand clients as well as upsell and add-on offerings to licensed clients.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current Weedmaps for Business monthly subscription package includes:</w:t>
      </w:r>
    </w:p>
    <w:p>
      <w:pPr>
        <w:spacing w:after="0" w:line="117" w:lineRule="exact"/>
        <w:rPr>
          <w:sz w:val="20"/>
          <w:szCs w:val="20"/>
          <w:color w:val="auto"/>
        </w:rPr>
      </w:pPr>
    </w:p>
    <w:p>
      <w:pPr>
        <w:jc w:val="both"/>
        <w:ind w:left="1000" w:right="319" w:hanging="348"/>
        <w:spacing w:after="0" w:line="261"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Listings: A listing page with product menu for a retailer or brand on the Weedmaps marketplace, enabling our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9"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294"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58"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also offer other add-on products for additional fees, including:</w:t>
      </w:r>
    </w:p>
    <w:p>
      <w:pPr>
        <w:spacing w:after="0" w:line="117" w:lineRule="exact"/>
        <w:rPr>
          <w:sz w:val="20"/>
          <w:szCs w:val="20"/>
          <w:color w:val="auto"/>
        </w:rPr>
      </w:pPr>
    </w:p>
    <w:p>
      <w:pPr>
        <w:ind w:left="1000" w:right="3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Ads: Ad solutions on the Weedmaps marketplace designed for clients to amplify their businesses and reach more highly engaged cannabis consumers throughout their buying journey including:</w:t>
      </w:r>
    </w:p>
    <w:p>
      <w:pPr>
        <w:sectPr>
          <w:pgSz w:w="11900" w:h="16838" w:orient="portrait"/>
          <w:cols w:equalWidth="0" w:num="1">
            <w:col w:w="9019"/>
          </w:cols>
          <w:pgMar w:left="1440" w:top="263" w:right="1440" w:bottom="1440" w:gutter="0" w:footer="0" w:header="0"/>
        </w:sectPr>
      </w:pPr>
    </w:p>
    <w:p>
      <w:pPr>
        <w:spacing w:after="0" w:line="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Featured Listings: Premium placement ad solutions on high visibility locations on the Weedmaps marketplace (desktop and mobile) to amplify our clients’ businesses and maximize clients’ listings and deal presence.</w:t>
      </w:r>
    </w:p>
    <w:p>
      <w:pPr>
        <w:spacing w:after="0" w:line="68"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68" w:lineRule="exact"/>
        <w:rPr>
          <w:sz w:val="20"/>
          <w:szCs w:val="20"/>
          <w:color w:val="auto"/>
        </w:rPr>
      </w:pPr>
    </w:p>
    <w:p>
      <w:pPr>
        <w:sectPr>
          <w:pgSz w:w="11900" w:h="16838" w:orient="portrait"/>
          <w:cols w:equalWidth="0" w:num="2">
            <w:col w:w="1080" w:space="280"/>
            <w:col w:w="7659"/>
          </w:cols>
          <w:pgMar w:left="1440" w:top="263" w:right="1440" w:bottom="1440" w:gutter="0" w:footer="0" w:header="0"/>
          <w:type w:val="continuous"/>
        </w:sectPr>
      </w:pPr>
    </w:p>
    <w:p>
      <w:pPr>
        <w:jc w:val="both"/>
        <w:ind w:left="1360" w:right="319" w:hanging="348"/>
        <w:spacing w:after="0" w:line="239" w:lineRule="auto"/>
        <w:tabs>
          <w:tab w:leader="none" w:pos="1360" w:val="left"/>
        </w:tabs>
        <w:numPr>
          <w:ilvl w:val="1"/>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Other WM Ads solutions: Includes banner ads and promotion tiles on our marketplace as well as banner ads that can be tied to keyword searches. These products provide clients with targeted ad solutions in highly visible slots across our digital surfaces.</w:t>
      </w:r>
    </w:p>
    <w:p>
      <w:pPr>
        <w:spacing w:after="0" w:line="91" w:lineRule="exact"/>
        <w:rPr>
          <w:rFonts w:ascii="Times New Roman" w:cs="Times New Roman" w:eastAsia="Times New Roman" w:hAnsi="Times New Roman"/>
          <w:sz w:val="22"/>
          <w:szCs w:val="22"/>
          <w:color w:val="auto"/>
          <w:vertAlign w:val="superscript"/>
        </w:rPr>
      </w:pPr>
    </w:p>
    <w:p>
      <w:pPr>
        <w:jc w:val="both"/>
        <w:ind w:left="1000" w:right="319" w:hanging="348"/>
        <w:spacing w:after="0" w:line="26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December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sell our Weedmaps for Business suite in the United States and have a limited number of non-monetized listings in several other countries including Austria, Canada, Germany, the Netherlands, Spain and Switzerland. We operate in the United States, Canada and other foreign jurisdictions where medical and/or adult cannabis use is legal under state or national law. As of June 30, 2024, we actively operated in over 35 U.S. states and territories that have adult-use and/or medical-use regulations in place. We define actively operated markets as those U.S. states or territories with greater than $1,000 monthly revenue. Substantially all of our revenue was generated in the United States.</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hold a strong belief in the importance of enabling safe, legal access to cannabis for consumers worldwide. We believe we offer the only comprehensive software platform that allows cannabis retailers to reach their target audience, quickly and cost effectively, addressing a wide range of needs. We are committed to building the software solutions that power cannabis businesses compliantly in the industry, to advocating for legalization, licensing and social equity of cannabis and to facilitating further learning through partnership with subject matter experts to provide detailed, accurate information about cannabis.</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While the cannabis industry is still in the early innings of what could be decades of growth, we have established a leading position and a recognized brand given our 15-year operating history. Over the coming years, we plan to continue expanding our solutions and service offerings.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Challenges in Our End-Markets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Despite cannabis being a large and growing sector in the United States, we believe that cannabis is unlike many other consumer goods and retail categories for a number of reasons:</w:t>
      </w:r>
    </w:p>
    <w:p>
      <w:pPr>
        <w:spacing w:after="0" w:line="54" w:lineRule="exact"/>
        <w:rPr>
          <w:sz w:val="20"/>
          <w:szCs w:val="20"/>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as a regulated industry is still in a nascent stage of development.</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13"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users (defined as adults, aged 21 and older, who have consumed cannabis in the past year) represent less than 22% of the total U.S. adult, aged 21 and older, population today</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(and less than 16% for those that consumed in the past month)</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without a “typical” user profile</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w:t>
      </w: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cannabis are complex and vary state-by-state and by city and county within states.</w:t>
      </w:r>
    </w:p>
    <w:p>
      <w:pPr>
        <w:spacing w:after="0" w:line="9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has wide variance in characteristics that make it complex for consumers to make an informed purchase decision.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is a perishable good with a lack of product homogeneity.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Brands are only in the early stages of establishing a consumer presence.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the illicit market is still an issue, particularly in states like California.</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industry has experienced periods of price deflation, including over the past two years, impacting the financial performance of businesses across the value chain.</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access to capital (relative to other industries) and limitations under Section 280E of the Internal Revenue Code of 1986, as amended (the “Code”) on deduction or credit for certain expenses of cannabis business can reduce the cash flow and liquidity of many industry participants.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Since our founding in 2008, we have grown to become a leading provider of technology solutions to the cannabis industry by leveraging our competitive strengths, including:</w:t>
      </w:r>
    </w:p>
    <w:p>
      <w:pPr>
        <w:spacing w:after="0" w:line="50" w:lineRule="exact"/>
        <w:rPr>
          <w:sz w:val="20"/>
          <w:szCs w:val="20"/>
          <w:color w:val="auto"/>
        </w:rPr>
      </w:pPr>
    </w:p>
    <w:p>
      <w:pPr>
        <w:jc w:val="both"/>
        <w:ind w:left="1000" w:right="319" w:hanging="348"/>
        <w:spacing w:after="0" w:line="25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Long History as a Technology Leader Serving the Cannabis Industry. </w:t>
      </w:r>
      <w:r>
        <w:rPr>
          <w:rFonts w:ascii="Times New Roman" w:cs="Times New Roman" w:eastAsia="Times New Roman" w:hAnsi="Times New Roman"/>
          <w:sz w:val="18"/>
          <w:szCs w:val="18"/>
          <w:color w:val="auto"/>
        </w:rPr>
        <w:t>Founded in 2008, we have a long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history and established relationships with cannabis businesses and consumers across the United States. This long history has given us several competitive advantages, such as scale, attractive operating margins and local insights into emerging consumer and business trends across many markets. Our policy expertise allows us to anticipate and react quickly to changes in cannabis regulations and informs all aspects of our business, including our product ideation, development and go-to-market strategies.</w:t>
      </w:r>
    </w:p>
    <w:p>
      <w:pPr>
        <w:spacing w:after="0" w:line="74"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Largest Two-Sided Platform for Cannabis Businesses and Consumers. </w:t>
      </w:r>
      <w:r>
        <w:rPr>
          <w:rFonts w:ascii="Times New Roman" w:cs="Times New Roman" w:eastAsia="Times New Roman" w:hAnsi="Times New Roman"/>
          <w:sz w:val="18"/>
          <w:szCs w:val="18"/>
          <w:color w:val="auto"/>
        </w:rPr>
        <w:t>With $45.9 million in revenue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5,045 average monthly paying clients for the three months ended June 30, 2024, we believe we are the largest two-sided platform for cannabis businesses and consumers in the United States. As we increase the number of users on our platform, we generate more engagements and can more easily persuade our business clients to consolidate their service providers by switching to our value-priced Weedmaps for Business bundled solution. As we continue to increase the number of businesses on our marketplace, we in turn become a more compelling platform for users. As more businesses and users join the platform, we gain a richer trove of industry data to perform market research and assist in product development and improvement. The result is a self-reinforcing, mutually beneficial, two-sided network effect, which we believe is difficult to replicate.</w:t>
      </w:r>
    </w:p>
    <w:p>
      <w:pPr>
        <w:spacing w:after="0" w:line="77" w:lineRule="exact"/>
        <w:rPr>
          <w:rFonts w:ascii="Times New Roman" w:cs="Times New Roman" w:eastAsia="Times New Roman" w:hAnsi="Times New Roman"/>
          <w:sz w:val="18"/>
          <w:szCs w:val="18"/>
          <w:color w:val="auto"/>
        </w:rPr>
      </w:pPr>
    </w:p>
    <w:p>
      <w:pPr>
        <w:jc w:val="both"/>
        <w:ind w:left="1000" w:right="319" w:hanging="348"/>
        <w:spacing w:after="0" w:line="268"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 Fully-Integrated Business-in-a-Box SaaS Solution Specific to the Cannabis Industry. </w:t>
      </w:r>
      <w:r>
        <w:rPr>
          <w:rFonts w:ascii="Times New Roman" w:cs="Times New Roman" w:eastAsia="Times New Roman" w:hAnsi="Times New Roman"/>
          <w:sz w:val="18"/>
          <w:szCs w:val="18"/>
          <w:color w:val="auto"/>
        </w:rPr>
        <w:t>We believe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Weedmaps for Business is the industry’s only comprehensive business-in-a-box solution and incorporates embedded compliance functionality so that our clients comply with state law through integrated software</w:t>
      </w:r>
    </w:p>
    <w:p>
      <w:pPr>
        <w:spacing w:after="0" w:line="76" w:lineRule="exact"/>
        <w:rPr>
          <w:sz w:val="20"/>
          <w:szCs w:val="20"/>
          <w:color w:val="auto"/>
        </w:rPr>
      </w:pPr>
    </w:p>
    <w:p>
      <w:pPr>
        <w:ind w:left="460" w:right="319" w:hanging="168"/>
        <w:spacing w:after="0" w:line="184" w:lineRule="auto"/>
        <w:tabs>
          <w:tab w:leader="none" w:pos="460"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Numbers of users 21 and above are from the 2022 National Survey on Drug Use and Health, number of 21 and above adults in the United States are from U.S. Census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-229235</wp:posOffset>
            </wp:positionV>
            <wp:extent cx="8229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460" w:hanging="168"/>
        <w:spacing w:after="0" w:line="210" w:lineRule="auto"/>
        <w:tabs>
          <w:tab w:leader="none" w:pos="460" w:val="left"/>
        </w:tabs>
        <w:numPr>
          <w:ilvl w:val="0"/>
          <w:numId w:val="4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Per 2022 National Survey of Drug Use and Health and U.S. Census data</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4" w:lineRule="auto"/>
        <w:rPr>
          <w:sz w:val="20"/>
          <w:szCs w:val="20"/>
          <w:color w:val="auto"/>
        </w:rPr>
      </w:pPr>
      <w:r>
        <w:rPr>
          <w:rFonts w:ascii="Times New Roman" w:cs="Times New Roman" w:eastAsia="Times New Roman" w:hAnsi="Times New Roman"/>
          <w:sz w:val="18"/>
          <w:szCs w:val="18"/>
          <w:color w:val="auto"/>
        </w:rPr>
        <w:t>solutions ranging from live menus, logistics and fulfillment, POS integrations, inventory management and data and analytics. We also believe we are the only platform servicing cannabis that combines both a scaled marketplace and software - most other technology providers offer software solutions without the marketplace or a marketplace without software. We also believe we offer the most comprehensive software platform that allows cannabis retailers to reach their target audience, quickly and cost effectively, addressing a wide range of needs. Our platform features self-service administrative functionality that enables clients to manage their listings page, including adding images, adjusting their menus, editing product information and responding to reviews as well as analyzing traffic trends.</w:t>
      </w:r>
    </w:p>
    <w:p>
      <w:pPr>
        <w:spacing w:after="0" w:line="80" w:lineRule="exact"/>
        <w:rPr>
          <w:sz w:val="20"/>
          <w:szCs w:val="20"/>
          <w:color w:val="auto"/>
        </w:rPr>
      </w:pPr>
    </w:p>
    <w:p>
      <w:pPr>
        <w:jc w:val="both"/>
        <w:ind w:left="1000" w:right="299" w:hanging="348"/>
        <w:spacing w:after="0" w:line="256"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Unique and Growing Data Asset. </w:t>
      </w:r>
      <w:r>
        <w:rPr>
          <w:rFonts w:ascii="Times New Roman" w:cs="Times New Roman" w:eastAsia="Times New Roman" w:hAnsi="Times New Roman"/>
          <w:sz w:val="18"/>
          <w:szCs w:val="18"/>
          <w:color w:val="auto"/>
        </w:rPr>
        <w:t>As a result our established presence, scale and the breadth of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that provide us with a high volume of retail-level information and user insights, we have a growing and unique first-party data asset. Currently, the cannabis industry has few reliable sources of fulsome datasets. Our data gives us insights on local market trends and the shape of the consumer journey from exploration and discovery to point of direct interaction with retailers across multiple retailers, brands and products. As our network of clients and consumers continues to grow, our data set will become deeper and richer, increasing its value and our potential monetization opportunities.</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Ability to Innovate Rapidly and Launch New Products Efficiently at Scale. </w:t>
      </w:r>
      <w:r>
        <w:rPr>
          <w:rFonts w:ascii="Times New Roman" w:cs="Times New Roman" w:eastAsia="Times New Roman" w:hAnsi="Times New Roman"/>
          <w:sz w:val="18"/>
          <w:szCs w:val="18"/>
          <w:color w:val="auto"/>
        </w:rPr>
        <w:t>We have an agile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innovation and deployment process. Our sales team frequently engages with our paid clients about the products they use, as well as their business objectives and performance. We constantly strive to generate product ideas through this deep engagement with our clients, as well as empirical research. During the initial development phases, we test a proposed offering with relevant areas of our business such as sales, compliance, legal, marketing and technology, and use the resulting cross-functional input to develop a clear business rationale and explicit articulation of the goals, client problems that need to be solved, compliance features that need to be incorporated, and potential product-market fit prior to the investment of developer time and company resources. We leverage reusable microservices architecture and modular technology that can be redeployed across multiple new offerings for quicker development cycles. This streamlined approach yields smaller initiatives requiring less investment, enabling us to deliver cost-effective product innovation at a rapid pace.</w:t>
      </w:r>
    </w:p>
    <w:p>
      <w:pPr>
        <w:spacing w:after="0" w:line="81"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Capital-Efficient Business Model with Historical Track Record of Positive Cash Flows. </w:t>
      </w:r>
      <w:r>
        <w:rPr>
          <w:rFonts w:ascii="Times New Roman" w:cs="Times New Roman" w:eastAsia="Times New Roman" w:hAnsi="Times New Roman"/>
          <w:sz w:val="18"/>
          <w:szCs w:val="18"/>
          <w:color w:val="auto"/>
        </w:rPr>
        <w:t>We operate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cloud-based platform, and unlike other cannabis-related businesses, we require minimal physical footprint and are not directly exposed to fluctuations in product input costs. We do not require real estate or other significant capital outlays to enter new markets. Our offerings can be efficiently customized to new markets to facilitate expansion, which provides significant flexibility to scale and enter new markets with minimal investment. The capital-efficiency of our business model is evidenced by our historical robust margin profile and, prior to 2022, our track record of positive Adjusted EBITDA and cash flows from operating activities,</w:t>
      </w:r>
    </w:p>
    <w:p>
      <w:pPr>
        <w:spacing w:after="0" w:line="76"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Operationally-Focused Management Team with Deep Experience. </w:t>
      </w:r>
      <w:r>
        <w:rPr>
          <w:rFonts w:ascii="Times New Roman" w:cs="Times New Roman" w:eastAsia="Times New Roman" w:hAnsi="Times New Roman"/>
          <w:sz w:val="18"/>
          <w:szCs w:val="18"/>
          <w:color w:val="auto"/>
        </w:rPr>
        <w:t>Our executive leadership team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extensive and relevant professional experience spanning the technology, consumer, retail, legal and financial services industries, with a track record of operational execution and driving growth. Our Chief Executive Officer, Chairman and Principal Executive Officer, Douglas Francis is a co-founder of WM Technology and, prior to 2019, had served as its Chief Executive Officer. We believe our deep knowledge of our end-markets and broad-based operational expertise spanning several industry sectors provides a key competitive advantage in executing against our growth strategy.</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a leading marketplace and software platform, our goal is not only to grow our market share but to grow the entire market by promoting wider access to licensed cannabis, educating consumers on how to shop for cannabis and providing licensed operators with the tools they need to access users and grow their businesses. We believe we are well-positioned to capitalize on underlying growth across our end-markets by executing against our strategy as follows:</w:t>
      </w:r>
    </w:p>
    <w:p>
      <w:pPr>
        <w:spacing w:after="0" w:line="71" w:lineRule="exact"/>
        <w:rPr>
          <w:sz w:val="20"/>
          <w:szCs w:val="20"/>
          <w:color w:val="auto"/>
        </w:rPr>
      </w:pPr>
    </w:p>
    <w:p>
      <w:pPr>
        <w:jc w:val="both"/>
        <w:ind w:left="1000" w:right="299" w:hanging="348"/>
        <w:spacing w:after="0" w:line="26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 Our Two-Sided Marketplace. </w:t>
      </w:r>
      <w:r>
        <w:rPr>
          <w:rFonts w:ascii="Times New Roman" w:cs="Times New Roman" w:eastAsia="Times New Roman" w:hAnsi="Times New Roman"/>
          <w:sz w:val="18"/>
          <w:szCs w:val="18"/>
          <w:color w:val="auto"/>
        </w:rPr>
        <w:t>Our goal is to be the center of commerce for consumers seeking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cannabis. To support this goal, we intend to continue growing the number of consumers on our platform through original content that educates, entertains, facilitates discovery of new products, increases awareness of our platform and encourages repeat usage. As we grow our users and user engagements, we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319"/>
        <w:spacing w:after="0" w:line="266" w:lineRule="auto"/>
        <w:rPr>
          <w:sz w:val="20"/>
          <w:szCs w:val="20"/>
          <w:color w:val="auto"/>
        </w:rPr>
      </w:pPr>
      <w:r>
        <w:rPr>
          <w:rFonts w:ascii="Times New Roman" w:cs="Times New Roman" w:eastAsia="Times New Roman" w:hAnsi="Times New Roman"/>
          <w:sz w:val="18"/>
          <w:szCs w:val="18"/>
          <w:color w:val="auto"/>
        </w:rPr>
        <w:t>will continue to engage with our clients to demonstrate the value we believe they receive on our platform and can convince more businesses to increase adoption of our Weedmaps for Business services through our Weedmaps for Business subscription offering and additional add-ons.</w:t>
      </w:r>
    </w:p>
    <w:p>
      <w:pPr>
        <w:spacing w:after="0" w:line="64" w:lineRule="exact"/>
        <w:rPr>
          <w:sz w:val="20"/>
          <w:szCs w:val="20"/>
          <w:color w:val="auto"/>
        </w:rPr>
      </w:pPr>
    </w:p>
    <w:p>
      <w:pPr>
        <w:jc w:val="both"/>
        <w:ind w:left="1000" w:right="319" w:hanging="348"/>
        <w:spacing w:after="0" w:line="25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Existing Markets and Enter New Markets. </w:t>
      </w:r>
      <w:r>
        <w:rPr>
          <w:rFonts w:ascii="Times New Roman" w:cs="Times New Roman" w:eastAsia="Times New Roman" w:hAnsi="Times New Roman"/>
          <w:sz w:val="18"/>
          <w:szCs w:val="18"/>
          <w:color w:val="auto"/>
        </w:rPr>
        <w:t>We have a significant opportunity to grow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client base both within existing markets that are continuing to grow and new markets as they become open to regulated cannabis. We believe we are a nationally-recognized brand in the cannabis industry, and we are monetizing our platform in over 35 U.S. states and territories, as of December 31, 2023. Based on our internal research, we believe the minimum level of acceptable retail density to have a healthy and functioning licensed market is one licensed retailer per 10,000 residents. Many of the U.S. states where we operate today are still under-penetrated with low levels of licensed retail density. We believe that there are tremendous growth opportunities for us within our existing markets as retail licenses continue to be issued, and states move towards, and eventually beyond, the one retail license per 10,000 people ratio. As of December 31, 2023, there were approximately 11,900 existing retail and delivery licenses across the United States. Assuming no cap on the number of licenses issued or other restrictions on the number of licenses issued, if these same markets were to issue enough licenses to match a ratio of one retail license per 10,000 residents, approximately 22,000 new retail licenses would be issued. This may require continued liberalization of license restrictions across cities and counties within certain states where we do business today. In addition, we believe that legalization by additional states and eventually the U.S. government is inevitable. Assuming no other restrictions on the number of licenses issued, if the entire United States reached a minimum level of density of one retail license per 10,000 residents, the total universe of retail licenses would reach approximately 34,000, which is approximately 2.8 times the current count of retail licenses in the United States. If our assumptions and projections are correct, this represents a significant growth opportunity for us as every new retail license issued is an opportunity to onboard a new client onto our platform and increase their monthly spend as they leverage more of our services, solutions and upsell / add-on products.</w:t>
      </w:r>
    </w:p>
    <w:p>
      <w:pPr>
        <w:spacing w:after="0" w:line="78"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Weedmaps for Business Solutions and Monetize Gross Merchandise Value (“GMV”) Consistent with Federal and State Laws. </w:t>
      </w:r>
      <w:r>
        <w:rPr>
          <w:rFonts w:ascii="Times New Roman" w:cs="Times New Roman" w:eastAsia="Times New Roman" w:hAnsi="Times New Roman"/>
          <w:sz w:val="18"/>
          <w:szCs w:val="18"/>
          <w:color w:val="auto"/>
        </w:rPr>
        <w:t>We intend to continue expanding our suite of valuable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advertising and software solutions and the functionality of our Weedmaps for Business solutions through additional offerings of premium analytics and loyalty tools, among other solutions, which we intend to monetize through additional higher priced tiers within our subscription offering. We will continue to expand the availability of our POS integrations across additional states. We also are continuously improving the base-level functionality across our Weedmaps for Business solutions. We believe these initiatives will result in a more engaged client who utilizes more of our services across our platform and is more ripe for monetization opportunities over time. While we do not believe GMV is a driver of our revenue currently, GMV could represent significant monetization potential over time when and if U.S. federal regulations allow us to monetize our clients’ currently off-platform transaction activity through take-rates or payment fees.</w:t>
      </w:r>
    </w:p>
    <w:p>
      <w:pPr>
        <w:spacing w:after="0" w:line="81" w:lineRule="exact"/>
        <w:rPr>
          <w:rFonts w:ascii="Times New Roman" w:cs="Times New Roman" w:eastAsia="Times New Roman" w:hAnsi="Times New Roman"/>
          <w:sz w:val="18"/>
          <w:szCs w:val="18"/>
          <w:color w:val="auto"/>
        </w:rPr>
      </w:pPr>
    </w:p>
    <w:p>
      <w:pPr>
        <w:jc w:val="both"/>
        <w:ind w:left="1000" w:right="319" w:hanging="348"/>
        <w:spacing w:after="0" w:line="268"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Pursue Strategic Acquisitions. </w:t>
      </w:r>
      <w:r>
        <w:rPr>
          <w:rFonts w:ascii="Times New Roman" w:cs="Times New Roman" w:eastAsia="Times New Roman" w:hAnsi="Times New Roman"/>
          <w:sz w:val="18"/>
          <w:szCs w:val="18"/>
          <w:color w:val="auto"/>
        </w:rPr>
        <w:t>We take a measured approach to acquisition-related growth. We intend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 selectively pursuing opportunities to invest in and acquire technology offerings that either complement our existing products and services or allow us to accelerate our growth.</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direct competitors for individual components or parts of our platform include cannabis-focused, technology companies like Leafly, Dutchie and Jane Technologies and a variety of cannabis-focused marketing and advertising technology solutions. In addition, for our retail listing pages, our platform may also compete with current or potential products and solutions offered by internet search engines and advertising networks like Google, Yelp, various other newspaper, television and media companies, as well as outdoor billboard advertising. We believe that the principal competitive factors in our market include the scale of our network, comprehensiveness of offerings, ease of adoption and use, ability to facilitate compliance with the complex, disparate regulations applicable to businesses operating in the cannabis industry and the breadth and trustworthiness of information available to consumers and brand. We believe we compete favorably based on these factors. On May 16, 2024, President Biden announced that the U.S. Attorney General initiated proceedings to transfer cannabis from Schedule I to Schedule III, through a Notice of Proposed Rulemaking (“NPRM”) published on May 21, 2024 This decision is expected to have far reaching implications that are not yet fully understood. For example, rescheduling may increase competitors in this space if non-cannabis technology companies who have previously avoided the space now decide to enter the market.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the risks to our business related to competition, see the section entitled “Risk Factors-Risks Related to our Business and Industry—We currently face intense competition in the market and we expect competition to further intensify as the cannabis industry continues to evolve.”</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Our sales team is primarily based out of our Irvine, California headquarters. Members of our sales team are knowledgeable about the products and add-ons that we offer and assist new and existing clients with our platform.</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generate many leads for new listing pages through the applicable state cannabis regulators’ lists of licensees. Other leads are created from inbound requests by applicants for cannabis licenses to begin establishing their business’ presence on our platform pending an expected cannabis license.</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believe the quality and strength of our platform is our most valuable marketing asset. Our marketing strategy, across both business-to-consumer and business-to-business commerce, consists of user acquisition, brand marketing, communications and field marketing.</w:t>
      </w:r>
    </w:p>
    <w:p>
      <w:pPr>
        <w:spacing w:after="0" w:line="68" w:lineRule="exact"/>
        <w:rPr>
          <w:sz w:val="20"/>
          <w:szCs w:val="20"/>
          <w:color w:val="auto"/>
        </w:rPr>
      </w:pPr>
    </w:p>
    <w:p>
      <w:pPr>
        <w:jc w:val="both"/>
        <w:ind w:left="300" w:right="299"/>
        <w:spacing w:after="0" w:line="236" w:lineRule="auto"/>
        <w:rPr>
          <w:sz w:val="20"/>
          <w:szCs w:val="20"/>
          <w:color w:val="auto"/>
        </w:rPr>
      </w:pPr>
      <w:r>
        <w:rPr>
          <w:rFonts w:ascii="Times New Roman" w:cs="Times New Roman" w:eastAsia="Times New Roman" w:hAnsi="Times New Roman"/>
          <w:sz w:val="18"/>
          <w:szCs w:val="18"/>
          <w:color w:val="auto"/>
        </w:rPr>
        <w:t>Our key marketing efforts consist of driving awareness of the marketplace, new user acquisition, and increasing platform engagement with existing users. To drive awareness, we apply a range of strategies from broad integrated marketing campaigns, such as our work each year on April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(“420”), to local, on-the ground events in partnership with brands and retailers like Jack in the Box. While many traditional paid channels are still not available to cannabis industry brands (Google search and some social platforms for example) we have an evolving playbook of tactics to acquire new users that includes a combination of targeted out-of-home, programmatic display, and affiliate marketing campaigns. We augment our paid efforts with social media and SEO tactics to drive organic traffic. To engage and retain existing users, we apply lifecycle tactics, leveraging our first party data to personalize touch points based on user interests.</w:t>
      </w:r>
    </w:p>
    <w:p>
      <w:pPr>
        <w:spacing w:after="0" w:line="96"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2023, our marketing function continued to focus on ways to drive greater adoption of our platform through new and innovative tactics such as in-app promotions and shopping tools, and self-help chat bots. Given the strength of our brand, we have continued to see strength in the performance of our marketing tactics in what can be a crowded market, easing the acquisition or upsell process for our sales team.</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Social Impact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To support the growth of an inclusive cannabis industry, we participate in policy panels and organize educational sessions to educate attendees about the importance of social equity programs and other policy initiatives that are designed to ensure the ability of people of color and those impacted by the war on drugs to participate in the legal cannabis markets that are opening (i.e. social equity licensing programs). We have drafted white papers and mock legislative provisions that were designed to support the enactment of social equity licensing programs and have advocated for state and local governments to enact social equity licensing programs. We have established a program, WM Teal, which stands for “Together for Equity Access and Legislation,” through which we provide free software, advertising, educational materials and training programs to applicants or licenses under social equity licensing programs.</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product development efforts focus on adding new features and solutions to our platform, as well as increasing the functionality and enhancing the ease of use of our platform. While we expect product development costs to increase as we continue to increase the functionality of our platform, we expect the percentage of total revenues represented by such costs to remain unchanged.</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intellectual property and proprietary rights are valuable assets that are important to our business. In our efforts to safeguard our intellectual property, including copyrights, trade secrets, trademarks, patents and other forms of intellectual property rights, we rely on a combination of federal, state, common law and international rights in the jurisdictions in which we operate.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have an ongoing trademark and service mark registration program pursuant to which we register our brand names, taglines and logos in the United States, Canada, the European Union and other jurisdictions to the extent we determine they are appropriate and cost-effective.</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of June 30, 2024, we hold a variety of trademark registrations in the United States, Canada, Japan, the European Union, the United Kingdom, Mexico and Australia.</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to our numerous trademark applications and registrations, we have United States copyright registrations for our weedmaps.com website, “Grow One,” and two versions of our Lab API documentation. Further, we own several domain names, including: weedmaps.com, marijuana.com, cannabis.com, wmpolicy.com, themuseumofweed.com, wm-retail.com, wmforbusiness.com and WM.store. Our trademarks and domain names are material to our business and brand identity.</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also rely on non-disclosure agreements, invention assignment agreements, intellectual property assignment agreements, or license agreements with employees, independent contractors, consumers, software providers and other third parties, which protect and limit access to and use of our proprietary intellectual property.</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Though we rely, in part, upon these legal and contractual protections, we believe that factors such as the skills and ingenuity of our employees, as well as the functionality and frequent enhancements to our platform are larger contributors to our success in the marketplace.</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Circumstances outside our control could pose a threat to our intellectual property rights. For more information, see the section entitled “Risk Factors—Risks Related to our Business and Industry.”</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left="300" w:right="299"/>
        <w:spacing w:after="0" w:line="235" w:lineRule="auto"/>
        <w:rPr>
          <w:sz w:val="20"/>
          <w:szCs w:val="20"/>
          <w:color w:val="auto"/>
        </w:rPr>
      </w:pPr>
      <w:r>
        <w:rPr>
          <w:rFonts w:ascii="Times New Roman" w:cs="Times New Roman" w:eastAsia="Times New Roman" w:hAnsi="Times New Roman"/>
          <w:sz w:val="18"/>
          <w:szCs w:val="18"/>
          <w:color w:val="auto"/>
        </w:rPr>
        <w:t>The cannabis industry has certain industry holidays that in recent years have resulted in increased purchases by cannabis consumers. Such “holidays” include, but are not limited to 420, July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and the Wednesday before Thanksgiving. Likewise, our clients will typically increase spend heading into these events. We also typically invest in marketing spend around these holidays which can create some seasonality in our sales and market expenses from quarter to quarter.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People Operations and Human Capital Resources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of September 30, 2024, we had 427 full-time employees and 16 temporary employees, including 182 in engineering, product and design, 177 in sales and marketing and 84 in general and administrative. Of these employees, 436 are located in the United States and 7 are located in Canada.</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believe that being able to attract and retain top talent is both a strategic advantage for us and necessary to realize our mission of powering a transparent and inclusive global cannabis economy. Our position as a leading technology provider to the cannabis industry helps us attract high caliber candidates who are technically skilled and passionate about our mission and products. We devote substantial resources to this task. Our dedicated, best-in-class Talent Acquisition team is focused on finding and attracting diverse and capable talent, and our People &amp; Workplace team is focused on making us a world class employer of choice for that talent once they get here. None of our employees are represented by a labor union or covered by collective bargaining agreements and we have not experienced any work stoppages.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Numerous countries and territories have moved in recent years to regulate and tax cannabis, particularly medical cannabis. Most of these jurisdictions present complex regulatory regimes that require licensed operators to comply with substantial reporting, testing, packaging, distribution and security requirements.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United States and Territories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Notwithstanding the trend toward further state legalization, the U.S. government continues to categorize cannabis as a prohibited controlled substance, and accordingly the cultivation, processing, distribution, sale, advertisement of sale and possession by our customers violate federal law, as discussed further in the sections entitled “Risk Factors —Risks Related to our Business and Industry.”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On January 4, 2018, then U.S. Attorney General Jeff Sessions issued a memorandum for all U.S. Attorneys (the “Sessions Memo”) rescinding certain past DOJ memoranda on cannabis law enforcement, including the Cole Memo.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Since 2014, versions of the U.S. omnibus spending bill have included a provision prohibiting the DOJ, which includes the Drug Enforcement Administration (“DEA”), from using appropriated funds to prevent states from implementing their medical-use cannabis laws. Federal courts have held that the provision prohibits the DOJ from spending funds to prosecute individuals who engage in conduct permitted by state medical-use cannabis laws and who strictly comply with such laws.</w:t>
      </w:r>
    </w:p>
    <w:p>
      <w:pPr>
        <w:spacing w:after="0" w:line="75"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Despite the Sessions Memo, the U.S. government has not prioritized the enforcement of those laws against cannabis companies complying with state law and their vendors, and has not since 2014. No reversal of that policy of prosecutorial discretion is expected under a Biden administration given his actions on cannabis to date, and the statements of Attorney General Merrick Garland on the subject, although prosecutions against state-legal entities cannot be ruled out entirely at this time. During his campaign, President Biden promised federal reform on cannabis, including decriminalization generally and has made history in several impactful ways. First, in 2022, President Biden signed into law the “Medical Marijuana and Cannabidiol Research Expansion Act,” a bill aimed at easing restrictions on cannabis research — bipartisan legislation which is the first standalone cannabis reform bill to pass both the House and Senate. Additionally, on October 6, 2022, President Biden issued a presidential proclamation pardoning federal convictions for simple marijuana possession offenses, encouraging state governors to do the same on the state level where permissible, and requesting that the Secretary of Health and Human Services and the Attorney General initiate an administrative process to review cannabis’s Schedule I classification under the CSA. On August 29, 2023, HHS issued a letter to the DEA recommending that cannabis be reclassified as a Schedule III controlled substance under the CSA. On May 16, 2024, President Joe Biden announced that his administration is officially moving to reclassify cannabis from a Schedule I to a Schedule III controlled substance under the CSA. There will then be a 60-day public comment period before the rule is potentially finalized. If this move is confirmed, it would be a momentous change whose full implications are currently unknown. The DEA’s decision to reclassify cannabis would neither legalize nor likely eliminate current state cannabis program. If placed under Schedule III, cannabis will cannabis will remain a controlled substance and state-legal programs will continue to operate outside of federally legal channels in their distribution of the substance particularly because no state operator holds a DEA registration to possess or distribute cannabis. One notable impact for our clients is that rescheduling cannabis to Schedule III would remove the various tax-related hindrances tied to IRS code section 280E, and cannabis-related businesses (whether involved in medical or adult-use cannabis) would finally be able to take advantage of all applicable deductions and credits on their business taxes that other businesses enjoy. However, some fear that the DEA or FDA may impose additional requirements or begin to target enforcement on state cannabis programs.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9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U.S. Attorney General, Merrick Garland, is expected to not interfere with cannabis businesses operating in compliance with states’ laws. During his confirmation hearing before the U.S. Senate, Judge Garland testified that prosecuting state-legal cannabis companies would not be a “useful use of limited resources.” In April, 2022, Attorney General Garland reiterated that prosecuting the possession of cannabis is “not an efficient use” of federal resources, especially “given the ongoing opioid and methamphetamine epidemic[s]” facing the nation. On March 1, 2023, Attorney General Garland confirmed that his Department is continuing work on a new cannabis enforcement guidance, which he states would be “very close to what was done in the Cole memorandum.” Although any such guidance issued would not have the force of law, and could not be enforced by the courts, such a guidance would likely mean that the status quo of federal non-enforcement is likely to continue for the foreseeable future.</w:t>
      </w:r>
    </w:p>
    <w:p>
      <w:pPr>
        <w:spacing w:after="0" w:line="8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Members of the U.S. Congress from both parties have introduced bills to end the federal cannabis prohibition, by de-scheduling cannabis completely and regulating it. In addition to broader reforms, this session has seen additional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6" w:name="page87"/>
    <w:bookmarkEnd w:id="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incremental reform bills that aim to increase research, cement medical cannabis patients’ rights, or facilitate state-legal cannabis. While the timing of federal reform remains unknown, it is expected that federal policy on cannabis will continue becoming more, rather than less, permissive and legislative efforts to legalize cannabis or cannabis banking at the national level are likely to progress in 2024.</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Some of our retail clients sell products with hemp-derived cannabinoids, including CBD. In December 2018, the U.S. government removed hemp and extracts of hemp from the CSA schedules through the Agriculture Improvement Act of 2018, Pub. L. 115-334. Accordingly, the production, sale and possession of hemp or extracts of hemp, including certain CBD products, no longer violate the CSA. The states have implemented a patchwork of different laws on hemp and its extracts. Additionally, the Food &amp; Drug Administration (“FDA”) claims that the Food, Drugs &amp; Cosmetics Act significantly limits the legality of certain hemp-derived CBD products. In January 2023, FDA affirmed that the agency will not compromise—or create new standards—in evaluating or permitting cannabis or cannabinoid compounds and products, and particularly cannabidiol (“CBD”), indicating that Congress must take action to end the stalemate between federal and state laws and the purgatory of FDA selective enforcement. While enforcement regarding hemp-derived products has generally been limited, changes in enforcement priorities or further federal regulations could negatively impact our clients that sell such products, which could adversely impact our business, operating results, financial condition, brand and reputation.</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have been neither a defendant in a criminal action nor the subject of a civil or regulatory enforcement proceeding, prosecuted by a U.S. governmental authority based on our provision of products and solutions to the cannabis industry. Furthermore, we believe that Section 230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website, such as WM News and WM Learn. All of these sections are general news and information, and none of these sections are advertisements for, or listing pages of, cannabis businesses. For additional information about Section 230, see the sections entitled “Business—Overview” and “Risk Factors—Risks Related to our Business and Industry.”</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clients are subject to licensing and related requirements under applicable laws and regulations, and our own compliance policies, and some of our clients currently and in the future may not be in compliance with all such requirements. Currently, we require all cannabis retailers on Weedmaps to display a valid, unexpired state-issued license number on their listing. We have a dedicated Policy &amp; Compliance Operations team that reviews license information, both on submission and on an ongoing basis, to ensure validity and accuracy. For certain Weedmaps products or services, we may request additional verification and documentation. Additionally, we require contractual representations and warranties from our clients that they are complying with state law.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Medical cannabis has been legal in Canada since 1999 through various regulatory regimes. On October 17, 2018, the Cannabis Act (Canada) came into force. The Cannabis Act governs both the medical and the regulated adult-use markets in Canada. Prior to October 17, 2018, legal access to and use of medical cannabis in Canada was regulated under the Controlled Drugs and Substances Act and the associated Access to Cannabis for Medical Purposes Regulations (“ACMPR”). Under the Cannabis Act, holders of licenses to cultivate and/or process cannabis are also permitted to supply cannabis under their existing licenses obtained pursuant to the ACMPR to the regulated adult-use market.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 of the World</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Legalized cannabis is expanding in other parts of the world with countries adopting varying degrees of legalization or decriminalization. We do not yet regard these countries as viable marketplaces for our products, though we have ongoing tests of a small number of listings in several markets where listings are legally permissible.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information set forth under “Commitments and Contingencies—Litigation” in Note 4 of the notes to the unaudited condensed consolidated financial statements included in this prospectus are incorporated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On October 17, 2024, a putative shareholder class action complaint, captioned </w:t>
      </w:r>
      <w:r>
        <w:rPr>
          <w:rFonts w:ascii="Times New Roman" w:cs="Times New Roman" w:eastAsia="Times New Roman" w:hAnsi="Times New Roman"/>
          <w:sz w:val="18"/>
          <w:szCs w:val="18"/>
          <w:i w:val="1"/>
          <w:iCs w:val="1"/>
          <w:color w:val="auto"/>
        </w:rPr>
        <w:t>Seret Ishak v. WM Technology, Inc.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w:t>
      </w:r>
      <w:r>
        <w:rPr>
          <w:rFonts w:ascii="Times New Roman" w:cs="Times New Roman" w:eastAsia="Times New Roman" w:hAnsi="Times New Roman"/>
          <w:sz w:val="18"/>
          <w:szCs w:val="18"/>
          <w:color w:val="auto"/>
        </w:rPr>
        <w:t>., No. 2:24-cv-08959, was filed in the U.S. District Court for the Central District of California, naming us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former and current officers and/or directors of the Company and Silver Spike Acquisition Corp. (“Silver Spike”) as defendants. The lawsuit alleges that we made material misrepresentations and/or omissions of material fact relating to historical public reporting of MAUs in violation of Sections 10(b) and 20(a) of the Exchange Act and Rule 10b-5 promulgated thereunder. The putative class action is brought on behalf of persons or entities who purchased or otherwise acquired our securities between May 25, 2021, and September 24, 2024, inclusive, and seeks unspecified monetary damages on behalf of the putative class and an award of costs and expenses, including attorney’s fees.</w:t>
      </w: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 this early stage of the proceedings, we are unable to make any prediction regarding the outcome of the litigation.</w:t>
      </w:r>
    </w:p>
    <w:p>
      <w:pPr>
        <w:spacing w:after="0" w:line="11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previously disclosed, in the second quarter of 2022, our board of directors received an internal complaint regarding the calculation, definition and reporting of our monthly active users (“MAUs”) metric. In response, our board of directors formed a special committee of independent directors to conduct an internal investigation with the assistance of outside counsel. As a result of the findings of that internal investigation, we provided certain additional information regarding the growth and nature of our previously-reported MAUs in our Quarterly Report on Form 10-Q for the quarter ended June 30, 2022 filed with the SEC on August 9, 2022. This investigation found no impact on our financial results under accounting principles generally accepted in the United States of America (“GAAP”) or the reporting or disclosure of any currently disclosed non-GAAP financial metric. As also previously reported, in the third quarter of 2022, we determined not to report MAUs going forward. In August 2022, our board of directors determined to voluntarily report the internal complaint and subsequent internal investigation to the SEC, following which the SEC’s Division of Enforcement commenced an investigation. We have been fully cooperating with that investigation.</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also previously reported in the Current Report on Form 8-K filed on July 25, 2024, on July 22, 2024, we reached an agreement in principle with the SEC staff to resolve the SEC investigation with respect to the Company. Under the terms of the settlement, we consented, without admitting or denying the SEC’s findings, to the entry of an administrative cease-and-desist order finding violations of Sections 17(a)(2) and (3) of the Securities Act of 1933, as amended, Sections 13(a), and 14(a) of the Securities Exchange Act of 1934, as amended, and Rules 12b-20, 13a-1, 13a-11, 13a-13, and 14a-9 thereunder, and to pay a civil money penalty of $1.5 million. The settlement was approved by the SEC, and the administrative cease-and-desist order was entered in September 2024. We issued payment to the SEC, and it was received by the SEC, in October 2024. Accordingly, the SEC enforcement matter is concluded with respect to the Company.</w:t>
      </w:r>
    </w:p>
    <w:p>
      <w:pPr>
        <w:spacing w:after="0" w:line="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Further, on November 8, 2024, a shareholder derivative action, captioned DeGennaro v. Francis, et. al, Case No. 8:24- cv-02454 was filed in the U.S. District Court for the Central District of California against certain members of our Board of Directors and certain former and current officers. The plaintiff purports to bring the action derivatively on behalf of the Company, and the Company is a nominal defendant in the action. The derivative complaint alleges, among other things, that the individual defendants authorized or permitted materially false statements and/or material omissions of fact relating to historical public reporting of MAUs. The derivative complaint asserts claims for violations of Section 10(b) of the Exchange Act as well as claims for breach of fiduciary duty, aiding and abetting breach of fiduciary duty, unjust enrichment, and waste of corporate assets. The derivative complaint seeks unspecified damages on behalf of the Company, disgorgement or restitution, corporate governance reforms, declaratory relief, and an award of costs and expenses to the derivative plaintiff, including attorneys’ fees.</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Further, on November 18, 2024, a shareholder derivative action, captioned Pearson v. Francis, et. al, Case No. 8:24-cv-02525 was filed in the U.S. District Court for the Central District of California against certain former and current members of our Board of Directors and certain former and current officers. The plaintiff purports to bring the action derivatively on behalf of the Company, and the Company is a nominal defendant in the action. The derivative complaint alleges, among other things, that the individual defendants authorized or permitted materially false statements and/or material omissions of fact relating to historical public reporting of MAUs and corporate governance matters. The derivative complaint asserts claims for violations of Sections 14(a) and for contribution under Sections 10(b) and 21D of the Exchange Act as well as claims for breach of fiduciary duty, unjust enrichment, abuse of control, gross mismanagement and waste of corporate assets. The derivative complaint seeks unspecified damages on behalf of the Company, corporate governance reforms, and an award of costs and expenses to the derivative plaintiff, including attorneys' fees.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Internet address is www.weedmaps.com. Our investor relations website is located at https://ir.weedmaps.com. Our Annual Reports on Form 10-K, Quarterly Reports on Form 10-Q, Current Reports on Form 8-K and our Proxy Statements and any amendments to these reports, are available through our investor relations website, free of charge, after we file them with the SEC. We may from time to time provide important disclosures to investors by posting them in the investor relations section of our website, as allowed by SEC rules.</w:t>
      </w:r>
    </w:p>
    <w:p>
      <w:pPr>
        <w:spacing w:after="0" w:line="75"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SEC maintains an Internet website at www.sec.gov that contains reports, proxy and information statements and other information regarding our company that we file electronically with the SEC. The contents of our websites are not incorporated by reference into this prospectus or in any other report or document we file with the SEC, and any references to our websites are intended to be inactive textual references only.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9" w:name="page90"/>
    <w:bookmarkEnd w:id="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our executive officers and directors as of November 29, 2024.</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4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51"/>
        </w:trPr>
        <w:tc>
          <w:tcPr>
            <w:tcW w:w="3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r>
      <w:tr>
        <w:trPr>
          <w:trHeight w:val="311"/>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4"/>
                <w:szCs w:val="24"/>
                <w:color w:val="auto"/>
              </w:rPr>
            </w:pP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4"/>
        </w:trPr>
        <w:tc>
          <w:tcPr>
            <w:tcW w:w="3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304"/>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Echard</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54"/>
        </w:trPr>
        <w:tc>
          <w:tcPr>
            <w:tcW w:w="3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324"/>
        </w:trPr>
        <w:tc>
          <w:tcPr>
            <w:tcW w:w="3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540" w:type="dxa"/>
            <w:vAlign w:val="bottom"/>
            <w:shd w:val="clear" w:color="auto" w:fill="CCEEFF"/>
          </w:tcPr>
          <w:p>
            <w:pPr>
              <w:spacing w:after="0"/>
              <w:rPr>
                <w:sz w:val="24"/>
                <w:szCs w:val="24"/>
                <w:color w:val="auto"/>
              </w:rPr>
            </w:pP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540" w:type="dxa"/>
            <w:vAlign w:val="bottom"/>
          </w:tcPr>
          <w:p>
            <w:pPr>
              <w:spacing w:after="0"/>
              <w:rPr>
                <w:sz w:val="23"/>
                <w:szCs w:val="23"/>
                <w:color w:val="auto"/>
              </w:rPr>
            </w:pPr>
          </w:p>
        </w:tc>
      </w:tr>
      <w:tr>
        <w:trPr>
          <w:trHeight w:val="54"/>
        </w:trPr>
        <w:tc>
          <w:tcPr>
            <w:tcW w:w="3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304"/>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Bay</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3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304"/>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Tony Aquila</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3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304"/>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Glen Ibbott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-2451100</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-2451100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i w:val="1"/>
          <w:iCs w:val="1"/>
          <w:color w:val="auto"/>
        </w:rPr>
        <w:t>Douglas Francis</w:t>
      </w:r>
      <w:r>
        <w:rPr>
          <w:rFonts w:ascii="Times New Roman" w:cs="Times New Roman" w:eastAsia="Times New Roman" w:hAnsi="Times New Roman"/>
          <w:sz w:val="18"/>
          <w:szCs w:val="18"/>
          <w:color w:val="auto"/>
        </w:rPr>
        <w:t>. Mr. Francis, age 47, was appointed as the Company’s Chief Executive Officer on November 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Mr. Francis has served as a member of the Board since June 2021, and as Chair since August 2022. Mr. Francis is a co-founder of WM Holding Company, LLC (when referred to in its pre-Business Combination capacity, “Legacy WMH”), and served as Chairperson of Legacy WMH’s board of managers from March 2019 to June 2021 and as a member of Legacy WMH’s board of managers prior to that. Mr. Francis previously served as Legacy WMH’s Chief Executive Officer from February 2016 until March 2019 and as Legacy WMH’s President from January 2009 to February 2016. Mr. Francis has served in management positions in each of Legacy WMH’s current subsidiaries. Mr. Francis holds a B.S. in Business Administration and Management from Chapman University.</w:t>
      </w:r>
    </w:p>
    <w:p>
      <w:pPr>
        <w:spacing w:after="0" w:line="30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Susan Echard</w:t>
      </w:r>
      <w:r>
        <w:rPr>
          <w:rFonts w:ascii="Times New Roman" w:cs="Times New Roman" w:eastAsia="Times New Roman" w:hAnsi="Times New Roman"/>
          <w:sz w:val="18"/>
          <w:szCs w:val="18"/>
          <w:color w:val="auto"/>
        </w:rPr>
        <w:t>. Ms. Echard, age 60, has served as Chief Financial Officer since February 2024. Since February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Ms. Echard has been a Partner of SeatonHill Partners, LP (“SeatonHill”) a leading national CFO services firm that also offers project based financial leadership. While serving as a partner at SeatonHill, Ms. Echard served from June 2021 to June 2023 as CFO for Direct Digital Holdings, an online solutions provider in digital marketing &amp; advertising. Prior to that, from April 2019 to February 2021, Ms. Echard served as CFO for Trinity Capital Investment, a venture debt and equipment financing provider to growth-stage companies, and, in such capacity, was responsible for all aspects of the firm’s financial matters, investor relations, legal and human resource management. Prior to joining Trinity, Ms. Echard served as the Chief Financial Officer at CUBEX LLC, a medical, dental and veterinary inventory management company, from January 2017 to February 2019. Ms. Echard is an accomplished executive with over 35 years’ experience, both domestic and international, within Big Four and CFO roles. Ms. Echard has a Bachelor of Business Administration degree in accounting from the University of Michigan-Flint.</w:t>
      </w:r>
    </w:p>
    <w:p>
      <w:pPr>
        <w:spacing w:after="0" w:line="84"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i w:val="1"/>
          <w:iCs w:val="1"/>
          <w:color w:val="auto"/>
        </w:rPr>
        <w:t>Brian Camire</w:t>
      </w:r>
      <w:r>
        <w:rPr>
          <w:rFonts w:ascii="Times New Roman" w:cs="Times New Roman" w:eastAsia="Times New Roman" w:hAnsi="Times New Roman"/>
          <w:sz w:val="18"/>
          <w:szCs w:val="18"/>
          <w:color w:val="auto"/>
        </w:rPr>
        <w:t>. Mr. Camire, age 45, has served as our General Counsel and Secretary since June 2021. Mr. Camire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Legacy WMH’s General Counsel from May 2019 to June 2021. Prior to joining Legacy WMH, Mr. Camire served as Associate General Counsel of Snap Inc. from May 2016 until April 2019 and as Corporate Counsel from March 2015 to May 2016. From January 2011 to February 2015, Mr. Camire worked as an associate attorney at Cooley LLP. Mr. Camire holds a B.A. in Mathematics from Northwestern University and a J.D. from the University of Michigan Law School.</w:t>
      </w: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i w:val="1"/>
          <w:iCs w:val="1"/>
          <w:color w:val="auto"/>
        </w:rPr>
        <w:t>Scott Gordon</w:t>
      </w:r>
      <w:r>
        <w:rPr>
          <w:rFonts w:ascii="Times New Roman" w:cs="Times New Roman" w:eastAsia="Times New Roman" w:hAnsi="Times New Roman"/>
          <w:sz w:val="18"/>
          <w:szCs w:val="18"/>
          <w:color w:val="auto"/>
        </w:rPr>
        <w:t>. Mr. Gordon, age 63, has served as a member of the Board since June 2021. Mr. Gordon has held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dual roles of Chief Executive Officer and Chairperson of the board of directors of Silver Spike Investment Corp. since its founding. Similarly, he served in the same capacities for Silver Spike Acquisition Corp. from its inception until June 2021.Mr. Gordon is the co-founder and since 2016 has been the Chairperson of Egg Rock Holdings, parent company of the Papa &amp; Barkley family of cannabis products with related subsidiary assets in manufacturing,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0" w:name="page91"/>
    <w:bookmarkEnd w:id="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also held leadership positions at Bank of America and ING Capital. Mr. Gordon was a founding member of the Emerging Markets business at JP Morgan where he worked upon graduating from Bowdoin College in 1983.</w:t>
      </w:r>
    </w:p>
    <w:p>
      <w:pPr>
        <w:spacing w:after="0" w:line="7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i w:val="1"/>
          <w:iCs w:val="1"/>
          <w:color w:val="auto"/>
        </w:rPr>
        <w:t>Anthony Bay</w:t>
      </w:r>
      <w:r>
        <w:rPr>
          <w:rFonts w:ascii="Times New Roman" w:cs="Times New Roman" w:eastAsia="Times New Roman" w:hAnsi="Times New Roman"/>
          <w:sz w:val="18"/>
          <w:szCs w:val="18"/>
          <w:color w:val="auto"/>
        </w:rPr>
        <w:t>. Mr. Bay, age 69, has served as a member of the Board since March 2022. Prior to joining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Bay served on three public boards, including two as Chairman as well as numerous private boards. Since September 2019, Mr. Bay has served as the Founder and Chief Executive Officer of Techquity, a technology advisory firm helping innovative companies leverage software and cloud operations to scale faster with less risk. From 2013 to 2016, he served as Chief Executive Officer of Rdio, a leading global music subscription streaming service with over 70 million registered users and 14 million active users. In November 2015, Rdio filed for Chapter 11 bankruptcy relief as a condition of its sale to Pandora. Prior to Rdio, Mr. Bay served as a Vice President and Global head for Digital Video for Amazon from 2011 to 2013, responsible for all aspects of the company’s Digital Video and streaming business globally. During his eight year tenure at Microsoft, Mr. Bay was Corporate Vice President and General Manager of Microsoft’s Digital Media Division and a member of Microsoft’s executive staff. Prior to that, Mr. Bay was General Manager of Microsoft’s Commercial Systems Division, responsible for developing core components of Microsoft’s Internet services platform, including ISP/carrier infrastructure, website development and eCommerce. Mr. Bay joined Microsoft as part of the MSN management team in 1994, eventually overseeing all MSN development and production systems. From 1986 to 1994, Mr. Bay also worked at Apple Computer in various product leadership roles, including three years at Apple’s European headquarters in Paris. Mr. Bay holds an MBA from San Jose State University and undergraduate degree in Economics from the University of California, Los Angeles.</w:t>
      </w:r>
    </w:p>
    <w:p>
      <w:pPr>
        <w:spacing w:after="0" w:line="8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i w:val="1"/>
          <w:iCs w:val="1"/>
          <w:color w:val="auto"/>
        </w:rPr>
        <w:t>Tony Aquila</w:t>
      </w:r>
      <w:r>
        <w:rPr>
          <w:rFonts w:ascii="Times New Roman" w:cs="Times New Roman" w:eastAsia="Times New Roman" w:hAnsi="Times New Roman"/>
          <w:sz w:val="18"/>
          <w:szCs w:val="18"/>
          <w:color w:val="auto"/>
        </w:rPr>
        <w:t>. Mr. Aquila, age 60, has served as a member of the Board since June 2021. Since April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Aquila has served as the Chief Executive Officer of Canoo, Inc., a mobility technology company, and as the Executive Chairman of the Board of Canoo since December 2020. In June 2019, Mr. Aquila founded AFV Partners, an affirmative low-leverage capital vehicle that invests in long-term mission critical software, data and technology businesses and has served as its Chairperson and Chief Executive Officer since its founding. In 2005, Mr. Aquila founded Solera Holdings Inc., and led it as Chairperson and Chief Executive Officer to a $1 billion initial public offering in 2007, and in the following years sourced and executed over 50 acquisitions significantly expanding Solera’s total addressable market. Mr. Aquila oversaw Solera’s $6.5 billion transaction from a public-to-private business in 2016. Mr. Aquila has also served as a member of the Arkansas Council on Future Mobility since February 2022 and as a member of the board of directors of The Lost Explorer Mezcal Company, a sustainable producer and distributor of handcrafted mezcal, since May 2021. Furthermore, Mr. Aquila currently serves as the Chairperson for Aircraft Performance Group, LLC, a global provider of mission critical flight operations software, since January 2020, RocketRoute Limited, a global aviation services company, since March 2020, and APG Avionics LLC, an aviation data and software company for the general aviation market, since September 2020. From November 2018 to July 2020, Mr. Aquila served as the Global Chairperson of Sportradar Group, a sports data and content company. Mr. Aquila has also served as a director of Guardianship Services Inc., a nonprofit organization providing guardianship and support services to at-risk adults in Tarrant County, Texas since October 2020.</w:t>
      </w:r>
    </w:p>
    <w:p>
      <w:pPr>
        <w:spacing w:after="0" w:line="8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Brenda Freeman</w:t>
      </w:r>
      <w:r>
        <w:rPr>
          <w:rFonts w:ascii="Times New Roman" w:cs="Times New Roman" w:eastAsia="Times New Roman" w:hAnsi="Times New Roman"/>
          <w:sz w:val="18"/>
          <w:szCs w:val="18"/>
          <w:color w:val="auto"/>
        </w:rPr>
        <w:t>. Ms. Freeman, age 60, has served as a member of the Board since June 2021. Ms. Freeman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founded and has served as President of Joyeux Advisory Group LLC, a firm providing advisory services to early-stage startups and Fortune 500 companies, since January 2018. Since April 2021 Ms. Freeman has also served as a partner of Debut Capital. Ms. Freeman previously served as Chief Brand Officer of Wunderkind Corporation, a company that creates personalized marketing solutions, from April 2020 through March 2023. Prior to that, Ms. Freeman served as Chief Executive Officer for Arteza, Inc., a direct-to-consumer arts and crafts manufacturing and supply company from February 2020 to February 2021. From March 2016 to December 2018, Ms. Freeman was Chief Marketing Officer of Magic Leap, Inc., a virtual reality technology company, and from December 2018 to April 2019 was Senior Advisor to the Chief Executive Officer. From March 2015 to March 2016, Ms. Freeman served as Chief Marketing Officer of National Geographic Channel, a television network and channel. Prior to that, Ms. Freeman served as Chief Marketing Officer at Turner Broadcasting Systems, Inc. and was Vice President, television marketing at DreamWorks Animation SKG Inc. Ms. Freeman has been a member of the boards of directors of Blue Apron Holdings, Inc. since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1" w:name="page92"/>
    <w:bookmarkEnd w:id="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October 2020 (which became privately owned in November 2023), of Caleres, Inc. since April 2017 and of Avnet, Inc. since November 2018. Ms. Freeman previously served on the board of directors of Herman Miller, Inc. from January 2016 to June 2019 and on the board of directors of RTW Retailwinds, Inc. from April 2019 to April 2020. Ms. Freeman holds a B.S. degree in chemical engineering and an M.B.A degree from the University of Maryland.</w:t>
      </w:r>
    </w:p>
    <w:p>
      <w:pPr>
        <w:spacing w:after="0" w:line="7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Olga Gonzalez</w:t>
      </w:r>
      <w:r>
        <w:rPr>
          <w:rFonts w:ascii="Times New Roman" w:cs="Times New Roman" w:eastAsia="Times New Roman" w:hAnsi="Times New Roman"/>
          <w:sz w:val="18"/>
          <w:szCs w:val="18"/>
          <w:color w:val="auto"/>
        </w:rPr>
        <w:t>. Ms. Gonzalez, age 58, has served as a member of the Board since June 2021. Since April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Ms. Gonzalez has served as CEO and President of Wild Fork USA. Prior to that, from April 2022 to April 2023 and January 2021 to April 2022, Ms. Gonzalez served as Global COO and Global Business Leader, respectively, for Wild Fork Foods, an online specialty food service. Prior to that, Ms. Gonzalez held various leadership positions at Walmart Inc., including Senior Vice President and Chief Financial Officer at Walmart México y Centroamérica from July 2017 to April 2020, Vice President Commercial &amp; Operations Finance at Walmart México y Centroamérica from October 2014 to June 2017, Chief Financial Officer at Walmart Chile from 2011 to 2014, and Vice President, Internal Audit Services Latin America at Walmart US from 2010 to 2011. Previously, Ms. Gonzalez had served as Director, Internal Audit at General Motors Company from 2006 to 2010 and from 1996 to 2004, Vice President, Enterprise Risk and Assurance Services at the American Express Company from 2004 to 2006, and Internal Audit at Banco Santander from 1989 to 1996. Ms. Gonzalez holds a Bachelor of Business Administration degree from Pontificia Universidad Católica de Puerto Rico and an M.B.A. from Florida International University.</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i w:val="1"/>
          <w:iCs w:val="1"/>
          <w:color w:val="auto"/>
        </w:rPr>
        <w:t>Glenn Ibbot</w:t>
      </w:r>
      <w:r>
        <w:rPr>
          <w:rFonts w:ascii="Times New Roman" w:cs="Times New Roman" w:eastAsia="Times New Roman" w:hAnsi="Times New Roman"/>
          <w:sz w:val="18"/>
          <w:szCs w:val="18"/>
          <w:color w:val="auto"/>
        </w:rPr>
        <w:t>. Mr. Ibbott, age 62, has served as a member of the Board since October 2024. Since February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Ibbott has served as the founder of GK Financial Ventures, a financial consulting company. From May 2017 to February 2024, Mr. Ibbott served as the Chief Financial Officer of Aurora Cannabis Inc., a Nasdaq and TSX-listed global cannabis company. From 2015 to 2017, Mr. Ibbott served as the Chief Financial Officer of QLT Inc., a Nasdaq and TSX-listed biotechnology company. From 2010 to August 2014, Mr. Ibbott served as the Vice President of Finance at Nordion Inc., a NYSE and TSX listed health science company. Prior to his time at Nordion, Mr. Ibbott held senior finance positions at various publicly-listed biotech and specialty pharmaceutical companies. Earlier in his career, he worked within the audit and technology practice of KPMG LLP, a consulting and accounting firm. Mr. Ibbott holds MBAs from both Cornell University and Queen’s University, an undergraduate degree in Business Administration (Accounting) from Simon Fraser University, and is Chartered Professional Accountant.</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As required under Nasdaq listing standards, a majority of the members of a listed company’s board of directors must qualify as “independent,” as affirmatively determined by the board of directors. In addition, the rules of Nasdaq require that, subject to specified exceptions, each member of a listed company’s audit, compensation and nominating and corporate governance committees be independent. Under the rules of the Nasdaq, a director will only qualify as an “independent director” if, in the opinion of that company’s board of directors, that person does not have a relationship that would interfere with the exercise of independent judgment in carrying out the responsibilities of a director. Compensation Committee members must not have a relationship with us that is material to the director’s ability to be independent from management in connection with the duties of a Compensation Committee member. Additionally, Audit Committee members must also satisfy the independence criteria set forth in Rule 10A-3 under the Exchange Act. To be considered independent for purposes of Rule 10A-3, a member of an audit committee of a listed company may not, other than in his or her capacity as a member of the audit committee of the board of directors or any other board committee, accept, directly or indirectly, any consulting, advisory or other compensatory fee from the listed company or any of its subsidiaries or be an affiliated person of the listed company or any of its subsidiaries.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7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six directors are independent directors within the meaning of the applicable Nasdaq listing standards: Messrs. Aquila, Bay and Gordon and Mses. Freeman, Gonzalez and Tan. In making this determination, the Board found that none of these directors or nominees for director had a material or other disqualifying relationship with the Company.</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making those independence determinations, the Board considered the current and prior relationships that each non-employee director has with our company and all other facts and circumstances the Board deemed relevant in determining their independence, including the beneficial ownership of our capital stock by each non-employee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2" w:name="page93"/>
    <w:bookmarkEnd w:id="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director, and the transactions involving them described in the section entitled “Certain Relationships and Related Party Transactions” that occurred during any 12-month period within the last three fiscal years.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Board is currently chaired by Mr. Francis, the Company’s Chief Executive Officer. Ms. Freeman currently serves as our lead independent director.</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believes that during this transformational period, it is valuable to have Mr. Francis in the combined positions of, the Company’s Chief Executive Officer, principal executive officer and Board Chairman because of his extensive history with and knowledge of the Company, and this arrangement provides a single, clear chain of command to rapidly execute the Company’s strategic initiatives and business plans. In addition, the Company believes that this combined role better positions Mr. Francis to act as a bridge between management and the Board, facilitating the regular flow of information.</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Board appointed Ms. Freeman as the lead independent director to help reinforce the independence of the Board as a whole. The position of lead independent director has been structured to serve as an effective balance to a combined Chief Executive Officer and Board Chairman. The lead independent director is empowered to, among other duties and responsibilities, approve agendas and meeting schedules for regular Board meetings, preside over Board meetings in the absence of the Chairman, preside over and establish the agendas for meetings of the independent directors, act as liaison between the Chairman and the independent directors, approve information sent to the Board, preside over any portions of Board meetings at which the evaluation or compensation of the principal executive officer is presented or discussed and, as appropriate upon request, act as a liaison to our stockholders. In addition, it is the responsibility of the lead independent director to coordinate between the Board and management with regard to the determination and implementation of responses to any problematic risk management issues. As a result, the Company believes that the lead independent director can help ensure the effective independent functioning of the Board in its oversight responsibilities. In addition, the Company believes that the lead independent director is better positioned to build a consensus among directors and to serve as a conduit between the other independent directors and the Chairman, for example, by facilitating the inclusion on meeting agendas of matters of concern to the independent directors.</w:t>
      </w: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Risk is inherent with every business, and we face a number of risks, including strategic, financial, business and operational, cybersecurity, legal and compliance, and reputational. We have designed and implemented processes to manage these risks. Management is responsible for the day-to-day implementation, oversight and management of risks and risk processes our company faces, while the Board, as a whole and assisted by its committees, has responsibility for the oversight of risk management. In its risk oversight role, our Board has the responsibility to satisfy itself that the risk management processes designed and implemented by management are appropriate and functioning as designed.</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Board administers this oversight function directly through the Board as a whole, as well as through various Board committees that address risks inherent in their respective areas of oversight. The Board believes that open communication between management and the Board is essential for effective risk management and oversight. Consistent with this approach, the Board, with the assistance of its committees, regularly reviews our strategic and operational risks in the context of discussions with management, question and answer sessions, and reports from the management team at each of its regular meetings. Directors also have access to management outside of its regular meetings and are free to ask questions and receive information necessary to perform their duties as a director.</w:t>
      </w:r>
    </w:p>
    <w:p>
      <w:pPr>
        <w:spacing w:after="0" w:line="81" w:lineRule="exact"/>
        <w:rPr>
          <w:sz w:val="20"/>
          <w:szCs w:val="20"/>
          <w:color w:val="auto"/>
        </w:rPr>
      </w:pPr>
    </w:p>
    <w:p>
      <w:pPr>
        <w:jc w:val="both"/>
        <w:ind w:left="300" w:right="299"/>
        <w:spacing w:after="0" w:line="270" w:lineRule="auto"/>
        <w:rPr>
          <w:sz w:val="20"/>
          <w:szCs w:val="20"/>
          <w:color w:val="auto"/>
        </w:rPr>
      </w:pPr>
      <w:r>
        <w:rPr>
          <w:rFonts w:ascii="Times New Roman" w:cs="Times New Roman" w:eastAsia="Times New Roman" w:hAnsi="Times New Roman"/>
          <w:sz w:val="17"/>
          <w:szCs w:val="17"/>
          <w:color w:val="auto"/>
        </w:rPr>
        <w:t>In particular, the Board is responsible for monitoring and assessing strategic risk exposure, including a determination of the nature and level of risk appropriate for the Company, and for coordinating with management on decisions relating to any matters that carry potential enterprise-level risks. The Audit Committee has the responsibility to consider and discuss our major financial risk exposures and the steps our management has taken to monitor and control these exposures, including management’s guidelines and policies around quarterly reporting. The Audit Committee is also responsible for monitoring compliance with legal and regulatory requirements, including our Related Person Transaction Policy, in addition to oversight of the performance of our internal audit function. The Audit Committee’s responsibilities also include primary responsibility to help the Board oversee the Company’s enterprise risk assessment and management policies, procedures and practices (including, together with assistance from the Technology Committee, those risks related to information security, cybersecurity and data protection), as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3" w:name="page94"/>
    <w:bookmarkEnd w:id="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well as review and determination of material commercial relationships and mergers, acquisitions or similar transactions that may have a material impact on the Company. The Nominating and Corporate Governance Committee is responsible for monitoring the effectiveness of our corporate governance guidelines, including whether they are successful in preventing illegal or improper liability-creating conduct. The Compensation Committee is responsible for assessing and monitoring whether any of our compensation policies and programs has the potential to encourage excessive risk-taking. The Technology Committee is responsible for oversight of the management of risks related to the Company’s technology, data, information security and tracking, and related matters, including disclosure of the Company’s key metrics and other operational data, together with assisting the Audit Committee with oversight of those risks related to information security, cybersecurity and data protection.</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Board met seven times during 2023. All directors attended 75% or more of the aggregate number of meetings of the Board and of the committees on which they served, held during the portion of the last fiscal year for which they were a director or member.</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required under applicable Nasdaq listing standards, in 2023, the Company’s independent directors met six times in regularly scheduled executive sessions at which only independent directors were present.</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 of Directors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Board established the Audit Committee, the Compensation Committee, the Nominating and Corporate Governance Committee and the Technology Committee. The Board adopted a charter for each of the committees, which complies with the applicable requirements of current Nasdaq rules and can be found at our website at ir.weedmaps.com. We intend to comply with future requirements to the extent they will be applicable to us. Copies of the charters for each committee are available on the investor relations portion of our website. The following table provides membership and meeting information for the year ended December 31, 2023 for each of the standing Board committees: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and Corporate</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0" w:type="dxa"/>
            <w:vAlign w:val="bottom"/>
          </w:tcPr>
          <w:p>
            <w:pPr>
              <w:spacing w:after="0"/>
              <w:rPr>
                <w:sz w:val="1"/>
                <w:szCs w:val="1"/>
                <w:color w:val="auto"/>
              </w:rPr>
            </w:pPr>
          </w:p>
        </w:tc>
      </w:tr>
      <w:tr>
        <w:trPr>
          <w:trHeight w:val="190"/>
        </w:trPr>
        <w:tc>
          <w:tcPr>
            <w:tcW w:w="490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7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Tony Aquila</w:t>
            </w:r>
          </w:p>
        </w:tc>
        <w:tc>
          <w:tcPr>
            <w:tcW w:w="4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X**</w:t>
            </w:r>
          </w:p>
        </w:tc>
        <w:tc>
          <w:tcPr>
            <w:tcW w:w="9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Anthony Bay</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X</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X</w:t>
            </w: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Douglas Francis*</w:t>
            </w:r>
          </w:p>
        </w:tc>
        <w:tc>
          <w:tcPr>
            <w:tcW w:w="4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Brenda Freeman</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X</w:t>
            </w: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X**</w:t>
            </w: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Olga Gonzalez</w:t>
            </w:r>
          </w:p>
        </w:tc>
        <w:tc>
          <w:tcPr>
            <w:tcW w:w="6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X**</w:t>
            </w:r>
          </w:p>
        </w:tc>
        <w:tc>
          <w:tcPr>
            <w:tcW w:w="9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Scott Gordon</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X</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X</w:t>
            </w: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Fiona Tan***</w:t>
            </w:r>
          </w:p>
        </w:tc>
        <w:tc>
          <w:tcPr>
            <w:tcW w:w="4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X</w:t>
            </w:r>
          </w:p>
        </w:tc>
        <w:tc>
          <w:tcPr>
            <w:tcW w:w="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Meetings in the year ended December 31, 2023</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8</w:t>
            </w:r>
          </w:p>
        </w:tc>
        <w:tc>
          <w:tcPr>
            <w:tcW w:w="1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180" w:type="dxa"/>
            <w:vAlign w:val="bottom"/>
          </w:tcPr>
          <w:p>
            <w:pPr>
              <w:spacing w:after="0"/>
              <w:rPr>
                <w:sz w:val="23"/>
                <w:szCs w:val="23"/>
                <w:color w:val="auto"/>
              </w:rPr>
            </w:pPr>
          </w:p>
        </w:tc>
        <w:tc>
          <w:tcPr>
            <w:tcW w:w="920" w:type="dxa"/>
            <w:vAlign w:val="bottom"/>
          </w:tcPr>
          <w:p>
            <w:pPr>
              <w:jc w:val="right"/>
              <w:ind w:right="319"/>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4968875</wp:posOffset>
            </wp:positionH>
            <wp:positionV relativeFrom="paragraph">
              <wp:posOffset>-1628140</wp:posOffset>
            </wp:positionV>
            <wp:extent cx="1200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-1628140</wp:posOffset>
            </wp:positionV>
            <wp:extent cx="1200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-1628140</wp:posOffset>
            </wp:positionV>
            <wp:extent cx="1200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-1628140</wp:posOffset>
            </wp:positionV>
            <wp:extent cx="1200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2" w:lineRule="exact"/>
        <w:rPr>
          <w:sz w:val="20"/>
          <w:szCs w:val="20"/>
          <w:color w:val="auto"/>
        </w:rPr>
      </w:pPr>
    </w:p>
    <w:p>
      <w:pPr>
        <w:ind w:left="640" w:hanging="348"/>
        <w:spacing w:after="0"/>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Chair</w:t>
      </w:r>
    </w:p>
    <w:p>
      <w:pPr>
        <w:spacing w:after="0" w:line="42" w:lineRule="exact"/>
        <w:rPr>
          <w:sz w:val="20"/>
          <w:szCs w:val="20"/>
          <w:color w:val="auto"/>
        </w:rPr>
      </w:pPr>
    </w:p>
    <w:p>
      <w:pPr>
        <w:ind w:left="640" w:hanging="348"/>
        <w:spacing w:after="0"/>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Chairperson</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 2024, Fiona Tan notified us of her decision to resign as a member of our Board, the Nominating and Corporate Governance Committee of the Board and the Technology Committee of the Board, of which she was the Chairperson, effective September 30, 2024. Ms. Tan’s decision was not based on any disagreement with the Company or on any matter relating to the Company’s operations, policies or practices.</w:t>
      </w:r>
    </w:p>
    <w:p>
      <w:pPr>
        <w:spacing w:after="0" w:line="73"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Below is a description of each standing committee of the Board. Each of the committees has authority to engage legal counsel or other experts or consultants, as it deems appropriate to carry out its responsibilities. The Board has determined that each member of each committee meets the applicable Nasdaq rules and regulations regarding “independence” and each member is free of any relationship that would impair his or her individual exercise of independent judgment with regard to us.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Audit Committee consists of Mses. Gonzalez and Freeman and Messrs. Bay and Ibbott. The Board has determined that each of the members of the Audit Committee satisfy the independence requirements of Rule 5605(c)</w:t>
      </w:r>
    </w:p>
    <w:p>
      <w:pPr>
        <w:ind w:left="300"/>
        <w:spacing w:after="0"/>
        <w:rPr>
          <w:sz w:val="20"/>
          <w:szCs w:val="20"/>
          <w:color w:val="auto"/>
        </w:rPr>
      </w:pPr>
      <w:r>
        <w:rPr>
          <w:rFonts w:ascii="Times New Roman" w:cs="Times New Roman" w:eastAsia="Times New Roman" w:hAnsi="Times New Roman"/>
          <w:sz w:val="18"/>
          <w:szCs w:val="18"/>
          <w:color w:val="auto"/>
        </w:rPr>
        <w:t>(2)(A)(i) and (ii) of the Nasdaq listing standards and Rule 10A-3 under the Exchange Act. Each member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of the Audit Committee can read and understand fundamental financial statements in accordance with Nasdaq audit committee requirements. In arriving at this determination, the Board examined each Audit Committee member’s scope of experience and the nature of their prior and/or current employment.</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named Ms. Gonzalez as the Chairperson of the Audit Committee. The Board determined that Ms. Gonzalez and Messrs. Bay and Ibbott qualify as audit committee financial experts within the meaning of SEC regulations and meets the financial sophistication requirements of Nasdaq listing rules. In making this determination, the Board considered Ms. Gonzalez’s formal education and previous experience in financial roles. Both our independent registered public accounting firm and management periodically will meet privately with our Audit Committee. The Audit Committee met eight times during 2023.</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this committee include, among other things, to:</w:t>
      </w:r>
    </w:p>
    <w:p>
      <w:pPr>
        <w:spacing w:after="0" w:line="117" w:lineRule="exact"/>
        <w:rPr>
          <w:sz w:val="20"/>
          <w:szCs w:val="20"/>
          <w:color w:val="auto"/>
        </w:rPr>
      </w:pPr>
    </w:p>
    <w:p>
      <w:pPr>
        <w:ind w:left="1000" w:right="31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hiring, discharging and compensation of our independent registered public accounting firm; oversee the work of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engagements of the independent registered public accounting firm to render any audit or permissible non-audit services;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qualifications, independence and performance of the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financial statements and review our critical accounting policies and estimates;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related party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adequacy and effectiveness of our internal controls;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registered public accounting firm the results of our annual audit, our quarterly financial statements and our publicly filed reports, and resolve disagreements that may arise from time to time between the independent registered public accounting firm and management.</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Compensation Committee consists of Messrs. Aquila, Bay, Gordon and Ibbott. We named Mr. Bay as the Chairperson of the Compensation Committee. The Board has determined that each of the members of the Compensation Committee is a non-employee director, as defined in Rule 16b-3 promulgated under the Exchange Act and satisfies the independence requirements of Rule 5605(d)(2) of the Nasdaq listing standards. The Compensation Committee met nine times during 2023.</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the Compensation Committee include, among other things, to:</w:t>
      </w:r>
    </w:p>
    <w:p>
      <w:pPr>
        <w:spacing w:after="0" w:line="117" w:lineRule="exact"/>
        <w:rPr>
          <w:sz w:val="20"/>
          <w:szCs w:val="20"/>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policies relating to compensation and benefits of our officers and employees;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corporate goals and objectives relevant to compensation of our chief executive officer and other senior officers;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of our officers in light of established goals and objectives;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compensation of our officers based on its evaluations;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issuance of stock options and other awards under our stock plans.</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Processes and Procedures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Compensation Committee has quarterly meetings scheduled, and meets with greater frequency if necessary. The agenda for each meeting is usually developed by the Chairperson of the Compensation Committee, in consultation with the General Counsel. The Compensation Committee meets as necessary in executive session. However, from time to time, the Compensation Committee may invite to its meetings any director, officer or employee of the Company and such other persons as it deems appropriate in order to carry out its responsibilities. The Chief Executive Officer may not participate in, or be present during, any deliberations or determinations of the Compensation Committee regarding his compensation or performance. In addition, under its charter, the Compensation Committee has the authority to obtain, at the expense of the Company, advice and assistance from compensation consultants and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5" w:name="page96"/>
    <w:bookmarkEnd w:id="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internal and external legal or other advisors and other external resources that the Compensation Committee considers necessary or appropriate in the performance of its duties. The Compensation Committee has direct responsibility for the compensation and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its charter, the Compensation Committee may select, or receive advice from, a compensation consultant, legal counsel or other adviser to the Compensation Committee, other than in-house legal counsel and certain other types of advisers, only after taking into consideration factors prescribed by the SEC and Nasdaq, that bear upon the adviser’s independence; however, there is no requirement that any adviser be independent.</w:t>
      </w:r>
    </w:p>
    <w:p>
      <w:pPr>
        <w:spacing w:after="0" w:line="86"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During the past fiscal year, after taking into consideration those factors prescribed by the SEC and Nasdaq, the Compensation Committee engaged Compensia, Inc. (“Compensia”) as compensation consultants.</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During the year ended December 31, 2023, Compensia provided the following services:</w:t>
      </w:r>
    </w:p>
    <w:p>
      <w:pPr>
        <w:spacing w:after="0" w:line="117" w:lineRule="exact"/>
        <w:rPr>
          <w:sz w:val="20"/>
          <w:szCs w:val="20"/>
          <w:color w:val="auto"/>
        </w:rPr>
      </w:pPr>
    </w:p>
    <w:p>
      <w:pPr>
        <w:ind w:left="1000" w:right="31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Discussion and Analysis drafting and review for the Proxy Statement for the 2023 Annual Meeting;</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assisted the Compensation Committee in refreshing our compensation peer group;</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competitive market data based on the compensation peer group for our executive officer positions, and evaluated how the compensation we pay our executive officers compares both to our performance and to how the companies in our compensation peer group and broader technology industry compensate their executives; and</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guidance on other compensation topics including clawback programs, equity design and programs, burn rates and overhang levels, and ad hoc market data and practices.</w:t>
      </w:r>
    </w:p>
    <w:p>
      <w:pPr>
        <w:spacing w:after="0" w:line="5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Per its charter, the Compensation Committee is responsible for reviewing and approving most of the significant adjustments to annual compensation, and determines base salary, bonus and equity awards for all Named Executive Officers at one or more meetings scheduled to be held during the first quarter of its fiscal year. However, the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The Compensation Committee recommends to the independent members of the Board for determination and approval the compensation and other terms of employment of our Chief Executive Officer and evaluates the Chief Executive Officer’s performance in light of relevant corporate performance goals and objectives. For all Named Executive Officers and non-employee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our executive officers in various hypothetical scenarios, executive officer and non-employee director stock ownership information, our stock performance data, analyses of historical executive compensation levels and current Company-wide compensation levels and recommendations of the Compensation Committee’s compensation consultant, including analyses of executive and non-employee director compensation paid at other companies identified by the consultant.</w:t>
      </w:r>
    </w:p>
    <w:p>
      <w:pPr>
        <w:spacing w:after="0" w:line="8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Compensation Committee has evaluated its relationship with Compensia to ensure that it believes that such firm is independent from management. This review process included a review of the services that such compensation consultant provided, the quality of those services and the fees associated with the services provided during 2023. Based on this review, as well as consideration of the factors affecting independence set forth in Exchange Act Rule 10C-1(b)(4), Rule 5605(d)(3)(D) of the Nasdaq rules, and such other factors as were deemed relevant under the circumstances, the Compensation Committee has determined that no conflict of interest was raised as a result of the work performed by Compensia.</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consists of Ms. Freeman, who serves as the Chairperson of the Nominating and Corporate Governance Committee, and Mr. Gordon. The Board has determined that each of the members of the Nominating and Corporate Governance Committee satisfies the independence requirements of Nasdaq. The Nominating and Corporate Governance Committee met three times during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6" w:name="page97"/>
    <w:bookmarkEnd w:id="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the Nominating and Corporate Governance Committee include, among other things, to:</w:t>
      </w:r>
    </w:p>
    <w:p>
      <w:pPr>
        <w:spacing w:after="0" w:line="117" w:lineRule="exact"/>
        <w:rPr>
          <w:sz w:val="20"/>
          <w:szCs w:val="20"/>
          <w:color w:val="auto"/>
        </w:rPr>
      </w:pPr>
    </w:p>
    <w:p>
      <w:pPr>
        <w:ind w:left="1000" w:right="31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make recommendations regarding the organization and governance of the Board and its committees;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performance of members of the Board and make recommendations regarding committee and chairperson assignments;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desired qualifications for Board membership and conduct searches for potential members of the Board;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with regard to our corporate governance guidelines.</w:t>
      </w:r>
    </w:p>
    <w:p>
      <w:pPr>
        <w:spacing w:after="0" w:line="11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(including gender, racial and ethnic diversity), age, skills and such other factors as it deems appropriate, given the current needs of the Board and the Company, to maintain a balance of knowledge, experience and capability.</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Nominating and Corporate Governance Committee also takes into account the results of the Board’s self-evaluation, conducted annually on a group and individual basis and every three years, conducted with an outside consultant.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In the year ended December 31, 2023, the Nominating and Corporate Governance Committee did not pay any fees to third parties to assist in the process of identifying or evaluating director candidates.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At this time, the Nominating and Corporate Governance Committee does not have a policy with regard to the consideration of director candidates recommended by stockholders. The Nominating and Corporate Governance Committee believes that it is in the best position to identify, review, evaluate and select qualified candidates for Board membership, based on the comprehensive criteria for Board membership approved by the Board.</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Technology Committee</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Technology Committee consists of Messrs. Bay and Mr. Francis. Mr. Bay serves as the Chairperson of the Technology Committee. The Technology Committee met four times during 2023.</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the Technology Committee include, among other things, to:</w:t>
      </w:r>
    </w:p>
    <w:p>
      <w:pPr>
        <w:spacing w:after="0" w:line="117" w:lineRule="exact"/>
        <w:rPr>
          <w:sz w:val="20"/>
          <w:szCs w:val="20"/>
          <w:color w:val="auto"/>
        </w:rPr>
      </w:pPr>
    </w:p>
    <w:p>
      <w:pPr>
        <w:ind w:left="1000" w:right="31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make recommendations regarding our major technology developments, technology related systems and architecture;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7" w:name="page98"/>
    <w:bookmarkEnd w:id="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formulation, definition, tracking, retention and reporting of our key metrics, performance indicators and other operational data, and help ensure effective internal and disclosure controls related to such data;</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guidance regarding significant emerging technology issues and trends that may affect our business and strategies;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provide guidance regarding our technology risk management, including our policies and procedures with respect to technology and its uses including cybersecurity, reporting and data system management.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relationship with our stockholders is an important part of our corporate governance program. Engaging with stockholders helps us to understand how they view us, to set goals and expectations for our performance, and to identify emerging issues that may affect our strategies, corporate governance, compensation practices or other aspects of our operations. Our stockholder and investor outreach includes investor road shows, analyst meetings, and investor conferences and meetings. We also communicate with stockholders and other stakeholders through various media, including our annual report and SEC filings, proxy statement, news releases and our website. Our webcasts for quarterly earnings releases are open to all. These webcasts are available in real time and are archived on our website for a period of time.</w:t>
      </w:r>
    </w:p>
    <w:p>
      <w:pPr>
        <w:spacing w:after="0" w:line="84"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We have not adopted a formal process for stockholder communications with the Board. Nevertheless, every effort has been made to ensure that the views of stockholders are heard by the Board or individual directors, as applicable, and that appropriate responses are provided to stockholders in a timely manner. We believe our responsiveness to stockholder communications to the Board has been excellent and therefore a formal process is not necessary.</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Board adopted a Code of Conduct (the “Code of Conduct”), applicable to all of our employees, executive officers and directors. The Code of Conduct is available on our website at ir.weedmaps.com. The nominating and corporate governance committee of the Board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Board has documented our governance practices by adopting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board composition and selection, board meetings and involvement of senior management, principal executive officer performance evaluation and succession planning, and board committees and compensation. Our Corporate Governance Guidelines, as well as the charters for each committee of the Board, may be viewed at ir.weedmaps.com.</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Hedging and Pledging Policy</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part of our insider trading policy, all our directors, officers, employees and certain designated consultants are prohibited from engaging in short sales of our securities, establishing margin accounts, pledging our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our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8" w:name="page99"/>
    <w:bookmarkEnd w:id="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under Item 10 of Regulation S-K promulgated under the Exchange Act and the following compensation disclosure is intended to comply with the requirements applicable to smaller reporting companies. Although the rules allow us to provide less detail about our executive compensation program than companies that are not smaller reporting companies, our Compensation Committee is committed to providing the information necessary to help shareholders understand its executive compensation-related decisions. Accordingly, this section includes supplemental narratives that describe our 2023 compensation program for our Named Executive Officers.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Named Executive Officers for the year ended December 31, 2023, are:</w:t>
      </w:r>
    </w:p>
    <w:p>
      <w:pPr>
        <w:spacing w:after="0" w:line="107" w:lineRule="exact"/>
        <w:rPr>
          <w:sz w:val="20"/>
          <w:szCs w:val="20"/>
          <w:color w:val="auto"/>
        </w:rPr>
      </w:pPr>
    </w:p>
    <w:p>
      <w:pPr>
        <w:ind w:left="1000" w:hanging="348"/>
        <w:spacing w:after="0"/>
        <w:tabs>
          <w:tab w:leader="none" w:pos="10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Francis, our principal executive officer and Executive Chair</w:t>
      </w:r>
      <w:r>
        <w:rPr>
          <w:rFonts w:ascii="Times New Roman" w:cs="Times New Roman" w:eastAsia="Times New Roman" w:hAnsi="Times New Roman"/>
          <w:sz w:val="29"/>
          <w:szCs w:val="29"/>
          <w:color w:val="auto"/>
          <w:vertAlign w:val="superscript"/>
        </w:rPr>
        <w:t>(1)</w:t>
      </w:r>
    </w:p>
    <w:p>
      <w:pPr>
        <w:spacing w:after="0" w:line="2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Camire, our General Counsel and Secretary</w:t>
      </w:r>
    </w:p>
    <w:p>
      <w:pPr>
        <w:spacing w:after="0" w:line="8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Duncan Grazier, our Chief Technology Officer</w:t>
      </w:r>
      <w:r>
        <w:rPr>
          <w:rFonts w:ascii="Times New Roman" w:cs="Times New Roman" w:eastAsia="Times New Roman" w:hAnsi="Times New Roman"/>
          <w:sz w:val="29"/>
          <w:szCs w:val="29"/>
          <w:color w:val="auto"/>
          <w:vertAlign w:val="superscript"/>
        </w:rPr>
        <w:t>(2)</w:t>
      </w:r>
    </w:p>
    <w:p>
      <w:pPr>
        <w:spacing w:after="0" w:line="225"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7, 2024, the Board appointed Douglas Francis as the Chief Executive Officer, effective as of November 7, 2024.</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July 17, 2024, Duncan Grazier, tendered his resignation from his role as Chief Technology Officer, effective July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-258445</wp:posOffset>
            </wp:positionV>
            <wp:extent cx="8229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Relationship Between Pay and Performance</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believe our executive compensation program is reasonable, competitive, and appropriately balances the goals of attracting, motivating, rewarding, and retaining our Named Executive Officers and of aligning their interests with those of our stockholders. To ensure this alignment and to motivate and reward individual initiative and effort, we seek to ensure that a meaningful portion of our Named Executive Officers’ target annual total direct compensation opportunity is both variable in nature and “at-risk.”</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emphasize variable compensation that appropriately rewards our Named Executive Officers through two separate compensation elements:</w:t>
      </w:r>
    </w:p>
    <w:p>
      <w:pPr>
        <w:spacing w:after="0" w:line="54" w:lineRule="exact"/>
        <w:rPr>
          <w:sz w:val="20"/>
          <w:szCs w:val="20"/>
          <w:color w:val="auto"/>
        </w:rPr>
      </w:pPr>
    </w:p>
    <w:p>
      <w:pPr>
        <w:jc w:val="both"/>
        <w:ind w:left="1000" w:right="299" w:hanging="348"/>
        <w:spacing w:after="0" w:line="258"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adopted a formal cash bonus plan for 2023 that provides our Named Executive Officers (other than Mr. Francis) with the opportunity to earn cash bonus payments if we produce short-term financial, operational, and strategic results that meet or exceed pre-established corporate performance goals and does not include the evaluation of any individual contributions in achieving those goals.</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grant time-based RSU awards, and have in the past granted performance-based RSU (PRSU) awards, that may be earned or vest and settled for shares of our Class A Common Stock, which in the aggregate comprise a majority of our Named Executive Officers’ target annual total direct compensation opportunities. The value of these equity awards depends entirely on the value of our Class A Common Stock, thereby incentivizing our Named Executive Officers to build sustainable long-term value for the benefit of our stockholders.</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These variable pay elements ensure that, each year, a substantial portion of our Named Executive Officers’ target total direct compensation is contingent in nature, rather than fixed, with the amounts ultimately payable subject to variability above or below target levels commensurate with our actual performance.</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2023, approximately 33%, on average, of Mr. Camire’s and Mr. Grazier’s target total direct compensation consisted of variable, “at-risk” compensation. Mr. Francis’ 2023 compensation was solely as set forth in his offer letter of August 15, 2023, and did not include a target cash bonus opportunity or equity award. For additional information, see “—Executive Employment Arrangements” below.</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believe that this design provides balanced incentives for our Named Executive Officers to execute our operational objectives and drive long-term growth. To ensure that we remain faithful to our compensation philosophy, the Compensation Committee intends to regularly evaluate the relationship between the reported values of the equity awards granted to our Named Executive Officers, the amount of compensation realizable (and, ultimately, realized) from such awards in subsequent years, and our performance over this period.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9" w:name="page100"/>
    <w:bookmarkEnd w:id="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 Policies and Practices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endeavor to maintain sound corporate governance standards consistent with our executive compensation policies and practices. The Compensation Committee reviews our executive compensation program on an annual basis to ensure consistency with our short-term and long-term goals given the dynamic nature of our business and the market in which we compete for executive talent. The following summarizes our executive compensation-related policies and practices that were in effect during 2023:</w:t>
      </w:r>
    </w:p>
    <w:p>
      <w:pPr>
        <w:sectPr>
          <w:pgSz w:w="11900" w:h="16838" w:orient="portrait"/>
          <w:cols w:equalWidth="0" w:num="1">
            <w:col w:w="9019"/>
          </w:cols>
          <w:pgMar w:left="1440" w:top="263" w:right="1440" w:bottom="1440" w:gutter="0" w:footer="0" w:header="0"/>
        </w:sectPr>
      </w:pPr>
    </w:p>
    <w:p>
      <w:pPr>
        <w:spacing w:after="0" w:line="22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62865</wp:posOffset>
            </wp:positionV>
            <wp:extent cx="26142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40" w:lineRule="exact"/>
        <w:rPr>
          <w:sz w:val="20"/>
          <w:szCs w:val="20"/>
          <w:color w:val="auto"/>
        </w:rPr>
      </w:pPr>
    </w:p>
    <w:p>
      <w:pPr>
        <w:ind w:left="600" w:right="40" w:hanging="308"/>
        <w:spacing w:after="0" w:line="255" w:lineRule="auto"/>
        <w:tabs>
          <w:tab w:leader="none" w:pos="6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Maintain Independent Compensation Committee. </w:t>
      </w:r>
      <w:r>
        <w:rPr>
          <w:rFonts w:ascii="Times New Roman" w:cs="Times New Roman" w:eastAsia="Times New Roman" w:hAnsi="Times New Roman"/>
          <w:sz w:val="18"/>
          <w:szCs w:val="18"/>
          <w:color w:val="auto"/>
        </w:rPr>
        <w:t>The Compensation Committee is comprised solely of independent directors who determine our compensation policies and practices and who have established effective means for communicating with our stockholders regarding their executive compensation views and concerns, as described in this prospectus.</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600" w:hanging="308"/>
        <w:spacing w:after="0" w:line="256" w:lineRule="auto"/>
        <w:tabs>
          <w:tab w:leader="none" w:pos="6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Retain an Independent Compensation Consultant</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Compensation Committee engaged its own compensation consultant to provide information, analysis, and other advice on compensation matters independent of management. This compensation consultant performed no other services for us during 2023.</w:t>
      </w:r>
    </w:p>
    <w:p>
      <w:pPr>
        <w:spacing w:after="0" w:line="74" w:lineRule="exact"/>
        <w:rPr>
          <w:rFonts w:ascii="Times New Roman" w:cs="Times New Roman" w:eastAsia="Times New Roman" w:hAnsi="Times New Roman"/>
          <w:sz w:val="18"/>
          <w:szCs w:val="18"/>
          <w:color w:val="auto"/>
        </w:rPr>
      </w:pPr>
    </w:p>
    <w:p>
      <w:pPr>
        <w:ind w:left="600" w:right="20" w:hanging="308"/>
        <w:spacing w:after="0" w:line="257" w:lineRule="auto"/>
        <w:tabs>
          <w:tab w:leader="none" w:pos="6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Executive Compensation Review.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reviews and approves our compensation strategy and policies planned to be done annually, including review and approval of the 2023 short-term incentive plan for executive officers.</w:t>
      </w:r>
    </w:p>
    <w:p>
      <w:pPr>
        <w:spacing w:after="0" w:line="74" w:lineRule="exact"/>
        <w:rPr>
          <w:rFonts w:ascii="Times New Roman" w:cs="Times New Roman" w:eastAsia="Times New Roman" w:hAnsi="Times New Roman"/>
          <w:sz w:val="18"/>
          <w:szCs w:val="18"/>
          <w:color w:val="auto"/>
        </w:rPr>
      </w:pPr>
    </w:p>
    <w:p>
      <w:pPr>
        <w:ind w:left="600" w:right="40" w:hanging="308"/>
        <w:spacing w:after="0" w:line="255" w:lineRule="auto"/>
        <w:tabs>
          <w:tab w:leader="none" w:pos="6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Compensation “At-Risk.” </w:t>
      </w:r>
      <w:r>
        <w:rPr>
          <w:rFonts w:ascii="Times New Roman" w:cs="Times New Roman" w:eastAsia="Times New Roman" w:hAnsi="Times New Roman"/>
          <w:sz w:val="18"/>
          <w:szCs w:val="18"/>
          <w:color w:val="auto"/>
        </w:rPr>
        <w:t>Other than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for Mr. Francis, our executive compensation program is designed so that a meaningful portion of our Named Executive Officers’ target annual total direct compensation is “at-risk” based on corporate performance, as well as equity-based, to align the interests of our Named Executive Officers and stockholders.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0" w:lineRule="exact"/>
        <w:rPr>
          <w:rFonts w:ascii="Times New Roman" w:cs="Times New Roman" w:eastAsia="Times New Roman" w:hAnsi="Times New Roman"/>
          <w:sz w:val="18"/>
          <w:szCs w:val="18"/>
          <w:color w:val="auto"/>
        </w:rPr>
      </w:pPr>
    </w:p>
    <w:p>
      <w:pPr>
        <w:ind w:left="600" w:hanging="308"/>
        <w:spacing w:after="0" w:line="258" w:lineRule="auto"/>
        <w:tabs>
          <w:tab w:leader="none" w:pos="6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“Pay-for-Performance” Philosophy.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our Named Executive Officers’ target annual total direct compensation, other than for Mr. Francis, is directly linked to our financial results and our stock price performance.</w:t>
      </w:r>
    </w:p>
    <w:p>
      <w:pPr>
        <w:spacing w:after="0" w:line="75" w:lineRule="exact"/>
        <w:rPr>
          <w:rFonts w:ascii="Times New Roman" w:cs="Times New Roman" w:eastAsia="Times New Roman" w:hAnsi="Times New Roman"/>
          <w:sz w:val="18"/>
          <w:szCs w:val="18"/>
          <w:color w:val="auto"/>
        </w:rPr>
      </w:pPr>
    </w:p>
    <w:p>
      <w:pPr>
        <w:ind w:left="600" w:hanging="308"/>
        <w:spacing w:after="0" w:line="258" w:lineRule="auto"/>
        <w:tabs>
          <w:tab w:leader="none" w:pos="6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Multi-Year Vesting Requirements. </w:t>
      </w:r>
      <w:r>
        <w:rPr>
          <w:rFonts w:ascii="Times New Roman" w:cs="Times New Roman" w:eastAsia="Times New Roman" w:hAnsi="Times New Roman"/>
          <w:sz w:val="18"/>
          <w:szCs w:val="18"/>
          <w:color w:val="auto"/>
        </w:rPr>
        <w:t>The annual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granted to our Named Executive Officers are earned and/or vest over multi-year periods, consistent with current market practice and our retention objectives.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305"/>
        <w:spacing w:after="0"/>
        <w:rPr>
          <w:sz w:val="20"/>
          <w:szCs w:val="20"/>
          <w:color w:val="auto"/>
        </w:rPr>
      </w:pPr>
      <w:r>
        <w:rPr>
          <w:rFonts w:ascii="Times New Roman" w:cs="Times New Roman" w:eastAsia="Times New Roman" w:hAnsi="Times New Roman"/>
          <w:sz w:val="18"/>
          <w:szCs w:val="18"/>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25971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40" w:lineRule="exact"/>
        <w:rPr>
          <w:sz w:val="20"/>
          <w:szCs w:val="20"/>
          <w:color w:val="auto"/>
        </w:rPr>
      </w:pPr>
    </w:p>
    <w:p>
      <w:pPr>
        <w:ind w:left="295" w:right="359" w:hanging="295"/>
        <w:spacing w:after="0" w:line="254" w:lineRule="auto"/>
        <w:tabs>
          <w:tab w:leader="none" w:pos="2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Executive Officer Retirement Plans. </w:t>
      </w:r>
      <w:r>
        <w:rPr>
          <w:rFonts w:ascii="Times New Roman" w:cs="Times New Roman" w:eastAsia="Times New Roman" w:hAnsi="Times New Roman"/>
          <w:sz w:val="18"/>
          <w:szCs w:val="18"/>
          <w:color w:val="auto"/>
        </w:rPr>
        <w:t>We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offer, nor do we have plans to offer, defined benefit pension plans or any non-qualified deferred compensation plans or arrangements to our Named Executive Officers other than the plans and arrangements that are available to all our other employees. Our Named Executive Officers are eligible to participate in our Section 401(k) retirement savings plan on the same basis as our other employees.</w:t>
      </w:r>
    </w:p>
    <w:p>
      <w:pPr>
        <w:spacing w:after="0" w:line="77" w:lineRule="exact"/>
        <w:rPr>
          <w:rFonts w:ascii="Times New Roman" w:cs="Times New Roman" w:eastAsia="Times New Roman" w:hAnsi="Times New Roman"/>
          <w:sz w:val="18"/>
          <w:szCs w:val="18"/>
          <w:color w:val="auto"/>
        </w:rPr>
      </w:pPr>
    </w:p>
    <w:p>
      <w:pPr>
        <w:ind w:left="295" w:right="359" w:hanging="295"/>
        <w:spacing w:after="0" w:line="256" w:lineRule="auto"/>
        <w:tabs>
          <w:tab w:leader="none" w:pos="2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Limited Executive Officer Perquisites. </w:t>
      </w:r>
      <w:r>
        <w:rPr>
          <w:rFonts w:ascii="Times New Roman" w:cs="Times New Roman" w:eastAsia="Times New Roman" w:hAnsi="Times New Roman"/>
          <w:sz w:val="18"/>
          <w:szCs w:val="18"/>
          <w:color w:val="auto"/>
        </w:rPr>
        <w:t>We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benefits to our Named Executive Officers on the same basis as provided to all of our employees, including health, dental and vision insurance; accidental death and dismemberment insurance; disability insurance; and a tax-qualified Section 401(k) plan.</w:t>
      </w:r>
    </w:p>
    <w:p>
      <w:pPr>
        <w:spacing w:after="0" w:line="74" w:lineRule="exact"/>
        <w:rPr>
          <w:rFonts w:ascii="Times New Roman" w:cs="Times New Roman" w:eastAsia="Times New Roman" w:hAnsi="Times New Roman"/>
          <w:sz w:val="18"/>
          <w:szCs w:val="18"/>
          <w:color w:val="auto"/>
        </w:rPr>
      </w:pPr>
    </w:p>
    <w:p>
      <w:pPr>
        <w:ind w:left="295" w:right="319" w:hanging="295"/>
        <w:spacing w:after="0" w:line="258" w:lineRule="auto"/>
        <w:tabs>
          <w:tab w:leader="none" w:pos="2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Tax Payments on Change-in-Control Arrangements</w:t>
      </w:r>
      <w:r>
        <w:rPr>
          <w:rFonts w:ascii="Times New Roman" w:cs="Times New Roman" w:eastAsia="Times New Roman" w:hAnsi="Times New Roman"/>
          <w:sz w:val="18"/>
          <w:szCs w:val="18"/>
          <w:color w:val="auto"/>
        </w:rPr>
        <w:t>. We do not provide any excise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reimbursement payments (including “gross-ups”) on payments or benefits that are contingent upon a change-in-control of the Company.</w:t>
      </w:r>
    </w:p>
    <w:p>
      <w:pPr>
        <w:spacing w:after="0" w:line="291" w:lineRule="exact"/>
        <w:rPr>
          <w:rFonts w:ascii="Times New Roman" w:cs="Times New Roman" w:eastAsia="Times New Roman" w:hAnsi="Times New Roman"/>
          <w:sz w:val="18"/>
          <w:szCs w:val="18"/>
          <w:color w:val="auto"/>
        </w:rPr>
      </w:pPr>
    </w:p>
    <w:p>
      <w:pPr>
        <w:ind w:left="295" w:right="319" w:hanging="295"/>
        <w:spacing w:after="0" w:line="253" w:lineRule="auto"/>
        <w:tabs>
          <w:tab w:leader="none" w:pos="2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Hedging or Pledging of our Securities. </w:t>
      </w:r>
      <w:r>
        <w:rPr>
          <w:rFonts w:ascii="Times New Roman" w:cs="Times New Roman" w:eastAsia="Times New Roman" w:hAnsi="Times New Roman"/>
          <w:sz w:val="18"/>
          <w:szCs w:val="18"/>
          <w:color w:val="auto"/>
        </w:rPr>
        <w:t>As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insider trading policy, all our directors, officers, employees and certain designated consultants are prohibited from engaging in short sales of our securities, establishing margin accounts, pledging our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our securities.</w:t>
      </w:r>
    </w:p>
    <w:p>
      <w:pPr>
        <w:spacing w:after="0" w:line="2582" w:lineRule="exact"/>
        <w:rPr>
          <w:sz w:val="20"/>
          <w:szCs w:val="20"/>
          <w:color w:val="auto"/>
        </w:rPr>
      </w:pPr>
    </w:p>
    <w:p>
      <w:pPr>
        <w:sectPr>
          <w:pgSz w:w="11900" w:h="16838" w:orient="portrait"/>
          <w:cols w:equalWidth="0" w:num="2">
            <w:col w:w="4400" w:space="225"/>
            <w:col w:w="4394"/>
          </w:cols>
          <w:pgMar w:left="1440" w:top="263" w:right="1440" w:bottom="1440" w:gutter="0" w:footer="0" w:header="0"/>
          <w:type w:val="continuous"/>
        </w:sectPr>
      </w:pP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00" w:name="page101"/>
    <w:bookmarkEnd w:id="1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5" w:lineRule="exact"/>
        <w:rPr>
          <w:sz w:val="20"/>
          <w:szCs w:val="20"/>
          <w:color w:val="auto"/>
        </w:rPr>
      </w:pPr>
    </w:p>
    <w:p>
      <w:pPr>
        <w:ind w:left="600" w:right="4659" w:hanging="308"/>
        <w:spacing w:after="0" w:line="253" w:lineRule="auto"/>
        <w:tabs>
          <w:tab w:leader="none" w:pos="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Maintain “Double-Trigger” Change-in-Control Arrangements. </w:t>
      </w:r>
      <w:r>
        <w:rPr>
          <w:rFonts w:ascii="Times New Roman" w:cs="Times New Roman" w:eastAsia="Times New Roman" w:hAnsi="Times New Roman"/>
          <w:sz w:val="18"/>
          <w:szCs w:val="18"/>
          <w:color w:val="auto"/>
        </w:rPr>
        <w:t>Our Named Executive Officers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Mr. Francis are eligible to participate in the Severance and Change in Control Plan, which provides certain payments and other benefits in the event of an involuntary termination of employment in connection with a change-in-control of the Company. These “double-trigger” arrangements require both a change-in-control of the Company plus a qualifying termination of employment before payments and benefits are paid. In addition, all such payments and benefits are subject to the execution and delivery of an effective general waiver and release of claims in favor of the Company.</w:t>
      </w:r>
    </w:p>
    <w:p>
      <w:pPr>
        <w:spacing w:after="0" w:line="77" w:lineRule="exact"/>
        <w:rPr>
          <w:rFonts w:ascii="Times New Roman" w:cs="Times New Roman" w:eastAsia="Times New Roman" w:hAnsi="Times New Roman"/>
          <w:sz w:val="18"/>
          <w:szCs w:val="18"/>
          <w:color w:val="auto"/>
        </w:rPr>
      </w:pPr>
    </w:p>
    <w:p>
      <w:pPr>
        <w:ind w:left="600" w:right="4639" w:hanging="308"/>
        <w:spacing w:after="0" w:line="258" w:lineRule="auto"/>
        <w:tabs>
          <w:tab w:leader="none" w:pos="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Only Broad-Based Health and Welfare Benefits.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Executive Officers participate in broad-based Company-sponsored health and welfare benefit programs on the same basis as our other employees.</w:t>
      </w:r>
    </w:p>
    <w:p>
      <w:pPr>
        <w:spacing w:after="0" w:line="75" w:lineRule="exact"/>
        <w:rPr>
          <w:rFonts w:ascii="Times New Roman" w:cs="Times New Roman" w:eastAsia="Times New Roman" w:hAnsi="Times New Roman"/>
          <w:sz w:val="18"/>
          <w:szCs w:val="18"/>
          <w:color w:val="auto"/>
        </w:rPr>
      </w:pPr>
    </w:p>
    <w:p>
      <w:pPr>
        <w:ind w:left="600" w:right="4859" w:hanging="308"/>
        <w:spacing w:after="0" w:line="290" w:lineRule="auto"/>
        <w:tabs>
          <w:tab w:leader="none" w:pos="6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Clawback Policy. </w:t>
      </w:r>
      <w:r>
        <w:rPr>
          <w:rFonts w:ascii="Times New Roman" w:cs="Times New Roman" w:eastAsia="Times New Roman" w:hAnsi="Times New Roman"/>
          <w:sz w:val="17"/>
          <w:szCs w:val="17"/>
          <w:color w:val="auto"/>
        </w:rPr>
        <w:t>We require compensation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recoupment with respect to our executive officers pursuant to the terms of our clawback policy.</w:t>
      </w:r>
    </w:p>
    <w:p>
      <w:pPr>
        <w:spacing w:after="0" w:line="47" w:lineRule="exact"/>
        <w:rPr>
          <w:rFonts w:ascii="Times New Roman" w:cs="Times New Roman" w:eastAsia="Times New Roman" w:hAnsi="Times New Roman"/>
          <w:sz w:val="17"/>
          <w:szCs w:val="17"/>
          <w:color w:val="auto"/>
        </w:rPr>
      </w:pPr>
    </w:p>
    <w:p>
      <w:pPr>
        <w:ind w:left="600" w:right="4619" w:hanging="308"/>
        <w:spacing w:after="0" w:line="267" w:lineRule="auto"/>
        <w:tabs>
          <w:tab w:leader="none" w:pos="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Succession Planning. </w:t>
      </w:r>
      <w:r>
        <w:rPr>
          <w:rFonts w:ascii="Times New Roman" w:cs="Times New Roman" w:eastAsia="Times New Roman" w:hAnsi="Times New Roman"/>
          <w:sz w:val="18"/>
          <w:szCs w:val="18"/>
          <w:color w:val="auto"/>
        </w:rPr>
        <w:t>We review the risks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our key executive officer positions to ensure adequate succession plans are in place.</w:t>
      </w:r>
    </w:p>
    <w:p>
      <w:pPr>
        <w:spacing w:after="0" w:line="200" w:lineRule="exact"/>
        <w:rPr>
          <w:sz w:val="20"/>
          <w:szCs w:val="20"/>
          <w:color w:val="auto"/>
        </w:rPr>
      </w:pP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 Philosophy and Objectives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is designed to achieve our ambitious goals by attracting, motivating, and retaining talented, deeply qualified, and committed individuals who believe in our mission, while rewarding them for long-term value creation. Specifically, our compensation philosophy is as follows:</w:t>
      </w:r>
    </w:p>
    <w:p>
      <w:pPr>
        <w:spacing w:after="0" w:line="64" w:lineRule="exact"/>
        <w:rPr>
          <w:sz w:val="20"/>
          <w:szCs w:val="20"/>
          <w:color w:val="auto"/>
        </w:rPr>
      </w:pPr>
    </w:p>
    <w:p>
      <w:pPr>
        <w:ind w:left="1000" w:right="319" w:hanging="348"/>
        <w:spacing w:after="0" w:line="286"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Attract Top Talent </w:t>
      </w:r>
      <w:r>
        <w:rPr>
          <w:rFonts w:ascii="Times New Roman" w:cs="Times New Roman" w:eastAsia="Times New Roman" w:hAnsi="Times New Roman"/>
          <w:sz w:val="18"/>
          <w:szCs w:val="18"/>
          <w:color w:val="auto"/>
        </w:rPr>
        <w:t>– Given the nature of our business and our long-term financial and strategic objectives,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must compete with other top technology companies for talent to build and grow our Company;</w:t>
      </w:r>
    </w:p>
    <w:p>
      <w:pPr>
        <w:spacing w:after="0" w:line="46" w:lineRule="exact"/>
        <w:rPr>
          <w:rFonts w:ascii="Times New Roman" w:cs="Times New Roman" w:eastAsia="Times New Roman" w:hAnsi="Times New Roman"/>
          <w:sz w:val="18"/>
          <w:szCs w:val="18"/>
          <w:color w:val="auto"/>
        </w:rPr>
      </w:pPr>
    </w:p>
    <w:p>
      <w:pPr>
        <w:jc w:val="both"/>
        <w:ind w:left="1000" w:right="319" w:hanging="348"/>
        <w:spacing w:after="0" w:line="262"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 and Maintain a Performance-Based Culture </w:t>
      </w:r>
      <w:r>
        <w:rPr>
          <w:rFonts w:ascii="Times New Roman" w:cs="Times New Roman" w:eastAsia="Times New Roman" w:hAnsi="Times New Roman"/>
          <w:sz w:val="18"/>
          <w:szCs w:val="18"/>
          <w:color w:val="auto"/>
        </w:rPr>
        <w:t>– To be successful in a highly competitive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talent, we must create consistency through a compensation program that motivates exceptional performance by expanding the reach of our employees’ incentives so that they may share in the success of our business with our stockholders; and</w:t>
      </w:r>
    </w:p>
    <w:p>
      <w:pPr>
        <w:spacing w:after="0" w:line="68" w:lineRule="exact"/>
        <w:rPr>
          <w:rFonts w:ascii="Times New Roman" w:cs="Times New Roman" w:eastAsia="Times New Roman" w:hAnsi="Times New Roman"/>
          <w:sz w:val="18"/>
          <w:szCs w:val="18"/>
          <w:color w:val="auto"/>
        </w:rPr>
      </w:pPr>
    </w:p>
    <w:p>
      <w:pPr>
        <w:jc w:val="both"/>
        <w:ind w:left="1000" w:right="299" w:hanging="348"/>
        <w:spacing w:after="0" w:line="268"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Retain Exceptional Employees </w:t>
      </w:r>
      <w:r>
        <w:rPr>
          <w:rFonts w:ascii="Times New Roman" w:cs="Times New Roman" w:eastAsia="Times New Roman" w:hAnsi="Times New Roman"/>
          <w:sz w:val="18"/>
          <w:szCs w:val="18"/>
          <w:color w:val="auto"/>
        </w:rPr>
        <w:t>– To ensure that we can meet our objectives, we must foster a culture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instills a sense of commitment to the organization and each other while, at the same time, recognizing and rewarding individual contributions and impact.</w:t>
      </w:r>
    </w:p>
    <w:p>
      <w:pPr>
        <w:spacing w:after="0" w:line="6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 critical priority is to promote a long-term commitment to the Company by our Named Executive Officers and other key employees. We believe that there is great value to the Company in having a team of long-tenured, seasoned managers and knowledgeable, experienced employees. Our team-focused culture and management processes are designed to foster this commitment.</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While we are still evolving our compensation policies and practices, we strive for a fair, competitive, transparent, and equitable approach in recognizing and rewarding our Named Executive Officers and other employees. We take a principled approach to providing fair, relevant, and competitive compensation and benefits to a dynamic workforce with diverse needs. For our Named Executive Officers, we aim to balance short-term and long-term compensation and fixed amounts of cash with variable incentive compensation.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1" w:name="page102"/>
    <w:bookmarkEnd w:id="1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Elements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Generally, our executive compensation program consists of three principal elements – base salary, cash bonus opportunities, and long-term incentive compensation in the form of equity awards.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8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28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Compensation Element</w:t>
            </w:r>
          </w:p>
        </w:tc>
        <w:tc>
          <w:tcPr>
            <w:tcW w:w="3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Objective</w:t>
            </w:r>
          </w:p>
        </w:tc>
        <w:tc>
          <w:tcPr>
            <w:tcW w:w="0" w:type="dxa"/>
            <w:vAlign w:val="bottom"/>
          </w:tcPr>
          <w:p>
            <w:pPr>
              <w:spacing w:after="0"/>
              <w:rPr>
                <w:sz w:val="1"/>
                <w:szCs w:val="1"/>
                <w:color w:val="auto"/>
              </w:rPr>
            </w:pPr>
          </w:p>
        </w:tc>
      </w:tr>
      <w:tr>
        <w:trPr>
          <w:trHeight w:val="190"/>
        </w:trPr>
        <w:tc>
          <w:tcPr>
            <w:tcW w:w="1180" w:type="dxa"/>
            <w:vAlign w:val="bottom"/>
            <w:gridSpan w:val="2"/>
            <w:vMerge w:val="continue"/>
          </w:tcPr>
          <w:p>
            <w:pPr>
              <w:spacing w:after="0"/>
              <w:rPr>
                <w:sz w:val="16"/>
                <w:szCs w:val="16"/>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2800" w:type="dxa"/>
            <w:vAlign w:val="bottom"/>
            <w:gridSpan w:val="3"/>
            <w:vMerge w:val="continue"/>
          </w:tcPr>
          <w:p>
            <w:pPr>
              <w:spacing w:after="0"/>
              <w:rPr>
                <w:sz w:val="16"/>
                <w:szCs w:val="16"/>
                <w:color w:val="auto"/>
              </w:rPr>
            </w:pPr>
          </w:p>
        </w:tc>
        <w:tc>
          <w:tcPr>
            <w:tcW w:w="3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Salary</w:t>
            </w: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w:t>
            </w:r>
          </w:p>
        </w:tc>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w:t>
            </w: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Designed to attract and retain executives by</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providing a competitive fixed amount of cash</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compensation based on the executive’s role, prior</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experience, and expected contributions to the</w:t>
            </w:r>
          </w:p>
        </w:tc>
        <w:tc>
          <w:tcPr>
            <w:tcW w:w="0" w:type="dxa"/>
            <w:vAlign w:val="bottom"/>
          </w:tcPr>
          <w:p>
            <w:pPr>
              <w:spacing w:after="0"/>
              <w:rPr>
                <w:sz w:val="1"/>
                <w:szCs w:val="1"/>
                <w:color w:val="auto"/>
              </w:rPr>
            </w:pPr>
          </w:p>
        </w:tc>
      </w:tr>
      <w:tr>
        <w:trPr>
          <w:trHeight w:val="268"/>
        </w:trPr>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w:t>
            </w:r>
          </w:p>
        </w:tc>
        <w:tc>
          <w:tcPr>
            <w:tcW w:w="0" w:type="dxa"/>
            <w:vAlign w:val="bottom"/>
          </w:tcPr>
          <w:p>
            <w:pPr>
              <w:spacing w:after="0"/>
              <w:rPr>
                <w:sz w:val="1"/>
                <w:szCs w:val="1"/>
                <w:color w:val="auto"/>
              </w:rPr>
            </w:pPr>
          </w:p>
        </w:tc>
      </w:tr>
      <w:tr>
        <w:trPr>
          <w:trHeight w:val="25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Bonuses</w:t>
            </w: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Variable</w:t>
            </w:r>
          </w:p>
        </w:tc>
        <w:tc>
          <w:tcPr>
            <w:tcW w:w="2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Cash</w:t>
            </w: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Designed to motivate our executives to achieve</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business objectives tied to specific Company</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metrics and which are aligned to our annual</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priorities, with the payout opportunity based on</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Company and individual performance</w:t>
            </w: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36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w:t>
            </w: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w:t>
            </w:r>
          </w:p>
        </w:tc>
        <w:tc>
          <w:tcPr>
            <w:tcW w:w="63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awards in the form of RSU Designed to align the interests of our executives</w:t>
            </w:r>
          </w:p>
        </w:tc>
        <w:tc>
          <w:tcPr>
            <w:tcW w:w="0" w:type="dxa"/>
            <w:vAlign w:val="bottom"/>
          </w:tcPr>
          <w:p>
            <w:pPr>
              <w:spacing w:after="0"/>
              <w:rPr>
                <w:sz w:val="1"/>
                <w:szCs w:val="1"/>
                <w:color w:val="auto"/>
              </w:rPr>
            </w:pPr>
          </w:p>
        </w:tc>
      </w:tr>
      <w:tr>
        <w:trPr>
          <w:trHeight w:val="216"/>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w:t>
            </w:r>
          </w:p>
        </w:tc>
        <w:tc>
          <w:tcPr>
            <w:tcW w:w="88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awards  that  may  be  settled  for</w:t>
            </w: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our stockholders while helping to attract and</w:t>
            </w:r>
          </w:p>
        </w:tc>
        <w:tc>
          <w:tcPr>
            <w:tcW w:w="0" w:type="dxa"/>
            <w:vAlign w:val="bottom"/>
          </w:tcPr>
          <w:p>
            <w:pPr>
              <w:spacing w:after="0"/>
              <w:rPr>
                <w:sz w:val="1"/>
                <w:szCs w:val="1"/>
                <w:color w:val="auto"/>
              </w:rPr>
            </w:pPr>
          </w:p>
        </w:tc>
      </w:tr>
      <w:tr>
        <w:trPr>
          <w:trHeight w:val="216"/>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shares  of  our  Class A  Common</w:t>
            </w: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retain talented leaders by paying for performance</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and PRSU awards that may</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 earned and settled for shares of</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our Class A Common Stock</w:t>
            </w:r>
          </w:p>
        </w:tc>
        <w:tc>
          <w:tcPr>
            <w:tcW w:w="3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0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5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-2416810</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-2416810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-2416810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also provide certain post-employment compensation (severance and change-in-control) payments and benefits that are consistent with our view of competitive market practices, and other benefits, such as health and welfare programs, including a Section 401(k) retirement savings plan. In general, our executive officers participate in the standard employee health and welfare benefit programs available to our employees generally.</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Base salary represents the fixed portion of the compensation of our Named Executive Officers and is a critical element of compensation intended to attract and retain highly talented individuals. Generally, the base salary for each Named Executive Officer is intended to provide a fixed amount of cash compensation that is based on the executive’s role, experience, and expected contributions to the Company. Base salary is also designed to provide our Named Executive Officers with steady cash flow during the course of the fiscal year that is not contingent on short-term variations in our corporate performance.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annual base salaries of our Named Executive Officers for 2023 were as follows:</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 Base Salary</w:t>
            </w:r>
          </w:p>
        </w:tc>
        <w:tc>
          <w:tcPr>
            <w:tcW w:w="0" w:type="dxa"/>
            <w:vAlign w:val="bottom"/>
          </w:tcPr>
          <w:p>
            <w:pPr>
              <w:spacing w:after="0"/>
              <w:rPr>
                <w:sz w:val="1"/>
                <w:szCs w:val="1"/>
                <w:color w:val="auto"/>
              </w:rPr>
            </w:pPr>
          </w:p>
        </w:tc>
      </w:tr>
      <w:tr>
        <w:trPr>
          <w:trHeight w:val="190"/>
        </w:trPr>
        <w:tc>
          <w:tcPr>
            <w:tcW w:w="73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71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7340" w:type="dxa"/>
            <w:vAlign w:val="bottom"/>
            <w:gridSpan w:val="2"/>
            <w:shd w:val="clear" w:color="auto" w:fill="CCEEFF"/>
          </w:tcPr>
          <w:p>
            <w:pPr>
              <w:spacing w:after="0" w:line="331" w:lineRule="exact"/>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(1)</w:t>
            </w:r>
          </w:p>
        </w:tc>
        <w:tc>
          <w:tcPr>
            <w:tcW w:w="10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$1,020,000</w:t>
            </w:r>
          </w:p>
        </w:tc>
        <w:tc>
          <w:tcPr>
            <w:tcW w:w="0" w:type="dxa"/>
            <w:vAlign w:val="bottom"/>
          </w:tcPr>
          <w:p>
            <w:pPr>
              <w:spacing w:after="0"/>
              <w:rPr>
                <w:sz w:val="1"/>
                <w:szCs w:val="1"/>
                <w:color w:val="auto"/>
              </w:rPr>
            </w:pPr>
          </w:p>
        </w:tc>
      </w:tr>
      <w:tr>
        <w:trPr>
          <w:trHeight w:val="270"/>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410,000</w:t>
            </w:r>
          </w:p>
        </w:tc>
        <w:tc>
          <w:tcPr>
            <w:tcW w:w="0" w:type="dxa"/>
            <w:vAlign w:val="bottom"/>
          </w:tcPr>
          <w:p>
            <w:pPr>
              <w:spacing w:after="0"/>
              <w:rPr>
                <w:sz w:val="1"/>
                <w:szCs w:val="1"/>
                <w:color w:val="auto"/>
              </w:rPr>
            </w:pPr>
          </w:p>
        </w:tc>
      </w:tr>
      <w:tr>
        <w:trPr>
          <w:trHeight w:val="54"/>
        </w:trPr>
        <w:tc>
          <w:tcPr>
            <w:tcW w:w="7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734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Duncan Grazier</w:t>
            </w:r>
            <w:r>
              <w:rPr>
                <w:rFonts w:ascii="Times New Roman" w:cs="Times New Roman" w:eastAsia="Times New Roman" w:hAnsi="Times New Roman"/>
                <w:sz w:val="29"/>
                <w:szCs w:val="29"/>
                <w:color w:val="auto"/>
                <w:vertAlign w:val="superscript"/>
              </w:rPr>
              <w:t>(2)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408,171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-633730</wp:posOffset>
            </wp:positionV>
            <wp:extent cx="1371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base salary in 2023 of $1,020,000 became effective on August 15, 2023.</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Grazier’s previous annual base salary was $402,500 and was increased to $425,000 on September 30, 2023.</w:t>
      </w:r>
    </w:p>
    <w:p>
      <w:pPr>
        <w:spacing w:after="0" w:line="10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Upon review, the Compensation Committee (i) awarded the annual base salary for Mr. Francis, (ii) made no adjustment to, and confirmed the annual base salary of Mr. Camire, and (iii) increased Mr. Grazier’s annual base salary as part of its annual review of our executive compensation program.</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total base salaries paid to our Named Executive Officers during 2023 are set forth in the “Summary Compensation Table” below.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2" w:name="page103"/>
    <w:bookmarkEnd w:id="1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Cash Bonuses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Target Bonus Opportunities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From time to time, our Compensation Committee may adjust a Named Executive Officer’s target cash bonus opportunity after taking into account the Named Executive Officer’s position, role and responsibilities, experience, prior target cash bonus opportunity, the target bonus opportunities of our other Named Executive Officers, and our compensation objectives. Our Compensation Committee also considered information about the target bonus opportunities of similarly situated executives in other companies at a similar stage of development. Upon review, the Compensation Committee (i) awarded Mr. Francis a signing bonus as part of his offer letter, (ii) increased the target cash bonus opportunity of Mr. Camire, and (iii) made no adjustments to Mr. Grazier’s target cash bonus opportunity as part of its annual review of our executive compensation program.</w:t>
      </w:r>
    </w:p>
    <w:p>
      <w:pPr>
        <w:spacing w:after="0" w:line="8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target cash bonus opportunities of our Named Executive Officers for 2023, as a percentage of annual base salary, were as follows:</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2023 Base Cash Bonus</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2023 Target Cash Bonus</w:t>
            </w:r>
          </w:p>
        </w:tc>
        <w:tc>
          <w:tcPr>
            <w:tcW w:w="0" w:type="dxa"/>
            <w:vAlign w:val="bottom"/>
          </w:tcPr>
          <w:p>
            <w:pPr>
              <w:spacing w:after="0"/>
              <w:rPr>
                <w:sz w:val="1"/>
                <w:szCs w:val="1"/>
                <w:color w:val="auto"/>
              </w:rPr>
            </w:pPr>
          </w:p>
        </w:tc>
      </w:tr>
      <w:tr>
        <w:trPr>
          <w:trHeight w:val="148"/>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15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0" w:type="dxa"/>
            <w:vAlign w:val="bottom"/>
          </w:tcPr>
          <w:p>
            <w:pPr>
              <w:spacing w:after="0"/>
              <w:rPr>
                <w:sz w:val="1"/>
                <w:szCs w:val="1"/>
                <w:color w:val="auto"/>
              </w:rPr>
            </w:pPr>
          </w:p>
        </w:tc>
      </w:tr>
      <w:tr>
        <w:trPr>
          <w:trHeight w:val="190"/>
        </w:trPr>
        <w:tc>
          <w:tcPr>
            <w:tcW w:w="4720" w:type="dxa"/>
            <w:vAlign w:val="bottom"/>
            <w:gridSpan w:val="2"/>
            <w:vMerge w:val="continue"/>
          </w:tcPr>
          <w:p>
            <w:pPr>
              <w:spacing w:after="0"/>
              <w:rPr>
                <w:sz w:val="16"/>
                <w:szCs w:val="16"/>
                <w:color w:val="auto"/>
              </w:rPr>
            </w:pPr>
          </w:p>
        </w:tc>
        <w:tc>
          <w:tcPr>
            <w:tcW w:w="2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a percentage of base salary)</w:t>
            </w:r>
          </w:p>
        </w:tc>
        <w:tc>
          <w:tcPr>
            <w:tcW w:w="600" w:type="dxa"/>
            <w:vAlign w:val="bottom"/>
          </w:tcPr>
          <w:p>
            <w:pPr>
              <w:spacing w:after="0"/>
              <w:rPr>
                <w:sz w:val="16"/>
                <w:szCs w:val="16"/>
                <w:color w:val="auto"/>
              </w:rPr>
            </w:pPr>
          </w:p>
        </w:tc>
        <w:tc>
          <w:tcPr>
            <w:tcW w:w="940" w:type="dxa"/>
            <w:vAlign w:val="bottom"/>
          </w:tcPr>
          <w:p>
            <w:pPr>
              <w:jc w:val="center"/>
              <w:ind w:right="5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452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4720" w:type="dxa"/>
            <w:vAlign w:val="bottom"/>
            <w:gridSpan w:val="2"/>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(1)</w:t>
            </w:r>
          </w:p>
        </w:tc>
        <w:tc>
          <w:tcPr>
            <w:tcW w:w="2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19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21"/>
                <w:szCs w:val="21"/>
                <w:color w:val="auto"/>
              </w:rPr>
            </w:pPr>
          </w:p>
        </w:tc>
        <w:tc>
          <w:tcPr>
            <w:tcW w:w="1540" w:type="dxa"/>
            <w:vAlign w:val="bottom"/>
            <w:gridSpan w:val="2"/>
          </w:tcPr>
          <w:p>
            <w:pPr>
              <w:jc w:val="right"/>
              <w:ind w:right="359"/>
              <w:spacing w:after="0"/>
              <w:rPr>
                <w:sz w:val="20"/>
                <w:szCs w:val="20"/>
                <w:color w:val="auto"/>
              </w:rPr>
            </w:pPr>
            <w:r>
              <w:rPr>
                <w:rFonts w:ascii="Times New Roman" w:cs="Times New Roman" w:eastAsia="Times New Roman" w:hAnsi="Times New Roman"/>
                <w:sz w:val="18"/>
                <w:szCs w:val="18"/>
                <w:color w:val="auto"/>
              </w:rPr>
              <w:t>$205,000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720" w:type="dxa"/>
            <w:vAlign w:val="bottom"/>
            <w:gridSpan w:val="2"/>
            <w:shd w:val="clear" w:color="auto" w:fill="CCEEFF"/>
          </w:tcPr>
          <w:p>
            <w:pPr>
              <w:spacing w:after="0" w:line="296" w:lineRule="exact"/>
              <w:rPr>
                <w:sz w:val="20"/>
                <w:szCs w:val="20"/>
                <w:color w:val="auto"/>
              </w:rPr>
            </w:pPr>
            <w:r>
              <w:rPr>
                <w:rFonts w:ascii="Times New Roman" w:cs="Times New Roman" w:eastAsia="Times New Roman" w:hAnsi="Times New Roman"/>
                <w:sz w:val="18"/>
                <w:szCs w:val="18"/>
                <w:color w:val="auto"/>
              </w:rPr>
              <w:t>Duncan Grazier</w:t>
            </w:r>
            <w:r>
              <w:rPr>
                <w:rFonts w:ascii="Times New Roman" w:cs="Times New Roman" w:eastAsia="Times New Roman" w:hAnsi="Times New Roman"/>
                <w:sz w:val="29"/>
                <w:szCs w:val="29"/>
                <w:color w:val="auto"/>
                <w:vertAlign w:val="superscript"/>
              </w:rPr>
              <w:t>(2)</w:t>
            </w:r>
          </w:p>
        </w:tc>
        <w:tc>
          <w:tcPr>
            <w:tcW w:w="19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$212,500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4437380</wp:posOffset>
            </wp:positionH>
            <wp:positionV relativeFrom="paragraph">
              <wp:posOffset>-556895</wp:posOffset>
            </wp:positionV>
            <wp:extent cx="1200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-556895</wp:posOffset>
            </wp:positionV>
            <wp:extent cx="1200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4" w:lineRule="exact"/>
        <w:rPr>
          <w:sz w:val="20"/>
          <w:szCs w:val="20"/>
          <w:color w:val="auto"/>
        </w:rPr>
      </w:pPr>
    </w:p>
    <w:p>
      <w:pPr>
        <w:ind w:left="640" w:right="299" w:hanging="348"/>
        <w:spacing w:after="0" w:line="261" w:lineRule="auto"/>
        <w:tabs>
          <w:tab w:leader="none" w:pos="6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not eligible for a target bonus opportunity in 2023 , but did receive a signing bonus of $700,000 in connection with the entry into his offer letter dated August 15, 2023.</w:t>
      </w:r>
    </w:p>
    <w:p>
      <w:pPr>
        <w:ind w:left="640" w:hanging="348"/>
        <w:spacing w:after="0"/>
        <w:tabs>
          <w:tab w:leader="none" w:pos="6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Grazier’s approved target bonus by the Compensation Committee was based off his increased base salary of $425,000.</w:t>
      </w:r>
    </w:p>
    <w:p>
      <w:pPr>
        <w:spacing w:after="0" w:line="2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Evaluation of Performance</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formal cash bonus plan for 2023 adopted by the Compensation Committee for Mr. Camire and Mr. Grazier did not have an individual award component and was based on Company performance against Revenue, Adj. EBITDA, and Cash targets for fiscal year 2023 in the same manner as the core bonus plan for the rest of the employees of the Company. See “Cash Bonus Payments” for additional details regarding our cash bonus plan.</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Cash Bonus Payments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September 2023 the Compensation Committee approved the short-term incentive plan (STIP) for 2023, which was entirely based on our actual financial performance for the year. The company performance award comprised 100% of the cash bonuses available under the STIP, and was based on (i) fiscal year 2023 Revenue achievement (50% of the company performance award) and (ii) fiscal year 2023 Adj. EBITDA achievement (50% of the company performance award), with a minimum cash component measured as of December 31, 2023 which was a minimum condition to be met in order for any bonus to be paid. The Compensation Committee reviewed and provided input on our Executive Chair’s determinations as to each Named Executive Officer’s cash bonus target.</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Based on our Compensation Committee’s assessment of our corporate performance during the fiscal year, our Named Executive Officers 2023 STIP bonus was achieved at 66.5% based on achievement of the 2023 Revenue and 2023 Adjusted EBITDA goals. In May 2024, upon review and consideration of executive performance for 2023, our Compensation Committee determined that a discretionary cash bonus should be paid to Mr. Camire and Mr. Grazier to account for their individual contributions, raising their cash bonus amounts to $181,425 and $188,062, respectively:</w:t>
      </w:r>
    </w:p>
    <w:p>
      <w:pPr>
        <w:spacing w:after="0" w:line="19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2023 Target Cash Bonus</w:t>
            </w:r>
          </w:p>
        </w:tc>
        <w:tc>
          <w:tcPr>
            <w:tcW w:w="1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Actual 2023 Cash Bonus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 2023 Cash Bonus</w:t>
            </w:r>
          </w:p>
        </w:tc>
        <w:tc>
          <w:tcPr>
            <w:tcW w:w="0" w:type="dxa"/>
            <w:vAlign w:val="bottom"/>
          </w:tcPr>
          <w:p>
            <w:pPr>
              <w:spacing w:after="0"/>
              <w:rPr>
                <w:sz w:val="1"/>
                <w:szCs w:val="1"/>
                <w:color w:val="auto"/>
              </w:rPr>
            </w:pPr>
          </w:p>
        </w:tc>
      </w:tr>
      <w:tr>
        <w:trPr>
          <w:trHeight w:val="146"/>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20" w:type="dxa"/>
            <w:vAlign w:val="bottom"/>
            <w:vMerge w:val="restart"/>
          </w:tcPr>
          <w:p>
            <w:pPr>
              <w:spacing w:after="0"/>
              <w:rPr>
                <w:sz w:val="12"/>
                <w:szCs w:val="12"/>
                <w:color w:val="auto"/>
              </w:rPr>
            </w:pPr>
          </w:p>
        </w:tc>
        <w:tc>
          <w:tcPr>
            <w:tcW w:w="164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1640" w:type="dxa"/>
            <w:vAlign w:val="bottom"/>
            <w:gridSpan w:val="3"/>
            <w:vMerge w:val="continue"/>
          </w:tcPr>
          <w:p>
            <w:pPr>
              <w:spacing w:after="0"/>
              <w:rPr>
                <w:sz w:val="12"/>
                <w:szCs w:val="12"/>
                <w:color w:val="auto"/>
              </w:rPr>
            </w:pP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(as a percentage of target</w:t>
            </w:r>
          </w:p>
        </w:tc>
        <w:tc>
          <w:tcPr>
            <w:tcW w:w="0" w:type="dxa"/>
            <w:vAlign w:val="bottom"/>
          </w:tcPr>
          <w:p>
            <w:pPr>
              <w:spacing w:after="0"/>
              <w:rPr>
                <w:sz w:val="1"/>
                <w:szCs w:val="1"/>
                <w:color w:val="auto"/>
              </w:rPr>
            </w:pPr>
          </w:p>
        </w:tc>
      </w:tr>
      <w:tr>
        <w:trPr>
          <w:trHeight w:val="229"/>
        </w:trPr>
        <w:tc>
          <w:tcPr>
            <w:tcW w:w="34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1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26"/>
              <w:spacing w:after="0" w:line="230"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1"/>
                <w:szCs w:val="11"/>
                <w:b w:val="1"/>
                <w:bCs w:val="1"/>
                <w:color w:val="auto"/>
              </w:rPr>
              <w:t>(2)</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cash bonus opportunity)</w:t>
            </w:r>
          </w:p>
        </w:tc>
        <w:tc>
          <w:tcPr>
            <w:tcW w:w="0" w:type="dxa"/>
            <w:vAlign w:val="bottom"/>
          </w:tcPr>
          <w:p>
            <w:pPr>
              <w:spacing w:after="0"/>
              <w:rPr>
                <w:sz w:val="1"/>
                <w:szCs w:val="1"/>
                <w:color w:val="auto"/>
              </w:rPr>
            </w:pPr>
          </w:p>
        </w:tc>
      </w:tr>
      <w:tr>
        <w:trPr>
          <w:trHeight w:val="291"/>
        </w:trPr>
        <w:tc>
          <w:tcPr>
            <w:tcW w:w="3560" w:type="dxa"/>
            <w:vAlign w:val="bottom"/>
            <w:gridSpan w:val="2"/>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1540" w:type="dxa"/>
            <w:vAlign w:val="bottom"/>
            <w:gridSpan w:val="2"/>
          </w:tcPr>
          <w:p>
            <w:pPr>
              <w:jc w:val="right"/>
              <w:ind w:right="339"/>
              <w:spacing w:after="0"/>
              <w:rPr>
                <w:sz w:val="20"/>
                <w:szCs w:val="20"/>
                <w:color w:val="auto"/>
              </w:rPr>
            </w:pPr>
            <w:r>
              <w:rPr>
                <w:rFonts w:ascii="Times New Roman" w:cs="Times New Roman" w:eastAsia="Times New Roman" w:hAnsi="Times New Roman"/>
                <w:sz w:val="18"/>
                <w:szCs w:val="18"/>
                <w:color w:val="auto"/>
              </w:rPr>
              <w:t>$205,000</w:t>
            </w:r>
          </w:p>
        </w:tc>
        <w:tc>
          <w:tcPr>
            <w:tcW w:w="100" w:type="dxa"/>
            <w:vAlign w:val="bottom"/>
          </w:tcPr>
          <w:p>
            <w:pPr>
              <w:spacing w:after="0"/>
              <w:rPr>
                <w:sz w:val="21"/>
                <w:szCs w:val="21"/>
                <w:color w:val="auto"/>
              </w:rPr>
            </w:pPr>
          </w:p>
        </w:tc>
        <w:tc>
          <w:tcPr>
            <w:tcW w:w="1520" w:type="dxa"/>
            <w:vAlign w:val="bottom"/>
            <w:gridSpan w:val="2"/>
          </w:tcPr>
          <w:p>
            <w:pPr>
              <w:jc w:val="right"/>
              <w:ind w:right="346"/>
              <w:spacing w:after="0"/>
              <w:rPr>
                <w:sz w:val="20"/>
                <w:szCs w:val="20"/>
                <w:color w:val="auto"/>
              </w:rPr>
            </w:pPr>
            <w:r>
              <w:rPr>
                <w:rFonts w:ascii="Times New Roman" w:cs="Times New Roman" w:eastAsia="Times New Roman" w:hAnsi="Times New Roman"/>
                <w:sz w:val="18"/>
                <w:szCs w:val="18"/>
                <w:color w:val="auto"/>
              </w:rPr>
              <w:t>$181,425</w:t>
            </w:r>
          </w:p>
        </w:tc>
        <w:tc>
          <w:tcPr>
            <w:tcW w:w="120" w:type="dxa"/>
            <w:vAlign w:val="bottom"/>
          </w:tcPr>
          <w:p>
            <w:pPr>
              <w:spacing w:after="0"/>
              <w:rPr>
                <w:sz w:val="21"/>
                <w:szCs w:val="21"/>
                <w:color w:val="auto"/>
              </w:rPr>
            </w:pPr>
          </w:p>
        </w:tc>
        <w:tc>
          <w:tcPr>
            <w:tcW w:w="1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560" w:type="dxa"/>
            <w:vAlign w:val="bottom"/>
            <w:gridSpan w:val="2"/>
            <w:shd w:val="clear" w:color="auto" w:fill="CCEEFF"/>
          </w:tcPr>
          <w:p>
            <w:pPr>
              <w:spacing w:after="0" w:line="296" w:lineRule="exact"/>
              <w:rPr>
                <w:sz w:val="20"/>
                <w:szCs w:val="20"/>
                <w:color w:val="auto"/>
              </w:rPr>
            </w:pPr>
            <w:r>
              <w:rPr>
                <w:rFonts w:ascii="Times New Roman" w:cs="Times New Roman" w:eastAsia="Times New Roman" w:hAnsi="Times New Roman"/>
                <w:sz w:val="18"/>
                <w:szCs w:val="18"/>
                <w:color w:val="auto"/>
              </w:rPr>
              <w:t>Duncan Grazier</w:t>
            </w:r>
            <w:r>
              <w:rPr>
                <w:rFonts w:ascii="Times New Roman" w:cs="Times New Roman" w:eastAsia="Times New Roman" w:hAnsi="Times New Roman"/>
                <w:sz w:val="29"/>
                <w:szCs w:val="29"/>
                <w:color w:val="auto"/>
                <w:vertAlign w:val="superscript"/>
              </w:rPr>
              <w:t>(2)</w:t>
            </w:r>
          </w:p>
        </w:tc>
        <w:tc>
          <w:tcPr>
            <w:tcW w:w="1540" w:type="dxa"/>
            <w:vAlign w:val="bottom"/>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$212,500</w:t>
            </w:r>
          </w:p>
        </w:tc>
        <w:tc>
          <w:tcPr>
            <w:tcW w:w="10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346"/>
              <w:spacing w:after="0"/>
              <w:rPr>
                <w:sz w:val="20"/>
                <w:szCs w:val="20"/>
                <w:color w:val="auto"/>
              </w:rPr>
            </w:pPr>
            <w:r>
              <w:rPr>
                <w:rFonts w:ascii="Times New Roman" w:cs="Times New Roman" w:eastAsia="Times New Roman" w:hAnsi="Times New Roman"/>
                <w:sz w:val="18"/>
                <w:szCs w:val="18"/>
                <w:color w:val="auto"/>
              </w:rPr>
              <w:t>$188,062</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-556895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-556895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-556895</wp:posOffset>
            </wp:positionV>
            <wp:extent cx="7747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14" w:lineRule="exact"/>
        <w:rPr>
          <w:sz w:val="20"/>
          <w:szCs w:val="20"/>
          <w:color w:val="auto"/>
        </w:rPr>
      </w:pPr>
    </w:p>
    <w:p>
      <w:pPr>
        <w:ind w:left="640" w:hanging="348"/>
        <w:spacing w:after="0"/>
        <w:tabs>
          <w:tab w:leader="none" w:pos="6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not eligible for a bonus in 2023 other than his signing bonus disclosed in the Summary Compensation Table below.</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2023 Cash Bonus for Mr. Grazier does not include a retention bonus in the amount of $200,000 paid to Mr. Grazier, as set forth in his retention bonus agreement described in the Form 8-K filed by the Company on October 6, 2023.</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3" w:name="page104"/>
    <w:bookmarkEnd w:id="1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Going forward, we anticipate the Compensation Committee will design and adopt a similar cash bonus plan for our Named Executive Officers as part of its annual review of our executive compensation program.</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annual bonuses awarded to our Named Executive Officers for 2023 are set forth in the “Summary Compensation Table” below.</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Long-Term Equity Incentive Compensation</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encounter significant competition for qualified personnel, and long-term incentive compensation plays a critical role in our ability to attract, hire, motivate, and reward qualified and experienced executives. The use of long-term incentive compensation in the form of equity awards is necessary for us to compete for qualified executives without significantly increasing cash compensation and is the most important element of our executive compensation program. We use equity awards to incentivize and reward our Named Executive Officers for long-term corporate performance based on the value of our Class A Common Stock and, thereby, align their interests with the interests of our stockholders. The realized value of these equity awards bears a direct relationship to our stock price, and, therefore, these awards are an incentive for our Named Executive Officers to create value for our stockholders. Equity awards also help us retain our Named Executive Officers in a highly competitive market.</w:t>
      </w:r>
    </w:p>
    <w:p>
      <w:pPr>
        <w:spacing w:after="0" w:line="80"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December 2021, we granted time-based RSU awards and PRSU awards, which may be settled for shares of our Class A Common Stock, to motivate and reward our Named Executive Officers for long-term increases in the value of our Class A Common Stock. Mr. Grazier was not a Named Executive Officer at the time, and received time-based RSU awards in August 2021 and March 2022 consistent with other non-executive employees. Mr. Francis did not receive any RSU awards in 2023 in his role as our Executive Chair. We view these equity awards, whether the awards are subject to time-based vesting requirements or are to be earned based on the attainment of specific performance objectives over a multi-year performance period, as inherently variable since the grant date fair value of these awards may not necessarily be indicative of their value when, and if, the stock underlying these awards vest or are earned. Because RSU awards have value to the recipient even in the absence of stock price appreciation, we believe that we are able to incentivize and retain our Named Executive Officers using fewer shares of our Class A Common Stock than would be necessary if we used stock options to provide an equity stake in the Company. Further, since the value of RSU awards increases with any increase in the value of the underlying shares, RSU awards also provide incentives to our Named Executive Officers that are aligned with the interests of our stockholders. We believe that PRSU awards also served as an effective source of motivation for our Named Executive Officers to drive our financial performance. In addition, PRSU awards provided a direct link between compensation and stockholder return, thereby motivating our Named Executive Officers to focus on and strive to achieve both our annual and long-term financial and strategic objectives.</w:t>
      </w:r>
    </w:p>
    <w:p>
      <w:pPr>
        <w:spacing w:after="0" w:line="8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Compensation Committee reviewed and determined the size of the equity awards of our current Named Executive Officers based on a formula that took into account each eligible Named Executive Officer’s position, qualifications, experience and a competitive market analysis prepared by its compensation consultant, and awarded time-based RSU awards to Mr. Grazier and Mr. Camire in September 2023. Based upon these factors, the Compensation Committee determined the size of each equity award at levels considered appropriate to create a meaningful opportunity for reward predicated on the creation of long-term stockholder value.</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equity awards granted to our Named Executive Officers in 2023 under the WM Technology, Inc. 2021 Equity Incentive Plan (the “2021 Equity Plan”), were as follows: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RSU Awards</w:t>
            </w: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RSU Awards</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PRSU Awards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PRSU Awards</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0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8"/>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26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units)</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0"/>
        </w:trPr>
        <w:tc>
          <w:tcPr>
            <w:tcW w:w="4460" w:type="dxa"/>
            <w:vAlign w:val="bottom"/>
            <w:gridSpan w:val="2"/>
            <w:vMerge w:val="continue"/>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90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4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7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Duncan Grazier</w:t>
            </w: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692,968</w:t>
            </w:r>
          </w:p>
        </w:tc>
        <w:tc>
          <w:tcPr>
            <w:tcW w:w="100" w:type="dxa"/>
            <w:vAlign w:val="bottom"/>
          </w:tcPr>
          <w:p>
            <w:pPr>
              <w:spacing w:after="0"/>
              <w:rPr>
                <w:sz w:val="23"/>
                <w:szCs w:val="23"/>
                <w:color w:val="auto"/>
              </w:rPr>
            </w:pPr>
          </w:p>
        </w:tc>
        <w:tc>
          <w:tcPr>
            <w:tcW w:w="98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$914,718</w:t>
            </w:r>
          </w:p>
        </w:tc>
        <w:tc>
          <w:tcPr>
            <w:tcW w:w="100" w:type="dxa"/>
            <w:vAlign w:val="bottom"/>
          </w:tcPr>
          <w:p>
            <w:pPr>
              <w:spacing w:after="0"/>
              <w:rPr>
                <w:sz w:val="23"/>
                <w:szCs w:val="23"/>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8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655,468</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$865,218</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54"/>
        </w:trPr>
        <w:tc>
          <w:tcPr>
            <w:tcW w:w="43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-633730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-633730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-633730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-633730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RSU Awards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RSU awards granted to Mr. Camire in 2021, and to Mr. Grazier and Mr. Camire in September 2023 each vest in equal quarterly installments over three years following the vesting commencement date, and vesting terminates upon the Named Executive Officer’s termination of continuous service with us. Each unit granted pursuant to these RSU awards represents a contingent right to receive one share of our Class A Common Stock for each unit that vests.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4" w:name="page105"/>
    <w:bookmarkEnd w:id="1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RSU awards originally granted to Mr. Grazier in August 2021 and March 2022 vest in equal quarterly installments over four years commencing on the first vest date (except that 25% of Mr. Grazier’s first grant vests on a one-year cliff first vest date), and vesting terminates upon Mr. Grazier’s termination of continuous service with us. Each unit granted pursuant to these RSU awards represents a contingent right to receive one share of our Class A Common Stock for each unit that vests. The RSU awards granted to Mr. Francis in previous years in his capacity as a director of the Company, are as described in the section entitled “Director Compensation” below.</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PRSU Awards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PRSUs granted to Mr. Camire vested only if we achieved specified performance goals during the performance period beginning on January 1, 2022 and ending on December 31, 2023. The actual number of PRSUs vested was determined based upon the following calculation: (i) the sum of (A) the Revenue CAGR Percentage (as defined in the PRSU award agreement) multiplied by 0.75, plus (B) the Adjusted EBITDA Margin Percentage (as defined in the PRSU award agreement) multiplied by 0.25, then multiplied by (ii) the target Number of PRSUs granted to the Named Executive Officer, with the resulting number of PRSUs rounded down to the nearest whole unit.</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number of PRSUs that vested was determined by our Compensation Committee on May 23, 2024. Each eligible recipient must remain employed by us through the determination date for the PRSU award to vest.</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Threshold achievement of the Revenue CAGR performance metric would have resulted in a 50% Revenue CAGR Percentage, target achievement of the Revenue CAGR performance metric would have resulted in a 100% Revenue CAGR Percentage, and maximum achievement of the Revenue CAGR performance metric would have resulted in a 200% Revenue CAGR Percentage, with the Revenue CAGR Percentage interpolated linearly and rounded up the nearest percentage point between these level after threshold performance was attained.</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Threshold achievement of the Adjusted EBITDA Margin performance metric would have resulted in a 50% Adjusted EBITDA Margin Percentage, target achievement of the Adjusted EBITDA Margin performance metric would have resulted in a 100% Adjusted EBITDA Margin Percentage, and maximum achievement of the Adjusted EBITDA Margin performance metric would have resulted in a 200% Adjusted EBITDA Margin Percentage, with the Adjusted EBITDA Margin Percentage interpolated linearly and rounded up the nearest percentage point between these level after threshold performance is attained.</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During the performance period beginning on January 1, 2022 and ending on December 31, 2023, the Company did not achieve the threshold Revenue CAGR performance metric, resulting in a 0% Revenue CAGR Percentage and reached a 100% achievement of the Adjusted EBITDA Margin performance metric, representing a 100% Adjusted EBITDA Margin Percentage. In the aggregate, this resulted in vesting of 25% of the granted units for Mr. Camire.</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equity awards vested to our Named Executive Officers during the performance period are set forth in the “Summary Compensation Table” below.</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Benefits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Named Executive Officers are generally eligible to participate in the same employee benefit plans, and on the same terms and conditions, as all our other eligible employees. These benefits include medical, dental, and vision insurance, vacation, personal holidays, and sick days, basic life insurance and supplemental life insurance, short-term and long-term disability insurance, and a Section 401(k) retirement savings plan. In addition, our executives are eligible for life insurance and disability benefits paid for by us.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401(k) Plan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maintain a tax-qualified Section 401(k) retirement savings plan (the “Section 401(k) Plan”) that provides our employees, including our Named Executive Officers, who satisfy certain eligibility requirements, with an opportunity to save for retirement on a tax advantaged basis. Eligible employees are able to participate in the Section 401(k) Plan as of the first day of the month following the day they complete three months of employment and participants are able to defer, either on a pre-tax basis or on an after-tax (Roth) basis through contributions to the Section 401(k) Plan, up to 90% of their eligible compensation, but within the limits prescribed by the Internal Revenue Code (the “Code”). All participants’ interests in their deferrals are 100% vested when contributed. Under the Section 401(k) Plan, we make matching contributions of 100% of each participant’s elective deferrals of the first 1% of such participant’s eligible compensation plus 50% of each participant’s elective deferrals of the next 2% to 6% of</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5" w:name="page106"/>
    <w:bookmarkEnd w:id="1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such participant’s eligible compensation, up to a maximum matching contribution of 3.5% of eligible compensation. The Section 401(k) Plan is intended to be qualified under Section 401(a) of the Code with the Section 401(k) Plan’s related trust intended to be tax exempt under Section 501(a) of the Code.</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believe these benefits are generally consistent with those offered by other companies and specifically those companies with which we compete for employees. 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Personal Benefits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 Accordingly, we do not generally provide perquisites or other personal benefits to our Named Executive Officers except as generally made available to our employees or in situations where we believe it is appropriate to assist an individual in the performance of his duties, to make them more efficient and effective, and for recruitment and retention purposes. During 2023, our Named Executive Officers did not receive perquisites or other personal benefits that were, in the aggregate, $10,000 or more for each individual.</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Award Grant Policy</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Compensation Committee has adopted an equity award grant policy to ensure the integrity and efficiency of our equity award process. The Board has delegated to the Compensation Committee the express authority to serve as administrator of the 2021 Equity Plan, although such delegation of authority is not exclusive as the Board retains concurrent rights to grant equity awards under the 2021 Equity Plan.</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Compensation Committee has delegated to the Equity Grant Committee (which consists of our principal executive officer, General Counsel, and Chief Financial Officer) (the “EGC”) the nonexclusive authority to grant equity awards to employees who are not “officers” as defined in Rule 16a-1 of the Exchange Act. Further, the EGC may not grant any equity award to a member of the EGC, any member of the Board, or any consultant. At least annually, the EGC will provide the Compensation Committee with a report summarizing the equity awards granted by the EGC during the applicable period.</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It is also our intent that no equity awards will be backdated, nor will the timing of the public release of material information or of the grant of an equity award be manipulated with the intent of benefiting an award recipient.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6" w:name="page107"/>
    <w:bookmarkEnd w:id="1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following table shows compensation awarded or paid to, or earned by, our Named Executive Officers with respect to the years ended 2023 and 2022. The amounts in the “Stock awards” column reflect our accounting expense for these equity awards, as further described in the footnotes to the table, and do not necessarily represent the actual economic value that was realized in the stated year or may be realized by the Named Executive Officers.</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2023, our Named Executive Officers were:</w:t>
      </w:r>
    </w:p>
    <w:p>
      <w:pPr>
        <w:spacing w:after="0" w:line="107" w:lineRule="exact"/>
        <w:rPr>
          <w:sz w:val="20"/>
          <w:szCs w:val="20"/>
          <w:color w:val="auto"/>
        </w:rPr>
      </w:pPr>
    </w:p>
    <w:p>
      <w:pPr>
        <w:ind w:left="1000" w:hanging="348"/>
        <w:spacing w:after="0"/>
        <w:tabs>
          <w:tab w:leader="none" w:pos="10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Francis, our principal executive officer and Executive Chair</w:t>
      </w:r>
      <w:r>
        <w:rPr>
          <w:rFonts w:ascii="Times New Roman" w:cs="Times New Roman" w:eastAsia="Times New Roman" w:hAnsi="Times New Roman"/>
          <w:sz w:val="29"/>
          <w:szCs w:val="29"/>
          <w:color w:val="auto"/>
          <w:vertAlign w:val="superscript"/>
        </w:rPr>
        <w:t>(1)</w:t>
      </w:r>
    </w:p>
    <w:p>
      <w:pPr>
        <w:spacing w:after="0" w:line="2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Camire, our General Counsel and Secretary</w:t>
      </w:r>
    </w:p>
    <w:p>
      <w:pPr>
        <w:spacing w:after="0" w:line="8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Duncan Grazier, our Chief Technology Officer</w:t>
      </w:r>
      <w:r>
        <w:rPr>
          <w:rFonts w:ascii="Times New Roman" w:cs="Times New Roman" w:eastAsia="Times New Roman" w:hAnsi="Times New Roman"/>
          <w:sz w:val="29"/>
          <w:szCs w:val="29"/>
          <w:color w:val="auto"/>
          <w:vertAlign w:val="superscript"/>
        </w:rPr>
        <w:t>(2)</w:t>
      </w:r>
    </w:p>
    <w:p>
      <w:pPr>
        <w:spacing w:after="0" w:line="225"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7, 2024, the Board appointed Douglas Francis as the Chief Executive Officer, effective as of November 7, 2024.</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July 17, 2024, Duncan Grazier, tendered his resignation from his role as Chief Technology Officer, effective July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-258445</wp:posOffset>
            </wp:positionV>
            <wp:extent cx="8229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value and</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 w:type="dxa"/>
            <w:vAlign w:val="bottom"/>
          </w:tcPr>
          <w:p>
            <w:pPr>
              <w:spacing w:after="0"/>
              <w:rPr>
                <w:sz w:val="12"/>
                <w:szCs w:val="12"/>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0" w:type="dxa"/>
            <w:vAlign w:val="bottom"/>
            <w:gridSpan w:val="2"/>
            <w:vMerge w:val="continue"/>
          </w:tcPr>
          <w:p>
            <w:pPr>
              <w:spacing w:after="0"/>
              <w:rPr>
                <w:sz w:val="12"/>
                <w:szCs w:val="12"/>
                <w:color w:val="auto"/>
              </w:rPr>
            </w:pPr>
          </w:p>
        </w:tc>
        <w:tc>
          <w:tcPr>
            <w:tcW w:w="74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156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6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58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94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ind w:right="59"/>
              <w:spacing w:after="0" w:line="243"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3"/>
                <w:szCs w:val="23"/>
                <w:b w:val="1"/>
                <w:bCs w:val="1"/>
                <w:color w:val="auto"/>
                <w:vertAlign w:val="superscript"/>
              </w:rPr>
              <w:t>(2)</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(3)</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(4)</w:t>
            </w: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(5)</w:t>
            </w: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7"/>
        </w:trPr>
        <w:tc>
          <w:tcPr>
            <w:tcW w:w="15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388,384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82,607</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1,170,991</w:t>
            </w:r>
          </w:p>
        </w:tc>
        <w:tc>
          <w:tcPr>
            <w:tcW w:w="0" w:type="dxa"/>
            <w:vAlign w:val="bottom"/>
          </w:tcPr>
          <w:p>
            <w:pPr>
              <w:spacing w:after="0"/>
              <w:rPr>
                <w:sz w:val="1"/>
                <w:szCs w:val="1"/>
                <w:color w:val="auto"/>
              </w:rPr>
            </w:pPr>
          </w:p>
        </w:tc>
      </w:tr>
      <w:tr>
        <w:trPr>
          <w:trHeight w:val="90"/>
        </w:trPr>
        <w:tc>
          <w:tcPr>
            <w:tcW w:w="156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1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Executive Chair</w:t>
            </w:r>
          </w:p>
        </w:tc>
        <w:tc>
          <w:tcPr>
            <w:tcW w:w="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193,357</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69,701</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263,058</w:t>
            </w:r>
          </w:p>
        </w:tc>
        <w:tc>
          <w:tcPr>
            <w:tcW w:w="0" w:type="dxa"/>
            <w:vAlign w:val="bottom"/>
          </w:tcPr>
          <w:p>
            <w:pPr>
              <w:spacing w:after="0"/>
              <w:rPr>
                <w:sz w:val="1"/>
                <w:szCs w:val="1"/>
                <w:color w:val="auto"/>
              </w:rPr>
            </w:pPr>
          </w:p>
        </w:tc>
      </w:tr>
      <w:tr>
        <w:trPr>
          <w:trHeight w:val="252"/>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45,100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865,218</w:t>
            </w:r>
          </w:p>
        </w:tc>
        <w:tc>
          <w:tcPr>
            <w:tcW w:w="120" w:type="dxa"/>
            <w:vAlign w:val="bottom"/>
          </w:tcPr>
          <w:p>
            <w:pPr>
              <w:spacing w:after="0"/>
              <w:rPr>
                <w:sz w:val="21"/>
                <w:szCs w:val="21"/>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136,325</w:t>
            </w:r>
          </w:p>
        </w:tc>
        <w:tc>
          <w:tcPr>
            <w:tcW w:w="100" w:type="dxa"/>
            <w:vAlign w:val="bottom"/>
          </w:tcPr>
          <w:p>
            <w:pPr>
              <w:spacing w:after="0"/>
              <w:rPr>
                <w:sz w:val="21"/>
                <w:szCs w:val="21"/>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12,111</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1,468,754</w:t>
            </w:r>
          </w:p>
        </w:tc>
        <w:tc>
          <w:tcPr>
            <w:tcW w:w="0" w:type="dxa"/>
            <w:vAlign w:val="bottom"/>
          </w:tcPr>
          <w:p>
            <w:pPr>
              <w:spacing w:after="0"/>
              <w:rPr>
                <w:sz w:val="1"/>
                <w:szCs w:val="1"/>
                <w:color w:val="auto"/>
              </w:rPr>
            </w:pPr>
          </w:p>
        </w:tc>
      </w:tr>
      <w:tr>
        <w:trPr>
          <w:trHeight w:val="216"/>
        </w:trPr>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Counsel</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10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58"/>
              <w:spacing w:after="0"/>
              <w:rPr>
                <w:sz w:val="20"/>
                <w:szCs w:val="20"/>
                <w:color w:val="auto"/>
              </w:rPr>
            </w:pPr>
            <w:r>
              <w:rPr>
                <w:rFonts w:ascii="Times New Roman" w:cs="Times New Roman" w:eastAsia="Times New Roman" w:hAnsi="Times New Roman"/>
                <w:sz w:val="18"/>
                <w:szCs w:val="18"/>
                <w:color w:val="auto"/>
              </w:rPr>
              <w:t>11,531</w:t>
            </w:r>
          </w:p>
        </w:tc>
        <w:tc>
          <w:tcPr>
            <w:tcW w:w="100" w:type="dxa"/>
            <w:vAlign w:val="bottom"/>
          </w:tcPr>
          <w:p>
            <w:pPr>
              <w:spacing w:after="0"/>
              <w:rPr>
                <w:sz w:val="18"/>
                <w:szCs w:val="18"/>
                <w:color w:val="auto"/>
              </w:rPr>
            </w:pPr>
          </w:p>
        </w:tc>
        <w:tc>
          <w:tcPr>
            <w:tcW w:w="9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13,384</w:t>
            </w:r>
          </w:p>
        </w:tc>
        <w:tc>
          <w:tcPr>
            <w:tcW w:w="10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434,915</w:t>
            </w:r>
          </w:p>
        </w:tc>
        <w:tc>
          <w:tcPr>
            <w:tcW w:w="0" w:type="dxa"/>
            <w:vAlign w:val="bottom"/>
          </w:tcPr>
          <w:p>
            <w:pPr>
              <w:spacing w:after="0"/>
              <w:rPr>
                <w:sz w:val="1"/>
                <w:szCs w:val="1"/>
                <w:color w:val="auto"/>
              </w:rPr>
            </w:pPr>
          </w:p>
        </w:tc>
      </w:tr>
      <w:tr>
        <w:trPr>
          <w:trHeight w:val="234"/>
        </w:trPr>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Secretary</w:t>
            </w:r>
          </w:p>
        </w:tc>
        <w:tc>
          <w:tcPr>
            <w:tcW w:w="420" w:type="dxa"/>
            <w:vAlign w:val="bottom"/>
            <w:gridSpan w:val="2"/>
            <w:vMerge w:val="continue"/>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Duncan Grazier,</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391,779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246,750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914,718</w:t>
            </w:r>
          </w:p>
        </w:tc>
        <w:tc>
          <w:tcPr>
            <w:tcW w:w="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141,312</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24,658</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1,719,217</w:t>
            </w: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Technology</w:t>
            </w:r>
          </w:p>
        </w:tc>
        <w:tc>
          <w:tcPr>
            <w:tcW w:w="6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2022</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394,221</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162,592</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299,995</w:t>
            </w:r>
          </w:p>
        </w:tc>
        <w:tc>
          <w:tcPr>
            <w:tcW w:w="120" w:type="dxa"/>
            <w:vAlign w:val="bottom"/>
            <w:shd w:val="clear" w:color="auto" w:fill="CCEEFF"/>
          </w:tcPr>
          <w:p>
            <w:pPr>
              <w:spacing w:after="0"/>
              <w:rPr>
                <w:sz w:val="18"/>
                <w:szCs w:val="18"/>
                <w:color w:val="auto"/>
              </w:rPr>
            </w:pPr>
          </w:p>
        </w:tc>
        <w:tc>
          <w:tcPr>
            <w:tcW w:w="5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10,504</w:t>
            </w:r>
          </w:p>
        </w:tc>
        <w:tc>
          <w:tcPr>
            <w:tcW w:w="10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867,312</w:t>
            </w:r>
          </w:p>
        </w:tc>
        <w:tc>
          <w:tcPr>
            <w:tcW w:w="0" w:type="dxa"/>
            <w:vAlign w:val="bottom"/>
          </w:tcPr>
          <w:p>
            <w:pPr>
              <w:spacing w:after="0"/>
              <w:rPr>
                <w:sz w:val="1"/>
                <w:szCs w:val="1"/>
                <w:color w:val="auto"/>
              </w:rPr>
            </w:pPr>
          </w:p>
        </w:tc>
      </w:tr>
      <w:tr>
        <w:trPr>
          <w:trHeight w:val="234"/>
        </w:trPr>
        <w:tc>
          <w:tcPr>
            <w:tcW w:w="1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60" w:type="dxa"/>
            <w:vAlign w:val="bottom"/>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700" w:type="dxa"/>
            <w:vAlign w:val="bottom"/>
            <w:gridSpan w:val="2"/>
            <w:vMerge w:val="continue"/>
            <w:shd w:val="clear" w:color="auto" w:fill="CCEEFF"/>
          </w:tcPr>
          <w:p>
            <w:pPr>
              <w:spacing w:after="0"/>
              <w:rPr>
                <w:sz w:val="20"/>
                <w:szCs w:val="20"/>
                <w:color w:val="auto"/>
              </w:rPr>
            </w:pPr>
          </w:p>
        </w:tc>
        <w:tc>
          <w:tcPr>
            <w:tcW w:w="700" w:type="dxa"/>
            <w:vAlign w:val="bottom"/>
            <w:gridSpan w:val="2"/>
            <w:vMerge w:val="continue"/>
            <w:shd w:val="clear" w:color="auto" w:fill="CCEEFF"/>
          </w:tcPr>
          <w:p>
            <w:pPr>
              <w:spacing w:after="0"/>
              <w:rPr>
                <w:sz w:val="20"/>
                <w:szCs w:val="20"/>
                <w:color w:val="auto"/>
              </w:rPr>
            </w:pPr>
          </w:p>
        </w:tc>
        <w:tc>
          <w:tcPr>
            <w:tcW w:w="7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-1388110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-1388110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-1388110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-1388110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-1388110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-1388110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-1388110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-1388110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-1388110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41" w:lineRule="auto"/>
        <w:tabs>
          <w:tab w:leader="none" w:pos="6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not an employee in 2022 and began service as our principal executive officer on November 7, 2022. Mr. Francis became an employee on August 15, 2023; Mr. Grazier, formerly our Senior Vice President, Engineering, was appointed our Chief Technology Officer, effective December 5, 2022.</w:t>
      </w:r>
    </w:p>
    <w:p>
      <w:pPr>
        <w:spacing w:after="0" w:line="14" w:lineRule="exact"/>
        <w:rPr>
          <w:rFonts w:ascii="Times New Roman" w:cs="Times New Roman" w:eastAsia="Times New Roman" w:hAnsi="Times New Roman"/>
          <w:sz w:val="14"/>
          <w:szCs w:val="14"/>
          <w:color w:val="auto"/>
        </w:rPr>
      </w:pPr>
    </w:p>
    <w:p>
      <w:pPr>
        <w:jc w:val="both"/>
        <w:ind w:left="640" w:right="319" w:hanging="348"/>
        <w:spacing w:after="0" w:line="241" w:lineRule="auto"/>
        <w:tabs>
          <w:tab w:leader="none" w:pos="6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represent performance-based, discretionary cash bonuses including a signing bonus of $700,000 for Mr. Francis, a retention bonus of $200,000 for Mr. Grazier and additional bonuses for Mr. Camire and Mr. Grazier of $45,100 and $46,750, respectively, to account for their individual contributions, as described under “—Cash Bonuses—Cash Bonus Payments” above.</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grant date fair value of all time-based restricted stock unit (“RSU”) award in accordance with ASC 718. The grant date fair value of each RSU award was measured based on the per share closing price of our Class A Common Stock on the date of grant. The amounts reported do not correspond to the economic value received by each NEO from the equity award. For additional information regarding the market value of outstanding awards, see “Outstanding Equity Awards at Fiscal Year-end” below. For information regarding assumptions underlying the value of equity awards, see Note 14 to our audited consolidated financial statements included in this prospectus.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paid under the short term incentive plan “STIP”). In September 2023, the Compensation Committee approved the 2023 STIP for the Named Executive Officers (other than Mr. Francis) based on performance against our Revenue (50% of the performance award), Adjusted EBITDA (50% of the performance award), and Cash (a minimum condition for any award) targets for FY23 in the same manner as the core bonus plan for the rest of the employees of the Company. There is no individual award component to the 2023 STIP. The value of the 2023 STIP could have ranged from $0 to, assuming the highest level of performance conditions were achieved, $307,500 for Mr. Camire and $318,750 for Mr. Grazier.</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 (i) group term life insurance premiums in excess of the broad-based benefit level of $280, $224 and $561 for 2023 for Messrs. Francis, Camire and Grazier, respectively and $0, $216, and $540 for 2022 for Messrs. Francis, Camire and Grazier, respectively;</w:t>
      </w:r>
    </w:p>
    <w:p>
      <w:pPr>
        <w:jc w:val="both"/>
        <w:ind w:left="640" w:right="299" w:firstLine="3"/>
        <w:spacing w:after="0" w:line="228" w:lineRule="auto"/>
        <w:tabs>
          <w:tab w:leader="none" w:pos="876"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matching contributions under our 401(k) plan of $4,708, $11,327 and $11,550 for 2023 for Messrs. Francis, Camire and Grazier, respectively and $0, $10,288, $12,844 for 2022 for Messrs. Francis, Camire and Grazier; (iii) compensation for service as a member of our Board of $68,673 for 2023 and $69,701 for 2022, respectively for Mr. Francis as further described in the section entitled Director Compensation; (iv) compensation for legal fee reimbursement of $8,946 for 2023 for Mr. Francis; and (v) parental leave benefit of $13,106 in 2023 for Mr. Grazier.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7" w:name="page108"/>
    <w:bookmarkEnd w:id="1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shows certain information regarding outstanding equity awards for the Named Executive Officers as of December 31, 2023:</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plan</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0"/>
              </w:rPr>
              <w:t>or</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Number Market</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plan</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unearned unearned</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9"/>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w:t>
            </w: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3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w:t>
            </w:r>
          </w:p>
        </w:tc>
        <w:tc>
          <w:tcPr>
            <w:tcW w:w="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0" w:type="dxa"/>
            <w:vAlign w:val="bottom"/>
          </w:tcPr>
          <w:p>
            <w:pPr>
              <w:spacing w:after="0"/>
              <w:rPr>
                <w:sz w:val="1"/>
                <w:szCs w:val="1"/>
                <w:color w:val="auto"/>
              </w:rPr>
            </w:pPr>
          </w:p>
        </w:tc>
      </w:tr>
      <w:tr>
        <w:trPr>
          <w:trHeight w:val="148"/>
        </w:trPr>
        <w:tc>
          <w:tcPr>
            <w:tcW w:w="9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5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700" w:type="dxa"/>
            <w:vAlign w:val="bottom"/>
            <w:gridSpan w:val="2"/>
            <w:vMerge w:val="continue"/>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6"/>
        </w:trPr>
        <w:tc>
          <w:tcPr>
            <w:tcW w:w="90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2"/>
                <w:szCs w:val="12"/>
                <w:color w:val="auto"/>
              </w:rPr>
            </w:pPr>
          </w:p>
        </w:tc>
        <w:tc>
          <w:tcPr>
            <w:tcW w:w="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5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w w:val="98"/>
              </w:rPr>
              <w:t>price</w:t>
            </w:r>
          </w:p>
        </w:tc>
        <w:tc>
          <w:tcPr>
            <w:tcW w:w="70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5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vested</w:t>
            </w:r>
          </w:p>
        </w:tc>
        <w:tc>
          <w:tcPr>
            <w:tcW w:w="5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vested</w:t>
            </w:r>
          </w:p>
        </w:tc>
        <w:tc>
          <w:tcPr>
            <w:tcW w:w="6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vested</w:t>
            </w:r>
          </w:p>
        </w:tc>
        <w:tc>
          <w:tcPr>
            <w:tcW w:w="6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vested</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60" w:type="dxa"/>
            <w:vAlign w:val="bottom"/>
          </w:tcPr>
          <w:p>
            <w:pPr>
              <w:spacing w:after="0"/>
              <w:rPr>
                <w:sz w:val="21"/>
                <w:szCs w:val="21"/>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1"/>
                <w:szCs w:val="21"/>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21"/>
                <w:szCs w:val="21"/>
                <w:color w:val="auto"/>
              </w:rPr>
            </w:pP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(1)</w:t>
            </w:r>
          </w:p>
        </w:tc>
        <w:tc>
          <w:tcPr>
            <w:tcW w:w="6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1"/>
                <w:szCs w:val="21"/>
                <w:color w:val="auto"/>
              </w:rPr>
            </w:pP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(1)</w:t>
            </w:r>
          </w:p>
        </w:tc>
        <w:tc>
          <w:tcPr>
            <w:tcW w:w="0" w:type="dxa"/>
            <w:vAlign w:val="bottom"/>
          </w:tcPr>
          <w:p>
            <w:pPr>
              <w:spacing w:after="0"/>
              <w:rPr>
                <w:sz w:val="1"/>
                <w:szCs w:val="1"/>
                <w:color w:val="auto"/>
              </w:rPr>
            </w:pPr>
          </w:p>
        </w:tc>
      </w:tr>
      <w:tr>
        <w:trPr>
          <w:trHeight w:val="250"/>
        </w:trPr>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Douglas</w:t>
            </w:r>
          </w:p>
        </w:tc>
        <w:tc>
          <w:tcPr>
            <w:tcW w:w="4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vMerge w:val="restart"/>
            <w:shd w:val="clear" w:color="auto" w:fill="CCEEFF"/>
          </w:tcPr>
          <w:p>
            <w:pPr>
              <w:spacing w:after="0"/>
              <w:rPr>
                <w:sz w:val="21"/>
                <w:szCs w:val="21"/>
                <w:color w:val="auto"/>
              </w:rPr>
            </w:pPr>
          </w:p>
        </w:tc>
        <w:tc>
          <w:tcPr>
            <w:tcW w:w="460" w:type="dxa"/>
            <w:vAlign w:val="bottom"/>
            <w:tcBorders>
              <w:top w:val="single" w:sz="8" w:color="auto"/>
            </w:tcBorders>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Francis</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8/26/2021</w:t>
            </w:r>
          </w:p>
        </w:tc>
        <w:tc>
          <w:tcPr>
            <w:tcW w:w="80" w:type="dxa"/>
            <w:vAlign w:val="bottom"/>
            <w:tcBorders>
              <w:bottom w:val="single" w:sz="8" w:color="CCEEFF"/>
            </w:tcBorders>
            <w:vMerge w:val="continue"/>
            <w:shd w:val="clear" w:color="auto" w:fill="CCEEFF"/>
          </w:tcPr>
          <w:p>
            <w:pPr>
              <w:spacing w:after="0"/>
              <w:rPr>
                <w:sz w:val="21"/>
                <w:szCs w:val="21"/>
                <w:color w:val="auto"/>
              </w:rPr>
            </w:pPr>
          </w:p>
        </w:tc>
        <w:tc>
          <w:tcPr>
            <w:tcW w:w="46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10,094</w:t>
            </w: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7,271</w:t>
            </w:r>
          </w:p>
        </w:tc>
        <w:tc>
          <w:tcPr>
            <w:tcW w:w="5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Brian</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12/11/2021</w:t>
            </w:r>
          </w:p>
        </w:tc>
        <w:tc>
          <w:tcPr>
            <w:tcW w:w="54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52,734</w:t>
            </w:r>
          </w:p>
        </w:tc>
        <w:tc>
          <w:tcPr>
            <w:tcW w:w="6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37,984</w:t>
            </w:r>
          </w:p>
        </w:tc>
        <w:tc>
          <w:tcPr>
            <w:tcW w:w="0" w:type="dxa"/>
            <w:vAlign w:val="bottom"/>
          </w:tcPr>
          <w:p>
            <w:pPr>
              <w:spacing w:after="0"/>
              <w:rPr>
                <w:sz w:val="1"/>
                <w:szCs w:val="1"/>
                <w:color w:val="auto"/>
              </w:rPr>
            </w:pPr>
          </w:p>
        </w:tc>
      </w:tr>
      <w:tr>
        <w:trPr>
          <w:trHeight w:val="210"/>
        </w:trPr>
        <w:tc>
          <w:tcPr>
            <w:tcW w:w="9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Camire</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12/11/2021</w:t>
            </w:r>
          </w:p>
        </w:tc>
        <w:tc>
          <w:tcPr>
            <w:tcW w:w="54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58,596</w:t>
            </w:r>
          </w:p>
        </w:tc>
        <w:tc>
          <w:tcPr>
            <w:tcW w:w="60" w:type="dxa"/>
            <w:vAlign w:val="bottom"/>
          </w:tcPr>
          <w:p>
            <w:pPr>
              <w:spacing w:after="0"/>
              <w:rPr>
                <w:sz w:val="18"/>
                <w:szCs w:val="18"/>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42,207</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9/30/2023</w:t>
            </w:r>
          </w:p>
        </w:tc>
        <w:tc>
          <w:tcPr>
            <w:tcW w:w="54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w w:val="99"/>
              </w:rPr>
              <w:t>600,846 432,789</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12/8/2020</w:t>
            </w:r>
          </w:p>
        </w:tc>
        <w:tc>
          <w:tcPr>
            <w:tcW w:w="54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24"/>
                <w:szCs w:val="24"/>
                <w:color w:val="auto"/>
              </w:rPr>
            </w:pPr>
          </w:p>
        </w:tc>
        <w:tc>
          <w:tcPr>
            <w:tcW w:w="7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185,933</w:t>
            </w:r>
          </w:p>
        </w:tc>
        <w:tc>
          <w:tcPr>
            <w:tcW w:w="60" w:type="dxa"/>
            <w:vAlign w:val="bottom"/>
          </w:tcPr>
          <w:p>
            <w:pPr>
              <w:spacing w:after="0"/>
              <w:rPr>
                <w:sz w:val="24"/>
                <w:szCs w:val="24"/>
                <w:color w:val="auto"/>
              </w:rPr>
            </w:pPr>
          </w:p>
        </w:tc>
        <w:tc>
          <w:tcPr>
            <w:tcW w:w="820" w:type="dxa"/>
            <w:vAlign w:val="bottom"/>
          </w:tcPr>
          <w:p>
            <w:pPr>
              <w:jc w:val="right"/>
              <w:ind w:right="106"/>
              <w:spacing w:after="0"/>
              <w:rPr>
                <w:sz w:val="20"/>
                <w:szCs w:val="20"/>
                <w:color w:val="auto"/>
              </w:rPr>
            </w:pPr>
            <w:r>
              <w:rPr>
                <w:rFonts w:ascii="Times New Roman" w:cs="Times New Roman" w:eastAsia="Times New Roman" w:hAnsi="Times New Roman"/>
                <w:sz w:val="16"/>
                <w:szCs w:val="16"/>
                <w:color w:val="auto"/>
              </w:rPr>
              <w:t>61,976</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10</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11/12/2019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433,840</w:t>
            </w:r>
          </w:p>
        </w:tc>
        <w:tc>
          <w:tcPr>
            <w:tcW w:w="6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8.03</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Duncan</w:t>
            </w:r>
          </w:p>
        </w:tc>
        <w:tc>
          <w:tcPr>
            <w:tcW w:w="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3/1/2022</w:t>
            </w:r>
          </w:p>
        </w:tc>
        <w:tc>
          <w:tcPr>
            <w:tcW w:w="54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29,353</w:t>
            </w:r>
          </w:p>
        </w:tc>
        <w:tc>
          <w:tcPr>
            <w:tcW w:w="6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21,143</w:t>
            </w: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Grazier</w:t>
            </w:r>
          </w:p>
        </w:tc>
        <w:tc>
          <w:tcPr>
            <w:tcW w:w="4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9/30/2023</w:t>
            </w:r>
          </w:p>
        </w:tc>
        <w:tc>
          <w:tcPr>
            <w:tcW w:w="540" w:type="dxa"/>
            <w:vAlign w:val="bottom"/>
            <w:gridSpan w:val="2"/>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635,221 457,550</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54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60" w:type="dxa"/>
            <w:vAlign w:val="bottom"/>
            <w:gridSpan w:val="4"/>
            <w:vMerge w:val="continue"/>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8/30/2021</w:t>
            </w:r>
          </w:p>
        </w:tc>
        <w:tc>
          <w:tcPr>
            <w:tcW w:w="54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35,553</w:t>
            </w:r>
          </w:p>
        </w:tc>
        <w:tc>
          <w:tcPr>
            <w:tcW w:w="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25,609</w:t>
            </w: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12/8/2020</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46,482</w:t>
            </w:r>
          </w:p>
        </w:tc>
        <w:tc>
          <w:tcPr>
            <w:tcW w:w="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15,495</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10</w:t>
            </w:r>
          </w:p>
        </w:tc>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12/10/2019</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61,977</w:t>
            </w:r>
          </w:p>
        </w:tc>
        <w:tc>
          <w:tcPr>
            <w:tcW w:w="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8.03</w:t>
            </w:r>
          </w:p>
        </w:tc>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8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5123180</wp:posOffset>
            </wp:positionH>
            <wp:positionV relativeFrom="paragraph">
              <wp:posOffset>-2313940</wp:posOffset>
            </wp:positionV>
            <wp:extent cx="342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-2313940</wp:posOffset>
            </wp:positionV>
            <wp:extent cx="342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-2313940</wp:posOffset>
            </wp:positionV>
            <wp:extent cx="342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-2313940</wp:posOffset>
            </wp:positionV>
            <wp:extent cx="342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-2313940</wp:posOffset>
            </wp:positionV>
            <wp:extent cx="342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-2313940</wp:posOffset>
            </wp:positionV>
            <wp:extent cx="342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-2313940</wp:posOffset>
            </wp:positionV>
            <wp:extent cx="342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-2313940</wp:posOffset>
            </wp:positionV>
            <wp:extent cx="342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-2313940</wp:posOffset>
            </wp:positionV>
            <wp:extent cx="514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-2313940</wp:posOffset>
            </wp:positionV>
            <wp:extent cx="514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-2313940</wp:posOffset>
            </wp:positionV>
            <wp:extent cx="514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is based on the closing price of our common stock as of December 31, 2023 of $0.7203 per share.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on June 16, 2024, subject to continued service with us.</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seven equal quarterly installments beginning on February 15, 2024, subject to continued service with us.</w:t>
      </w:r>
    </w:p>
    <w:p>
      <w:pPr>
        <w:ind w:left="640" w:right="299" w:hanging="348"/>
        <w:spacing w:after="0" w:line="261" w:lineRule="auto"/>
        <w:tabs>
          <w:tab w:leader="none" w:pos="6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nine equal quarterly installments beginning on February 15, 2024, subject to continued service with us.</w:t>
      </w:r>
    </w:p>
    <w:p>
      <w:pPr>
        <w:ind w:left="640" w:right="319" w:hanging="348"/>
        <w:spacing w:after="0" w:line="261" w:lineRule="auto"/>
        <w:tabs>
          <w:tab w:leader="none" w:pos="6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eleven equal quarterly installments beginning on February 15, 2024, subject to continued service with us.</w:t>
      </w:r>
    </w:p>
    <w:p>
      <w:pPr>
        <w:ind w:left="640" w:right="299" w:hanging="348"/>
        <w:spacing w:after="0" w:line="261" w:lineRule="auto"/>
        <w:tabs>
          <w:tab w:leader="none" w:pos="6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three equal quarterly installments beginning on February 15, 2024, subject to continued service with us.</w:t>
      </w:r>
    </w:p>
    <w:p>
      <w:pPr>
        <w:ind w:left="640" w:right="319" w:hanging="348"/>
        <w:spacing w:after="0" w:line="261" w:lineRule="auto"/>
        <w:tabs>
          <w:tab w:leader="none" w:pos="6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eleven equal quarterly installments beginning on February 15, 2024, subject to continued service with us.</w:t>
      </w:r>
    </w:p>
    <w:p>
      <w:pPr>
        <w:jc w:val="both"/>
        <w:ind w:left="640" w:right="299" w:hanging="348"/>
        <w:spacing w:after="0" w:line="241" w:lineRule="auto"/>
        <w:tabs>
          <w:tab w:leader="none" w:pos="6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PRSU award vests on January 1, 2024 in accordance with the performance-based vesting conditions described above under “Equity-Based Incentive Awards.” The number of shares subject to each named executive officer’s PRSU award assumes threshold achievement, with the Adjusted EBITDA Margin Percentage deemed to equal 100% and Revenue CAGR Percentage deemed to equal 0%.</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Class P Unit award vests in four quarterly installments beginning on January 12, 2024, subject to continued service with us.</w:t>
      </w:r>
    </w:p>
    <w:p>
      <w:pPr>
        <w:ind w:left="640" w:right="299" w:hanging="348"/>
        <w:spacing w:after="0" w:line="261" w:lineRule="auto"/>
        <w:tabs>
          <w:tab w:leader="none" w:pos="6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Class P Unit award vests in four quarterly installments beginning on March 8, 2024, subject to continued service with us.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8" w:name="page109"/>
    <w:bookmarkEnd w:id="1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For 2023, the compensation programs for our Named Executive Officers consisted of base salary, cash bonuses and equity-based incentive awards. Detailed information about these compensation programs can be found above in the section </w:t>
      </w:r>
      <w:r>
        <w:rPr>
          <w:rFonts w:ascii="Times New Roman" w:cs="Times New Roman" w:eastAsia="Times New Roman" w:hAnsi="Times New Roman"/>
          <w:sz w:val="18"/>
          <w:szCs w:val="18"/>
          <w:i w:val="1"/>
          <w:iCs w:val="1"/>
          <w:color w:val="auto"/>
        </w:rPr>
        <w:t>Executive Compensation – Compensation Elements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Employment Arrangements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Each of our Named Executive Officers, have entered into an offer letter with Ghost Management Group, LLC, which provides for employment on an at-will basis.</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Douglas Francis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Mr. Francis previously entered into an offer of continued employment with Ghost Management Group, LLC, dated August 15, 2023, reflecting his continued service as our Executive Chair. Pursuant to the terms of the offer letter, Mr. Francis’ annual base salary is $1,020,000, and he received a signing bonus of $700,000 (the “Prior Employment Agreement”). Mr. Francis also is eligible to participate in the employee benefit plans generally available to our employees and maintained by us.</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Mr. Francis’ appointment as the Company’s Chief Executive Officer, the Company entered into a new offer of continued employment with Mr. Francis (the “Employment Agreement”), dated November 7, 2024, which amends and supersedes the Prior Employment Agreement. Under the Employment Agreement, Mr. Francis is entitled to receive an annual base salary of $750,000. In addition, Mr. Francis is eligible to receive an annual target bonus equal to 100% of his annual salary. The Employment Agreement also provides that Mr. Francis will receive</w:t>
      </w:r>
    </w:p>
    <w:p>
      <w:pPr>
        <w:spacing w:after="0" w:line="3" w:lineRule="exact"/>
        <w:rPr>
          <w:sz w:val="20"/>
          <w:szCs w:val="20"/>
          <w:color w:val="auto"/>
        </w:rPr>
      </w:pPr>
    </w:p>
    <w:p>
      <w:pPr>
        <w:jc w:val="both"/>
        <w:ind w:left="300" w:right="299" w:hanging="8"/>
        <w:spacing w:after="0" w:line="267" w:lineRule="auto"/>
        <w:tabs>
          <w:tab w:leader="none" w:pos="527"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service-based vesting restricted stock units under the Company’s 2021 Stock Incentive Plan (the “Plan”) with a grant date fair value of $3,995,000.00 (“Service RSUs”) and (iv) performance-based vesting restricted stock units under the Plan with a grant date fair value of $3,995,000.00 (“Performance RSUs”). The Service RSUs will vest quarterly in substantially equal installments over a three-year period, subject to Mr. Francis’ continuous service with the Company. The Performance RSUs will vest upon the achievement of certain stock performance milestones. Under the Employment Agreement, Mr. Francis is eligible to receive the benefits applicable to “Eligible Employees” as described in the Company’s Severance and Change in Control Plan previously adopted by the Audit Committee of the Board, and other benefits on the same basis as those benefits are made available to other similarly situated employees of the Company. In addition, Mr. Francis is eligible for a reimbursement of the annual membership fee for a concierge medical plan selected by Mr. Francis, subject to a net after-tax maximum yearly amount of $24,000.</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Duncan Grazier</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Mr. Grazier previously entered into an offer letter with Ghost Management Group, LLC, dated August 20, 2019. Pursuant to the terms of the offer letter, Mr. Grazier’s annual base salary was $250,000 per year, which increased to $425,000 following his promotion to Chief Technology Officer. Mr. Grazier also was advanced a retention bonus in the amount of $200,000 pursuant to the retention bonus agreement entered into on October 2, 2023, as further described in the Form 8-K filed on October 6, 2023. Mr. Grazier also is eligible to participate in the employee benefit plans generally available to our employees and maintained by us.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August 7, 2024, Mr. Grazier and the Company entered into a Separation and Release Agreement (the “Separation Agreement”), providing for the terms of Mr. Grazier’s separation from employment with the Company. Under the Separation Agreement, Mr. Grazier remained employed with the Company on an “at-will” basis with the title of Special Advisor, assisting the Company in the transition of the Chief Technology Officer role through October 31, 2024. In addition, under the Separation Agreement, the Company agreed to provide Mr. Grazier with the following separation payments and benefits in lieu of any payments or benefits he may otherwise have been entitled to under the terms of his employment agreement: an amount equal to the equivalent of nine months base salary plus 75% of his 2024 target bonus, less any applicable taxes, deductions and withholdings; nine months of paid COBRA premiums (which cease in the event of new coverage with a subsequent employer); and vesting acceleration of 66,086 restricted stock units. The Separation Agreement contains a release of claims, subject to customary exceptions.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Brian Camire</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Mr. Camire previously entered into an offer letter with Ghost Management Group, LLC, dated April 4, 2019. Pursuant to the terms of the offer letter, Mr. Camire’s annual base salary was $350,000, which increased to $410,000 per year. Mr. Camire also is eligible to participate in the employee benefit plans generally available to our employees and maintained by 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9" w:name="page110"/>
    <w:bookmarkEnd w:id="1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Each of Mr. Grazier and Mr. Camire is eligible to participate in the Severance Plan, which provides certain benefits. Mr. Francis is not a participant in the Severance Plan and did not have any severance benefits as of December 31, 2023.</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Severance Plan provides for severance and change in control benefits to our Named Executive Officers upon a “change in control termination” or a “regular termination” (each, as described below). Upon a change in control termination, each of Mr. Grazier and Mr. Camire (our current Named Executive Officers eligible to participate in the Severance Plan) is entitled to (i) a lump sum payment equal to 12 months of his base salary, (ii) a lump sum payment equal to 100% of the Named Executive Officer’s annual target cash bonus, (iii) full vesting acceleration of all outstanding equity awards (with any performance-based vesting awards deemed achieved at target level), and</w:t>
      </w:r>
    </w:p>
    <w:p>
      <w:pPr>
        <w:spacing w:after="0" w:line="5" w:lineRule="exact"/>
        <w:rPr>
          <w:sz w:val="20"/>
          <w:szCs w:val="20"/>
          <w:color w:val="auto"/>
        </w:rPr>
      </w:pPr>
    </w:p>
    <w:p>
      <w:pPr>
        <w:jc w:val="both"/>
        <w:ind w:left="300" w:right="299" w:hanging="8"/>
        <w:spacing w:after="0" w:line="253" w:lineRule="auto"/>
        <w:tabs>
          <w:tab w:leader="none" w:pos="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group health insurance premiums for 12 months. Upon a regular termination, each of Mr. Grazier and Mr. Camire is entitled to (i) continued payment of the Named Executive Officer’s base salary for 9 months, (ii) a lump sum payment equal to 75% of the Named Executive Officer’s annual target cash bonus, and (iii) payment of group health insurance premiums for 9 months. All benefits under the Severance Plan are subject to the Named Executive Officer’s execution of an effective release of claims against us.</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For purposes of the Severance Plan, a “change in control termination” is a termination by us without “cause” (and not as a result of death or disability) or a resignation by the Named Executive Officer for “good reason” (each, as defined in the Severance Plan), that occurs during the period of time beginning three months before the closing of, and ending 12 months following the closing of, a “change in control” (as defined in our 2021 Equity Plan), which we refer to as the “change in control period.” A “regular termination” is a termination by us without cause that does not occur during a change in control period. No benefits are payable pursuant to our Severance Plan in the event of a Named Executive Officer’s retirement or voluntary resignation (other than for Good Reason, as described above).</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 quantifies the amount of cash payments, continued health benefits, and the value of any equity acceleration our eligible Named Executive Officers would have received in connection with certain terminations of employment as if such termination of employment had occurred on December 31, 2023.</w:t>
      </w:r>
    </w:p>
    <w:p>
      <w:pPr>
        <w:spacing w:after="0" w:line="8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4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1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23"/>
                <w:szCs w:val="23"/>
                <w:b w:val="1"/>
                <w:bCs w:val="1"/>
                <w:color w:val="auto"/>
                <w:vertAlign w:val="superscript"/>
              </w:rPr>
              <w:t>(1)</w:t>
            </w:r>
          </w:p>
        </w:tc>
        <w:tc>
          <w:tcPr>
            <w:tcW w:w="6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3160" w:type="dxa"/>
            <w:vAlign w:val="bottom"/>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Triggering Event</w:t>
            </w:r>
          </w:p>
        </w:tc>
        <w:tc>
          <w:tcPr>
            <w:tcW w:w="80" w:type="dxa"/>
            <w:vAlign w:val="bottom"/>
            <w:vMerge w:val="restart"/>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8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38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CCEEFF"/>
            </w:tcBorders>
            <w:vMerge w:val="continue"/>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1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w w:val="88"/>
                <w:vertAlign w:val="subscript"/>
              </w:rPr>
              <w:t>($)</w:t>
            </w:r>
            <w:r>
              <w:rPr>
                <w:rFonts w:ascii="Times New Roman" w:cs="Times New Roman" w:eastAsia="Times New Roman" w:hAnsi="Times New Roman"/>
                <w:sz w:val="12"/>
                <w:szCs w:val="12"/>
                <w:b w:val="1"/>
                <w:bCs w:val="1"/>
                <w:color w:val="auto"/>
                <w:w w:val="88"/>
              </w:rPr>
              <w:t>(2)(3)</w:t>
            </w:r>
          </w:p>
        </w:tc>
        <w:tc>
          <w:tcPr>
            <w:tcW w:w="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7"/>
        </w:trPr>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Duncan Grazier</w:t>
            </w:r>
          </w:p>
        </w:tc>
        <w:tc>
          <w:tcPr>
            <w:tcW w:w="60" w:type="dxa"/>
            <w:vAlign w:val="bottom"/>
            <w:shd w:val="clear" w:color="auto" w:fill="CCEEFF"/>
          </w:tcPr>
          <w:p>
            <w:pPr>
              <w:spacing w:after="0"/>
              <w:rPr>
                <w:sz w:val="24"/>
                <w:szCs w:val="24"/>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Involuntary Termination (non-CIC)</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318,750</w:t>
            </w: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159,375</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24,151</w:t>
            </w:r>
          </w:p>
        </w:tc>
        <w:tc>
          <w:tcPr>
            <w:tcW w:w="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502,276</w:t>
            </w:r>
          </w:p>
        </w:tc>
        <w:tc>
          <w:tcPr>
            <w:tcW w:w="0" w:type="dxa"/>
            <w:vAlign w:val="bottom"/>
          </w:tcPr>
          <w:p>
            <w:pPr>
              <w:spacing w:after="0"/>
              <w:rPr>
                <w:sz w:val="1"/>
                <w:szCs w:val="1"/>
                <w:color w:val="auto"/>
              </w:rPr>
            </w:pPr>
          </w:p>
        </w:tc>
      </w:tr>
      <w:tr>
        <w:trPr>
          <w:trHeight w:val="358"/>
        </w:trPr>
        <w:tc>
          <w:tcPr>
            <w:tcW w:w="13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Involuntary Termination during CIC period</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shd w:val="clear" w:color="auto" w:fill="CCEEFF"/>
              </w:rPr>
              <w:t>425,000</w:t>
            </w: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shd w:val="clear" w:color="auto" w:fill="CCEEFF"/>
              </w:rPr>
              <w:t>212,500</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shd w:val="clear" w:color="auto" w:fill="CCEEFF"/>
              </w:rPr>
              <w:t>32,202</w:t>
            </w:r>
          </w:p>
        </w:tc>
        <w:tc>
          <w:tcPr>
            <w:tcW w:w="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shd w:val="clear" w:color="auto" w:fill="CCEEFF"/>
              </w:rPr>
              <w:t>504,301</w:t>
            </w: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shd w:val="clear" w:color="auto" w:fill="CCEEFF"/>
              </w:rPr>
              <w:t>1,174,003</w:t>
            </w:r>
          </w:p>
        </w:tc>
        <w:tc>
          <w:tcPr>
            <w:tcW w:w="0" w:type="dxa"/>
            <w:vAlign w:val="bottom"/>
          </w:tcPr>
          <w:p>
            <w:pPr>
              <w:spacing w:after="0"/>
              <w:rPr>
                <w:sz w:val="1"/>
                <w:szCs w:val="1"/>
                <w:color w:val="auto"/>
              </w:rPr>
            </w:pP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3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Involuntary Termination (non-CIC)</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307,500</w:t>
            </w:r>
          </w:p>
        </w:tc>
        <w:tc>
          <w:tcPr>
            <w:tcW w:w="8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153,750</w:t>
            </w:r>
          </w:p>
        </w:tc>
        <w:tc>
          <w:tcPr>
            <w:tcW w:w="8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16,841</w:t>
            </w:r>
          </w:p>
        </w:tc>
        <w:tc>
          <w:tcPr>
            <w:tcW w:w="8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478,091</w:t>
            </w:r>
          </w:p>
        </w:tc>
        <w:tc>
          <w:tcPr>
            <w:tcW w:w="0" w:type="dxa"/>
            <w:vAlign w:val="bottom"/>
          </w:tcPr>
          <w:p>
            <w:pPr>
              <w:spacing w:after="0"/>
              <w:rPr>
                <w:sz w:val="1"/>
                <w:szCs w:val="1"/>
                <w:color w:val="auto"/>
              </w:rPr>
            </w:pPr>
          </w:p>
        </w:tc>
      </w:tr>
      <w:tr>
        <w:trPr>
          <w:trHeight w:val="324"/>
        </w:trPr>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Involuntary Termination during CIC period</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410,000</w:t>
            </w:r>
          </w:p>
        </w:tc>
        <w:tc>
          <w:tcPr>
            <w:tcW w:w="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205,000</w:t>
            </w:r>
          </w:p>
        </w:tc>
        <w:tc>
          <w:tcPr>
            <w:tcW w:w="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22,454</w:t>
            </w:r>
          </w:p>
        </w:tc>
        <w:tc>
          <w:tcPr>
            <w:tcW w:w="8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474,996</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1,112,450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-805180</wp:posOffset>
            </wp:positionV>
            <wp:extent cx="514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-805180</wp:posOffset>
            </wp:positionV>
            <wp:extent cx="514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-805180</wp:posOffset>
            </wp:positionV>
            <wp:extent cx="514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-805180</wp:posOffset>
            </wp:positionV>
            <wp:extent cx="514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-805180</wp:posOffset>
            </wp:positionV>
            <wp:extent cx="514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-805180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Mr. Francis, who was not a participant in the Severance Plan as of December 31, 2023.</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of equity acceleration is calculated based on the closing price of our common stock as of December 31, 2023 of $0.7203 per share.</w:t>
      </w:r>
    </w:p>
    <w:p>
      <w:pPr>
        <w:ind w:left="640" w:hanging="348"/>
        <w:spacing w:after="0"/>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on June 16, 2024, subject to continued service with us.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Our Named Executive Officers did not participate in, or otherwise receive any benefits under, any pension or retirement plan sponsored by us during 2023 other than the 401(k) Plan.</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2023, we adopted our Incentive Compensation Recoupment Policy in compliance with requirements under the Dodd Frank Wall Street Reform and Consumer Protection Act and related Nasdaq listing rules, which was amended and restated on November 7, 2024.</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connection with the filing of our Annual Report on Form 10-K for fiscal year 2023 (“2023 10-K”), we restated our financial statements for each of the first three quarters of fiscal year 2023 in the 2023 10-K (“Restatement”).</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determined that the Restatement would not result in the recoupment of any compensation because the variable incentive compensation for the Company’s executive officers is calculated and paid based on year-end financial results, including year-end Revenue and year-end Adjusted EBITDA targets, which are not finalized until the Company’s year-end financial close processes and audit have been completed. For fiscal 2023, the Company based its determination of variable incentive compensation for its executive officers based on the Company’s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0" w:name="page111"/>
    <w:bookmarkEnd w:id="1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2023 year-end financial results for Revenue and Adjusted EBITDA. The variable component of the Company’s executive compensation program consists of cash-based bonus opportunities and long-term incentive compensation, including in the form of performance-based restricted stock units (“PRSUs”). Cash-based bonus opportunities for 2023 were delivered through a short-term incentive plan (“STIP”) and achievement of bonus amounts under the STIP were based on the Company’s 2023 year-end Revenue and 2023 year-end Adjusted EBITDA. PRSUs that were outstanding during fiscal 2023 had performance goals based on 2023 year-end Revenue and 2023 year-end Adjusted EBITDA. Accordingly, the Company’s determination of whether any performance goals were achieved with respect to the STIP or outstanding PRSUs took place at the end of fiscal 2023, after taking into account any adjustments to the first three quarters of 2023 that resulted from the Restatement.</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Accordingly, the Restatement did not impact the Company’s executive compensation payments because the variable portion of the Company’s executive compensation payments was calculated and finalized based on financial results provided in the Company’s year-end financial statements. As a result, the Company’s Compensation Committee determined that there were no payments required to be pursued under the Company’s Incentive Compensation Recoupment Policy.</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2023, we compensated our non-employee directors in accordance with a Non-Employee Director Compensation Policy established by our Compensation Committee in consultation with the Board, compensation consultants, Chief Executive Officer, and other members of our senior management team. The Non-Employee Director Compensation Policy is intended to provide a total compensation package that enables us to attract and retain, on a long-term basis, high-caliber directors who are not our employees or officers.</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Non-Employee Director Compensation Policy was amended in 2023 with changes effective on 1/1/2023. The Non-Employee Director Compensation Policy that was effective for 2023 consisted of the following elements:</w:t>
      </w:r>
    </w:p>
    <w:p>
      <w:pPr>
        <w:spacing w:after="0" w:line="7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Non-Employee Director Compensation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0"/>
        </w:trPr>
        <w:tc>
          <w:tcPr>
            <w:tcW w:w="7820" w:type="dxa"/>
            <w:vAlign w:val="bottom"/>
            <w:gridSpan w:val="2"/>
            <w:vMerge w:val="continue"/>
          </w:tcPr>
          <w:p>
            <w:pPr>
              <w:spacing w:after="0"/>
              <w:rPr>
                <w:sz w:val="16"/>
                <w:szCs w:val="16"/>
                <w:color w:val="auto"/>
              </w:rPr>
            </w:pP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756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7820" w:type="dxa"/>
            <w:vAlign w:val="bottom"/>
            <w:gridSpan w:val="2"/>
            <w:shd w:val="clear" w:color="auto" w:fill="CCEEFF"/>
          </w:tcPr>
          <w:p>
            <w:pPr>
              <w:ind w:left="180"/>
              <w:spacing w:after="0" w:line="317" w:lineRule="exact"/>
              <w:rPr>
                <w:sz w:val="20"/>
                <w:szCs w:val="20"/>
                <w:color w:val="auto"/>
              </w:rPr>
            </w:pPr>
            <w:r>
              <w:rPr>
                <w:rFonts w:ascii="Times New Roman" w:cs="Times New Roman" w:eastAsia="Times New Roman" w:hAnsi="Times New Roman"/>
                <w:sz w:val="18"/>
                <w:szCs w:val="18"/>
                <w:b w:val="1"/>
                <w:bCs w:val="1"/>
                <w:color w:val="auto"/>
              </w:rPr>
              <w:t>Annual Retainer for Board Membership</w:t>
            </w:r>
            <w:r>
              <w:rPr>
                <w:rFonts w:ascii="Times New Roman" w:cs="Times New Roman" w:eastAsia="Times New Roman" w:hAnsi="Times New Roman"/>
                <w:sz w:val="29"/>
                <w:szCs w:val="29"/>
                <w:b w:val="1"/>
                <w:bCs w:val="1"/>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97"/>
        </w:trPr>
        <w:tc>
          <w:tcPr>
            <w:tcW w:w="7820" w:type="dxa"/>
            <w:vAlign w:val="bottom"/>
            <w:gridSpan w:val="2"/>
          </w:tcPr>
          <w:p>
            <w:pPr>
              <w:ind w:left="180"/>
              <w:spacing w:after="0" w:line="296" w:lineRule="exact"/>
              <w:rPr>
                <w:sz w:val="20"/>
                <w:szCs w:val="20"/>
                <w:color w:val="auto"/>
              </w:rPr>
            </w:pPr>
            <w:r>
              <w:rPr>
                <w:rFonts w:ascii="Times New Roman" w:cs="Times New Roman" w:eastAsia="Times New Roman" w:hAnsi="Times New Roman"/>
                <w:sz w:val="18"/>
                <w:szCs w:val="18"/>
                <w:b w:val="1"/>
                <w:bCs w:val="1"/>
                <w:color w:val="auto"/>
              </w:rPr>
              <w:t>New Director Grant of RSUs for New Non-Employee Directors</w:t>
            </w:r>
            <w:r>
              <w:rPr>
                <w:rFonts w:ascii="Times New Roman" w:cs="Times New Roman" w:eastAsia="Times New Roman" w:hAnsi="Times New Roman"/>
                <w:sz w:val="29"/>
                <w:szCs w:val="29"/>
                <w:b w:val="1"/>
                <w:bCs w:val="1"/>
                <w:color w:val="auto"/>
                <w:vertAlign w:val="superscript"/>
              </w:rPr>
              <w:t>(3)(4)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200,000</w:t>
            </w:r>
          </w:p>
        </w:tc>
        <w:tc>
          <w:tcPr>
            <w:tcW w:w="0" w:type="dxa"/>
            <w:vAlign w:val="bottom"/>
          </w:tcPr>
          <w:p>
            <w:pPr>
              <w:spacing w:after="0"/>
              <w:rPr>
                <w:sz w:val="1"/>
                <w:szCs w:val="1"/>
                <w:color w:val="auto"/>
              </w:rPr>
            </w:pPr>
          </w:p>
        </w:tc>
      </w:tr>
      <w:tr>
        <w:trPr>
          <w:trHeight w:val="297"/>
        </w:trPr>
        <w:tc>
          <w:tcPr>
            <w:tcW w:w="7820" w:type="dxa"/>
            <w:vAlign w:val="bottom"/>
            <w:gridSpan w:val="2"/>
            <w:shd w:val="clear" w:color="auto" w:fill="CCEEFF"/>
          </w:tcPr>
          <w:p>
            <w:pPr>
              <w:ind w:left="180"/>
              <w:spacing w:after="0" w:line="296" w:lineRule="exact"/>
              <w:rPr>
                <w:sz w:val="20"/>
                <w:szCs w:val="20"/>
                <w:color w:val="auto"/>
              </w:rPr>
            </w:pPr>
            <w:r>
              <w:rPr>
                <w:rFonts w:ascii="Times New Roman" w:cs="Times New Roman" w:eastAsia="Times New Roman" w:hAnsi="Times New Roman"/>
                <w:sz w:val="18"/>
                <w:szCs w:val="18"/>
                <w:b w:val="1"/>
                <w:bCs w:val="1"/>
                <w:color w:val="auto"/>
              </w:rPr>
              <w:t>Initial Term Grants for Existing Non-Employee Directors</w:t>
            </w:r>
            <w:r>
              <w:rPr>
                <w:rFonts w:ascii="Times New Roman" w:cs="Times New Roman" w:eastAsia="Times New Roman" w:hAnsi="Times New Roman"/>
                <w:sz w:val="29"/>
                <w:szCs w:val="29"/>
                <w:b w:val="1"/>
                <w:bCs w:val="1"/>
                <w:color w:val="auto"/>
                <w:vertAlign w:val="superscript"/>
              </w:rPr>
              <w:t>(4)(5)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200,000</w:t>
            </w:r>
          </w:p>
        </w:tc>
        <w:tc>
          <w:tcPr>
            <w:tcW w:w="0" w:type="dxa"/>
            <w:vAlign w:val="bottom"/>
          </w:tcPr>
          <w:p>
            <w:pPr>
              <w:spacing w:after="0"/>
              <w:rPr>
                <w:sz w:val="1"/>
                <w:szCs w:val="1"/>
                <w:color w:val="auto"/>
              </w:rPr>
            </w:pPr>
          </w:p>
        </w:tc>
      </w:tr>
      <w:tr>
        <w:trPr>
          <w:trHeight w:val="297"/>
        </w:trPr>
        <w:tc>
          <w:tcPr>
            <w:tcW w:w="7820" w:type="dxa"/>
            <w:vAlign w:val="bottom"/>
            <w:gridSpan w:val="2"/>
          </w:tcPr>
          <w:p>
            <w:pPr>
              <w:ind w:left="180"/>
              <w:spacing w:after="0" w:line="296" w:lineRule="exact"/>
              <w:rPr>
                <w:sz w:val="20"/>
                <w:szCs w:val="20"/>
                <w:color w:val="auto"/>
              </w:rPr>
            </w:pPr>
            <w:r>
              <w:rPr>
                <w:rFonts w:ascii="Times New Roman" w:cs="Times New Roman" w:eastAsia="Times New Roman" w:hAnsi="Times New Roman"/>
                <w:sz w:val="18"/>
                <w:szCs w:val="18"/>
                <w:b w:val="1"/>
                <w:bCs w:val="1"/>
                <w:color w:val="auto"/>
              </w:rPr>
              <w:t>Annual RSU Grant for All Non-Employee Directors</w:t>
            </w:r>
            <w:r>
              <w:rPr>
                <w:rFonts w:ascii="Times New Roman" w:cs="Times New Roman" w:eastAsia="Times New Roman" w:hAnsi="Times New Roman"/>
                <w:sz w:val="29"/>
                <w:szCs w:val="29"/>
                <w:b w:val="1"/>
                <w:bCs w:val="1"/>
                <w:color w:val="auto"/>
                <w:vertAlign w:val="superscript"/>
              </w:rPr>
              <w:t>(5)(6)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200,000</w:t>
            </w:r>
          </w:p>
        </w:tc>
        <w:tc>
          <w:tcPr>
            <w:tcW w:w="0" w:type="dxa"/>
            <w:vAlign w:val="bottom"/>
          </w:tcPr>
          <w:p>
            <w:pPr>
              <w:spacing w:after="0"/>
              <w:rPr>
                <w:sz w:val="1"/>
                <w:szCs w:val="1"/>
                <w:color w:val="auto"/>
              </w:rPr>
            </w:pPr>
          </w:p>
        </w:tc>
      </w:tr>
      <w:tr>
        <w:trPr>
          <w:trHeight w:val="277"/>
        </w:trPr>
        <w:tc>
          <w:tcPr>
            <w:tcW w:w="7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Committee Additional Cash Retainer</w:t>
            </w:r>
          </w:p>
        </w:tc>
        <w:tc>
          <w:tcPr>
            <w:tcW w:w="6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20" w:type="dxa"/>
            <w:vAlign w:val="bottom"/>
            <w:gridSpan w:val="2"/>
          </w:tcPr>
          <w:p>
            <w:pPr>
              <w:ind w:left="360"/>
              <w:spacing w:after="0" w:line="296" w:lineRule="exact"/>
              <w:rPr>
                <w:sz w:val="20"/>
                <w:szCs w:val="20"/>
                <w:color w:val="auto"/>
              </w:rPr>
            </w:pPr>
            <w:r>
              <w:rPr>
                <w:rFonts w:ascii="Times New Roman" w:cs="Times New Roman" w:eastAsia="Times New Roman" w:hAnsi="Times New Roman"/>
                <w:sz w:val="18"/>
                <w:szCs w:val="18"/>
                <w:color w:val="auto"/>
              </w:rPr>
              <w:t>Audit Committee Chairperson</w:t>
            </w:r>
            <w:r>
              <w:rPr>
                <w:rFonts w:ascii="Times New Roman" w:cs="Times New Roman" w:eastAsia="Times New Roman" w:hAnsi="Times New Roman"/>
                <w:sz w:val="29"/>
                <w:szCs w:val="29"/>
                <w:color w:val="auto"/>
                <w:vertAlign w:val="superscript"/>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97"/>
        </w:trPr>
        <w:tc>
          <w:tcPr>
            <w:tcW w:w="7820" w:type="dxa"/>
            <w:vAlign w:val="bottom"/>
            <w:gridSpan w:val="2"/>
            <w:shd w:val="clear" w:color="auto" w:fill="CCEEFF"/>
          </w:tcPr>
          <w:p>
            <w:pPr>
              <w:ind w:left="360"/>
              <w:spacing w:after="0" w:line="296" w:lineRule="exact"/>
              <w:rPr>
                <w:sz w:val="20"/>
                <w:szCs w:val="20"/>
                <w:color w:val="auto"/>
              </w:rPr>
            </w:pPr>
            <w:r>
              <w:rPr>
                <w:rFonts w:ascii="Times New Roman" w:cs="Times New Roman" w:eastAsia="Times New Roman" w:hAnsi="Times New Roman"/>
                <w:sz w:val="18"/>
                <w:szCs w:val="18"/>
                <w:color w:val="auto"/>
              </w:rPr>
              <w:t>Audit Committee member (other than Chairperson)</w:t>
            </w:r>
            <w:r>
              <w:rPr>
                <w:rFonts w:ascii="Times New Roman" w:cs="Times New Roman" w:eastAsia="Times New Roman" w:hAnsi="Times New Roman"/>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97"/>
        </w:trPr>
        <w:tc>
          <w:tcPr>
            <w:tcW w:w="7820" w:type="dxa"/>
            <w:vAlign w:val="bottom"/>
            <w:gridSpan w:val="2"/>
          </w:tcPr>
          <w:p>
            <w:pPr>
              <w:ind w:left="360"/>
              <w:spacing w:after="0" w:line="296" w:lineRule="exact"/>
              <w:rPr>
                <w:sz w:val="20"/>
                <w:szCs w:val="20"/>
                <w:color w:val="auto"/>
              </w:rPr>
            </w:pPr>
            <w:r>
              <w:rPr>
                <w:rFonts w:ascii="Times New Roman" w:cs="Times New Roman" w:eastAsia="Times New Roman" w:hAnsi="Times New Roman"/>
                <w:sz w:val="18"/>
                <w:szCs w:val="18"/>
                <w:color w:val="auto"/>
              </w:rPr>
              <w:t xml:space="preserve">Compensation Committee Chairperson </w:t>
            </w:r>
            <w:r>
              <w:rPr>
                <w:rFonts w:ascii="Times New Roman" w:cs="Times New Roman" w:eastAsia="Times New Roman" w:hAnsi="Times New Roman"/>
                <w:sz w:val="29"/>
                <w:szCs w:val="29"/>
                <w:color w:val="auto"/>
                <w:vertAlign w:val="superscript"/>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97"/>
        </w:trPr>
        <w:tc>
          <w:tcPr>
            <w:tcW w:w="7820" w:type="dxa"/>
            <w:vAlign w:val="bottom"/>
            <w:gridSpan w:val="2"/>
            <w:shd w:val="clear" w:color="auto" w:fill="CCEEFF"/>
          </w:tcPr>
          <w:p>
            <w:pPr>
              <w:ind w:left="360"/>
              <w:spacing w:after="0" w:line="296" w:lineRule="exact"/>
              <w:rPr>
                <w:sz w:val="20"/>
                <w:szCs w:val="20"/>
                <w:color w:val="auto"/>
              </w:rPr>
            </w:pPr>
            <w:r>
              <w:rPr>
                <w:rFonts w:ascii="Times New Roman" w:cs="Times New Roman" w:eastAsia="Times New Roman" w:hAnsi="Times New Roman"/>
                <w:sz w:val="18"/>
                <w:szCs w:val="18"/>
                <w:color w:val="auto"/>
              </w:rPr>
              <w:t>Compensation Committee member (other than Chairperson)</w:t>
            </w:r>
            <w:r>
              <w:rPr>
                <w:rFonts w:ascii="Times New Roman" w:cs="Times New Roman" w:eastAsia="Times New Roman" w:hAnsi="Times New Roman"/>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97"/>
        </w:trPr>
        <w:tc>
          <w:tcPr>
            <w:tcW w:w="7820" w:type="dxa"/>
            <w:vAlign w:val="bottom"/>
            <w:gridSpan w:val="2"/>
          </w:tcPr>
          <w:p>
            <w:pPr>
              <w:ind w:left="360"/>
              <w:spacing w:after="0" w:line="296" w:lineRule="exact"/>
              <w:rPr>
                <w:sz w:val="20"/>
                <w:szCs w:val="20"/>
                <w:color w:val="auto"/>
              </w:rPr>
            </w:pPr>
            <w:r>
              <w:rPr>
                <w:rFonts w:ascii="Times New Roman" w:cs="Times New Roman" w:eastAsia="Times New Roman" w:hAnsi="Times New Roman"/>
                <w:sz w:val="18"/>
                <w:szCs w:val="18"/>
                <w:color w:val="auto"/>
              </w:rPr>
              <w:t>Nominating and Corporate Governance Committee Chairperson</w:t>
            </w:r>
            <w:r>
              <w:rPr>
                <w:rFonts w:ascii="Times New Roman" w:cs="Times New Roman" w:eastAsia="Times New Roman" w:hAnsi="Times New Roman"/>
                <w:sz w:val="29"/>
                <w:szCs w:val="29"/>
                <w:color w:val="auto"/>
                <w:vertAlign w:val="superscript"/>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97"/>
        </w:trPr>
        <w:tc>
          <w:tcPr>
            <w:tcW w:w="7820" w:type="dxa"/>
            <w:vAlign w:val="bottom"/>
            <w:gridSpan w:val="2"/>
            <w:shd w:val="clear" w:color="auto" w:fill="CCEEFF"/>
          </w:tcPr>
          <w:p>
            <w:pPr>
              <w:ind w:left="360"/>
              <w:spacing w:after="0" w:line="296" w:lineRule="exact"/>
              <w:rPr>
                <w:sz w:val="20"/>
                <w:szCs w:val="20"/>
                <w:color w:val="auto"/>
              </w:rPr>
            </w:pPr>
            <w:r>
              <w:rPr>
                <w:rFonts w:ascii="Times New Roman" w:cs="Times New Roman" w:eastAsia="Times New Roman" w:hAnsi="Times New Roman"/>
                <w:sz w:val="18"/>
                <w:szCs w:val="18"/>
                <w:color w:val="auto"/>
              </w:rPr>
              <w:t>Nominating and Corporate Governance Committee member (other than Chairperson)</w:t>
            </w:r>
            <w:r>
              <w:rPr>
                <w:rFonts w:ascii="Times New Roman" w:cs="Times New Roman" w:eastAsia="Times New Roman" w:hAnsi="Times New Roman"/>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97"/>
        </w:trPr>
        <w:tc>
          <w:tcPr>
            <w:tcW w:w="7820" w:type="dxa"/>
            <w:vAlign w:val="bottom"/>
            <w:gridSpan w:val="2"/>
          </w:tcPr>
          <w:p>
            <w:pPr>
              <w:ind w:left="360"/>
              <w:spacing w:after="0" w:line="296" w:lineRule="exact"/>
              <w:rPr>
                <w:sz w:val="20"/>
                <w:szCs w:val="20"/>
                <w:color w:val="auto"/>
              </w:rPr>
            </w:pPr>
            <w:r>
              <w:rPr>
                <w:rFonts w:ascii="Times New Roman" w:cs="Times New Roman" w:eastAsia="Times New Roman" w:hAnsi="Times New Roman"/>
                <w:sz w:val="18"/>
                <w:szCs w:val="18"/>
                <w:color w:val="auto"/>
              </w:rPr>
              <w:t>Technology Committee Chairperson</w:t>
            </w:r>
            <w:r>
              <w:rPr>
                <w:rFonts w:ascii="Times New Roman" w:cs="Times New Roman" w:eastAsia="Times New Roman" w:hAnsi="Times New Roman"/>
                <w:sz w:val="29"/>
                <w:szCs w:val="29"/>
                <w:color w:val="auto"/>
                <w:vertAlign w:val="superscript"/>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97"/>
        </w:trPr>
        <w:tc>
          <w:tcPr>
            <w:tcW w:w="7820" w:type="dxa"/>
            <w:vAlign w:val="bottom"/>
            <w:gridSpan w:val="2"/>
            <w:shd w:val="clear" w:color="auto" w:fill="CCEEFF"/>
          </w:tcPr>
          <w:p>
            <w:pPr>
              <w:ind w:left="360"/>
              <w:spacing w:after="0" w:line="296" w:lineRule="exact"/>
              <w:rPr>
                <w:sz w:val="20"/>
                <w:szCs w:val="20"/>
                <w:color w:val="auto"/>
              </w:rPr>
            </w:pPr>
            <w:r>
              <w:rPr>
                <w:rFonts w:ascii="Times New Roman" w:cs="Times New Roman" w:eastAsia="Times New Roman" w:hAnsi="Times New Roman"/>
                <w:sz w:val="18"/>
                <w:szCs w:val="18"/>
                <w:color w:val="auto"/>
              </w:rPr>
              <w:t>Technology Committee member (other than Chairperson)</w:t>
            </w:r>
            <w:r>
              <w:rPr>
                <w:rFonts w:ascii="Times New Roman" w:cs="Times New Roman" w:eastAsia="Times New Roman" w:hAnsi="Times New Roman"/>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97"/>
        </w:trPr>
        <w:tc>
          <w:tcPr>
            <w:tcW w:w="7820" w:type="dxa"/>
            <w:vAlign w:val="bottom"/>
            <w:gridSpan w:val="2"/>
          </w:tcPr>
          <w:p>
            <w:pPr>
              <w:ind w:left="360"/>
              <w:spacing w:after="0" w:line="296" w:lineRule="exact"/>
              <w:rPr>
                <w:sz w:val="20"/>
                <w:szCs w:val="20"/>
                <w:color w:val="auto"/>
              </w:rPr>
            </w:pPr>
            <w:r>
              <w:rPr>
                <w:rFonts w:ascii="Times New Roman" w:cs="Times New Roman" w:eastAsia="Times New Roman" w:hAnsi="Times New Roman"/>
                <w:sz w:val="18"/>
                <w:szCs w:val="18"/>
                <w:color w:val="auto"/>
              </w:rPr>
              <w:t>Additional Annual Retainer for Chairperson of the Board (if a Non-Employee Director)</w:t>
            </w:r>
            <w:r>
              <w:rPr>
                <w:rFonts w:ascii="Times New Roman" w:cs="Times New Roman" w:eastAsia="Times New Roman" w:hAnsi="Times New Roman"/>
                <w:sz w:val="29"/>
                <w:szCs w:val="29"/>
                <w:color w:val="auto"/>
                <w:vertAlign w:val="superscript"/>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97"/>
        </w:trPr>
        <w:tc>
          <w:tcPr>
            <w:tcW w:w="7820" w:type="dxa"/>
            <w:vAlign w:val="bottom"/>
            <w:gridSpan w:val="2"/>
            <w:shd w:val="clear" w:color="auto" w:fill="CCEEFF"/>
          </w:tcPr>
          <w:p>
            <w:pPr>
              <w:ind w:left="360"/>
              <w:spacing w:after="0" w:line="296" w:lineRule="exact"/>
              <w:rPr>
                <w:sz w:val="20"/>
                <w:szCs w:val="20"/>
                <w:color w:val="auto"/>
              </w:rPr>
            </w:pPr>
            <w:r>
              <w:rPr>
                <w:rFonts w:ascii="Times New Roman" w:cs="Times New Roman" w:eastAsia="Times New Roman" w:hAnsi="Times New Roman"/>
                <w:sz w:val="18"/>
                <w:szCs w:val="18"/>
                <w:color w:val="auto"/>
              </w:rPr>
              <w:t>Additional Annual Retainer for Lead Independent Director</w:t>
            </w:r>
            <w:r>
              <w:rPr>
                <w:rFonts w:ascii="Times New Roman" w:cs="Times New Roman" w:eastAsia="Times New Roman" w:hAnsi="Times New Roman"/>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406"/>
        </w:trPr>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Additional Meeting Fees for each Director</w:t>
            </w:r>
            <w:r>
              <w:rPr>
                <w:rFonts w:ascii="Times New Roman" w:cs="Times New Roman" w:eastAsia="Times New Roman" w:hAnsi="Times New Roman"/>
                <w:sz w:val="29"/>
                <w:szCs w:val="29"/>
                <w:color w:val="auto"/>
                <w:vertAlign w:val="superscript"/>
              </w:rPr>
              <w:t>(7)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4986020</wp:posOffset>
            </wp:positionH>
            <wp:positionV relativeFrom="paragraph">
              <wp:posOffset>-3112135</wp:posOffset>
            </wp:positionV>
            <wp:extent cx="17145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59055</wp:posOffset>
            </wp:positionV>
            <wp:extent cx="82296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18" w:lineRule="exact"/>
        <w:rPr>
          <w:sz w:val="20"/>
          <w:szCs w:val="20"/>
          <w:color w:val="auto"/>
        </w:rPr>
      </w:pPr>
    </w:p>
    <w:p>
      <w:pPr>
        <w:ind w:left="640" w:right="299" w:hanging="348"/>
        <w:spacing w:after="0" w:line="250" w:lineRule="auto"/>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Vested upon payment and paid in arrears on the last business day of each fiscal quarter in which the Non-Employee Director’s service occurred.</w:t>
      </w:r>
    </w:p>
    <w:p>
      <w:pPr>
        <w:spacing w:after="0" w:line="183"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Non-Employee Director joins the Board or a committee of the Board at a time other than effective as of the first day of a fiscal quarter, this annual retainer will be pro-rated based on days served in the applicable fiscal year, with the pro-rated amount paid for the first fiscal quarter in which the Non-Employee Director provides the service, and regular full quarterly payments thereafter.</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Non-Employee Director elected or appointed to be a Non-Employee Director for the first time will receive an initial one-time RSU grant (the “New Director Grant”) with an aggregate value of approximately (i) $200,000 multiplied by the ratio of (A) the number of calendar months between their commencement date and the first anniversary of the date of our most recent annual meeting of our stockholders, rounded up to the nearest whole number, and (B) 12, plus (ii) $200,000 multiplied by the number of whole calendar years remaining on their initial term. The portion of the grant described in clause (i) of the prior sentence will vest on the date of the next annual meeting of our stockholders (the “First Meeting Date”) and the portion of the grant described in clause (ii) of the prior sentence, if any, will vest in equal annual installments on the date of each annual meeting of our stockholders (an “Annual Meeting Date”) following the First Meeting Date that is part of their initial term.</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1" w:name="page112"/>
    <w:bookmarkEnd w:id="1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40" w:right="299" w:hanging="348"/>
        <w:spacing w:after="0" w:line="227" w:lineRule="auto"/>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vesting is subject to the Non-Employee Director’s Continuous Service (as defined in the 2021 Equity Plan) through the applicable vesting date. In the event of a change of control (as defined in the 2021 Equity Plan), any unvested portion of an equity award granted to our Non-Employee Directors pursuant to the Non-Employee Director Compensation Policy shall vest as follows: (i) the portion of each New Director Grant held by such Non-Employee Director that, if the change in control had not occurred, would have vested at each of the next two Annual Meeting Dates following the closing date will, immediately prior to the closing, accelerate and become vested; (ii) the portion of each Initial Term Grant held by such Non-Employee Director that, if the change in control had not occurred, would have vested at the next Annual Meeting Date following the closing date will, immediately prior to the closing, accelerate and become vested; and (iii) the portion of each Renewal Term Grant held by such Non-Employee Director that, if the change in control had not occurred, would have vested at the next Annual Meeting Date following the closing date will, immediately prior to the closing, accelerate and become vested.</w:t>
      </w:r>
    </w:p>
    <w:p>
      <w:pPr>
        <w:spacing w:after="0" w:line="20"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1, 2023, each Non-Employee Director who was then in office automatically received a one-time grant of restricted stock units (each, an “Initial Term Grant”) with an aggregate value of approximately $200,000 multiplied by the number of whole calendar years remaining on the Non-Employee Director’s term. Each Initial Term Grant will vest in equal annual installments on the date of each remaining Annual Meeting Date following the First Meeting Date subsequent to the effectiveness of the Initial Term Grant that is part of the Non-Employee Directors current term. The Initial Term Grant may only be granted once to any Non-Employee Director.</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close of business on the date of each annual meeting of our stockholders, each Non-Employee Director who will continue as a member of the Board following the date of such annual meeting of our stockholders will receive an RSU grant (the “Renewal Term Grant”) with an aggregate value of approximately $600,000, that vests in three equal annual installments over the next three Annual Meeting Dates.</w:t>
      </w:r>
    </w:p>
    <w:p>
      <w:pPr>
        <w:spacing w:after="0" w:line="14" w:lineRule="exact"/>
        <w:rPr>
          <w:rFonts w:ascii="Times New Roman" w:cs="Times New Roman" w:eastAsia="Times New Roman" w:hAnsi="Times New Roman"/>
          <w:sz w:val="14"/>
          <w:szCs w:val="14"/>
          <w:color w:val="auto"/>
        </w:rPr>
      </w:pPr>
    </w:p>
    <w:p>
      <w:pPr>
        <w:jc w:val="both"/>
        <w:ind w:left="640" w:right="319" w:hanging="348"/>
        <w:spacing w:after="0"/>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Outside Director who attends more than eight (8) meetings of (i) the Board plus (ii) any ad hoc or special committee meetings not named in I.(b) above during any calendar year will receive an additional $1,000 for each meeting attended in the calendar year in excess of eight (8). Any Outside Director who attends more than eight (8) meetings of any Committee named in I.(b) above on which that Outside Director serves during any calendar year will receive $1,000 for each meeting of that Committee attended in the calendar year in excess of eight (8).</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2" w:name="page113"/>
    <w:bookmarkEnd w:id="1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following table shows certain information with respect to the compensation of all non-employee directors of the Company in 2023. These amounts reflect our accounting expense for these RSUs, as further described in the footnotes to the table, and do not represent the actual economic value that was realized in 2023 or may be realized upon vesting by the non-employee director.</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Earned or</w:t>
            </w:r>
          </w:p>
        </w:tc>
        <w:tc>
          <w:tcPr>
            <w:tcW w:w="140" w:type="dxa"/>
            <w:vAlign w:val="bottom"/>
          </w:tcPr>
          <w:p>
            <w:pPr>
              <w:spacing w:after="0"/>
              <w:rPr>
                <w:sz w:val="12"/>
                <w:szCs w:val="12"/>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plan</w:t>
            </w: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60" w:type="dxa"/>
            <w:vAlign w:val="bottom"/>
            <w:gridSpan w:val="2"/>
            <w:vMerge w:val="continue"/>
          </w:tcPr>
          <w:p>
            <w:pPr>
              <w:spacing w:after="0"/>
              <w:rPr>
                <w:sz w:val="12"/>
                <w:szCs w:val="12"/>
                <w:color w:val="auto"/>
              </w:rPr>
            </w:pPr>
          </w:p>
        </w:tc>
        <w:tc>
          <w:tcPr>
            <w:tcW w:w="60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vMerge w:val="restart"/>
          </w:tcPr>
          <w:p>
            <w:pPr>
              <w:spacing w:after="0"/>
              <w:rPr>
                <w:sz w:val="12"/>
                <w:szCs w:val="12"/>
                <w:color w:val="auto"/>
              </w:rPr>
            </w:pPr>
          </w:p>
        </w:tc>
        <w:tc>
          <w:tcPr>
            <w:tcW w:w="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Cash</w:t>
            </w:r>
          </w:p>
        </w:tc>
        <w:tc>
          <w:tcPr>
            <w:tcW w:w="140" w:type="dxa"/>
            <w:vAlign w:val="bottom"/>
          </w:tcPr>
          <w:p>
            <w:pPr>
              <w:spacing w:after="0"/>
              <w:rPr>
                <w:sz w:val="12"/>
                <w:szCs w:val="12"/>
                <w:color w:val="auto"/>
              </w:rPr>
            </w:pPr>
          </w:p>
        </w:tc>
        <w:tc>
          <w:tcPr>
            <w:tcW w:w="74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60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9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9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68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vMerge w:val="continue"/>
          </w:tcPr>
          <w:p>
            <w:pPr>
              <w:spacing w:after="0"/>
              <w:rPr>
                <w:sz w:val="21"/>
                <w:szCs w:val="2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w w:val="88"/>
                <w:vertAlign w:val="subscript"/>
              </w:rPr>
              <w:t>($)</w:t>
            </w:r>
            <w:r>
              <w:rPr>
                <w:rFonts w:ascii="Times New Roman" w:cs="Times New Roman" w:eastAsia="Times New Roman" w:hAnsi="Times New Roman"/>
                <w:sz w:val="12"/>
                <w:szCs w:val="12"/>
                <w:b w:val="1"/>
                <w:bCs w:val="1"/>
                <w:color w:val="auto"/>
                <w:w w:val="88"/>
              </w:rPr>
              <w:t>(1)(2)</w:t>
            </w:r>
          </w:p>
        </w:tc>
        <w:tc>
          <w:tcPr>
            <w:tcW w:w="14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(4)</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11"/>
        </w:trPr>
        <w:tc>
          <w:tcPr>
            <w:tcW w:w="2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Tony Aquila</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600,364</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35,297</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700,661</w:t>
            </w:r>
          </w:p>
        </w:tc>
        <w:tc>
          <w:tcPr>
            <w:tcW w:w="0" w:type="dxa"/>
            <w:vAlign w:val="bottom"/>
          </w:tcPr>
          <w:p>
            <w:pPr>
              <w:spacing w:after="0"/>
              <w:rPr>
                <w:sz w:val="1"/>
                <w:szCs w:val="1"/>
                <w:color w:val="auto"/>
              </w:rPr>
            </w:pPr>
          </w:p>
        </w:tc>
      </w:tr>
      <w:tr>
        <w:trPr>
          <w:trHeight w:val="270"/>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Bay</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122,500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394,114</w:t>
            </w:r>
          </w:p>
        </w:tc>
        <w:tc>
          <w:tcPr>
            <w:tcW w:w="140" w:type="dxa"/>
            <w:vAlign w:val="bottom"/>
          </w:tcPr>
          <w:p>
            <w:pPr>
              <w:spacing w:after="0"/>
              <w:rPr>
                <w:sz w:val="23"/>
                <w:szCs w:val="23"/>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516,614</w:t>
            </w: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8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37,768</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30,905</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68,673</w:t>
            </w:r>
          </w:p>
        </w:tc>
        <w:tc>
          <w:tcPr>
            <w:tcW w:w="0" w:type="dxa"/>
            <w:vAlign w:val="bottom"/>
          </w:tcPr>
          <w:p>
            <w:pPr>
              <w:spacing w:after="0"/>
              <w:rPr>
                <w:sz w:val="1"/>
                <w:szCs w:val="1"/>
                <w:color w:val="auto"/>
              </w:rPr>
            </w:pPr>
          </w:p>
        </w:tc>
      </w:tr>
      <w:tr>
        <w:trPr>
          <w:trHeight w:val="270"/>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183,000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500,363</w:t>
            </w:r>
          </w:p>
        </w:tc>
        <w:tc>
          <w:tcPr>
            <w:tcW w:w="140" w:type="dxa"/>
            <w:vAlign w:val="bottom"/>
          </w:tcPr>
          <w:p>
            <w:pPr>
              <w:spacing w:after="0"/>
              <w:rPr>
                <w:sz w:val="23"/>
                <w:szCs w:val="23"/>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26,775</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710,138</w:t>
            </w: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120,000</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500,363</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27,073</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647,436</w:t>
            </w:r>
          </w:p>
        </w:tc>
        <w:tc>
          <w:tcPr>
            <w:tcW w:w="0" w:type="dxa"/>
            <w:vAlign w:val="bottom"/>
          </w:tcPr>
          <w:p>
            <w:pPr>
              <w:spacing w:after="0"/>
              <w:rPr>
                <w:sz w:val="1"/>
                <w:szCs w:val="1"/>
                <w:color w:val="auto"/>
              </w:rPr>
            </w:pPr>
          </w:p>
        </w:tc>
      </w:tr>
      <w:tr>
        <w:trPr>
          <w:trHeight w:val="270"/>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187,864</w:t>
            </w:r>
          </w:p>
        </w:tc>
        <w:tc>
          <w:tcPr>
            <w:tcW w:w="140" w:type="dxa"/>
            <w:vAlign w:val="bottom"/>
          </w:tcPr>
          <w:p>
            <w:pPr>
              <w:spacing w:after="0"/>
              <w:rPr>
                <w:sz w:val="23"/>
                <w:szCs w:val="23"/>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37,964</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323,328</w:t>
            </w: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8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Justin Hartfield</w:t>
            </w:r>
            <w:r>
              <w:rPr>
                <w:rFonts w:ascii="Times New Roman" w:cs="Times New Roman" w:eastAsia="Times New Roman" w:hAnsi="Times New Roman"/>
                <w:sz w:val="29"/>
                <w:szCs w:val="29"/>
                <w:color w:val="auto"/>
                <w:vertAlign w:val="superscript"/>
              </w:rPr>
              <w:t>(3)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33,684</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68,684</w:t>
            </w:r>
          </w:p>
        </w:tc>
        <w:tc>
          <w:tcPr>
            <w:tcW w:w="0" w:type="dxa"/>
            <w:vAlign w:val="bottom"/>
          </w:tcPr>
          <w:p>
            <w:pPr>
              <w:spacing w:after="0"/>
              <w:rPr>
                <w:sz w:val="1"/>
                <w:szCs w:val="1"/>
                <w:color w:val="auto"/>
              </w:rPr>
            </w:pPr>
          </w:p>
        </w:tc>
      </w:tr>
      <w:tr>
        <w:trPr>
          <w:trHeight w:val="420"/>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Fiona Tan</w:t>
            </w:r>
            <w:r>
              <w:rPr>
                <w:rFonts w:ascii="Times New Roman" w:cs="Times New Roman" w:eastAsia="Times New Roman" w:hAnsi="Times New Roman"/>
                <w:sz w:val="29"/>
                <w:szCs w:val="29"/>
                <w:color w:val="auto"/>
                <w:vertAlign w:val="superscript"/>
              </w:rPr>
              <w:t>(6)</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394,114</w:t>
            </w:r>
          </w:p>
        </w:tc>
        <w:tc>
          <w:tcPr>
            <w:tcW w:w="140" w:type="dxa"/>
            <w:vAlign w:val="bottom"/>
          </w:tcPr>
          <w:p>
            <w:pPr>
              <w:spacing w:after="0"/>
              <w:rPr>
                <w:sz w:val="24"/>
                <w:szCs w:val="24"/>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36,550</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552,664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5088890</wp:posOffset>
            </wp:positionH>
            <wp:positionV relativeFrom="paragraph">
              <wp:posOffset>-1723390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-1723390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-1723390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-1723390</wp:posOffset>
            </wp:positionV>
            <wp:extent cx="8572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-1723390</wp:posOffset>
            </wp:positionV>
            <wp:extent cx="857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-1723390</wp:posOffset>
            </wp:positionV>
            <wp:extent cx="8572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-1723390</wp:posOffset>
            </wp:positionV>
            <wp:extent cx="857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93345</wp:posOffset>
            </wp:positionV>
            <wp:extent cx="8229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72" w:lineRule="exact"/>
        <w:rPr>
          <w:sz w:val="20"/>
          <w:szCs w:val="20"/>
          <w:color w:val="auto"/>
        </w:rPr>
      </w:pPr>
    </w:p>
    <w:p>
      <w:pPr>
        <w:ind w:left="640" w:right="299" w:hanging="348"/>
        <w:spacing w:after="0" w:line="261" w:lineRule="auto"/>
        <w:tabs>
          <w:tab w:leader="none" w:pos="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shows, for each named individual, the aggregate shares under stock awards and the aggregate shares underlying option awards held by that individual as of December 31, 2023.</w:t>
      </w:r>
    </w:p>
    <w:p>
      <w:pPr>
        <w:jc w:val="both"/>
        <w:ind w:left="640" w:right="299" w:hanging="348"/>
        <w:spacing w:after="0" w:line="233" w:lineRule="auto"/>
        <w:tabs>
          <w:tab w:leader="none" w:pos="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grant date fair value of all service-vesting RSU awards in accordance with ASC 718, rather than amounts paid to or realized by the named individual. The grant date fair value of each RSU award was measured based on the closing price of our shares of our Class A Common Stock on the date of grant. The amounts reported do not correspond to the economic value received by each non-employee director from the equity award. For information regarding assumptions underlying the value of equity awards, see Note 14 to our audited consolidated financial statements included in this prospectus.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Hartfield resigned as a member of the Board and forfeited $187,864 of stock awards on August 9, 2023.</w:t>
      </w:r>
    </w:p>
    <w:p>
      <w:pPr>
        <w:spacing w:after="0" w:line="41" w:lineRule="exact"/>
        <w:rPr>
          <w:rFonts w:ascii="Times New Roman" w:cs="Times New Roman" w:eastAsia="Times New Roman" w:hAnsi="Times New Roman"/>
          <w:sz w:val="14"/>
          <w:szCs w:val="14"/>
          <w:color w:val="auto"/>
        </w:rPr>
      </w:pPr>
    </w:p>
    <w:p>
      <w:pPr>
        <w:ind w:left="640" w:right="319" w:hanging="348"/>
        <w:spacing w:after="0" w:line="250" w:lineRule="auto"/>
        <w:tabs>
          <w:tab w:leader="none" w:pos="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payments made to non-employee directors due to unanticipated tax obligations owed in connection with their 2022 service.</w:t>
      </w:r>
    </w:p>
    <w:p>
      <w:pPr>
        <w:spacing w:after="0" w:line="183"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a Non-Employee Director until he was named an executive officer on April 26, 2023.</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 2024, Fiona Tan notified the Company of her decision to resign as a member of the Board, the Nominating and Corporate Governance Committee of the Board, of which she was the Chairperson, effective September 30, 2024.</w:t>
      </w:r>
    </w:p>
    <w:p>
      <w:pPr>
        <w:spacing w:after="0" w:line="16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Stock</w:t>
            </w:r>
          </w:p>
        </w:tc>
        <w:tc>
          <w:tcPr>
            <w:tcW w:w="0" w:type="dxa"/>
            <w:vAlign w:val="bottom"/>
          </w:tcPr>
          <w:p>
            <w:pPr>
              <w:spacing w:after="0"/>
              <w:rPr>
                <w:sz w:val="1"/>
                <w:szCs w:val="1"/>
                <w:color w:val="auto"/>
              </w:rPr>
            </w:pPr>
          </w:p>
        </w:tc>
      </w:tr>
      <w:tr>
        <w:trPr>
          <w:trHeight w:val="148"/>
        </w:trPr>
        <w:tc>
          <w:tcPr>
            <w:tcW w:w="6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Outstanding as</w:t>
            </w:r>
          </w:p>
        </w:tc>
        <w:tc>
          <w:tcPr>
            <w:tcW w:w="0" w:type="dxa"/>
            <w:vAlign w:val="bottom"/>
          </w:tcPr>
          <w:p>
            <w:pPr>
              <w:spacing w:after="0"/>
              <w:rPr>
                <w:sz w:val="1"/>
                <w:szCs w:val="1"/>
                <w:color w:val="auto"/>
              </w:rPr>
            </w:pPr>
          </w:p>
        </w:tc>
      </w:tr>
      <w:tr>
        <w:trPr>
          <w:trHeight w:val="190"/>
        </w:trPr>
        <w:tc>
          <w:tcPr>
            <w:tcW w:w="6960" w:type="dxa"/>
            <w:vAlign w:val="bottom"/>
            <w:gridSpan w:val="2"/>
            <w:vMerge w:val="continue"/>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December 31, 2023</w:t>
            </w:r>
          </w:p>
        </w:tc>
        <w:tc>
          <w:tcPr>
            <w:tcW w:w="0" w:type="dxa"/>
            <w:vAlign w:val="bottom"/>
          </w:tcPr>
          <w:p>
            <w:pPr>
              <w:spacing w:after="0"/>
              <w:rPr>
                <w:sz w:val="1"/>
                <w:szCs w:val="1"/>
                <w:color w:val="auto"/>
              </w:rPr>
            </w:pPr>
          </w:p>
        </w:tc>
      </w:tr>
      <w:tr>
        <w:trPr>
          <w:trHeight w:val="50"/>
        </w:trPr>
        <w:tc>
          <w:tcPr>
            <w:tcW w:w="670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Tony Aquila</w:t>
            </w:r>
          </w:p>
        </w:tc>
        <w:tc>
          <w:tcPr>
            <w:tcW w:w="1460" w:type="dxa"/>
            <w:vAlign w:val="bottom"/>
            <w:tcBorders>
              <w:bottom w:val="single" w:sz="8" w:color="CCEEFF"/>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548,582</w:t>
            </w:r>
          </w:p>
        </w:tc>
        <w:tc>
          <w:tcPr>
            <w:tcW w:w="0" w:type="dxa"/>
            <w:vAlign w:val="bottom"/>
          </w:tcPr>
          <w:p>
            <w:pPr>
              <w:spacing w:after="0"/>
              <w:rPr>
                <w:sz w:val="1"/>
                <w:szCs w:val="1"/>
                <w:color w:val="auto"/>
              </w:rPr>
            </w:pP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Bay</w:t>
            </w:r>
          </w:p>
        </w:tc>
        <w:tc>
          <w:tcPr>
            <w:tcW w:w="14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432,743</w:t>
            </w:r>
          </w:p>
        </w:tc>
        <w:tc>
          <w:tcPr>
            <w:tcW w:w="0" w:type="dxa"/>
            <w:vAlign w:val="bottom"/>
          </w:tcPr>
          <w:p>
            <w:pPr>
              <w:spacing w:after="0"/>
              <w:rPr>
                <w:sz w:val="1"/>
                <w:szCs w:val="1"/>
                <w:color w:val="auto"/>
              </w:rPr>
            </w:pPr>
          </w:p>
        </w:tc>
      </w:tr>
      <w:tr>
        <w:trPr>
          <w:trHeight w:val="54"/>
        </w:trPr>
        <w:tc>
          <w:tcPr>
            <w:tcW w:w="6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696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(2)</w:t>
            </w:r>
          </w:p>
        </w:tc>
        <w:tc>
          <w:tcPr>
            <w:tcW w:w="146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10,094</w:t>
            </w:r>
          </w:p>
        </w:tc>
        <w:tc>
          <w:tcPr>
            <w:tcW w:w="0" w:type="dxa"/>
            <w:vAlign w:val="bottom"/>
          </w:tcPr>
          <w:p>
            <w:pPr>
              <w:spacing w:after="0"/>
              <w:rPr>
                <w:sz w:val="1"/>
                <w:szCs w:val="1"/>
                <w:color w:val="auto"/>
              </w:rPr>
            </w:pP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14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472,824</w:t>
            </w:r>
          </w:p>
        </w:tc>
        <w:tc>
          <w:tcPr>
            <w:tcW w:w="0" w:type="dxa"/>
            <w:vAlign w:val="bottom"/>
          </w:tcPr>
          <w:p>
            <w:pPr>
              <w:spacing w:after="0"/>
              <w:rPr>
                <w:sz w:val="1"/>
                <w:szCs w:val="1"/>
                <w:color w:val="auto"/>
              </w:rPr>
            </w:pPr>
          </w:p>
        </w:tc>
      </w:tr>
      <w:tr>
        <w:trPr>
          <w:trHeight w:val="54"/>
        </w:trPr>
        <w:tc>
          <w:tcPr>
            <w:tcW w:w="6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1460" w:type="dxa"/>
            <w:vAlign w:val="bottom"/>
            <w:tcBorders>
              <w:bottom w:val="single" w:sz="8" w:color="CCEEFF"/>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472,824</w:t>
            </w:r>
          </w:p>
        </w:tc>
        <w:tc>
          <w:tcPr>
            <w:tcW w:w="0" w:type="dxa"/>
            <w:vAlign w:val="bottom"/>
          </w:tcPr>
          <w:p>
            <w:pPr>
              <w:spacing w:after="0"/>
              <w:rPr>
                <w:sz w:val="1"/>
                <w:szCs w:val="1"/>
                <w:color w:val="auto"/>
              </w:rPr>
            </w:pP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14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236,082</w:t>
            </w:r>
          </w:p>
        </w:tc>
        <w:tc>
          <w:tcPr>
            <w:tcW w:w="0" w:type="dxa"/>
            <w:vAlign w:val="bottom"/>
          </w:tcPr>
          <w:p>
            <w:pPr>
              <w:spacing w:after="0"/>
              <w:rPr>
                <w:sz w:val="1"/>
                <w:szCs w:val="1"/>
                <w:color w:val="auto"/>
              </w:rPr>
            </w:pPr>
          </w:p>
        </w:tc>
      </w:tr>
      <w:tr>
        <w:trPr>
          <w:trHeight w:val="54"/>
        </w:trPr>
        <w:tc>
          <w:tcPr>
            <w:tcW w:w="6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696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Justin Hartfield</w:t>
            </w:r>
            <w:r>
              <w:rPr>
                <w:rFonts w:ascii="Times New Roman" w:cs="Times New Roman" w:eastAsia="Times New Roman" w:hAnsi="Times New Roman"/>
                <w:sz w:val="29"/>
                <w:szCs w:val="29"/>
                <w:color w:val="auto"/>
                <w:vertAlign w:val="superscript"/>
              </w:rPr>
              <w:t>(1)</w:t>
            </w:r>
          </w:p>
        </w:tc>
        <w:tc>
          <w:tcPr>
            <w:tcW w:w="146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2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Fiona Tan</w:t>
            </w:r>
            <w:r>
              <w:rPr>
                <w:rFonts w:ascii="Times New Roman" w:cs="Times New Roman" w:eastAsia="Times New Roman" w:hAnsi="Times New Roman"/>
                <w:sz w:val="29"/>
                <w:szCs w:val="29"/>
                <w:color w:val="auto"/>
                <w:vertAlign w:val="superscript"/>
              </w:rPr>
              <w:t>(3)</w:t>
            </w:r>
          </w:p>
        </w:tc>
        <w:tc>
          <w:tcPr>
            <w:tcW w:w="14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392,332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-1723390</wp:posOffset>
            </wp:positionV>
            <wp:extent cx="16319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93345</wp:posOffset>
            </wp:positionV>
            <wp:extent cx="8229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72" w:lineRule="exact"/>
        <w:rPr>
          <w:sz w:val="20"/>
          <w:szCs w:val="20"/>
          <w:color w:val="auto"/>
        </w:rPr>
      </w:pPr>
    </w:p>
    <w:p>
      <w:pPr>
        <w:ind w:left="640" w:hanging="348"/>
        <w:spacing w:after="0"/>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Hartfield resigned as a member of the Board on August 9, 2023.</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a Non-Employee Director until he was named an executive officer on April 26, 2023.</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 2024, Fiona Tan notified the Company of her decision to resign as a member of the Board, the Nominating and Corporate Governance Committee of the Board, of which she was the Chairperson, effective September 30, 2024.</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3" w:name="page114"/>
    <w:bookmarkEnd w:id="1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following is a summary of transactions since January 1, 2023, to which we have been a party in which the amount involved exceeded $120,000 and in which any of our executive officers, directors, managers, promoters, beneficial holders of more than 5% of our membership interests, or any associates or affiliates thereof had or will have a direct or indirect material interest, other than compensation arrangements which are described in the section entitled “Executive Compensation.”</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Amended Operating Company Agreement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Concurrently with the Closing, the WMH LLC operating agreement was further amended and restated in its entirety to become the Fourth Amended and Restated Operating Agreement (the “Amended Operating Agreement”). Messrs. Camire, Grazier, Francis and Hartfield and Ghost Media Group, LLC all own Paired Interests and Class P Units as described in the section entitled “Security Ownership of Certain Beneficial Owners and Management.”</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Rights of the Units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Pursuant to the Amended Operating Agreement, the Units are entitled to share in the profits and losses of WMH LLC and to receive distributions as and if declared by the managing member of WMH LLC and have no voting rights. The Amended Operating Agreement generally establishes the rights and vesting conditions of the LTIP Units and the Class P Units, which are treated as profits interests in WMH LLC, and may be offered to directors, employees, officers, consultants or other service providers. LTIP Units and Class P Units have all the rights, privileges, preferences, and obligations as are specifically provided for in the Amended Operating Agreement, and as may otherwise be generally applicable to all classes of Units, however, LTIP Units and Class P Units are not entitled to vote on any matter subject to a vote of the members, except as otherwise required by law.</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as the managing member of WMH LLC, have the sole vote on all matters that require a vote of members under the Amended Operating Agreement or applicable law. The business, property and affairs of WMH LLC are managed solely by the managing member, and the managing member cannot be removed or replaced except by the incumbent managing member.</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as managing member of WMH LLC may, in our sole discretion, authorize distributions to the WMH LLC members (to the extent of available cash, as defined in the amended operating agreement). Subject to provisions in the Amended Operating Agreement governing tax distributions and the treatment of Class P Units and LTIP Units (as defined in the Amended Operating Agreement), all such distributions will be made pro rata in accordance each member’s number of Class P Units.</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holders of Class P Units will generally incur U.S. federal, state and local income taxes on their proportionate share of any net taxable income of WMH LLC. Net profits and net losses of WMH LLC will generally be allocated to its members pro rata in accordance with the percentages of their respective ownership of Units. The Amended Operating Agreement provides for pro rata cash distributions to the holders of Units for purposes of funding their tax obligations in respect of the taxable income of WMH LLC that is allocated to them. Generally, these tax distributions will be computed based on WMH LLC’s estimate of the net taxable income of WMH LLC allocable to each holder of Units multiplied by an assumed tax rate equal to the highest effective marginal combined U.S. federal, state and local income tax rate prescribed for an individual or corporate resident of California or New York, New York (taking into account the non-deductibility of certain expenses, the character of our income, and the deductibility of state and local income taxes, to the extent applicable, but not taking into account any deduction under Section 199A of the Code). As a result of (i) potential differences in the amount of net taxable income allocable to us and the other Unit holders, (ii) the lower tax rate applicable to corporations than individuals and (iii) the use of an assumed tax rate in calculating WMH LLC’s distribution obligations, we may receive tax distributions significantly in excess of its tax liabilities and obligations to make payments under the Tax Receivable Agreement.</w:t>
      </w:r>
    </w:p>
    <w:p>
      <w:pPr>
        <w:spacing w:after="0" w:line="8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Upon the liquidation or winding up of WMH LLC, subject to the treatment of Class P Units and LTIP Units (as defined in the Amended Operating Agreement) and tax distributions, all net proceeds thereof will be distributed in accordance with each member’s number of Units.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4" w:name="page115"/>
    <w:bookmarkEnd w:id="1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Restrictions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Amended Operating Agreement contains restrictions on transfers of units and requires the prior consent of the managing member for such transfers, except in specified cases, including (i) certain transfers to permitted transferees under certain conditions and (ii) exchanges of Units for shares of Class A Common Stock or cash pursuant to the exchange agreement.</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Concurrently with the Closing, we, WMH LLC and the Unit holders, including Messrs. Camire, Grazier, Francis, Hartfield and Ghost Media Group, LLC, as described in the section entitled “Security Ownership of Certain Beneficial Owners and Management,” entered into an exchange agreement (the “Exchange Agreement”). The terms of the Exchange Agreement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and to exchange their vested Class P Units for shares of Class A Common Stock with a value equal to the value of such Class P Units less their participation threshold, or, in each case, at the Company’s election, the cash equivalent of such shares of Class A Common Stock. By default, each exchange will take the form of a redemption by us of the WMH Units in exchange for Class A Common Stock or cash, as applicable, unless we elect to effect such exchange directly with the applicable Unit holder. The shares of Class V Common Stock surrendered in any exchange will be immediately cancelled.</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Exchange Agreement provides that, as a general matter, a Unit holder does not have the right to exchange Units if we determine that such exchange would be prohibited by law or regulation or would violate other agreements with us and our subsidiaries to which the Unit holder may be subject, including the Amended Operating Agreement and the Exchange Agreement. Additionally, the Exchange Agreement contains restrictions on redemptions and exchanges intended to prevent WMH LLC from being treated as a “publicly traded partnership” for U.S. federal income tax purposes. These restrictions are modeled on certain safe harbors provided for under applicable U.S. federal income tax law. We may impose additional restrictions on exchanges that it determines to be necessary or advisable so that WMH LLC is not treated as a “publicly traded partnership” for U.S. federal income tax purposes.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Concurrently with the Closing, we, the Holder Representative and the Class A Unit holders, including Mr. Francis, Mr. Hartfield and Ghost Media Group, LLC, as described in the section entitled “Security Ownership of Certain Beneficial Owners and Management,” entered into the tax receivable agreement, (the “Tax Receivable Agreement”), pursuant to which we are required to pay to holders of Class A Units, in the aggregate, 85% of the amount of cash savings, if any, in U.S. federal, state and local income tax or franchise tax that we actually realize as a result of</w:t>
      </w:r>
    </w:p>
    <w:p>
      <w:pPr>
        <w:spacing w:after="0" w:line="3" w:lineRule="exact"/>
        <w:rPr>
          <w:sz w:val="20"/>
          <w:szCs w:val="20"/>
          <w:color w:val="auto"/>
        </w:rPr>
      </w:pPr>
    </w:p>
    <w:p>
      <w:pPr>
        <w:jc w:val="both"/>
        <w:ind w:left="300" w:right="299" w:hanging="8"/>
        <w:spacing w:after="0" w:line="253" w:lineRule="auto"/>
        <w:tabs>
          <w:tab w:leader="none" w:pos="52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to the tax basis of WMH LLC’s assets resulting from our acquisition of common units for cash in the Business Combination and taxable redemptions or exchanges of Class A Units for shares of Class A Common Stock or cash pursuant to the Exchange Agreement, (ii) tax benefits related to imputed interest or (iii) tax attributes resulting from payments made under Tax Receivable Agreement. The payment obligations under Tax Receivable Agreement are our obligations and not obligations of WMH LLC.</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payments we will be required to make under the Tax Receivable Agreement may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the Closing Date. Under this scenario, we would be required to pay to the Class A Unit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WMH LLC.</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we determine, and the IRS or another tax authority may challenge all or a part of the existing tax basis, tax basis increases, or other tax</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5" w:name="page116"/>
    <w:bookmarkEnd w:id="1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(A) our obligations under the Tax Receivable Agreement with respect to Class A Units that have been exchanged or redeemed prior to or in connection with such change of control transaction would accelerate and become payable in a lump sum as described above and (B) with respect to Class A Units that have not been exchanged as of such change of control transaction, our or our successor’s obligations under the Tax Receivable Agreement would be based on certain assumptions, including that our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its liquidity. The change of control provisions in the Tax Receivable Agreement may also result in situations where the Class A Unit holders have interests that differ from or are in addition to those of the Class A stockholders.</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our own, our ability to make payments under the Tax Receivable Agreement depends on our ability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Amended and Restated Registration Rights Agreement</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Concurrently with the Closing, Silver Spike Sponsor, LLC (“Silver Spike Sponsor”) and certain Unit holders, including Messrs. Camire, Grazier, Francis, Silver Spike Sponsor, LLC and Ghost Media Group, LLC, as described in the section entitled “Security Ownership of Certain Beneficial Owners and Management,” entered into the Amended and Restated Registration Rights Agreement, dated June 16, 2021, among us and certain of our stockholders (the “Amended and Restated Registration Rights Agreement”). As a result, Silver Spike Sponsor, LLC and such certain Unit holders are able to make a written demand for registration under the Securities Act of all or a portion of their registrable securities, subject to a maximum of three such demand registrations for Silver Spike Sponsor, LLC and three such demand registrations for such certain Unit holders thereto, in each case so long as such demand includes a number of registrable securities with a total offering price in excess of $10.0 million. Any such demand may be in the form of an underwritten offering, it being understood that we will not be able to conduct more than two underwritten offerings where the expected aggregate proceeds are less than $25.0 million but in excess of $10.0 million in any 12-month period. In addition, the holders of registrable securities will have “piggy-back” registration rights to include their securities in other registration statements filed by us. We have filed a resale shelf registration statement covering the resale of all registrable securities within 45 days of the Closing.</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Silver Spike Related Transactions and Agreements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Silver Spike’s Initial Public Offering (“IPO”), Silver Spike Sponsor granted sponsor LLC equity interests to Silver Spike’s independent directors that collectively comprised approximately 1% of the outstanding equity interests in Silver Spike Sponsor.</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Silver Spike Sponsor purchased an aggregate of 7,000,000 Private Placement Warrants for a purchase price of $1.00 per warrant in a private placement simultaneously with the closing of Silver Spike’s IPO. Each Private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6" w:name="page117"/>
    <w:bookmarkEnd w:id="1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Placement Warrant may be exercised for one share of Class A Common Stock at a price of $11.50 per share, subject to adjustment as provided herein. The Private Placement Warrants (including the Class A Common Stock issuable upon exercise of the Private Placement Warrants) may not, subject to certain limited exceptions, be transferred, assigned or sold by it until 30 days after the completion of the Business Combination.</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we paid $1.1 million in certain transaction costs reimbursable by Silver Spike Sponsor, an affiliate to a member of the Board. On March 16, 2023, Silver Spike Holdings, an affiliate of Silver Spike Sponsor, entered into a promissory note with us and agreed to pay the principal amount in 12 equal quarterly installments commencing on March 31, 2023. The promissory note will bear interest at a rate of 5% per annum commencing on March 31, 2023. In an event of default, the outstanding principal amount shall bear interest for the entire period during which the principal balance is unpaid at a rate which is equal to 10% per annum. As of December 31, 2023, the remaining balance of the promissory note receivable was $0.7 million. We received a total of $383,724 in 2023 for principal and interest related to the promissory note receivable.</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fourth quarter of 2023, we reimbursed $0.4 million to Silver Spike Holdings, an affiliate to a member of the board of directors in connection with responding to a subpoena received from the SEC’s Division of Enforcement in connection the SEC investigation described in the section entitled “Business—Legal Proceedings.”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Legacy WMH Transactions and Agreements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Other Enterprises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Shield Management Group, LLC is a business in which currently Mr. Francis indirectly owns a majority interest, and Mr. Hartfield indirectly owns a minority interest. In 2023, Shield Management Group, LLC used our listing products and participated in other brand promotion opportunities. Shield Management Group, LLC paid us a total of $427,797 in 2023 for such products and services. Glasir Group, LLC is a business owned by Mr. Francis and his spouse. During the second quarter of 2022, we entered into a sublease agreement with Glasir Group, LLC of our offices located at 43 Discovery, Irvine, California 92618.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$69,000. Glasir Group, LLC paid us a total of $169,095 in 2023 for rent under the sublease.</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and other agreements with certain of our executive officers. For a description of agreements with our Named Executive Officers, see the sections entitled “Executive Compensation - Executive Employment Arrangements” and “-Outstanding Equity Awards at December 31, 2023.”</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have granted equity awards to certain of our executive officers. For a description of equity awards granted to our Named Executive Officers, see the section entitled “Executive Compensation.”</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entered into indemnification agreements with substantially all of our directors and executive officers, other than our Interim Chief Financial Officer, Susan Echard, who is not an employee.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Board has adopted a written Related Person Transactions Policy that sets forth our policies and procedures regarding the identification, review, consideration and oversight of related-person transactions. For purposes of our policy, a related-person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consultant or director will not be considered related-person transactions under this policy.</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7" w:name="page118"/>
    <w:bookmarkEnd w:id="1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Each director and executive officer shall identify, and we shall request each significant stockholder to identify, any related-person transaction involving such director, executive officer or significant stockholder or his, her or its immediate family members and inform our Audit Committee pursuant to this policy before such related person may engage in the transaction.</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considering related-person transactions, our Audit Committee takes into account the relevant available facts and circumstances, which may include, but are not limited to:</w:t>
      </w:r>
    </w:p>
    <w:p>
      <w:pPr>
        <w:spacing w:after="0" w:line="54" w:lineRule="exact"/>
        <w:rPr>
          <w:sz w:val="20"/>
          <w:szCs w:val="20"/>
          <w:color w:val="auto"/>
        </w:rPr>
      </w:pPr>
    </w:p>
    <w:p>
      <w:pPr>
        <w:ind w:left="1000" w:hanging="348"/>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cost and benefits to us: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Audit Committee shall approve only those related-party transactions that, in light of known circumstances, are in, or are not inconsistent with, our best interests and our stockholders, as our Audit Committee determines in the good faith exercise of its discretion.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8" w:name="page119"/>
    <w:bookmarkEnd w:id="1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our Common Stock as of November 29, 2024, by</w:t>
      </w:r>
    </w:p>
    <w:p>
      <w:pPr>
        <w:spacing w:after="0" w:line="54" w:lineRule="exact"/>
        <w:rPr>
          <w:sz w:val="20"/>
          <w:szCs w:val="20"/>
          <w:color w:val="auto"/>
        </w:rPr>
      </w:pPr>
    </w:p>
    <w:p>
      <w:pPr>
        <w:ind w:left="1000" w:right="319" w:hanging="348"/>
        <w:spacing w:after="0" w:line="282"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by us to be the beneficial owner of more than 5% of the outstanding shares of our Class A Common Stock and Class V Common Stock;</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Named Executive Officers and directors;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provides that a person has beneficial ownership of a security if he, she or it possesses sole or shared voting or investment power over that security, including options and warrants that are currently exercisable or exercisable within 60 days.</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beneficial ownership percentages set forth in the table below are based on 153,216,538 shares of our Class A Common Stock and Class V Common Stock issued and outstanding as of November 29, 2024 and do not take into account the issuance of any shares of Class A Common Stock upon (i) the exercise of 19,499,973 Warrants to purchase an aggregate of 19,499,973 shares of Class A Common Stock or (ii) the exchange of 14,678,732 Class P Units for up to 14,678,732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Unless otherwise noted in the footnotes to the following table, and subject to applicable community property laws, the persons and entities named in the table have sole voting and investment power with respect to their beneficially owned shares of our Common Stock.</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Class V</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 %</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of Class A</w:t>
            </w: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of Class V</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0" w:type="dxa"/>
            <w:vAlign w:val="bottom"/>
          </w:tcPr>
          <w:p>
            <w:pPr>
              <w:spacing w:after="0"/>
              <w:rPr>
                <w:sz w:val="1"/>
                <w:szCs w:val="1"/>
                <w:color w:val="auto"/>
              </w:rPr>
            </w:pPr>
          </w:p>
        </w:tc>
      </w:tr>
      <w:tr>
        <w:trPr>
          <w:trHeight w:val="146"/>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23"/>
                <w:szCs w:val="23"/>
                <w:b w:val="1"/>
                <w:bCs w:val="1"/>
                <w:color w:val="auto"/>
                <w:vertAlign w:val="superscript"/>
              </w:rPr>
              <w:t>(1)</w:t>
            </w:r>
          </w:p>
        </w:tc>
        <w:tc>
          <w:tcPr>
            <w:tcW w:w="120" w:type="dxa"/>
            <w:vAlign w:val="bottom"/>
            <w:vMerge w:val="restart"/>
          </w:tcPr>
          <w:p>
            <w:pPr>
              <w:spacing w:after="0"/>
              <w:rPr>
                <w:sz w:val="12"/>
                <w:szCs w:val="12"/>
                <w:color w:val="auto"/>
              </w:rPr>
            </w:pPr>
          </w:p>
        </w:tc>
        <w:tc>
          <w:tcPr>
            <w:tcW w:w="92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9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243"/>
        </w:trPr>
        <w:tc>
          <w:tcPr>
            <w:tcW w:w="37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5"/>
              </w:rPr>
              <w:t>Owned</w:t>
            </w:r>
            <w:r>
              <w:rPr>
                <w:rFonts w:ascii="Times New Roman" w:cs="Times New Roman" w:eastAsia="Times New Roman" w:hAnsi="Times New Roman"/>
                <w:sz w:val="23"/>
                <w:szCs w:val="23"/>
                <w:b w:val="1"/>
                <w:bCs w:val="1"/>
                <w:color w:val="auto"/>
                <w:w w:val="95"/>
                <w:vertAlign w:val="superscript"/>
              </w:rPr>
              <w:t>(2)</w:t>
            </w:r>
          </w:p>
        </w:tc>
        <w:tc>
          <w:tcPr>
            <w:tcW w:w="1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2"/>
              </w:rPr>
              <w:t>Power</w:t>
            </w:r>
            <w:r>
              <w:rPr>
                <w:rFonts w:ascii="Times New Roman" w:cs="Times New Roman" w:eastAsia="Times New Roman" w:hAnsi="Times New Roman"/>
                <w:sz w:val="23"/>
                <w:szCs w:val="23"/>
                <w:b w:val="1"/>
                <w:bCs w:val="1"/>
                <w:color w:val="auto"/>
                <w:w w:val="92"/>
                <w:vertAlign w:val="superscript"/>
              </w:rPr>
              <w:t>(3)</w:t>
            </w:r>
          </w:p>
        </w:tc>
        <w:tc>
          <w:tcPr>
            <w:tcW w:w="0" w:type="dxa"/>
            <w:vAlign w:val="bottom"/>
          </w:tcPr>
          <w:p>
            <w:pPr>
              <w:spacing w:after="0"/>
              <w:rPr>
                <w:sz w:val="1"/>
                <w:szCs w:val="1"/>
                <w:color w:val="auto"/>
              </w:rPr>
            </w:pPr>
          </w:p>
        </w:tc>
      </w:tr>
      <w:tr>
        <w:trPr>
          <w:trHeight w:val="311"/>
        </w:trPr>
        <w:tc>
          <w:tcPr>
            <w:tcW w:w="3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8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8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Tony Aquila</w:t>
            </w:r>
            <w:r>
              <w:rPr>
                <w:rFonts w:ascii="Times New Roman" w:cs="Times New Roman" w:eastAsia="Times New Roman" w:hAnsi="Times New Roman"/>
                <w:sz w:val="29"/>
                <w:szCs w:val="29"/>
                <w:color w:val="auto"/>
                <w:vertAlign w:val="superscript"/>
              </w:rPr>
              <w:t>(4)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5,297,761</w:t>
            </w:r>
          </w:p>
        </w:tc>
        <w:tc>
          <w:tcPr>
            <w:tcW w:w="12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24"/>
        </w:trPr>
        <w:tc>
          <w:tcPr>
            <w:tcW w:w="388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4,792,347</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w:t>
            </w:r>
          </w:p>
        </w:tc>
        <w:tc>
          <w:tcPr>
            <w:tcW w:w="9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22,970,182</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258,221</w:t>
            </w:r>
          </w:p>
        </w:tc>
        <w:tc>
          <w:tcPr>
            <w:tcW w:w="120" w:type="dxa"/>
            <w:vAlign w:val="bottom"/>
          </w:tcPr>
          <w:p>
            <w:pPr>
              <w:spacing w:after="0"/>
              <w:rPr>
                <w:sz w:val="23"/>
                <w:szCs w:val="23"/>
                <w:color w:val="auto"/>
              </w:rPr>
            </w:pPr>
          </w:p>
        </w:tc>
        <w:tc>
          <w:tcPr>
            <w:tcW w:w="8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182,691</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182,693</w:t>
            </w:r>
          </w:p>
        </w:tc>
        <w:tc>
          <w:tcPr>
            <w:tcW w:w="120" w:type="dxa"/>
            <w:vAlign w:val="bottom"/>
          </w:tcPr>
          <w:p>
            <w:pPr>
              <w:spacing w:after="0"/>
              <w:rPr>
                <w:sz w:val="23"/>
                <w:szCs w:val="23"/>
                <w:color w:val="auto"/>
              </w:rPr>
            </w:pPr>
          </w:p>
        </w:tc>
        <w:tc>
          <w:tcPr>
            <w:tcW w:w="8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Bay</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223,528</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Glen Ibbott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246,800</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Echard</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of the</w:t>
            </w: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3880" w:type="dxa"/>
            <w:vAlign w:val="bottom"/>
            <w:gridSpan w:val="2"/>
            <w:shd w:val="clear" w:color="auto" w:fill="CCEEFF"/>
          </w:tcPr>
          <w:p>
            <w:pPr>
              <w:ind w:left="180"/>
              <w:spacing w:after="0" w:line="302" w:lineRule="exact"/>
              <w:rPr>
                <w:sz w:val="20"/>
                <w:szCs w:val="20"/>
                <w:color w:val="auto"/>
              </w:rPr>
            </w:pPr>
            <w:r>
              <w:rPr>
                <w:rFonts w:ascii="Times New Roman" w:cs="Times New Roman" w:eastAsia="Times New Roman" w:hAnsi="Times New Roman"/>
                <w:sz w:val="18"/>
                <w:szCs w:val="18"/>
                <w:b w:val="1"/>
                <w:bCs w:val="1"/>
                <w:color w:val="auto"/>
              </w:rPr>
              <w:t>Company as a Group (9 Individuals)</w:t>
            </w:r>
            <w:r>
              <w:rPr>
                <w:rFonts w:ascii="Times New Roman" w:cs="Times New Roman" w:eastAsia="Times New Roman" w:hAnsi="Times New Roman"/>
                <w:sz w:val="29"/>
                <w:szCs w:val="29"/>
                <w:b w:val="1"/>
                <w:bCs w:val="1"/>
                <w:color w:val="auto"/>
                <w:vertAlign w:val="superscript"/>
              </w:rPr>
              <w:t>(6)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11,184,041</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11.4%</w:t>
            </w:r>
          </w:p>
        </w:tc>
        <w:tc>
          <w:tcPr>
            <w:tcW w:w="9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22,970,182</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Five Percent Holders:</w:t>
            </w: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388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Ghost Media Group, LLC</w:t>
            </w:r>
            <w:r>
              <w:rPr>
                <w:rFonts w:ascii="Times New Roman" w:cs="Times New Roman" w:eastAsia="Times New Roman" w:hAnsi="Times New Roman"/>
                <w:sz w:val="29"/>
                <w:szCs w:val="29"/>
                <w:color w:val="auto"/>
                <w:vertAlign w:val="superscript"/>
              </w:rPr>
              <w:t>(5)(7)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8,469,191</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324"/>
        </w:trPr>
        <w:tc>
          <w:tcPr>
            <w:tcW w:w="388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Morgan Stanley</w:t>
            </w:r>
            <w:r>
              <w:rPr>
                <w:rFonts w:ascii="Times New Roman" w:cs="Times New Roman" w:eastAsia="Times New Roman" w:hAnsi="Times New Roman"/>
                <w:sz w:val="29"/>
                <w:szCs w:val="29"/>
                <w:color w:val="auto"/>
                <w:vertAlign w:val="superscript"/>
              </w:rPr>
              <w:t>(8)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6,016,658</w:t>
            </w:r>
          </w:p>
        </w:tc>
        <w:tc>
          <w:tcPr>
            <w:tcW w:w="12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324"/>
        </w:trPr>
        <w:tc>
          <w:tcPr>
            <w:tcW w:w="388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29"/>
                <w:szCs w:val="29"/>
                <w:color w:val="auto"/>
                <w:vertAlign w:val="superscript"/>
              </w:rPr>
              <w:t>(9)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5,066,855</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24"/>
        </w:trPr>
        <w:tc>
          <w:tcPr>
            <w:tcW w:w="388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9"/>
                <w:szCs w:val="29"/>
                <w:color w:val="auto"/>
                <w:vertAlign w:val="superscript"/>
              </w:rPr>
              <w:t>(10)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5,134,088</w:t>
            </w:r>
          </w:p>
        </w:tc>
        <w:tc>
          <w:tcPr>
            <w:tcW w:w="12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24"/>
        </w:trPr>
        <w:tc>
          <w:tcPr>
            <w:tcW w:w="388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Christopher Beals</w:t>
            </w:r>
            <w:r>
              <w:rPr>
                <w:rFonts w:ascii="Times New Roman" w:cs="Times New Roman" w:eastAsia="Times New Roman" w:hAnsi="Times New Roman"/>
                <w:sz w:val="29"/>
                <w:szCs w:val="29"/>
                <w:color w:val="auto"/>
                <w:vertAlign w:val="superscript"/>
              </w:rPr>
              <w:t>(11)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428,773</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6,166,819</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20"/>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Justin Hartfield</w:t>
            </w:r>
            <w:r>
              <w:rPr>
                <w:rFonts w:ascii="Times New Roman" w:cs="Times New Roman" w:eastAsia="Times New Roman" w:hAnsi="Times New Roman"/>
                <w:sz w:val="29"/>
                <w:szCs w:val="29"/>
                <w:color w:val="auto"/>
                <w:vertAlign w:val="superscript"/>
              </w:rPr>
              <w:t>(7)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61,679</w:t>
            </w:r>
          </w:p>
        </w:tc>
        <w:tc>
          <w:tcPr>
            <w:tcW w:w="120" w:type="dxa"/>
            <w:vAlign w:val="bottom"/>
          </w:tcPr>
          <w:p>
            <w:pPr>
              <w:spacing w:after="0"/>
              <w:rPr>
                <w:sz w:val="24"/>
                <w:szCs w:val="24"/>
                <w:color w:val="auto"/>
              </w:rPr>
            </w:pPr>
          </w:p>
        </w:tc>
        <w:tc>
          <w:tcPr>
            <w:tcW w:w="8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29,318,217</w:t>
            </w:r>
          </w:p>
        </w:tc>
        <w:tc>
          <w:tcPr>
            <w:tcW w:w="100" w:type="dxa"/>
            <w:vAlign w:val="bottom"/>
          </w:tcPr>
          <w:p>
            <w:pPr>
              <w:spacing w:after="0"/>
              <w:rPr>
                <w:sz w:val="24"/>
                <w:szCs w:val="24"/>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24"/>
                <w:szCs w:val="24"/>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-3917950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-3917950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-3917950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-3917950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-3917950</wp:posOffset>
            </wp:positionV>
            <wp:extent cx="774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93345</wp:posOffset>
            </wp:positionV>
            <wp:extent cx="82296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72" w:lineRule="exact"/>
        <w:rPr>
          <w:sz w:val="20"/>
          <w:szCs w:val="20"/>
          <w:color w:val="auto"/>
        </w:rPr>
      </w:pPr>
    </w:p>
    <w:p>
      <w:pPr>
        <w:ind w:left="640" w:hanging="348"/>
        <w:spacing w:after="0"/>
        <w:tabs>
          <w:tab w:leader="none" w:pos="6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42" w:lineRule="exact"/>
        <w:rPr>
          <w:sz w:val="20"/>
          <w:szCs w:val="20"/>
          <w:color w:val="auto"/>
        </w:rPr>
      </w:pPr>
    </w:p>
    <w:p>
      <w:pPr>
        <w:ind w:left="640" w:hanging="348"/>
        <w:spacing w:after="0"/>
        <w:tabs>
          <w:tab w:leader="none" w:pos="6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noted, the business address of each of the following entities or individuals is 41 Discovery, Irvine, California 92618.</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9" w:name="page120"/>
    <w:bookmarkEnd w:id="1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40" w:right="299" w:hanging="348"/>
        <w:spacing w:after="0" w:line="236" w:lineRule="auto"/>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Class A Common Stock and Class V Common Stock are entitled to one vote for each share of Class A Common Stock or Class V Common Stock, as the case may be, held by them. Each share of Class V Common Stock, together with a corresponding limited liability company interest in WMH LLC (as defined below) (together, a “Paired Interest”) is exchangeable for shares of Class A Common Stock on a one-for-one basis from time to time, unless we determine to pay cash consideration for such Paired Interests.</w:t>
      </w:r>
    </w:p>
    <w:p>
      <w:pPr>
        <w:spacing w:after="0" w:line="14" w:lineRule="exact"/>
        <w:rPr>
          <w:rFonts w:ascii="Times New Roman" w:cs="Times New Roman" w:eastAsia="Times New Roman" w:hAnsi="Times New Roman"/>
          <w:sz w:val="14"/>
          <w:szCs w:val="14"/>
          <w:color w:val="auto"/>
        </w:rPr>
      </w:pPr>
    </w:p>
    <w:p>
      <w:pPr>
        <w:ind w:left="640" w:right="299" w:hanging="348"/>
        <w:spacing w:after="0" w:line="250" w:lineRule="auto"/>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percentage of voting power of the holders of Class A Common Stock and Class V Common Stock voting together as a single class.</w:t>
      </w:r>
    </w:p>
    <w:p>
      <w:pPr>
        <w:spacing w:after="0" w:line="183"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3,750,000 shares in the aggregate of shares of Class A Common Stock held by AFV Partners SPV-5 (WM) LLC (“AFV 5”), AFV Partners SPV-6 (WM) LLC (“AFV 6”) and three family trusts (the “Trusts”) upon the completion of the business combination pursuant to the PIPE subscription financing. Mr. Aquila is the Chairman and CEO of AFV Management Advisors LLC, which exercises ultimate voting and investment power with respect to the shares held by AFV 5and AFV 6 and a co-trustee of each of the Trusts and as such may be deemed to hold voting and dispositive power with respect to the shares held in the aggregate by such Trusts. It includes 1.547.761 shares of Class A Common Stock that Mr. Aquila personally holds. The business address of the reporting person is 2126 Hamilton Road Suite 260, Argyle, TX 76226.</w:t>
      </w:r>
    </w:p>
    <w:p>
      <w:pPr>
        <w:spacing w:after="0" w:line="127"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Class V Common Stock beneficially owned includes 12,431,818 shares of Class V Common Stock held by Mr. Francis, 8,469,191 shares of Class V Common Stock held by Ghost Media Group, LLC, 600,618 shares of Class V Common Stock held by Genco Incentives, LLC and 1,468,555 shares of Class V Common Stock held by WM Founders Legacy I, LLC. Ghost Media Group, LLC is controlled by Messrs. Francis and Hartfield and WM Founders Legacy I, LLC and Genco Incentives, LLC are controlled by Mr. Francis. Accordingly, Mr. Francis may be deemed to be a beneficial owner of the Class A Units held by Ghost Media Group, LLC, Genco Incentives, LLC and WM Founders Legacy I, LLC.</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Common shares consist of 11,184,041 shares held of record by our current executive officers and directors.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19,278,067 shares of Class V Common Stock held by Mr. Hartfield, 8,469,191 shares of Class V Common Stock held by Ghost Media Group, LLC and 1,570,959 shares of Class V Common Stock held by WM Founders Legacy II, LLC. Ghost Media Group, LLC is controlled by Messrs. Hartfield and Francis and WM Founders Legacy II, LLC is controlled by Mr. Hartfield. Accordingly, Mr. Hartfield may be deemed to be a beneficial owner of the shares held by Ghost Media Group, LLC and WM Founders Legacy II, LLC.</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13G filed by Morgan Stanley on February 9, 2024, includes 6,016,658 shares of Class A Common stock. The business address of the reporting person is 1585 Broadway, New York, NY 10036.</w:t>
      </w:r>
    </w:p>
    <w:p>
      <w:pPr>
        <w:ind w:left="640" w:right="319" w:hanging="348"/>
        <w:spacing w:after="0" w:line="261" w:lineRule="auto"/>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13G/A filed by The Vanguard Group on November 12, 2024, includes 5,066,855 shares of Class A Common stock. The business address of the reporting person is 100 Vanguard Blvd, Malvern, PA 19355.</w:t>
      </w:r>
    </w:p>
    <w:p>
      <w:pPr>
        <w:ind w:left="640" w:right="299" w:hanging="348"/>
        <w:spacing w:after="0" w:line="261" w:lineRule="auto"/>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13G filed by BlackRock, Inc. on November 8, 2024, includes 5,134,088 shares of Class A Common stock. The business address of the reporting person is 50 Hudson Yards, New York, NY 10001.</w:t>
      </w:r>
    </w:p>
    <w:p>
      <w:pPr>
        <w:ind w:left="640" w:right="299" w:hanging="348"/>
        <w:spacing w:after="0" w:line="261" w:lineRule="auto"/>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information for the Company’s former executive officer, Mr. Beals is as of November 7, 2022, which is the date on which he ceased to be an employee of the Company and is the most recent date for which information is available.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0" w:name="page121"/>
    <w:bookmarkEnd w:id="1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Selling Securityholders acquired 1,938,798 shares of Class A Common Stock (the “Shares”), consisting of</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  1,244,258  shares  of  Class A  Common  Stock  issued  pursuant  to  the  Asset  Purchase  Agreement  and</w:t>
      </w:r>
    </w:p>
    <w:p>
      <w:pPr>
        <w:spacing w:after="0" w:line="9" w:lineRule="exact"/>
        <w:rPr>
          <w:sz w:val="20"/>
          <w:szCs w:val="20"/>
          <w:color w:val="auto"/>
        </w:rPr>
      </w:pPr>
    </w:p>
    <w:p>
      <w:pPr>
        <w:jc w:val="both"/>
        <w:ind w:left="300" w:right="299" w:hanging="8"/>
        <w:spacing w:after="0" w:line="253" w:lineRule="auto"/>
        <w:tabs>
          <w:tab w:leader="none" w:pos="56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694,540 shares of Class A Common Stock issued pursuant to the Equity Interest Purchase Agreement. We agreed to file a registration statement with the SEC for the purposes of registering for resale such shares of Class A Common Stock. The shares of Class A Common Stock were issued to the Selling Securityholders in reliance on the exemption from registration in Section 4(a)(2) under the Securities Act.</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shares of Class A Common Stock to be offered by the Selling Securityholders are “restricted” securities under applicable federal and state securities laws and are being registered under the Securities Act to give the Selling Securityholders the opportunity to sell these shares publicly. The registration of the Shares does not require that any of the shares be offered or sold by the Selling Securityholders. Subject to these resale restrictions, the Selling Securityholders may from time to time offer and sell all or a portion of their shares indicated below in privately negotiated transactions or on the Nasdaq Global Select Market or any other market on which our common stock may subsequently be listed.</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Shares may be sold directly or through brokers or dealers, or in a distribution by one or more underwriters on a firm commitment or best effort basis. To the extent required, the names of any agent or broker-dealer and applicable commissions or discounts and any other required information with respect to any particular offering will be set forth in a prospectus supplement. See the section of this prospectus entitled “Plan of Distribution”. The Selling Securityholders and any agents or broker-dealers that participate with the Selling Securityholders in the distribution of registered shares may be deemed to be “underwriters” within the meaning of the Securities Act, and any commissions received by them and any profit on the resale of the registered shares may be deemed to be underwriting commissions or discounts under the Securities Act.</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 estimate can be given as to the amount or percentage of Class A Common Stock that will be held by the Selling Securityholders after any sales made pursuant to this prospectus because the Selling Securityholders are not required to sell any of the Shares being registered under this prospectus. The following table assumes that the Selling Securityholders will sell all of the Shares listed in this prospectus.</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footnotes below, no Selling Stockholder has had any material relationship with us or any of our affiliates within the past three years other than as a security holder.</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Except as set forth in the footnotes below, the following table sets forth, based on written representations from the Selling Securityholders, certain information as of November 24, 2021 regarding the beneficial ownership of our Class A Common Stock by the Selling Securityholders and the shares of Class A Common Stock being offered by the Selling Securityholders (“Registrable Securities”). The applicable percentage ownership of Class A Common Stock is based on 88,836,328 shares of our Class A Common Stock issued and outstanding as of June 30, 2022.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Information with respect to shares of Class A Common Stock owned beneficially after the offering assumes the sale of all of the Shares offered and no other purchases or sales of our Class A Common Stock. The Selling Securityholders may offer and sell some, all or none of their shares of Class A Common Stock, as applicable.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1" w:name="page122"/>
    <w:bookmarkEnd w:id="1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77" w:lineRule="auto"/>
        <w:rPr>
          <w:sz w:val="20"/>
          <w:szCs w:val="20"/>
          <w:color w:val="auto"/>
        </w:rPr>
      </w:pPr>
      <w:r>
        <w:rPr>
          <w:rFonts w:ascii="Times New Roman" w:cs="Times New Roman" w:eastAsia="Times New Roman" w:hAnsi="Times New Roman"/>
          <w:sz w:val="17"/>
          <w:szCs w:val="17"/>
          <w:color w:val="auto"/>
        </w:rPr>
        <w:t>We have determined beneficial ownership in accordance with the rules of the SEC. Except as indicated by the footnotes below, we believe, based on the information furnished to us, that the Selling Securityholders have sole voting and investment power with respect to all shares of Class A Common Stock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ClassA</w:t>
            </w:r>
          </w:p>
        </w:tc>
        <w:tc>
          <w:tcPr>
            <w:tcW w:w="120" w:type="dxa"/>
            <w:vAlign w:val="bottom"/>
          </w:tcPr>
          <w:p>
            <w:pPr>
              <w:spacing w:after="0"/>
              <w:rPr>
                <w:sz w:val="13"/>
                <w:szCs w:val="13"/>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to the Offering</w:t>
            </w: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After the Offering</w:t>
            </w:r>
          </w:p>
        </w:tc>
        <w:tc>
          <w:tcPr>
            <w:tcW w:w="0" w:type="dxa"/>
            <w:vAlign w:val="bottom"/>
          </w:tcPr>
          <w:p>
            <w:pPr>
              <w:spacing w:after="0"/>
              <w:rPr>
                <w:sz w:val="1"/>
                <w:szCs w:val="1"/>
                <w:color w:val="auto"/>
              </w:rPr>
            </w:pPr>
          </w:p>
        </w:tc>
      </w:tr>
      <w:tr>
        <w:trPr>
          <w:trHeight w:val="92"/>
        </w:trPr>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vMerge w:val="restart"/>
          </w:tcPr>
          <w:p>
            <w:pPr>
              <w:spacing w:after="0"/>
              <w:rPr>
                <w:sz w:val="8"/>
                <w:szCs w:val="8"/>
                <w:color w:val="auto"/>
              </w:rPr>
            </w:pPr>
          </w:p>
        </w:tc>
        <w:tc>
          <w:tcPr>
            <w:tcW w:w="84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48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68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4880" w:type="dxa"/>
            <w:vAlign w:val="bottom"/>
            <w:gridSpan w:val="2"/>
            <w:shd w:val="clear" w:color="auto" w:fill="CCEEFF"/>
          </w:tcPr>
          <w:p>
            <w:pPr>
              <w:spacing w:after="0" w:line="331" w:lineRule="exact"/>
              <w:rPr>
                <w:sz w:val="20"/>
                <w:szCs w:val="20"/>
                <w:color w:val="auto"/>
              </w:rPr>
            </w:pPr>
            <w:r>
              <w:rPr>
                <w:rFonts w:ascii="Times New Roman" w:cs="Times New Roman" w:eastAsia="Times New Roman" w:hAnsi="Times New Roman"/>
                <w:sz w:val="18"/>
                <w:szCs w:val="18"/>
                <w:color w:val="auto"/>
              </w:rPr>
              <w:t>Andrew &amp; Ellen Astrove</w:t>
            </w:r>
            <w:r>
              <w:rPr>
                <w:rFonts w:ascii="Times New Roman" w:cs="Times New Roman" w:eastAsia="Times New Roman" w:hAnsi="Times New Roman"/>
                <w:sz w:val="29"/>
                <w:szCs w:val="29"/>
                <w:color w:val="auto"/>
                <w:vertAlign w:val="superscript"/>
              </w:rPr>
              <w:t>(1)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24"/>
        </w:trPr>
        <w:tc>
          <w:tcPr>
            <w:tcW w:w="488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Ashwin Surajbali</w:t>
            </w:r>
            <w:r>
              <w:rPr>
                <w:rFonts w:ascii="Times New Roman" w:cs="Times New Roman" w:eastAsia="Times New Roman" w:hAnsi="Times New Roman"/>
                <w:sz w:val="29"/>
                <w:szCs w:val="29"/>
                <w:color w:val="auto"/>
                <w:vertAlign w:val="superscript"/>
              </w:rPr>
              <w:t>(2)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197,843</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197,843</w:t>
            </w: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24"/>
        </w:trPr>
        <w:tc>
          <w:tcPr>
            <w:tcW w:w="488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Bradley Nathan Albert</w:t>
            </w:r>
            <w:r>
              <w:rPr>
                <w:rFonts w:ascii="Times New Roman" w:cs="Times New Roman" w:eastAsia="Times New Roman" w:hAnsi="Times New Roman"/>
                <w:sz w:val="29"/>
                <w:szCs w:val="29"/>
                <w:color w:val="auto"/>
                <w:vertAlign w:val="superscript"/>
              </w:rPr>
              <w:t>(3)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32,974</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24"/>
        </w:trPr>
        <w:tc>
          <w:tcPr>
            <w:tcW w:w="488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Diane Roskind</w:t>
            </w:r>
            <w:r>
              <w:rPr>
                <w:rFonts w:ascii="Times New Roman" w:cs="Times New Roman" w:eastAsia="Times New Roman" w:hAnsi="Times New Roman"/>
                <w:sz w:val="29"/>
                <w:szCs w:val="29"/>
                <w:color w:val="auto"/>
                <w:vertAlign w:val="superscript"/>
              </w:rPr>
              <w:t>(4)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24"/>
        </w:trPr>
        <w:tc>
          <w:tcPr>
            <w:tcW w:w="488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DJK Morris Investments, LLC</w:t>
            </w:r>
            <w:r>
              <w:rPr>
                <w:rFonts w:ascii="Times New Roman" w:cs="Times New Roman" w:eastAsia="Times New Roman" w:hAnsi="Times New Roman"/>
                <w:sz w:val="29"/>
                <w:szCs w:val="29"/>
                <w:color w:val="auto"/>
                <w:vertAlign w:val="superscript"/>
              </w:rPr>
              <w:t>(5)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395,760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395,760</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24"/>
        </w:trPr>
        <w:tc>
          <w:tcPr>
            <w:tcW w:w="488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Farzin Arsanjani</w:t>
            </w:r>
            <w:r>
              <w:rPr>
                <w:rFonts w:ascii="Times New Roman" w:cs="Times New Roman" w:eastAsia="Times New Roman" w:hAnsi="Times New Roman"/>
                <w:sz w:val="29"/>
                <w:szCs w:val="29"/>
                <w:color w:val="auto"/>
                <w:vertAlign w:val="superscript"/>
              </w:rPr>
              <w:t>(6)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24"/>
        </w:trPr>
        <w:tc>
          <w:tcPr>
            <w:tcW w:w="488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Ian Cohen</w:t>
            </w:r>
            <w:r>
              <w:rPr>
                <w:rFonts w:ascii="Times New Roman" w:cs="Times New Roman" w:eastAsia="Times New Roman" w:hAnsi="Times New Roman"/>
                <w:sz w:val="29"/>
                <w:szCs w:val="29"/>
                <w:color w:val="auto"/>
                <w:vertAlign w:val="superscript"/>
              </w:rPr>
              <w:t>(7)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24"/>
        </w:trPr>
        <w:tc>
          <w:tcPr>
            <w:tcW w:w="488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Jennifer Goldman-Brisman</w:t>
            </w:r>
            <w:r>
              <w:rPr>
                <w:rFonts w:ascii="Times New Roman" w:cs="Times New Roman" w:eastAsia="Times New Roman" w:hAnsi="Times New Roman"/>
                <w:sz w:val="29"/>
                <w:szCs w:val="29"/>
                <w:color w:val="auto"/>
                <w:vertAlign w:val="superscript"/>
              </w:rPr>
              <w:t>(8)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24"/>
        </w:trPr>
        <w:tc>
          <w:tcPr>
            <w:tcW w:w="488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LCP Group, L.P.</w:t>
            </w:r>
            <w:r>
              <w:rPr>
                <w:rFonts w:ascii="Times New Roman" w:cs="Times New Roman" w:eastAsia="Times New Roman" w:hAnsi="Times New Roman"/>
                <w:sz w:val="29"/>
                <w:szCs w:val="29"/>
                <w:color w:val="auto"/>
                <w:vertAlign w:val="superscript"/>
              </w:rPr>
              <w:t>(9)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24"/>
        </w:trPr>
        <w:tc>
          <w:tcPr>
            <w:tcW w:w="488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LeRoy Robinson</w:t>
            </w:r>
            <w:r>
              <w:rPr>
                <w:rFonts w:ascii="Times New Roman" w:cs="Times New Roman" w:eastAsia="Times New Roman" w:hAnsi="Times New Roman"/>
                <w:sz w:val="29"/>
                <w:szCs w:val="29"/>
                <w:color w:val="auto"/>
                <w:vertAlign w:val="superscript"/>
              </w:rPr>
              <w:t>(10)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Pr>
          <w:p>
            <w:pPr>
              <w:spacing w:after="0"/>
              <w:rPr>
                <w:sz w:val="24"/>
                <w:szCs w:val="24"/>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488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M&amp;S Investment Group, LLC</w:t>
            </w:r>
            <w:r>
              <w:rPr>
                <w:rFonts w:ascii="Times New Roman" w:cs="Times New Roman" w:eastAsia="Times New Roman" w:hAnsi="Times New Roman"/>
                <w:sz w:val="29"/>
                <w:szCs w:val="29"/>
                <w:color w:val="auto"/>
                <w:vertAlign w:val="superscript"/>
              </w:rPr>
              <w:t>(11)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24"/>
        </w:trPr>
        <w:tc>
          <w:tcPr>
            <w:tcW w:w="488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MembersRSVP, LLC</w:t>
            </w:r>
            <w:r>
              <w:rPr>
                <w:rFonts w:ascii="Times New Roman" w:cs="Times New Roman" w:eastAsia="Times New Roman" w:hAnsi="Times New Roman"/>
                <w:sz w:val="29"/>
                <w:szCs w:val="29"/>
                <w:color w:val="auto"/>
                <w:vertAlign w:val="superscript"/>
              </w:rPr>
              <w:t>(12)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1,244,258</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1,244,258</w:t>
            </w: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24"/>
        </w:trPr>
        <w:tc>
          <w:tcPr>
            <w:tcW w:w="488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Michael Schlaefer</w:t>
            </w:r>
            <w:r>
              <w:rPr>
                <w:rFonts w:ascii="Times New Roman" w:cs="Times New Roman" w:eastAsia="Times New Roman" w:hAnsi="Times New Roman"/>
                <w:sz w:val="29"/>
                <w:szCs w:val="29"/>
                <w:color w:val="auto"/>
                <w:vertAlign w:val="superscript"/>
              </w:rPr>
              <w:t>(13)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20"/>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Yael Morris</w:t>
            </w:r>
            <w:r>
              <w:rPr>
                <w:rFonts w:ascii="Times New Roman" w:cs="Times New Roman" w:eastAsia="Times New Roman" w:hAnsi="Times New Roman"/>
                <w:sz w:val="29"/>
                <w:szCs w:val="29"/>
                <w:color w:val="auto"/>
                <w:vertAlign w:val="superscript"/>
              </w:rPr>
              <w:t>(14)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-2957830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-2957830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-2957830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-2957830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-2957830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93345</wp:posOffset>
            </wp:positionV>
            <wp:extent cx="8229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72" w:lineRule="exact"/>
        <w:rPr>
          <w:sz w:val="20"/>
          <w:szCs w:val="20"/>
          <w:color w:val="auto"/>
        </w:rPr>
      </w:pPr>
    </w:p>
    <w:p>
      <w:pPr>
        <w:ind w:left="640" w:hanging="348"/>
        <w:spacing w:after="0"/>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less than one percent.</w:t>
      </w:r>
    </w:p>
    <w:p>
      <w:pPr>
        <w:spacing w:after="0" w:line="42" w:lineRule="exact"/>
        <w:rPr>
          <w:sz w:val="20"/>
          <w:szCs w:val="20"/>
          <w:color w:val="auto"/>
        </w:rPr>
      </w:pPr>
    </w:p>
    <w:p>
      <w:pPr>
        <w:ind w:left="640" w:hanging="348"/>
        <w:spacing w:after="0"/>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Andrew Astrove and Ellen Astrove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Ashwin Surajbali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Bradley Nathan Albert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Diane Roskind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Keith E. Morris is deemed to have power to vote or dispose of the Registrable Securities. Keith E. Morris is our Vice President.</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Farzin Arsanjani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Ian Cohen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Jennifer Goldman-Brisman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 Robert Roskind, in his capacity as Founder and Chairman of LCP Group, L.P., is deemed to have investment discretion and voting power over the Registrable Securities held by LCP Group, L.P.</w:t>
      </w:r>
    </w:p>
    <w:p>
      <w:pPr>
        <w:ind w:left="640" w:hanging="348"/>
        <w:spacing w:after="0"/>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LeRoy Robinson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Mehran Aliakbar serves as the managing member of M&amp;S Investment Group, LLC. By virtue of this relationship, Mehran Aliakbar may be deemed to have voting and dispositive power with respect to the Registrable Securities held by M&amp;S Investment Group, LLC.</w:t>
      </w:r>
    </w:p>
    <w:p>
      <w:pPr>
        <w:jc w:val="both"/>
        <w:ind w:left="640" w:right="299" w:hanging="348"/>
        <w:spacing w:after="0" w:line="241" w:lineRule="auto"/>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Jaret Christopher serves as the Chief Executive Officer of MembersRSVP, LLC. By virtue of this relationship, Jaret Christopher may be deemed to have voting and dispositive power with respect to the Registrable Securities held by MembersRSVP, LLC. Jaret Christopher is our Vice President and General Manager of Customer Relationship Management.</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Michael Schlaefer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Yael Morris is deemed to have power to vote or dispose of the Registrable Securities.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2" w:name="page123"/>
    <w:bookmarkEnd w:id="1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and is qualified by reference to our Certificate of Incorporation, our Bylaws and the Warrant-related documents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Certificate of Incorporation authorizes the issuance of 2,075,000,000 shares of capital stock, consisting of</w:t>
      </w:r>
    </w:p>
    <w:p>
      <w:pPr>
        <w:spacing w:after="0" w:line="27" w:lineRule="exact"/>
        <w:rPr>
          <w:sz w:val="20"/>
          <w:szCs w:val="20"/>
          <w:color w:val="auto"/>
        </w:rPr>
      </w:pPr>
    </w:p>
    <w:p>
      <w:pPr>
        <w:jc w:val="both"/>
        <w:ind w:left="300" w:right="299" w:hanging="8"/>
        <w:spacing w:after="0" w:line="250" w:lineRule="auto"/>
        <w:tabs>
          <w:tab w:leader="none" w:pos="5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1,500,000,000 shares of Class A Common Stock, par value $0.0001 per share, (y) 500,000,000 shares of Class V Common Stock, par value $0.0001 per share and 75,000,000 shares of preferred stock, par value $0.0001 per share. All of our issued and outstanding shares of capital stock are duly authorized, validly issued, fully paid and non-assessable. As of November 29, 2024, there were (1) 97,730,177 shares of Class A Common Stock,</w:t>
      </w:r>
    </w:p>
    <w:p>
      <w:pPr>
        <w:spacing w:after="0" w:line="1"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55,486,361 shares of Class V Common Stock and no shares of preferred stock outstanding.</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3" w:name="page124"/>
    <w:bookmarkEnd w:id="1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together as a single class. 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our board of directors.</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our assets.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Issuance and Retirement of Class V Common Stock</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We will not issue additional shares of Class V Common Stock other than in connection with the valid issuance or transfer of Class P Units or Class A Units in accordance with the governing documents of WMH LLC.</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Class A Common Stock at a price of $11.50 per share, subject to adjustment as discussed below, at any time commencing 30 days after the Closing, provided that we have an effective registration statement under the Securities Act covering the issuance of the shares of Class A Common Stock issuable upon exercise of the Public Warrants and a current prospectus relating to them is available and such shares are registered, qualified or exempt from registration under the securities, or blue sky laws of the state of residence of the holder (or we permits holders to exercise their Public Warrants on a cashless basis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4" w:name="page125"/>
    <w:bookmarkEnd w:id="1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under the circumstances specified in the Warrant Agreement). A holder of Public Warrants may exercise its Public Warrants only for a whole number of shares of Class A Common Stock. This means only a whole Public Warrant may be exercised at a given time by a holder of Public Warrants. The Public Warrants will expire five years after the Closing, at 5:00 p.m., New York City time, or earlier upon redemption or liquidation.</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filed with the SEC and have an effective registration statement for covering the issuance, under the Securities Act, of the shares of Class A Common Stock issuable upon exercise of the Public Warrants,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may redeem the Public Warrants for redemption:</w:t>
      </w:r>
    </w:p>
    <w:p>
      <w:pPr>
        <w:spacing w:after="0" w:line="117" w:lineRule="exact"/>
        <w:rPr>
          <w:sz w:val="20"/>
          <w:szCs w:val="20"/>
          <w:color w:val="auto"/>
        </w:rPr>
      </w:pPr>
    </w:p>
    <w:p>
      <w:pPr>
        <w:ind w:left="1000" w:hanging="348"/>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holder of Public Warrants;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If and when the Public Warrants become redeemable by us, we may exercise our redemption right even if we are unable to register or qualify the underlying securities for sale under all applicable state securities laws.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the foregoing conditions are satisfied and we issue a notice of redemption of the Public Warrants, each holder of Public Warrants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exercise of the Public Warrants. If our management takes advantage of this option, all holders of Public Warrants would pay the exercise price by surrendering their Public Warrants for that number of shares of Class A Common Stock equal to the quotient obtained by dividing (x) the product of the number of shares of Class A Common Stock underlying the Public Warrants, multiplied by the excess of the “fair market value” (defined below) over the exercise price of the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5" w:name="page126"/>
    <w:bookmarkEnd w:id="1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Public Warrants by (y) the fair market value. The “fair market value” will mean the average last reported sale price of the shares of Class A Common Stock for the 10 trading days ending on the third trading day prior to the date on 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 Sponsor and its permitted transferees would still be entitled to exercise their warrants originally issued in a private placement (the “Private Placement Warrants” and together with the Public Warrants, the “Warrants”) for cash or on a cashless basis using the same formula described above that other holders of Public Warrants would have been required to use had all warrant holders been required to exercise their warrants on a cashless basis, as described in more detail below.</w:t>
      </w:r>
    </w:p>
    <w:p>
      <w:pPr>
        <w:spacing w:after="0" w:line="8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w:t>
      </w:r>
    </w:p>
    <w:p>
      <w:pPr>
        <w:spacing w:after="0" w:line="3" w:lineRule="exact"/>
        <w:rPr>
          <w:sz w:val="20"/>
          <w:szCs w:val="20"/>
          <w:color w:val="auto"/>
        </w:rPr>
      </w:pPr>
    </w:p>
    <w:p>
      <w:pPr>
        <w:jc w:val="both"/>
        <w:ind w:left="300" w:right="319" w:hanging="8"/>
        <w:spacing w:after="0" w:line="250" w:lineRule="auto"/>
        <w:tabs>
          <w:tab w:leader="none" w:pos="55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actually sold in such rights offering (or issuable under any other equity securities sold in such rights offering that are convertible into or exercisable for common stock) multiplied by</w:t>
      </w:r>
    </w:p>
    <w:p>
      <w:pPr>
        <w:jc w:val="both"/>
        <w:ind w:left="300" w:right="299" w:hanging="8"/>
        <w:spacing w:after="0" w:line="251" w:lineRule="auto"/>
        <w:tabs>
          <w:tab w:leader="none" w:pos="5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6" w:name="page127"/>
    <w:bookmarkEnd w:id="1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issued and 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83"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65% of then issued and outstanding Public Warrants to make any change that adversely affects the interests of the registered holders of Public Warrants.</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November 29, 2024, there were 12,499,973 Public Warrants outstanding.</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Private Placement Warrants (including the shares of Class A Common Stock issuable upon exercise of the Private Placement Warrants) will not be transferable, assignable or salable until 30 days after the Closing,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w:t>
      </w:r>
    </w:p>
    <w:p>
      <w:pPr>
        <w:spacing w:after="0" w:line="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 value. The “fair market value” will mean the average last reported sale price of the shares of Class A Common Stock for the 10 trading days ending on the third trading day prior to the date on which the notice of warrant exercise is sent to the Warrant Agent.</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November 29, 2024, there were 7,000,000 Private Placement Warrants outstanding.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7" w:name="page128"/>
    <w:bookmarkEnd w:id="1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have not paid any cash dividends on the Class A Ordinary Shares,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Common Stock in the foreseeable future.</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our Chairperson of the Board of Directors, (ii) our Chief Executive Officer or the President if the Chairperson of the Board of Directors is unavailable,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121" w:lineRule="exact"/>
        <w:rPr>
          <w:sz w:val="20"/>
          <w:szCs w:val="20"/>
          <w:color w:val="auto"/>
        </w:rPr>
      </w:pPr>
    </w:p>
    <w:p>
      <w:pPr>
        <w:jc w:val="both"/>
        <w:ind w:left="300" w:right="299"/>
        <w:spacing w:after="0" w:line="222" w:lineRule="auto"/>
        <w:rPr>
          <w:sz w:val="20"/>
          <w:szCs w:val="20"/>
          <w:color w:val="auto"/>
        </w:rPr>
      </w:pPr>
      <w:r>
        <w:rPr>
          <w:rFonts w:ascii="Times New Roman" w:cs="Times New Roman" w:eastAsia="Times New Roman" w:hAnsi="Times New Roman"/>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nor earlier than the open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and no later than the close of business on the latter of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or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current or former directors, officers and employees for breach of fiduciary duty, other similar actions, any other action as to which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Although we believe this provision benefits us by providing increased consistency in the application of Delaware law in the types of lawsuits to which it applies, the provision may limit a stockholder’s ability to bring a claim in a judicial forum that it finds favorable for disputes with us and our directors, officers or other employees and may have the effect of discouraging lawsuits against our directors and officers. This provision would not apply to claims brought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8" w:name="page129"/>
    <w:bookmarkEnd w:id="1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to enforce a duty or liability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do not opt out of Section 203 of the DGCL under our Certificate of Incorporation.</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Liability and Indemnification of Directors and Officers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000" w:hanging="348"/>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75"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these provisions in our Certificate of Incorporation and the Bylaws and these indemnification agreements are necessary to attract and retain qualified persons as directors and officers.</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9" w:name="page130"/>
    <w:bookmarkEnd w:id="1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such as the Company. However, Rule 144 also includes an important exception to this prohibition if the following conditions are met:</w:t>
      </w:r>
    </w:p>
    <w:p>
      <w:pPr>
        <w:spacing w:after="0" w:line="72" w:lineRule="exact"/>
        <w:rPr>
          <w:sz w:val="20"/>
          <w:szCs w:val="20"/>
          <w:color w:val="auto"/>
        </w:rPr>
      </w:pPr>
    </w:p>
    <w:p>
      <w:pPr>
        <w:ind w:left="1000" w:hanging="348"/>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Upon the Closing, we ceased to be a shell company.</w:t>
      </w:r>
    </w:p>
    <w:p>
      <w:pPr>
        <w:spacing w:after="0" w:line="11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2" w:lineRule="exact"/>
        <w:rPr>
          <w:sz w:val="20"/>
          <w:szCs w:val="20"/>
          <w:color w:val="auto"/>
        </w:rPr>
      </w:pPr>
    </w:p>
    <w:p>
      <w:pPr>
        <w:ind w:left="1000" w:hanging="348"/>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 of the total number of shares of Class A Common Stock then outstanding;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Class A Common Stock during the four calendar weeks preceding the filing of a notice on Form 144 with respect to the sale.</w:t>
      </w:r>
    </w:p>
    <w:p>
      <w:pPr>
        <w:spacing w:after="0" w:line="54"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will also be limited by manner of sale provisions and notice requirements and to the availability of current public information about us.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Warrant Agent and Registrar</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transfer agent, warrant agent and registrar for our Class A Common Stock, Class V Common Stock and Warrants is Continental Stock Transfer &amp; Trust Company.</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Nasdaq under the symbols “MAPS” and “MAPW,”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0" w:name="page131"/>
    <w:bookmarkEnd w:id="1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generally applicable to the purchase, ownership and disposition of our Class A Common Stock. The Class A Common Stock is referred to herein as our securities. All prospective holders of our securities should consult their tax advisors with respect to the U.S. federal, state, local and non-U.S. tax consequences of the purchase, ownership and disposition of our securities.</w:t>
      </w:r>
    </w:p>
    <w:p>
      <w:pPr>
        <w:spacing w:after="0" w:line="72"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This discussion is not a complete analysis of all potential U.S. federal income tax consequences relating to the purchase, ownership and disposition of our securities. This summary is based upon current provisions of the U.S. Internal Revenue Code of 1986, as amended, which we refer to as the Code, existing U.S. Treasury Regulations promulgated thereunder, published administrative pronouncements and rulings of the U.S. Internal Revenue Service, which we refer to as the IRS,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our securities. 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other U.S. federal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real estate investment trusts, persons that have a “functional currency” other than the U.S. dollar, tax-qualified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and certain former U.S. citizens or long-term residents.</w:t>
      </w:r>
    </w:p>
    <w:p>
      <w:pPr>
        <w:spacing w:after="0" w:line="96"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securities.</w:t>
      </w:r>
    </w:p>
    <w:p>
      <w:pPr>
        <w:spacing w:after="0" w:line="8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68" w:lineRule="exact"/>
        <w:rPr>
          <w:sz w:val="20"/>
          <w:szCs w:val="20"/>
          <w:color w:val="auto"/>
        </w:rPr>
      </w:pPr>
    </w:p>
    <w:p>
      <w:pPr>
        <w:ind w:left="1000" w:hanging="348"/>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securities that is neither a U.S.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Holder nor a partnership or an entity or arrangement treated as a partnership for U.S. federal income tax purposes.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1" w:name="page132"/>
    <w:bookmarkEnd w:id="1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If we pay distributions or make constructive distributions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“Tax Considerations Applicable to U.S. Holders—Gain or Loss on Sale, Taxable Exchange or Other Taxable Disposition of Class A Common Stock” below.</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will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Class A Common Stock</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Long-term capital gains recognized by non-corporate U.S. Holders are generally eligible for reduced rates of tax. If the U.S. Holder’s holding period for the Class A Common Stock so disposed of is one year or less, any gain on a sale or other taxable disposition of the shares would be subject to short-term capital gain treatment and would be subject to U.S. federal income tax at ordinary income tax rates. The deductibility of capital losses is subject to limitations.</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general, information reporting requirements may apply to dividends paid to a U.S. Holder and to the proceeds of the sale or other disposition of our shares of Class A Common Stock,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it is subject to backup withholding (and such notification has not been withdrawn).</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U.S. Holders should consult their tax advisors regarding their qualification for an exemption from backup withholding and the procedures for obtaining such an exemption.</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Non-U.S.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2" w:name="page133"/>
    <w:bookmarkEnd w:id="1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“Tax Considerations Applicable to Non-U.S. Holders—Possible Constructive Distributions”), it is possible that this tax would be withheld from any amount owed to a non-U.S. Holder by the applicable withholding agent, including cash distributions on other property or sale proceeds from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“Tax Considerations Applicable to Non-U.S. Holders—Gain on Sale, Exchange or Other Taxable Disposition of Class A Common Stock” below. In addition, if we determine that we are likely to be classified as a “United States real property holding corporation” (see the section entitled “Tax Considerations Applicable to Non-U.S. Holders—Gain on Sale, Exchange or Other Taxable Disposition of Class A Common Stock” below), we will withhold 15% of any distribution that exceeds our current and accumulated earnings and profits.</w:t>
      </w:r>
    </w:p>
    <w:p>
      <w:pPr>
        <w:spacing w:after="0" w:line="8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on Sale, Exchange or Other Taxable Disposition of Class A Common Stock</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Class A Common Stock, unless:</w:t>
      </w:r>
    </w:p>
    <w:p>
      <w:pPr>
        <w:spacing w:after="0" w:line="54" w:lineRule="exact"/>
        <w:rPr>
          <w:sz w:val="20"/>
          <w:szCs w:val="20"/>
          <w:color w:val="auto"/>
        </w:rPr>
      </w:pPr>
    </w:p>
    <w:p>
      <w:pPr>
        <w:jc w:val="both"/>
        <w:ind w:left="1000" w:right="319" w:hanging="348"/>
        <w:spacing w:after="0" w:line="266"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disposition and certain other conditions are met; or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is disposing of our Class A Common Stock and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or not regularly traded on an established securities market for this purpose.</w:t>
      </w:r>
    </w:p>
    <w:p>
      <w:pPr>
        <w:spacing w:after="0" w:line="8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7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If the third bullet point above applies to a non-U.S. Holder and applicable exceptions are not available, gain recognized by such holder on the sale, exchange or other disposition of our Class A Common Stock, as applicable, will be subject to tax at generally applicable U.S. federal income tax rates. In addition, a buyer of our Class A Common Stock from such holder may be required to withhold U.S. income tax at a rate of 15% of the amount realized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3" w:name="page134"/>
    <w:bookmarkEnd w:id="1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Provisions of the Code and U.S.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w:t>
      </w:r>
    </w:p>
    <w:p>
      <w:pPr>
        <w:spacing w:after="0" w:line="2" w:lineRule="exact"/>
        <w:rPr>
          <w:sz w:val="20"/>
          <w:szCs w:val="20"/>
          <w:color w:val="auto"/>
        </w:rPr>
      </w:pPr>
    </w:p>
    <w:p>
      <w:pPr>
        <w:jc w:val="both"/>
        <w:ind w:left="300" w:right="299" w:hanging="8"/>
        <w:spacing w:after="0" w:line="251" w:lineRule="auto"/>
        <w:tabs>
          <w:tab w:leader="none" w:pos="56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foreign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proposed U.S. Treasury Regulations have been released that, if finalized in their proposed form, would eliminate the obligation under FATCA to withhold on such gross proceeds. Although these proposed Treasury Regulations are not final, the preamble states that taxpayers generally may rely on them until final U.S. Treasury Regulations are issued. Prospective investors should consult their tax advisors regarding the possible implications of FATCA on their investment in our securities.</w:t>
      </w:r>
    </w:p>
    <w:p>
      <w:pPr>
        <w:spacing w:after="0" w:line="3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dividends and the proceeds from a sale or other disposition of our Class A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4" w:name="page135"/>
    <w:bookmarkEnd w:id="1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are registering the resale by the Selling Securityholders or their permitted transferees from time to time of up to 1,938,798 shares of Class A Common Stock. We are required to pay all fees and expenses incident to the registration of the securities to be offered and sold pursuant to this prospectus. The Selling Securityholders will pay any underwriting discounts, selling commissions or transfer taxes incurred in disposing of the Shares and the expenses of any attorney or other advisor they decide to employ. We will bear all other costs, fees and expenses incurred in effecting the registration of the Shares covered by this prospectus. These may include, without limitation, all registration, filing, stock exchange fees, printing expenses, all fees and expenses of complying with applicable securities laws and the fees and disbursements of our counsel and of our independent accountants and reasonable fees.</w:t>
      </w:r>
    </w:p>
    <w:p>
      <w:pPr>
        <w:spacing w:after="0" w:line="8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 The aggregate proceeds to the Selling Securityholders will be the purchase price of the securities less any discounts and commissions borne by the Selling Securityholders.</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shares of Class A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Selling Securityholders may sell their securities by one or more of, or a combination of, the following methods:</w:t>
      </w:r>
    </w:p>
    <w:p>
      <w:pPr>
        <w:spacing w:after="0" w:line="117" w:lineRule="exact"/>
        <w:rPr>
          <w:sz w:val="20"/>
          <w:szCs w:val="20"/>
          <w:color w:val="auto"/>
        </w:rPr>
      </w:pPr>
    </w:p>
    <w:p>
      <w:pPr>
        <w:ind w:left="1000" w:right="319" w:hanging="348"/>
        <w:spacing w:after="0" w:line="282"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employees, members, limited partners or stockholders of the Selling Securityholders;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 whether through an options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arrangements;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5" w:name="page136"/>
    <w:bookmarkEnd w:id="1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addition, any securities that qualify for sale pursuant to Rule 144 or another exemption from registration under the Securities Act or other such exemption may be sold under Rule 144 rather than pursuant to this prospectus.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8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6" w:name="page137"/>
    <w:bookmarkEnd w:id="1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validity of any securities offered by this prospectus herein has been passed upon for us by Cooley LLP.</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WM Technology, Inc. as of and for the year ended December 31, 2023 included in this prospectus have been audited by Moss Adams LLP, an independent registered public accounting firm, as stated in their report (which report expresses an unqualified opinion and includes an explanatory paragraph relating to a restatement of previously reported 2023 quarterly revenue and credit losses), which is included herein. Such consolidated financial statements are included in reliance upon the report of such firm given their authority as experts in accounting and auditing.</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the Company as of December 31, 2022 and for the year ended December 31, 2022 have been audited by Baker Tilly US, LLP (“Baker Tilly US, LLP”), an independent registered public accounting firm, given on the authority of said firm as experts in auditing and accounting.</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www.weedmaps.com</w:t>
      </w:r>
      <w:r>
        <w:rPr>
          <w:rFonts w:ascii="Times New Roman" w:cs="Times New Roman" w:eastAsia="Times New Roman" w:hAnsi="Times New Roman"/>
          <w:sz w:val="18"/>
          <w:szCs w:val="18"/>
          <w:color w:val="auto"/>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7" w:name="page138"/>
    <w:bookmarkEnd w:id="13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gridSpan w:val="3"/>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1"/>
        </w:trPr>
        <w:tc>
          <w:tcPr>
            <w:tcW w:w="1300" w:type="dxa"/>
            <w:vAlign w:val="bottom"/>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178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8060" w:type="dxa"/>
            <w:vAlign w:val="bottom"/>
            <w:tcBorders>
              <w:bottom w:val="single" w:sz="8" w:color="CCEEFF"/>
            </w:tcBorders>
            <w:gridSpan w:val="1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Financial Statements</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September 30, 2024 and December 31, 2023</w:t>
            </w:r>
          </w:p>
        </w:tc>
        <w:tc>
          <w:tcPr>
            <w:tcW w:w="8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F-2</w:t>
            </w: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1780" w:type="dxa"/>
            <w:vAlign w:val="bottom"/>
            <w:tcBorders>
              <w:top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7520" w:type="dxa"/>
            <w:vAlign w:val="bottom"/>
            <w:tcBorders>
              <w:bottom w:val="single" w:sz="8" w:color="0000EE"/>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and Nine Months Ended September 30,</w:t>
            </w:r>
          </w:p>
        </w:tc>
        <w:tc>
          <w:tcPr>
            <w:tcW w:w="540" w:type="dxa"/>
            <w:vAlign w:val="bottom"/>
            <w:tcBorders>
              <w:bottom w:val="single" w:sz="8" w:color="CCEEFF"/>
            </w:tcBorders>
            <w:gridSpan w:val="3"/>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80" w:type="dxa"/>
            <w:vAlign w:val="bottom"/>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2024 and 2023</w:t>
            </w:r>
          </w:p>
        </w:tc>
        <w:tc>
          <w:tcPr>
            <w:tcW w:w="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5"/>
              </w:rPr>
              <w:t>F-3</w:t>
            </w:r>
          </w:p>
        </w:tc>
        <w:tc>
          <w:tcPr>
            <w:tcW w:w="1300" w:type="dxa"/>
            <w:vAlign w:val="bottom"/>
          </w:tcPr>
          <w:p>
            <w:pPr>
              <w:spacing w:after="0"/>
              <w:rPr>
                <w:sz w:val="17"/>
                <w:szCs w:val="17"/>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76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Equity for the Three and Nine Months Ended September 30, 2024</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and 2023</w:t>
            </w:r>
          </w:p>
        </w:tc>
        <w:tc>
          <w:tcPr>
            <w:tcW w:w="80" w:type="dxa"/>
            <w:vAlign w:val="bottom"/>
          </w:tcPr>
          <w:p>
            <w:pPr>
              <w:spacing w:after="0"/>
              <w:rPr>
                <w:sz w:val="17"/>
                <w:szCs w:val="17"/>
                <w:color w:val="auto"/>
              </w:rPr>
            </w:pPr>
          </w:p>
        </w:tc>
        <w:tc>
          <w:tcPr>
            <w:tcW w:w="1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F-4</w:t>
            </w: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2024 and</w:t>
            </w:r>
          </w:p>
        </w:tc>
        <w:tc>
          <w:tcPr>
            <w:tcW w:w="8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840" w:type="dxa"/>
            <w:vAlign w:val="bottom"/>
            <w:tcBorders>
              <w:top w:val="single" w:sz="8" w:color="0000EE"/>
            </w:tcBorders>
            <w:gridSpan w:val="3"/>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0000EE"/>
              </w:rPr>
              <w:t>2023</w:t>
            </w:r>
          </w:p>
        </w:tc>
        <w:tc>
          <w:tcPr>
            <w:tcW w:w="40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900" w:type="dxa"/>
            <w:vAlign w:val="bottom"/>
            <w:tcBorders>
              <w:top w:val="single" w:sz="8" w:color="0000EE"/>
            </w:tcBorders>
            <w:shd w:val="clear" w:color="auto" w:fill="CCEEFF"/>
          </w:tcPr>
          <w:p>
            <w:pPr>
              <w:spacing w:after="0"/>
              <w:rPr>
                <w:sz w:val="17"/>
                <w:szCs w:val="17"/>
                <w:color w:val="auto"/>
              </w:rPr>
            </w:pPr>
          </w:p>
        </w:tc>
        <w:tc>
          <w:tcPr>
            <w:tcW w:w="1020" w:type="dxa"/>
            <w:vAlign w:val="bottom"/>
            <w:tcBorders>
              <w:top w:val="single" w:sz="8" w:color="0000EE"/>
            </w:tcBorders>
            <w:shd w:val="clear" w:color="auto" w:fill="CCEEFF"/>
          </w:tcPr>
          <w:p>
            <w:pPr>
              <w:spacing w:after="0"/>
              <w:rPr>
                <w:sz w:val="17"/>
                <w:szCs w:val="17"/>
                <w:color w:val="auto"/>
              </w:rPr>
            </w:pPr>
          </w:p>
        </w:tc>
        <w:tc>
          <w:tcPr>
            <w:tcW w:w="1780" w:type="dxa"/>
            <w:vAlign w:val="bottom"/>
            <w:tcBorders>
              <w:top w:val="single" w:sz="8" w:color="0000EE"/>
            </w:tcBorders>
            <w:shd w:val="clear" w:color="auto" w:fill="CCEEFF"/>
          </w:tcPr>
          <w:p>
            <w:pPr>
              <w:spacing w:after="0"/>
              <w:rPr>
                <w:sz w:val="17"/>
                <w:szCs w:val="17"/>
                <w:color w:val="auto"/>
              </w:rPr>
            </w:pPr>
          </w:p>
        </w:tc>
        <w:tc>
          <w:tcPr>
            <w:tcW w:w="9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5"/>
              </w:rPr>
              <w:t>F-6</w:t>
            </w:r>
          </w:p>
        </w:tc>
        <w:tc>
          <w:tcPr>
            <w:tcW w:w="1300" w:type="dxa"/>
            <w:vAlign w:val="bottom"/>
          </w:tcPr>
          <w:p>
            <w:pPr>
              <w:spacing w:after="0"/>
              <w:rPr>
                <w:sz w:val="17"/>
                <w:szCs w:val="17"/>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8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F-7</w:t>
            </w: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1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324"/>
        </w:trPr>
        <w:tc>
          <w:tcPr>
            <w:tcW w:w="1300" w:type="dxa"/>
            <w:vAlign w:val="bottom"/>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tcBorders>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0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29"/>
        </w:trPr>
        <w:tc>
          <w:tcPr>
            <w:tcW w:w="1300" w:type="dxa"/>
            <w:vAlign w:val="bottom"/>
          </w:tcPr>
          <w:p>
            <w:pPr>
              <w:spacing w:after="0"/>
              <w:rPr>
                <w:sz w:val="19"/>
                <w:szCs w:val="19"/>
                <w:color w:val="auto"/>
              </w:rPr>
            </w:pPr>
          </w:p>
        </w:tc>
        <w:tc>
          <w:tcPr>
            <w:tcW w:w="7600" w:type="dxa"/>
            <w:vAlign w:val="bottom"/>
            <w:tcBorders>
              <w:bottom w:val="single" w:sz="8" w:color="0000EE"/>
            </w:tcBorders>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 (Moss Adams LLP, Irvine, California, Auditor</w:t>
            </w:r>
          </w:p>
        </w:tc>
        <w:tc>
          <w:tcPr>
            <w:tcW w:w="460" w:type="dxa"/>
            <w:vAlign w:val="bottom"/>
            <w:tcBorders>
              <w:bottom w:val="single" w:sz="8" w:color="CCEEFF"/>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80" w:type="dxa"/>
            <w:vAlign w:val="bottom"/>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ID: (PCAOB ID 659))</w:t>
            </w:r>
          </w:p>
        </w:tc>
        <w:tc>
          <w:tcPr>
            <w:tcW w:w="360" w:type="dxa"/>
            <w:vAlign w:val="bottom"/>
            <w:tcBorders>
              <w:right w:val="single" w:sz="8" w:color="CCEEFF"/>
            </w:tcBorders>
            <w:gridSpan w:val="2"/>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F-30</w:t>
            </w:r>
          </w:p>
        </w:tc>
        <w:tc>
          <w:tcPr>
            <w:tcW w:w="1300" w:type="dxa"/>
            <w:vAlign w:val="bottom"/>
          </w:tcPr>
          <w:p>
            <w:pPr>
              <w:spacing w:after="0"/>
              <w:rPr>
                <w:sz w:val="17"/>
                <w:szCs w:val="17"/>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75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 (Baker Tilly, LLP, Irvine, California, Auditor</w:t>
            </w:r>
          </w:p>
        </w:tc>
        <w:tc>
          <w:tcPr>
            <w:tcW w:w="560" w:type="dxa"/>
            <w:vAlign w:val="bottom"/>
            <w:gridSpan w:val="4"/>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ID: (PCAOB ID 23)</w:t>
            </w:r>
          </w:p>
        </w:tc>
        <w:tc>
          <w:tcPr>
            <w:tcW w:w="1660" w:type="dxa"/>
            <w:vAlign w:val="bottom"/>
            <w:gridSpan w:val="3"/>
          </w:tcPr>
          <w:p>
            <w:pPr>
              <w:jc w:val="center"/>
              <w:ind w:right="1320"/>
              <w:spacing w:after="0" w:line="196" w:lineRule="exact"/>
              <w:rPr>
                <w:sz w:val="20"/>
                <w:szCs w:val="20"/>
                <w:color w:val="auto"/>
              </w:rPr>
            </w:pPr>
            <w:r>
              <w:rPr>
                <w:rFonts w:ascii="Times New Roman" w:cs="Times New Roman" w:eastAsia="Times New Roman" w:hAnsi="Times New Roman"/>
                <w:sz w:val="18"/>
                <w:szCs w:val="18"/>
                <w:color w:val="0000EE"/>
                <w:w w:val="99"/>
              </w:rPr>
              <w:t>F-33</w:t>
            </w: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Consolidated Balance Sheets</w:t>
            </w:r>
          </w:p>
        </w:tc>
        <w:tc>
          <w:tcPr>
            <w:tcW w:w="36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F-34</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Consolidated Statements of Income</w:t>
            </w:r>
          </w:p>
        </w:tc>
        <w:tc>
          <w:tcPr>
            <w:tcW w:w="166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color w:val="0000EE"/>
                <w:w w:val="99"/>
              </w:rPr>
              <w:t>F-35</w:t>
            </w: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Consolidated Statements of Equity</w:t>
            </w:r>
          </w:p>
        </w:tc>
        <w:tc>
          <w:tcPr>
            <w:tcW w:w="36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F-36</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Consolidated Statements of Cash Flows</w:t>
            </w:r>
          </w:p>
        </w:tc>
        <w:tc>
          <w:tcPr>
            <w:tcW w:w="166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color w:val="0000EE"/>
                <w:w w:val="99"/>
              </w:rPr>
              <w:t>F-37</w:t>
            </w: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Notes to Audited Consolidated Financial Statements</w:t>
            </w:r>
          </w:p>
        </w:tc>
        <w:tc>
          <w:tcPr>
            <w:tcW w:w="36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F-39</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432"/>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0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F-1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5852160</wp:posOffset>
            </wp:positionH>
            <wp:positionV relativeFrom="paragraph">
              <wp:posOffset>-4191000</wp:posOffset>
            </wp:positionV>
            <wp:extent cx="939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38" w:name="page139"/>
    <w:bookmarkEnd w:id="138"/>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344"/>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45"/>
        </w:trPr>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WM TECHNOLOGY, INC. AND SUBSIDIARIES</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32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8"/>
        </w:trPr>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32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(In thousands, except for share data)</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08"/>
        </w:trPr>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51"/>
        </w:trPr>
        <w:tc>
          <w:tcPr>
            <w:tcW w:w="88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43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r>
      <w:tr>
        <w:trPr>
          <w:trHeight w:val="311"/>
        </w:trPr>
        <w:tc>
          <w:tcPr>
            <w:tcW w:w="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tcBorders>
              <w:bottom w:val="single" w:sz="8" w:color="CCEEFF"/>
            </w:tcBorders>
            <w:shd w:val="clear" w:color="auto" w:fill="CCEEFF"/>
          </w:tcPr>
          <w:p>
            <w:pPr>
              <w:spacing w:after="0"/>
              <w:rPr>
                <w:sz w:val="24"/>
                <w:szCs w:val="24"/>
                <w:color w:val="auto"/>
              </w:rPr>
            </w:pPr>
          </w:p>
        </w:tc>
        <w:tc>
          <w:tcPr>
            <w:tcW w:w="43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54"/>
        </w:trPr>
        <w:tc>
          <w:tcPr>
            <w:tcW w:w="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660" w:type="dxa"/>
            <w:vAlign w:val="bottom"/>
            <w:tcBorders>
              <w:bottom w:val="single" w:sz="8" w:color="CCEEFF"/>
            </w:tcBorders>
            <w:shd w:val="clear" w:color="auto" w:fill="CCEEFF"/>
          </w:tcPr>
          <w:p>
            <w:pPr>
              <w:spacing w:after="0"/>
              <w:rPr>
                <w:sz w:val="24"/>
                <w:szCs w:val="24"/>
                <w:color w:val="auto"/>
              </w:rPr>
            </w:pPr>
          </w:p>
        </w:tc>
        <w:tc>
          <w:tcPr>
            <w:tcW w:w="43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$ 45,043</w:t>
            </w:r>
          </w:p>
        </w:tc>
        <w:tc>
          <w:tcPr>
            <w:tcW w:w="3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$ 34,350</w:t>
            </w: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5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7,907</w:t>
            </w:r>
          </w:p>
        </w:tc>
        <w:tc>
          <w:tcPr>
            <w:tcW w:w="14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11,158</w:t>
            </w:r>
          </w:p>
        </w:tc>
        <w:tc>
          <w:tcPr>
            <w:tcW w:w="240" w:type="dxa"/>
            <w:vAlign w:val="bottom"/>
          </w:tcPr>
          <w:p>
            <w:pPr>
              <w:spacing w:after="0"/>
              <w:rPr>
                <w:sz w:val="23"/>
                <w:szCs w:val="23"/>
                <w:color w:val="auto"/>
              </w:rPr>
            </w:pPr>
          </w:p>
        </w:tc>
      </w:tr>
      <w:tr>
        <w:trPr>
          <w:trHeight w:val="54"/>
        </w:trPr>
        <w:tc>
          <w:tcPr>
            <w:tcW w:w="1540" w:type="dxa"/>
            <w:vAlign w:val="bottom"/>
            <w:gridSpan w:val="2"/>
          </w:tcPr>
          <w:p>
            <w:pPr>
              <w:spacing w:after="0"/>
              <w:rPr>
                <w:sz w:val="4"/>
                <w:szCs w:val="4"/>
                <w:color w:val="auto"/>
              </w:rPr>
            </w:pPr>
          </w:p>
        </w:tc>
        <w:tc>
          <w:tcPr>
            <w:tcW w:w="4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7"/>
        </w:trPr>
        <w:tc>
          <w:tcPr>
            <w:tcW w:w="5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6,409</w:t>
            </w:r>
          </w:p>
        </w:tc>
        <w:tc>
          <w:tcPr>
            <w:tcW w:w="14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240" w:type="dxa"/>
            <w:vAlign w:val="bottom"/>
            <w:shd w:val="clear" w:color="auto" w:fill="CCEEFF"/>
          </w:tcPr>
          <w:p>
            <w:pPr>
              <w:spacing w:after="0"/>
              <w:rPr>
                <w:sz w:val="22"/>
                <w:szCs w:val="22"/>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43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right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r>
      <w:tr>
        <w:trPr>
          <w:trHeight w:val="284"/>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59,359</w:t>
            </w:r>
          </w:p>
        </w:tc>
        <w:tc>
          <w:tcPr>
            <w:tcW w:w="14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51,486</w:t>
            </w:r>
          </w:p>
        </w:tc>
        <w:tc>
          <w:tcPr>
            <w:tcW w:w="240" w:type="dxa"/>
            <w:vAlign w:val="bottom"/>
          </w:tcPr>
          <w:p>
            <w:pPr>
              <w:spacing w:after="0"/>
              <w:rPr>
                <w:sz w:val="24"/>
                <w:szCs w:val="24"/>
                <w:color w:val="auto"/>
              </w:rPr>
            </w:pPr>
          </w:p>
        </w:tc>
      </w:tr>
      <w:tr>
        <w:trPr>
          <w:trHeight w:val="54"/>
        </w:trPr>
        <w:tc>
          <w:tcPr>
            <w:tcW w:w="1540" w:type="dxa"/>
            <w:vAlign w:val="bottom"/>
            <w:gridSpan w:val="2"/>
          </w:tcPr>
          <w:p>
            <w:pPr>
              <w:spacing w:after="0"/>
              <w:rPr>
                <w:sz w:val="4"/>
                <w:szCs w:val="4"/>
                <w:color w:val="auto"/>
              </w:rPr>
            </w:pPr>
          </w:p>
        </w:tc>
        <w:tc>
          <w:tcPr>
            <w:tcW w:w="4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58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24,876</w:t>
            </w:r>
          </w:p>
        </w:tc>
        <w:tc>
          <w:tcPr>
            <w:tcW w:w="1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24,255</w:t>
            </w: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6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68,368</w:t>
            </w:r>
          </w:p>
        </w:tc>
        <w:tc>
          <w:tcPr>
            <w:tcW w:w="14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240" w:type="dxa"/>
            <w:vAlign w:val="bottom"/>
          </w:tcPr>
          <w:p>
            <w:pPr>
              <w:spacing w:after="0"/>
              <w:rPr>
                <w:sz w:val="23"/>
                <w:szCs w:val="23"/>
                <w:color w:val="auto"/>
              </w:rPr>
            </w:pPr>
          </w:p>
        </w:tc>
      </w:tr>
      <w:tr>
        <w:trPr>
          <w:trHeight w:val="54"/>
        </w:trPr>
        <w:tc>
          <w:tcPr>
            <w:tcW w:w="1540" w:type="dxa"/>
            <w:vAlign w:val="bottom"/>
            <w:gridSpan w:val="2"/>
          </w:tcPr>
          <w:p>
            <w:pPr>
              <w:spacing w:after="0"/>
              <w:rPr>
                <w:sz w:val="4"/>
                <w:szCs w:val="4"/>
                <w:color w:val="auto"/>
              </w:rPr>
            </w:pPr>
          </w:p>
        </w:tc>
        <w:tc>
          <w:tcPr>
            <w:tcW w:w="4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58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2,091</w:t>
            </w:r>
          </w:p>
        </w:tc>
        <w:tc>
          <w:tcPr>
            <w:tcW w:w="1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15,513</w:t>
            </w:r>
          </w:p>
        </w:tc>
        <w:tc>
          <w:tcPr>
            <w:tcW w:w="14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240" w:type="dxa"/>
            <w:vAlign w:val="bottom"/>
          </w:tcPr>
          <w:p>
            <w:pPr>
              <w:spacing w:after="0"/>
              <w:rPr>
                <w:sz w:val="23"/>
                <w:szCs w:val="23"/>
                <w:color w:val="auto"/>
              </w:rPr>
            </w:pPr>
          </w:p>
        </w:tc>
      </w:tr>
      <w:tr>
        <w:trPr>
          <w:trHeight w:val="54"/>
        </w:trPr>
        <w:tc>
          <w:tcPr>
            <w:tcW w:w="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7"/>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Other assets</w:t>
            </w:r>
          </w:p>
        </w:tc>
        <w:tc>
          <w:tcPr>
            <w:tcW w:w="660" w:type="dxa"/>
            <w:vAlign w:val="bottom"/>
            <w:shd w:val="clear" w:color="auto" w:fill="CCEEFF"/>
          </w:tcPr>
          <w:p>
            <w:pPr>
              <w:spacing w:after="0"/>
              <w:rPr>
                <w:sz w:val="22"/>
                <w:szCs w:val="22"/>
                <w:color w:val="auto"/>
              </w:rPr>
            </w:pPr>
          </w:p>
        </w:tc>
        <w:tc>
          <w:tcPr>
            <w:tcW w:w="432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3,361</w:t>
            </w:r>
          </w:p>
        </w:tc>
        <w:tc>
          <w:tcPr>
            <w:tcW w:w="14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240" w:type="dxa"/>
            <w:vAlign w:val="bottom"/>
            <w:shd w:val="clear" w:color="auto" w:fill="CCEEFF"/>
          </w:tcPr>
          <w:p>
            <w:pPr>
              <w:spacing w:after="0"/>
              <w:rPr>
                <w:sz w:val="22"/>
                <w:szCs w:val="22"/>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43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right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r>
      <w:tr>
        <w:trPr>
          <w:trHeight w:val="270"/>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173,568</w:t>
            </w:r>
          </w:p>
        </w:tc>
        <w:tc>
          <w:tcPr>
            <w:tcW w:w="14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167,021</w:t>
            </w:r>
          </w:p>
        </w:tc>
        <w:tc>
          <w:tcPr>
            <w:tcW w:w="240" w:type="dxa"/>
            <w:vAlign w:val="bottom"/>
          </w:tcPr>
          <w:p>
            <w:pPr>
              <w:spacing w:after="0"/>
              <w:rPr>
                <w:sz w:val="23"/>
                <w:szCs w:val="23"/>
                <w:color w:val="auto"/>
              </w:rPr>
            </w:pPr>
          </w:p>
        </w:tc>
      </w:tr>
      <w:tr>
        <w:trPr>
          <w:trHeight w:val="21"/>
        </w:trPr>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8"/>
        </w:trPr>
        <w:tc>
          <w:tcPr>
            <w:tcW w:w="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44"/>
        </w:trPr>
        <w:tc>
          <w:tcPr>
            <w:tcW w:w="58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54"/>
        </w:trPr>
        <w:tc>
          <w:tcPr>
            <w:tcW w:w="1540" w:type="dxa"/>
            <w:vAlign w:val="bottom"/>
            <w:gridSpan w:val="2"/>
          </w:tcPr>
          <w:p>
            <w:pPr>
              <w:spacing w:after="0"/>
              <w:rPr>
                <w:sz w:val="4"/>
                <w:szCs w:val="4"/>
                <w:color w:val="auto"/>
              </w:rPr>
            </w:pPr>
          </w:p>
        </w:tc>
        <w:tc>
          <w:tcPr>
            <w:tcW w:w="4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58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$ 16,533</w:t>
            </w:r>
          </w:p>
        </w:tc>
        <w:tc>
          <w:tcPr>
            <w:tcW w:w="3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$ 21,182</w:t>
            </w: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5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5,765</w:t>
            </w:r>
          </w:p>
        </w:tc>
        <w:tc>
          <w:tcPr>
            <w:tcW w:w="14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240" w:type="dxa"/>
            <w:vAlign w:val="bottom"/>
          </w:tcPr>
          <w:p>
            <w:pPr>
              <w:spacing w:after="0"/>
              <w:rPr>
                <w:sz w:val="23"/>
                <w:szCs w:val="23"/>
                <w:color w:val="auto"/>
              </w:rPr>
            </w:pPr>
          </w:p>
        </w:tc>
      </w:tr>
      <w:tr>
        <w:trPr>
          <w:trHeight w:val="54"/>
        </w:trPr>
        <w:tc>
          <w:tcPr>
            <w:tcW w:w="1540" w:type="dxa"/>
            <w:vAlign w:val="bottom"/>
            <w:gridSpan w:val="2"/>
          </w:tcPr>
          <w:p>
            <w:pPr>
              <w:spacing w:after="0"/>
              <w:rPr>
                <w:sz w:val="4"/>
                <w:szCs w:val="4"/>
                <w:color w:val="auto"/>
              </w:rPr>
            </w:pPr>
          </w:p>
        </w:tc>
        <w:tc>
          <w:tcPr>
            <w:tcW w:w="4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58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2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4,088</w:t>
            </w:r>
          </w:p>
        </w:tc>
        <w:tc>
          <w:tcPr>
            <w:tcW w:w="1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240" w:type="dxa"/>
            <w:vAlign w:val="bottom"/>
            <w:tcBorders>
              <w:bottom w:val="single" w:sz="8" w:color="CCEEFF"/>
            </w:tcBorders>
            <w:shd w:val="clear" w:color="auto" w:fill="CCEEFF"/>
          </w:tcPr>
          <w:p>
            <w:pPr>
              <w:spacing w:after="0"/>
              <w:rPr>
                <w:sz w:val="24"/>
                <w:szCs w:val="24"/>
                <w:color w:val="auto"/>
              </w:rPr>
            </w:pPr>
          </w:p>
        </w:tc>
      </w:tr>
      <w:tr>
        <w:trPr>
          <w:trHeight w:val="257"/>
        </w:trPr>
        <w:tc>
          <w:tcPr>
            <w:tcW w:w="5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current</w:t>
            </w: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1,396</w:t>
            </w:r>
          </w:p>
        </w:tc>
        <w:tc>
          <w:tcPr>
            <w:tcW w:w="14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Pr>
          <w:p>
            <w:pPr>
              <w:spacing w:after="0"/>
              <w:rPr>
                <w:sz w:val="22"/>
                <w:szCs w:val="22"/>
                <w:color w:val="auto"/>
              </w:rPr>
            </w:pPr>
          </w:p>
        </w:tc>
      </w:tr>
      <w:tr>
        <w:trPr>
          <w:trHeight w:val="61"/>
        </w:trPr>
        <w:tc>
          <w:tcPr>
            <w:tcW w:w="8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r>
      <w:tr>
        <w:trPr>
          <w:trHeight w:val="318"/>
        </w:trPr>
        <w:tc>
          <w:tcPr>
            <w:tcW w:w="58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27,782</w:t>
            </w:r>
          </w:p>
        </w:tc>
        <w:tc>
          <w:tcPr>
            <w:tcW w:w="1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33,715</w:t>
            </w: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26,912</w:t>
            </w:r>
          </w:p>
        </w:tc>
        <w:tc>
          <w:tcPr>
            <w:tcW w:w="14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26,550</w:t>
            </w:r>
          </w:p>
        </w:tc>
        <w:tc>
          <w:tcPr>
            <w:tcW w:w="240" w:type="dxa"/>
            <w:vAlign w:val="bottom"/>
          </w:tcPr>
          <w:p>
            <w:pPr>
              <w:spacing w:after="0"/>
              <w:rPr>
                <w:sz w:val="23"/>
                <w:szCs w:val="23"/>
                <w:color w:val="auto"/>
              </w:rPr>
            </w:pPr>
          </w:p>
        </w:tc>
      </w:tr>
      <w:tr>
        <w:trPr>
          <w:trHeight w:val="54"/>
        </w:trPr>
        <w:tc>
          <w:tcPr>
            <w:tcW w:w="1540" w:type="dxa"/>
            <w:vAlign w:val="bottom"/>
            <w:gridSpan w:val="2"/>
          </w:tcPr>
          <w:p>
            <w:pPr>
              <w:spacing w:after="0"/>
              <w:rPr>
                <w:sz w:val="4"/>
                <w:szCs w:val="4"/>
                <w:color w:val="auto"/>
              </w:rPr>
            </w:pPr>
          </w:p>
        </w:tc>
        <w:tc>
          <w:tcPr>
            <w:tcW w:w="4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58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receivable agreement liability, non-current</w:t>
            </w:r>
          </w:p>
        </w:tc>
        <w:tc>
          <w:tcPr>
            <w:tcW w:w="12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1,730</w:t>
            </w:r>
          </w:p>
        </w:tc>
        <w:tc>
          <w:tcPr>
            <w:tcW w:w="1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40" w:type="dxa"/>
            <w:vAlign w:val="bottom"/>
          </w:tcPr>
          <w:p>
            <w:pPr>
              <w:spacing w:after="0"/>
              <w:rPr>
                <w:sz w:val="23"/>
                <w:szCs w:val="23"/>
                <w:color w:val="auto"/>
              </w:rPr>
            </w:pPr>
          </w:p>
        </w:tc>
      </w:tr>
      <w:tr>
        <w:trPr>
          <w:trHeight w:val="54"/>
        </w:trPr>
        <w:tc>
          <w:tcPr>
            <w:tcW w:w="1540" w:type="dxa"/>
            <w:vAlign w:val="bottom"/>
            <w:gridSpan w:val="2"/>
          </w:tcPr>
          <w:p>
            <w:pPr>
              <w:spacing w:after="0"/>
              <w:rPr>
                <w:sz w:val="4"/>
                <w:szCs w:val="4"/>
                <w:color w:val="auto"/>
              </w:rPr>
            </w:pPr>
          </w:p>
        </w:tc>
        <w:tc>
          <w:tcPr>
            <w:tcW w:w="4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6"/>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1,764</w:t>
            </w:r>
          </w:p>
        </w:tc>
        <w:tc>
          <w:tcPr>
            <w:tcW w:w="14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240" w:type="dxa"/>
            <w:vAlign w:val="bottom"/>
            <w:shd w:val="clear" w:color="auto" w:fill="CCEEFF"/>
          </w:tcPr>
          <w:p>
            <w:pPr>
              <w:spacing w:after="0"/>
              <w:rPr>
                <w:sz w:val="22"/>
                <w:szCs w:val="22"/>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43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right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r>
      <w:tr>
        <w:trPr>
          <w:trHeight w:val="284"/>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58,578</w:t>
            </w:r>
          </w:p>
        </w:tc>
        <w:tc>
          <w:tcPr>
            <w:tcW w:w="14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63,870</w:t>
            </w:r>
          </w:p>
        </w:tc>
        <w:tc>
          <w:tcPr>
            <w:tcW w:w="240" w:type="dxa"/>
            <w:vAlign w:val="bottom"/>
          </w:tcPr>
          <w:p>
            <w:pPr>
              <w:spacing w:after="0"/>
              <w:rPr>
                <w:sz w:val="24"/>
                <w:szCs w:val="24"/>
                <w:color w:val="auto"/>
              </w:rPr>
            </w:pPr>
          </w:p>
        </w:tc>
      </w:tr>
      <w:tr>
        <w:trPr>
          <w:trHeight w:val="54"/>
        </w:trPr>
        <w:tc>
          <w:tcPr>
            <w:tcW w:w="1540" w:type="dxa"/>
            <w:vAlign w:val="bottom"/>
            <w:gridSpan w:val="2"/>
          </w:tcPr>
          <w:p>
            <w:pPr>
              <w:spacing w:after="0"/>
              <w:rPr>
                <w:sz w:val="4"/>
                <w:szCs w:val="4"/>
                <w:color w:val="auto"/>
              </w:rPr>
            </w:pPr>
          </w:p>
        </w:tc>
        <w:tc>
          <w:tcPr>
            <w:tcW w:w="4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58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54"/>
        </w:trPr>
        <w:tc>
          <w:tcPr>
            <w:tcW w:w="1540" w:type="dxa"/>
            <w:vAlign w:val="bottom"/>
            <w:gridSpan w:val="2"/>
          </w:tcPr>
          <w:p>
            <w:pPr>
              <w:spacing w:after="0"/>
              <w:rPr>
                <w:sz w:val="4"/>
                <w:szCs w:val="4"/>
                <w:color w:val="auto"/>
              </w:rPr>
            </w:pPr>
          </w:p>
        </w:tc>
        <w:tc>
          <w:tcPr>
            <w:tcW w:w="4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2"/>
        </w:trPr>
        <w:tc>
          <w:tcPr>
            <w:tcW w:w="5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 $0.0001 par value; 75,000,000 shares authorized; no</w:t>
            </w: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16"/>
        </w:trPr>
        <w:tc>
          <w:tcPr>
            <w:tcW w:w="5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at September 30, 2024 and December 31,</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68"/>
        </w:trPr>
        <w:tc>
          <w:tcPr>
            <w:tcW w:w="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Borders>
              <w:bottom w:val="single" w:sz="8" w:color="CCEEFF"/>
            </w:tcBorders>
            <w:shd w:val="clear" w:color="auto" w:fill="CCEEFF"/>
          </w:tcPr>
          <w:p>
            <w:pPr>
              <w:spacing w:after="0"/>
              <w:rPr>
                <w:sz w:val="23"/>
                <w:szCs w:val="23"/>
                <w:color w:val="auto"/>
              </w:rPr>
            </w:pPr>
          </w:p>
        </w:tc>
        <w:tc>
          <w:tcPr>
            <w:tcW w:w="43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5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Class A Common Stock - $0.0001 par value; 1,500,000,000 shares</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16"/>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authorized; 97,376,026 shares issued and outstanding at September 30,</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2024 and 94,383,053 shares issued and outstanding at December 31,</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0"/>
                <w:szCs w:val="20"/>
                <w:color w:val="auto"/>
              </w:rPr>
            </w:pPr>
          </w:p>
        </w:tc>
      </w:tr>
      <w:tr>
        <w:trPr>
          <w:trHeight w:val="54"/>
        </w:trPr>
        <w:tc>
          <w:tcPr>
            <w:tcW w:w="1540" w:type="dxa"/>
            <w:vAlign w:val="bottom"/>
            <w:gridSpan w:val="2"/>
          </w:tcPr>
          <w:p>
            <w:pPr>
              <w:spacing w:after="0"/>
              <w:rPr>
                <w:sz w:val="4"/>
                <w:szCs w:val="4"/>
                <w:color w:val="auto"/>
              </w:rPr>
            </w:pPr>
          </w:p>
        </w:tc>
        <w:tc>
          <w:tcPr>
            <w:tcW w:w="4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2"/>
        </w:trPr>
        <w:tc>
          <w:tcPr>
            <w:tcW w:w="5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V Common Stock - $0.0001 par value; 500,000,000 shares authorized,</w:t>
            </w: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16"/>
        </w:trPr>
        <w:tc>
          <w:tcPr>
            <w:tcW w:w="5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55,486,361 shares issued and outstanding at September 30, 2024 and</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68"/>
        </w:trPr>
        <w:tc>
          <w:tcPr>
            <w:tcW w:w="58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2023</w:t>
            </w:r>
          </w:p>
        </w:tc>
        <w:tc>
          <w:tcPr>
            <w:tcW w:w="12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CEEFF"/>
            </w:tcBorders>
            <w:shd w:val="clear" w:color="auto" w:fill="CCEEFF"/>
          </w:tcPr>
          <w:p>
            <w:pPr>
              <w:spacing w:after="0"/>
              <w:rPr>
                <w:sz w:val="23"/>
                <w:szCs w:val="23"/>
                <w:color w:val="auto"/>
              </w:rPr>
            </w:pPr>
          </w:p>
        </w:tc>
      </w:tr>
      <w:tr>
        <w:trPr>
          <w:trHeight w:val="270"/>
        </w:trPr>
        <w:tc>
          <w:tcPr>
            <w:tcW w:w="5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88,762</w:t>
            </w:r>
          </w:p>
        </w:tc>
        <w:tc>
          <w:tcPr>
            <w:tcW w:w="14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80,884</w:t>
            </w:r>
          </w:p>
        </w:tc>
        <w:tc>
          <w:tcPr>
            <w:tcW w:w="240" w:type="dxa"/>
            <w:vAlign w:val="bottom"/>
          </w:tcPr>
          <w:p>
            <w:pPr>
              <w:spacing w:after="0"/>
              <w:rPr>
                <w:sz w:val="23"/>
                <w:szCs w:val="23"/>
                <w:color w:val="auto"/>
              </w:rPr>
            </w:pPr>
          </w:p>
        </w:tc>
      </w:tr>
      <w:tr>
        <w:trPr>
          <w:trHeight w:val="54"/>
        </w:trPr>
        <w:tc>
          <w:tcPr>
            <w:tcW w:w="1540" w:type="dxa"/>
            <w:vAlign w:val="bottom"/>
            <w:gridSpan w:val="2"/>
          </w:tcPr>
          <w:p>
            <w:pPr>
              <w:spacing w:after="0"/>
              <w:rPr>
                <w:sz w:val="4"/>
                <w:szCs w:val="4"/>
                <w:color w:val="auto"/>
              </w:rPr>
            </w:pPr>
          </w:p>
        </w:tc>
        <w:tc>
          <w:tcPr>
            <w:tcW w:w="4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6"/>
        </w:trPr>
        <w:tc>
          <w:tcPr>
            <w:tcW w:w="5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(59,230)</w:t>
            </w:r>
          </w:p>
        </w:tc>
        <w:tc>
          <w:tcPr>
            <w:tcW w:w="14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(64,518)</w:t>
            </w: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43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right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r>
      <w:tr>
        <w:trPr>
          <w:trHeight w:val="283"/>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29,547</w:t>
            </w:r>
          </w:p>
        </w:tc>
        <w:tc>
          <w:tcPr>
            <w:tcW w:w="14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240" w:type="dxa"/>
            <w:vAlign w:val="bottom"/>
          </w:tcPr>
          <w:p>
            <w:pPr>
              <w:spacing w:after="0"/>
              <w:rPr>
                <w:sz w:val="24"/>
                <w:szCs w:val="24"/>
                <w:color w:val="auto"/>
              </w:rPr>
            </w:pPr>
          </w:p>
        </w:tc>
      </w:tr>
      <w:tr>
        <w:trPr>
          <w:trHeight w:val="54"/>
        </w:trPr>
        <w:tc>
          <w:tcPr>
            <w:tcW w:w="1540" w:type="dxa"/>
            <w:vAlign w:val="bottom"/>
            <w:gridSpan w:val="2"/>
          </w:tcPr>
          <w:p>
            <w:pPr>
              <w:spacing w:after="0"/>
              <w:rPr>
                <w:sz w:val="4"/>
                <w:szCs w:val="4"/>
                <w:color w:val="auto"/>
              </w:rPr>
            </w:pPr>
          </w:p>
        </w:tc>
        <w:tc>
          <w:tcPr>
            <w:tcW w:w="4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7"/>
        </w:trPr>
        <w:tc>
          <w:tcPr>
            <w:tcW w:w="5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85,443</w:t>
            </w:r>
          </w:p>
        </w:tc>
        <w:tc>
          <w:tcPr>
            <w:tcW w:w="14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86,771</w:t>
            </w:r>
          </w:p>
        </w:tc>
        <w:tc>
          <w:tcPr>
            <w:tcW w:w="240" w:type="dxa"/>
            <w:vAlign w:val="bottom"/>
            <w:shd w:val="clear" w:color="auto" w:fill="CCEEFF"/>
          </w:tcPr>
          <w:p>
            <w:pPr>
              <w:spacing w:after="0"/>
              <w:rPr>
                <w:sz w:val="22"/>
                <w:szCs w:val="22"/>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43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right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r>
      <w:tr>
        <w:trPr>
          <w:trHeight w:val="270"/>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114,990</w:t>
            </w:r>
          </w:p>
        </w:tc>
        <w:tc>
          <w:tcPr>
            <w:tcW w:w="14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103,151</w:t>
            </w:r>
          </w:p>
        </w:tc>
        <w:tc>
          <w:tcPr>
            <w:tcW w:w="240" w:type="dxa"/>
            <w:vAlign w:val="bottom"/>
          </w:tcPr>
          <w:p>
            <w:pPr>
              <w:spacing w:after="0"/>
              <w:rPr>
                <w:sz w:val="23"/>
                <w:szCs w:val="23"/>
                <w:color w:val="auto"/>
              </w:rPr>
            </w:pPr>
          </w:p>
        </w:tc>
      </w:tr>
      <w:tr>
        <w:trPr>
          <w:trHeight w:val="61"/>
        </w:trPr>
        <w:tc>
          <w:tcPr>
            <w:tcW w:w="8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r>
      <w:tr>
        <w:trPr>
          <w:trHeight w:val="290"/>
        </w:trPr>
        <w:tc>
          <w:tcPr>
            <w:tcW w:w="5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173,568</w:t>
            </w:r>
          </w:p>
        </w:tc>
        <w:tc>
          <w:tcPr>
            <w:tcW w:w="140" w:type="dxa"/>
            <w:vAlign w:val="bottom"/>
            <w:shd w:val="clear" w:color="auto" w:fill="CCEEFF"/>
          </w:tcPr>
          <w:p>
            <w:pPr>
              <w:spacing w:after="0"/>
              <w:rPr>
                <w:sz w:val="24"/>
                <w:szCs w:val="24"/>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167,021</w:t>
            </w:r>
          </w:p>
        </w:tc>
        <w:tc>
          <w:tcPr>
            <w:tcW w:w="240" w:type="dxa"/>
            <w:vAlign w:val="bottom"/>
            <w:shd w:val="clear" w:color="auto" w:fill="CCEEFF"/>
          </w:tcPr>
          <w:p>
            <w:pPr>
              <w:spacing w:after="0"/>
              <w:rPr>
                <w:sz w:val="24"/>
                <w:szCs w:val="24"/>
                <w:color w:val="auto"/>
              </w:rPr>
            </w:pPr>
          </w:p>
        </w:tc>
      </w:tr>
      <w:tr>
        <w:trPr>
          <w:trHeight w:val="27"/>
        </w:trPr>
        <w:tc>
          <w:tcPr>
            <w:tcW w:w="8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3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auto"/>
              <w:right w:val="single" w:sz="8" w:color="auto"/>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4694555</wp:posOffset>
            </wp:positionH>
            <wp:positionV relativeFrom="paragraph">
              <wp:posOffset>-8348980</wp:posOffset>
            </wp:positionV>
            <wp:extent cx="939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-8348980</wp:posOffset>
            </wp:positionV>
            <wp:extent cx="514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0" w:gutter="0" w:footer="0" w:header="0"/>
        </w:sectPr>
      </w:pPr>
    </w:p>
    <w:bookmarkStart w:id="139" w:name="page140"/>
    <w:bookmarkEnd w:id="1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2380" w:type="dxa"/>
            <w:vAlign w:val="bottom"/>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20" w:type="dxa"/>
            <w:vAlign w:val="bottom"/>
            <w:gridSpan w:val="11"/>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50"/>
        </w:trPr>
        <w:tc>
          <w:tcPr>
            <w:tcW w:w="38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3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4"/>
          </w:tcPr>
          <w:p>
            <w:pPr>
              <w:ind w:left="60"/>
              <w:spacing w:after="0" w:line="243"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4"/>
          </w:tcPr>
          <w:p>
            <w:pPr>
              <w:jc w:val="center"/>
              <w:ind w:right="80"/>
              <w:spacing w:after="0" w:line="243" w:lineRule="exact"/>
              <w:rPr>
                <w:sz w:val="20"/>
                <w:szCs w:val="20"/>
                <w:color w:val="auto"/>
              </w:rPr>
            </w:pPr>
            <w:r>
              <w:rPr>
                <w:rFonts w:ascii="Times New Roman" w:cs="Times New Roman" w:eastAsia="Times New Roman" w:hAnsi="Times New Roman"/>
                <w:sz w:val="14"/>
                <w:szCs w:val="14"/>
                <w:b w:val="1"/>
                <w:bCs w:val="1"/>
                <w:color w:val="auto"/>
                <w:w w:val="98"/>
              </w:rPr>
              <w:t>As Restated</w:t>
            </w:r>
            <w:r>
              <w:rPr>
                <w:rFonts w:ascii="Times New Roman" w:cs="Times New Roman" w:eastAsia="Times New Roman" w:hAnsi="Times New Roman"/>
                <w:sz w:val="23"/>
                <w:szCs w:val="23"/>
                <w:b w:val="1"/>
                <w:bCs w:val="1"/>
                <w:color w:val="auto"/>
                <w:w w:val="98"/>
                <w:vertAlign w:val="superscript"/>
              </w:rPr>
              <w:t>1</w:t>
            </w:r>
          </w:p>
        </w:tc>
        <w:tc>
          <w:tcPr>
            <w:tcW w:w="0" w:type="dxa"/>
            <w:vAlign w:val="bottom"/>
          </w:tcPr>
          <w:p>
            <w:pPr>
              <w:spacing w:after="0"/>
              <w:rPr>
                <w:sz w:val="1"/>
                <w:szCs w:val="1"/>
                <w:color w:val="auto"/>
              </w:rPr>
            </w:pPr>
          </w:p>
        </w:tc>
      </w:tr>
      <w:tr>
        <w:trPr>
          <w:trHeight w:val="311"/>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46,552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46,687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136,844</w:t>
            </w:r>
          </w:p>
        </w:tc>
        <w:tc>
          <w:tcPr>
            <w:tcW w:w="8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141,526</w:t>
            </w:r>
          </w:p>
        </w:tc>
        <w:tc>
          <w:tcPr>
            <w:tcW w:w="80" w:type="dxa"/>
            <w:vAlign w:val="bottom"/>
            <w:tcBorders>
              <w:top w:val="single" w:sz="8" w:color="auto"/>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3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shown separately below)</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6,729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9,748</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30,374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36,171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28,355</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27,882</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16,494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18,151</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51,549</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55,839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9,641</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9,417</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8,382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3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41,348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52,235</w:t>
            </w: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126,648</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147,439</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38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(5,548)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(5,913)</w:t>
            </w:r>
          </w:p>
        </w:tc>
        <w:tc>
          <w:tcPr>
            <w:tcW w:w="0" w:type="dxa"/>
            <w:vAlign w:val="bottom"/>
          </w:tcPr>
          <w:p>
            <w:pPr>
              <w:spacing w:after="0"/>
              <w:rPr>
                <w:sz w:val="1"/>
                <w:szCs w:val="1"/>
                <w:color w:val="auto"/>
              </w:rPr>
            </w:pPr>
          </w:p>
        </w:tc>
      </w:tr>
      <w:tr>
        <w:trPr>
          <w:trHeight w:val="54"/>
        </w:trPr>
        <w:tc>
          <w:tcPr>
            <w:tcW w:w="3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 net</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54"/>
        </w:trPr>
        <w:tc>
          <w:tcPr>
            <w:tcW w:w="3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5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3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3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8,543</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(4,498)</w:t>
            </w:r>
          </w:p>
        </w:tc>
        <w:tc>
          <w:tcPr>
            <w:tcW w:w="0" w:type="dxa"/>
            <w:vAlign w:val="bottom"/>
          </w:tcPr>
          <w:p>
            <w:pPr>
              <w:spacing w:after="0"/>
              <w:rPr>
                <w:sz w:val="1"/>
                <w:szCs w:val="1"/>
                <w:color w:val="auto"/>
              </w:rPr>
            </w:pPr>
          </w:p>
        </w:tc>
      </w:tr>
      <w:tr>
        <w:trPr>
          <w:trHeight w:val="25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1"/>
        </w:trPr>
        <w:tc>
          <w:tcPr>
            <w:tcW w:w="3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3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8,471</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(4,498)</w:t>
            </w:r>
          </w:p>
        </w:tc>
        <w:tc>
          <w:tcPr>
            <w:tcW w:w="0" w:type="dxa"/>
            <w:vAlign w:val="bottom"/>
          </w:tcPr>
          <w:p>
            <w:pPr>
              <w:spacing w:after="0"/>
              <w:rPr>
                <w:sz w:val="1"/>
                <w:szCs w:val="1"/>
                <w:color w:val="auto"/>
              </w:rPr>
            </w:pPr>
          </w:p>
        </w:tc>
      </w:tr>
      <w:tr>
        <w:trPr>
          <w:trHeight w:val="252"/>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3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61"/>
        </w:trPr>
        <w:tc>
          <w:tcPr>
            <w:tcW w:w="3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WM</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3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Technology, Inc.</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3,332</w:t>
            </w:r>
          </w:p>
        </w:tc>
        <w:tc>
          <w:tcPr>
            <w:tcW w:w="10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(2,787)</w:t>
            </w:r>
          </w:p>
        </w:tc>
        <w:tc>
          <w:tcPr>
            <w:tcW w:w="0" w:type="dxa"/>
            <w:vAlign w:val="bottom"/>
          </w:tcPr>
          <w:p>
            <w:pPr>
              <w:spacing w:after="0"/>
              <w:rPr>
                <w:sz w:val="1"/>
                <w:szCs w:val="1"/>
                <w:color w:val="auto"/>
              </w:rPr>
            </w:pPr>
          </w:p>
        </w:tc>
      </w:tr>
      <w:tr>
        <w:trPr>
          <w:trHeight w:val="311"/>
        </w:trPr>
        <w:tc>
          <w:tcPr>
            <w:tcW w:w="3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70"/>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3"/>
                <w:szCs w:val="23"/>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54"/>
        </w:trPr>
        <w:tc>
          <w:tcPr>
            <w:tcW w:w="3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97,166,788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93,651,871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95,743,064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92,947,191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97,811,251</w:t>
            </w:r>
          </w:p>
        </w:tc>
        <w:tc>
          <w:tcPr>
            <w:tcW w:w="10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93,651,871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96,761,731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92,947,191</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8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-5708650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-5708650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-5708650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-5708650</wp:posOffset>
            </wp:positionV>
            <wp:extent cx="342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41" w:lineRule="auto"/>
        <w:tabs>
          <w:tab w:leader="none" w:pos="64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2023, net revenues and general and administrative expenses have been retrospectively adjusted to reflect the restatement of previously reported revenue and credit losses. See Note 2, “Summary of Significant Accounting Policies,” for further information.</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0" w:name="page141"/>
    <w:bookmarkEnd w:id="1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20" w:type="dxa"/>
            <w:vAlign w:val="bottom"/>
            <w:gridSpan w:val="17"/>
          </w:tcPr>
          <w:p>
            <w:pPr>
              <w:ind w:left="480"/>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 2024</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Total WM</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120" w:type="dxa"/>
            <w:vAlign w:val="bottom"/>
            <w:gridSpan w:val="4"/>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Class V</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4"/>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4"/>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Technology, Inc.</w:t>
            </w:r>
          </w:p>
        </w:tc>
        <w:tc>
          <w:tcPr>
            <w:tcW w:w="80" w:type="dxa"/>
            <w:vAlign w:val="bottom"/>
            <w:vMerge w:val="restart"/>
          </w:tcPr>
          <w:p>
            <w:pPr>
              <w:spacing w:after="0"/>
              <w:rPr>
                <w:sz w:val="8"/>
                <w:szCs w:val="8"/>
                <w:color w:val="auto"/>
              </w:rPr>
            </w:pPr>
          </w:p>
        </w:tc>
        <w:tc>
          <w:tcPr>
            <w:tcW w:w="600" w:type="dxa"/>
            <w:vAlign w:val="bottom"/>
            <w:gridSpan w:val="2"/>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Par</w:t>
            </w: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1"/>
              </w:rPr>
              <w:t>Par</w:t>
            </w:r>
          </w:p>
        </w:tc>
        <w:tc>
          <w:tcPr>
            <w:tcW w:w="80" w:type="dxa"/>
            <w:vAlign w:val="bottom"/>
          </w:tcPr>
          <w:p>
            <w:pPr>
              <w:spacing w:after="0"/>
              <w:rPr>
                <w:sz w:val="3"/>
                <w:szCs w:val="3"/>
                <w:color w:val="auto"/>
              </w:rPr>
            </w:pPr>
          </w:p>
        </w:tc>
        <w:tc>
          <w:tcPr>
            <w:tcW w:w="740" w:type="dxa"/>
            <w:vAlign w:val="bottom"/>
            <w:gridSpan w:val="4"/>
            <w:vMerge w:val="continue"/>
          </w:tcPr>
          <w:p>
            <w:pPr>
              <w:spacing w:after="0"/>
              <w:rPr>
                <w:sz w:val="3"/>
                <w:szCs w:val="3"/>
                <w:color w:val="auto"/>
              </w:rPr>
            </w:pPr>
          </w:p>
        </w:tc>
        <w:tc>
          <w:tcPr>
            <w:tcW w:w="90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4"/>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gridSpan w:val="3"/>
            <w:vMerge w:val="continue"/>
          </w:tcPr>
          <w:p>
            <w:pPr>
              <w:spacing w:after="0"/>
              <w:rPr>
                <w:sz w:val="12"/>
                <w:szCs w:val="12"/>
                <w:color w:val="auto"/>
              </w:rPr>
            </w:pPr>
          </w:p>
        </w:tc>
        <w:tc>
          <w:tcPr>
            <w:tcW w:w="8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00" w:type="dxa"/>
            <w:vAlign w:val="bottom"/>
            <w:gridSpan w:val="4"/>
            <w:vMerge w:val="continue"/>
          </w:tcPr>
          <w:p>
            <w:pPr>
              <w:spacing w:after="0"/>
              <w:rPr>
                <w:sz w:val="12"/>
                <w:szCs w:val="12"/>
                <w:color w:val="auto"/>
              </w:rPr>
            </w:pPr>
          </w:p>
        </w:tc>
        <w:tc>
          <w:tcPr>
            <w:tcW w:w="108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6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3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85"/>
              </w:rPr>
              <w:t>Value</w:t>
            </w:r>
          </w:p>
        </w:tc>
        <w:tc>
          <w:tcPr>
            <w:tcW w:w="820" w:type="dxa"/>
            <w:vAlign w:val="bottom"/>
            <w:gridSpan w:val="2"/>
            <w:vMerge w:val="continue"/>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79"/>
              </w:rPr>
              <w:t>Value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7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6"/>
                <w:szCs w:val="16"/>
                <w:color w:val="auto"/>
              </w:rPr>
            </w:pPr>
          </w:p>
        </w:tc>
        <w:tc>
          <w:tcPr>
            <w:tcW w:w="8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51"/>
        </w:trPr>
        <w:tc>
          <w:tcPr>
            <w:tcW w:w="18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94,383,053</w:t>
            </w: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55,486,361</w:t>
            </w: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$80,884</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$(64,518)</w:t>
            </w: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$16,380</w:t>
            </w:r>
          </w:p>
        </w:tc>
        <w:tc>
          <w:tcPr>
            <w:tcW w:w="2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$86,771</w:t>
            </w:r>
          </w:p>
        </w:tc>
        <w:tc>
          <w:tcPr>
            <w:tcW w:w="7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$103,151</w:t>
            </w:r>
          </w:p>
        </w:tc>
        <w:tc>
          <w:tcPr>
            <w:tcW w:w="0" w:type="dxa"/>
            <w:vAlign w:val="bottom"/>
          </w:tcPr>
          <w:p>
            <w:pPr>
              <w:spacing w:after="0"/>
              <w:rPr>
                <w:sz w:val="1"/>
                <w:szCs w:val="1"/>
                <w:color w:val="auto"/>
              </w:rPr>
            </w:pPr>
          </w:p>
        </w:tc>
      </w:tr>
      <w:tr>
        <w:trPr>
          <w:trHeight w:val="235"/>
        </w:trPr>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3,115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3,115</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00" w:type="dxa"/>
            <w:vAlign w:val="bottom"/>
          </w:tcPr>
          <w:p>
            <w:pPr>
              <w:spacing w:after="0"/>
              <w:rPr>
                <w:sz w:val="20"/>
                <w:szCs w:val="20"/>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3,175</w:t>
            </w:r>
          </w:p>
        </w:tc>
        <w:tc>
          <w:tcPr>
            <w:tcW w:w="0" w:type="dxa"/>
            <w:vAlign w:val="bottom"/>
          </w:tcPr>
          <w:p>
            <w:pPr>
              <w:spacing w:after="0"/>
              <w:rPr>
                <w:sz w:val="1"/>
                <w:szCs w:val="1"/>
                <w:color w:val="auto"/>
              </w:rPr>
            </w:pPr>
          </w:p>
        </w:tc>
      </w:tr>
      <w:tr>
        <w:trPr>
          <w:trHeight w:val="35"/>
        </w:trPr>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vesting of restricted stock</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units, net of shares</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withheld for taxes</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628,941</w:t>
            </w: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35"/>
        </w:trPr>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w:t>
            </w:r>
          </w:p>
        </w:tc>
        <w:tc>
          <w:tcPr>
            <w:tcW w:w="1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0"/>
                <w:szCs w:val="20"/>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20"/>
                <w:szCs w:val="20"/>
                <w:color w:val="auto"/>
              </w:rPr>
            </w:pPr>
          </w:p>
        </w:tc>
        <w:tc>
          <w:tcPr>
            <w:tcW w:w="82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(1,455)</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(1,455)</w:t>
            </w:r>
          </w:p>
        </w:tc>
        <w:tc>
          <w:tcPr>
            <w:tcW w:w="0" w:type="dxa"/>
            <w:vAlign w:val="bottom"/>
          </w:tcPr>
          <w:p>
            <w:pPr>
              <w:spacing w:after="0"/>
              <w:rPr>
                <w:sz w:val="1"/>
                <w:szCs w:val="1"/>
                <w:color w:val="auto"/>
              </w:rPr>
            </w:pPr>
          </w:p>
        </w:tc>
      </w:tr>
      <w:tr>
        <w:trPr>
          <w:trHeight w:val="35"/>
        </w:trPr>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Class P Unit exchange</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39,741</w:t>
            </w: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(59)</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Net income</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1,240</w:t>
            </w: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1,240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719</w:t>
            </w:r>
          </w:p>
        </w:tc>
        <w:tc>
          <w:tcPr>
            <w:tcW w:w="10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1,959</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March 31, 2024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95,051,735</w:t>
            </w:r>
          </w:p>
        </w:tc>
        <w:tc>
          <w:tcPr>
            <w:tcW w:w="1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55,486,361</w:t>
            </w:r>
          </w:p>
        </w:tc>
        <w:tc>
          <w:tcPr>
            <w:tcW w:w="1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84,056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(63,278)</w:t>
            </w:r>
          </w:p>
        </w:tc>
        <w:tc>
          <w:tcPr>
            <w:tcW w:w="8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20,792</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86,036</w:t>
            </w: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106,828</w:t>
            </w:r>
          </w:p>
        </w:tc>
        <w:tc>
          <w:tcPr>
            <w:tcW w:w="0" w:type="dxa"/>
            <w:vAlign w:val="bottom"/>
          </w:tcPr>
          <w:p>
            <w:pPr>
              <w:spacing w:after="0"/>
              <w:rPr>
                <w:sz w:val="1"/>
                <w:szCs w:val="1"/>
                <w:color w:val="auto"/>
              </w:rPr>
            </w:pPr>
          </w:p>
        </w:tc>
      </w:tr>
      <w:tr>
        <w:trPr>
          <w:trHeight w:val="48"/>
        </w:trPr>
        <w:tc>
          <w:tcPr>
            <w:tcW w:w="18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1"/>
                <w:szCs w:val="21"/>
                <w:color w:val="auto"/>
              </w:rPr>
            </w:pP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2,950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2,950</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100" w:type="dxa"/>
            <w:vAlign w:val="bottom"/>
          </w:tcPr>
          <w:p>
            <w:pPr>
              <w:spacing w:after="0"/>
              <w:rPr>
                <w:sz w:val="21"/>
                <w:szCs w:val="21"/>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3,009</w:t>
            </w:r>
          </w:p>
        </w:tc>
        <w:tc>
          <w:tcPr>
            <w:tcW w:w="0" w:type="dxa"/>
            <w:vAlign w:val="bottom"/>
          </w:tcPr>
          <w:p>
            <w:pPr>
              <w:spacing w:after="0"/>
              <w:rPr>
                <w:sz w:val="1"/>
                <w:szCs w:val="1"/>
                <w:color w:val="auto"/>
              </w:rPr>
            </w:pPr>
          </w:p>
        </w:tc>
      </w:tr>
      <w:tr>
        <w:trPr>
          <w:trHeight w:val="35"/>
        </w:trPr>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vesting of restricted stock</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units, net of shares</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withheld for taxes</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1,896,515</w:t>
            </w: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5"/>
        </w:trPr>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w:t>
            </w:r>
          </w:p>
        </w:tc>
        <w:tc>
          <w:tcPr>
            <w:tcW w:w="1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0"/>
                <w:szCs w:val="20"/>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20"/>
                <w:szCs w:val="20"/>
                <w:color w:val="auto"/>
              </w:rPr>
            </w:pPr>
          </w:p>
        </w:tc>
        <w:tc>
          <w:tcPr>
            <w:tcW w:w="82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(1,845)</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(1,845)</w:t>
            </w:r>
          </w:p>
        </w:tc>
        <w:tc>
          <w:tcPr>
            <w:tcW w:w="0" w:type="dxa"/>
            <w:vAlign w:val="bottom"/>
          </w:tcPr>
          <w:p>
            <w:pPr>
              <w:spacing w:after="0"/>
              <w:rPr>
                <w:sz w:val="1"/>
                <w:szCs w:val="1"/>
                <w:color w:val="auto"/>
              </w:rPr>
            </w:pPr>
          </w:p>
        </w:tc>
      </w:tr>
      <w:tr>
        <w:trPr>
          <w:trHeight w:val="35"/>
        </w:trPr>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478</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1,194</w:t>
            </w:r>
          </w:p>
        </w:tc>
        <w:tc>
          <w:tcPr>
            <w:tcW w:w="0" w:type="dxa"/>
            <w:vAlign w:val="bottom"/>
          </w:tcPr>
          <w:p>
            <w:pPr>
              <w:spacing w:after="0"/>
              <w:rPr>
                <w:sz w:val="1"/>
                <w:szCs w:val="1"/>
                <w:color w:val="auto"/>
              </w:rPr>
            </w:pPr>
          </w:p>
        </w:tc>
      </w:tr>
      <w:tr>
        <w:trPr>
          <w:trHeight w:val="48"/>
        </w:trPr>
        <w:tc>
          <w:tcPr>
            <w:tcW w:w="18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8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As of June 30, 2024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96,948,250</w:t>
            </w:r>
          </w:p>
        </w:tc>
        <w:tc>
          <w:tcPr>
            <w:tcW w:w="14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u w:val="single" w:color="auto"/>
                <w:color w:val="auto"/>
                <w:w w:val="97"/>
              </w:rPr>
              <w:t>$</w:t>
            </w:r>
            <w:r>
              <w:rPr>
                <w:rFonts w:ascii="Times New Roman" w:cs="Times New Roman" w:eastAsia="Times New Roman" w:hAnsi="Times New Roman"/>
                <w:sz w:val="15"/>
                <w:szCs w:val="15"/>
                <w:color w:val="auto"/>
                <w:w w:val="97"/>
              </w:rPr>
              <w:t>10</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55,486,361</w:t>
            </w:r>
          </w:p>
        </w:tc>
        <w:tc>
          <w:tcPr>
            <w:tcW w:w="1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8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87,005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(62,562)</w:t>
            </w:r>
          </w:p>
        </w:tc>
        <w:tc>
          <w:tcPr>
            <w:tcW w:w="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24,458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84,728</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109,186</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1,758</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1,758</w:t>
            </w:r>
          </w:p>
        </w:tc>
        <w:tc>
          <w:tcPr>
            <w:tcW w:w="2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1,817</w:t>
            </w:r>
          </w:p>
        </w:tc>
        <w:tc>
          <w:tcPr>
            <w:tcW w:w="0" w:type="dxa"/>
            <w:vAlign w:val="bottom"/>
          </w:tcPr>
          <w:p>
            <w:pPr>
              <w:spacing w:after="0"/>
              <w:rPr>
                <w:sz w:val="1"/>
                <w:szCs w:val="1"/>
                <w:color w:val="auto"/>
              </w:rPr>
            </w:pPr>
          </w:p>
        </w:tc>
      </w:tr>
      <w:tr>
        <w:trPr>
          <w:trHeight w:val="199"/>
        </w:trPr>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Issuance of common stock -</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vesting of restricted stock</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units, net of shares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8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withheld for taxes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427,776</w:t>
            </w:r>
          </w:p>
        </w:tc>
        <w:tc>
          <w:tcPr>
            <w:tcW w:w="140" w:type="dxa"/>
            <w:vAlign w:val="bottom"/>
          </w:tcPr>
          <w:p>
            <w:pPr>
              <w:spacing w:after="0"/>
              <w:rPr>
                <w:sz w:val="17"/>
                <w:szCs w:val="17"/>
                <w:color w:val="auto"/>
              </w:rPr>
            </w:pP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35"/>
        </w:trPr>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Distributions</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(1,330)</w:t>
            </w:r>
          </w:p>
        </w:tc>
        <w:tc>
          <w:tcPr>
            <w:tcW w:w="7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(1,330)</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Net income</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3,332</w:t>
            </w: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3,332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1,986</w:t>
            </w:r>
          </w:p>
        </w:tc>
        <w:tc>
          <w:tcPr>
            <w:tcW w:w="10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5,318</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September 30, 2024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97,376,026</w:t>
            </w:r>
          </w:p>
        </w:tc>
        <w:tc>
          <w:tcPr>
            <w:tcW w:w="140" w:type="dxa"/>
            <w:vAlign w:val="bottom"/>
            <w:tcBorders>
              <w:right w:val="single" w:sz="8" w:color="CCEEFF"/>
            </w:tcBorders>
            <w:shd w:val="clear" w:color="auto" w:fill="CCEEFF"/>
          </w:tcPr>
          <w:p>
            <w:pPr>
              <w:spacing w:after="0"/>
              <w:rPr>
                <w:sz w:val="21"/>
                <w:szCs w:val="21"/>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u w:val="single" w:color="auto"/>
                <w:color w:val="auto"/>
                <w:w w:val="97"/>
              </w:rPr>
              <w:t>$</w:t>
            </w:r>
            <w:r>
              <w:rPr>
                <w:rFonts w:ascii="Times New Roman" w:cs="Times New Roman" w:eastAsia="Times New Roman" w:hAnsi="Times New Roman"/>
                <w:sz w:val="15"/>
                <w:szCs w:val="15"/>
                <w:color w:val="auto"/>
                <w:w w:val="97"/>
              </w:rPr>
              <w:t>10</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55,486,361</w:t>
            </w:r>
          </w:p>
        </w:tc>
        <w:tc>
          <w:tcPr>
            <w:tcW w:w="14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8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88,762</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(59,230)</w:t>
            </w: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29,547</w:t>
            </w: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85,443</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114,990</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-4045585</wp:posOffset>
            </wp:positionV>
            <wp:extent cx="514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-4045585</wp:posOffset>
            </wp:positionV>
            <wp:extent cx="514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-4045585</wp:posOffset>
            </wp:positionV>
            <wp:extent cx="514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-4045585</wp:posOffset>
            </wp:positionV>
            <wp:extent cx="2540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-4045585</wp:posOffset>
            </wp:positionV>
            <wp:extent cx="514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-4045585</wp:posOffset>
            </wp:positionV>
            <wp:extent cx="514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-4045585</wp:posOffset>
            </wp:positionV>
            <wp:extent cx="514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-4045585</wp:posOffset>
            </wp:positionV>
            <wp:extent cx="514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-4045585</wp:posOffset>
            </wp:positionV>
            <wp:extent cx="514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1" w:name="page142"/>
    <w:bookmarkEnd w:id="1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00" w:type="dxa"/>
            <w:vAlign w:val="bottom"/>
            <w:gridSpan w:val="14"/>
          </w:tcPr>
          <w:p>
            <w:pPr>
              <w:ind w:left="420"/>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 2023</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40" w:type="dxa"/>
            <w:vAlign w:val="bottom"/>
            <w:gridSpan w:val="3"/>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Total WM</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140" w:type="dxa"/>
            <w:vAlign w:val="bottom"/>
            <w:gridSpan w:val="3"/>
          </w:tcPr>
          <w:p>
            <w:pPr>
              <w:jc w:val="right"/>
              <w:ind w:right="264"/>
              <w:spacing w:after="0" w:line="149" w:lineRule="exact"/>
              <w:rPr>
                <w:sz w:val="20"/>
                <w:szCs w:val="20"/>
                <w:color w:val="auto"/>
              </w:rPr>
            </w:pPr>
            <w:r>
              <w:rPr>
                <w:rFonts w:ascii="Times New Roman" w:cs="Times New Roman" w:eastAsia="Times New Roman" w:hAnsi="Times New Roman"/>
                <w:sz w:val="14"/>
                <w:szCs w:val="14"/>
                <w:b w:val="1"/>
                <w:bCs w:val="1"/>
                <w:color w:val="auto"/>
              </w:rPr>
              <w:t>Class V</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4"/>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4"/>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Technology, Inc.</w:t>
            </w:r>
          </w:p>
        </w:tc>
        <w:tc>
          <w:tcPr>
            <w:tcW w:w="620" w:type="dxa"/>
            <w:vAlign w:val="bottom"/>
            <w:vMerge w:val="restart"/>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Par</w:t>
            </w: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vMerge w:val="restart"/>
          </w:tcPr>
          <w:p>
            <w:pPr>
              <w:jc w:val="right"/>
              <w:ind w:right="4"/>
              <w:spacing w:after="0"/>
              <w:rPr>
                <w:sz w:val="20"/>
                <w:szCs w:val="20"/>
                <w:color w:val="auto"/>
              </w:rPr>
            </w:pPr>
            <w:r>
              <w:rPr>
                <w:rFonts w:ascii="Times New Roman" w:cs="Times New Roman" w:eastAsia="Times New Roman" w:hAnsi="Times New Roman"/>
                <w:sz w:val="14"/>
                <w:szCs w:val="14"/>
                <w:b w:val="1"/>
                <w:bCs w:val="1"/>
                <w:color w:val="auto"/>
                <w:w w:val="91"/>
              </w:rPr>
              <w:t>Par</w:t>
            </w:r>
          </w:p>
        </w:tc>
        <w:tc>
          <w:tcPr>
            <w:tcW w:w="100" w:type="dxa"/>
            <w:vAlign w:val="bottom"/>
          </w:tcPr>
          <w:p>
            <w:pPr>
              <w:spacing w:after="0"/>
              <w:rPr>
                <w:sz w:val="3"/>
                <w:szCs w:val="3"/>
                <w:color w:val="auto"/>
              </w:rPr>
            </w:pPr>
          </w:p>
        </w:tc>
        <w:tc>
          <w:tcPr>
            <w:tcW w:w="780" w:type="dxa"/>
            <w:vAlign w:val="bottom"/>
            <w:gridSpan w:val="4"/>
            <w:vMerge w:val="continue"/>
          </w:tcPr>
          <w:p>
            <w:pPr>
              <w:spacing w:after="0"/>
              <w:rPr>
                <w:sz w:val="3"/>
                <w:szCs w:val="3"/>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60" w:type="dxa"/>
            <w:vAlign w:val="bottom"/>
            <w:gridSpan w:val="4"/>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720" w:type="dxa"/>
            <w:vAlign w:val="bottom"/>
            <w:gridSpan w:val="2"/>
            <w:vMerge w:val="continue"/>
          </w:tcPr>
          <w:p>
            <w:pPr>
              <w:spacing w:after="0"/>
              <w:rPr>
                <w:sz w:val="12"/>
                <w:szCs w:val="12"/>
                <w:color w:val="auto"/>
              </w:rPr>
            </w:pPr>
          </w:p>
        </w:tc>
        <w:tc>
          <w:tcPr>
            <w:tcW w:w="116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controlling</w:t>
            </w: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85"/>
              </w:rPr>
              <w:t>Value</w:t>
            </w:r>
          </w:p>
        </w:tc>
        <w:tc>
          <w:tcPr>
            <w:tcW w:w="840" w:type="dxa"/>
            <w:vAlign w:val="bottom"/>
            <w:gridSpan w:val="2"/>
            <w:vMerge w:val="continue"/>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79"/>
              </w:rPr>
              <w:t>Value</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tcPr>
          <w:p>
            <w:pPr>
              <w:spacing w:after="0"/>
              <w:rPr>
                <w:sz w:val="16"/>
                <w:szCs w:val="16"/>
                <w:color w:val="auto"/>
              </w:rPr>
            </w:pPr>
          </w:p>
        </w:tc>
        <w:tc>
          <w:tcPr>
            <w:tcW w:w="92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2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51"/>
        </w:trPr>
        <w:tc>
          <w:tcPr>
            <w:tcW w:w="18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December 31, 2022</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92,062,468</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3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55,486,361</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300" w:type="dxa"/>
            <w:vAlign w:val="bottom"/>
            <w:tcBorders>
              <w:bottom w:val="single" w:sz="8" w:color="CCEEFF"/>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$ 5</w:t>
            </w: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$67,986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$(54,620)</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$13,380</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$101,397</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$114,777</w:t>
            </w:r>
          </w:p>
        </w:tc>
        <w:tc>
          <w:tcPr>
            <w:tcW w:w="0" w:type="dxa"/>
            <w:vAlign w:val="bottom"/>
          </w:tcPr>
          <w:p>
            <w:pPr>
              <w:spacing w:after="0"/>
              <w:rPr>
                <w:sz w:val="1"/>
                <w:szCs w:val="1"/>
                <w:color w:val="auto"/>
              </w:rPr>
            </w:pPr>
          </w:p>
        </w:tc>
      </w:tr>
      <w:tr>
        <w:trPr>
          <w:trHeight w:val="235"/>
        </w:trPr>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4,396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4,396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4,681</w:t>
            </w:r>
          </w:p>
        </w:tc>
        <w:tc>
          <w:tcPr>
            <w:tcW w:w="0" w:type="dxa"/>
            <w:vAlign w:val="bottom"/>
          </w:tcPr>
          <w:p>
            <w:pPr>
              <w:spacing w:after="0"/>
              <w:rPr>
                <w:sz w:val="1"/>
                <w:szCs w:val="1"/>
                <w:color w:val="auto"/>
              </w:rPr>
            </w:pPr>
          </w:p>
        </w:tc>
      </w:tr>
      <w:tr>
        <w:trPr>
          <w:trHeight w:val="35"/>
        </w:trPr>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vesting of restricted stock</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units, net of shares</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withheld for taxes</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475,510</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CCEEFF"/>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right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5"/>
        </w:trPr>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w:t>
            </w:r>
          </w:p>
        </w:tc>
        <w:tc>
          <w:tcPr>
            <w:tcW w:w="1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20"/>
                <w:szCs w:val="20"/>
                <w:color w:val="auto"/>
              </w:rPr>
            </w:pPr>
          </w:p>
        </w:tc>
        <w:tc>
          <w:tcPr>
            <w:tcW w:w="920" w:type="dxa"/>
            <w:vAlign w:val="bottom"/>
            <w:gridSpan w:val="3"/>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(250)</w:t>
            </w:r>
          </w:p>
        </w:tc>
        <w:tc>
          <w:tcPr>
            <w:tcW w:w="0" w:type="dxa"/>
            <w:vAlign w:val="bottom"/>
          </w:tcPr>
          <w:p>
            <w:pPr>
              <w:spacing w:after="0"/>
              <w:rPr>
                <w:sz w:val="1"/>
                <w:szCs w:val="1"/>
                <w:color w:val="auto"/>
              </w:rPr>
            </w:pPr>
          </w:p>
        </w:tc>
      </w:tr>
      <w:tr>
        <w:trPr>
          <w:trHeight w:val="35"/>
        </w:trPr>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Class P Unit exchange</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35,488</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CCEEFF"/>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(2,475)</w:t>
            </w:r>
          </w:p>
        </w:tc>
        <w:tc>
          <w:tcPr>
            <w:tcW w:w="12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(2,475)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(1,494)</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(3,969)</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March 31, 2023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92,573,466</w:t>
            </w:r>
          </w:p>
        </w:tc>
        <w:tc>
          <w:tcPr>
            <w:tcW w:w="160" w:type="dxa"/>
            <w:vAlign w:val="bottom"/>
            <w:tcBorders>
              <w:right w:val="single" w:sz="8" w:color="CCEEFF"/>
            </w:tcBorders>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w:t>
            </w:r>
          </w:p>
        </w:tc>
        <w:tc>
          <w:tcPr>
            <w:tcW w:w="12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55,486,361</w:t>
            </w:r>
          </w:p>
        </w:tc>
        <w:tc>
          <w:tcPr>
            <w:tcW w:w="160" w:type="dxa"/>
            <w:vAlign w:val="bottom"/>
            <w:tcBorders>
              <w:right w:val="single" w:sz="8" w:color="CCEEFF"/>
            </w:tcBorders>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$ 5</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72,444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w w:val="98"/>
              </w:rPr>
              <w:t>$</w:t>
            </w:r>
            <w:r>
              <w:rPr>
                <w:rFonts w:ascii="Times New Roman" w:cs="Times New Roman" w:eastAsia="Times New Roman" w:hAnsi="Times New Roman"/>
                <w:sz w:val="15"/>
                <w:szCs w:val="15"/>
                <w:color w:val="auto"/>
                <w:w w:val="98"/>
              </w:rPr>
              <w:t>(57,095)</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15,363</w:t>
            </w:r>
          </w:p>
        </w:tc>
        <w:tc>
          <w:tcPr>
            <w:tcW w:w="2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$ 99,876</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115,239</w:t>
            </w:r>
          </w:p>
        </w:tc>
        <w:tc>
          <w:tcPr>
            <w:tcW w:w="0" w:type="dxa"/>
            <w:vAlign w:val="bottom"/>
          </w:tcPr>
          <w:p>
            <w:pPr>
              <w:spacing w:after="0"/>
              <w:rPr>
                <w:sz w:val="1"/>
                <w:szCs w:val="1"/>
                <w:color w:val="auto"/>
              </w:rPr>
            </w:pPr>
          </w:p>
        </w:tc>
      </w:tr>
      <w:tr>
        <w:trPr>
          <w:trHeight w:val="48"/>
        </w:trPr>
        <w:tc>
          <w:tcPr>
            <w:tcW w:w="18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300" w:type="dxa"/>
            <w:vAlign w:val="bottom"/>
            <w:tcBorders>
              <w:top w:val="single" w:sz="8" w:color="auto"/>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right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300" w:type="dxa"/>
            <w:vAlign w:val="bottom"/>
            <w:tcBorders>
              <w:top w:val="single" w:sz="8" w:color="auto"/>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auto"/>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620" w:type="dxa"/>
            <w:vAlign w:val="bottom"/>
            <w:tcBorders>
              <w:top w:val="single" w:sz="8" w:color="auto"/>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1"/>
                <w:szCs w:val="21"/>
                <w:color w:val="auto"/>
              </w:rPr>
            </w:pPr>
          </w:p>
        </w:tc>
        <w:tc>
          <w:tcPr>
            <w:tcW w:w="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3,908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3,908</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4,005</w:t>
            </w:r>
          </w:p>
        </w:tc>
        <w:tc>
          <w:tcPr>
            <w:tcW w:w="0" w:type="dxa"/>
            <w:vAlign w:val="bottom"/>
          </w:tcPr>
          <w:p>
            <w:pPr>
              <w:spacing w:after="0"/>
              <w:rPr>
                <w:sz w:val="1"/>
                <w:szCs w:val="1"/>
                <w:color w:val="auto"/>
              </w:rPr>
            </w:pPr>
          </w:p>
        </w:tc>
      </w:tr>
      <w:tr>
        <w:trPr>
          <w:trHeight w:val="35"/>
        </w:trPr>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vesting of restricted stock</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units, net of shares</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withheld for taxes</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842,178</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CCEEFF"/>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35"/>
        </w:trPr>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w:t>
            </w:r>
          </w:p>
        </w:tc>
        <w:tc>
          <w:tcPr>
            <w:tcW w:w="1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20"/>
                <w:szCs w:val="20"/>
                <w:color w:val="auto"/>
              </w:rPr>
            </w:pPr>
          </w:p>
        </w:tc>
        <w:tc>
          <w:tcPr>
            <w:tcW w:w="920" w:type="dxa"/>
            <w:vAlign w:val="bottom"/>
            <w:gridSpan w:val="3"/>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(752)</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(752)</w:t>
            </w:r>
          </w:p>
        </w:tc>
        <w:tc>
          <w:tcPr>
            <w:tcW w:w="0" w:type="dxa"/>
            <w:vAlign w:val="bottom"/>
          </w:tcPr>
          <w:p>
            <w:pPr>
              <w:spacing w:after="0"/>
              <w:rPr>
                <w:sz w:val="1"/>
                <w:szCs w:val="1"/>
                <w:color w:val="auto"/>
              </w:rPr>
            </w:pPr>
          </w:p>
        </w:tc>
      </w:tr>
      <w:tr>
        <w:trPr>
          <w:trHeight w:val="35"/>
        </w:trPr>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1,226</w:t>
            </w:r>
          </w:p>
        </w:tc>
        <w:tc>
          <w:tcPr>
            <w:tcW w:w="2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757</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1,983</w:t>
            </w:r>
          </w:p>
        </w:tc>
        <w:tc>
          <w:tcPr>
            <w:tcW w:w="0" w:type="dxa"/>
            <w:vAlign w:val="bottom"/>
          </w:tcPr>
          <w:p>
            <w:pPr>
              <w:spacing w:after="0"/>
              <w:rPr>
                <w:sz w:val="1"/>
                <w:szCs w:val="1"/>
                <w:color w:val="auto"/>
              </w:rPr>
            </w:pPr>
          </w:p>
        </w:tc>
      </w:tr>
      <w:tr>
        <w:trPr>
          <w:trHeight w:val="48"/>
        </w:trPr>
        <w:tc>
          <w:tcPr>
            <w:tcW w:w="18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300" w:type="dxa"/>
            <w:vAlign w:val="bottom"/>
            <w:tcBorders>
              <w:top w:val="single" w:sz="8" w:color="auto"/>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right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300" w:type="dxa"/>
            <w:vAlign w:val="bottom"/>
            <w:tcBorders>
              <w:top w:val="single" w:sz="8" w:color="auto"/>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auto"/>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620" w:type="dxa"/>
            <w:vAlign w:val="bottom"/>
            <w:tcBorders>
              <w:top w:val="single" w:sz="8" w:color="auto"/>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As of June 30, 2023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93,415,644</w:t>
            </w:r>
          </w:p>
        </w:tc>
        <w:tc>
          <w:tcPr>
            <w:tcW w:w="1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$ 9</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55,486,361</w:t>
            </w:r>
          </w:p>
        </w:tc>
        <w:tc>
          <w:tcPr>
            <w:tcW w:w="160" w:type="dxa"/>
            <w:vAlign w:val="bottom"/>
          </w:tcPr>
          <w:p>
            <w:pPr>
              <w:spacing w:after="0"/>
              <w:rPr>
                <w:sz w:val="19"/>
                <w:szCs w:val="19"/>
                <w:color w:val="auto"/>
              </w:rPr>
            </w:pPr>
          </w:p>
        </w:tc>
        <w:tc>
          <w:tcPr>
            <w:tcW w:w="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$ 5</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76,351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u w:val="single" w:color="auto"/>
                <w:color w:val="auto"/>
                <w:w w:val="98"/>
              </w:rPr>
              <w:t>$</w:t>
            </w:r>
            <w:r>
              <w:rPr>
                <w:rFonts w:ascii="Times New Roman" w:cs="Times New Roman" w:eastAsia="Times New Roman" w:hAnsi="Times New Roman"/>
                <w:sz w:val="15"/>
                <w:szCs w:val="15"/>
                <w:color w:val="auto"/>
                <w:w w:val="98"/>
              </w:rPr>
              <w:t>(55,869)</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20,496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$ 99,978</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120,474</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CCEEFF"/>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2,587</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2,662</w:t>
            </w:r>
          </w:p>
        </w:tc>
        <w:tc>
          <w:tcPr>
            <w:tcW w:w="0" w:type="dxa"/>
            <w:vAlign w:val="bottom"/>
          </w:tcPr>
          <w:p>
            <w:pPr>
              <w:spacing w:after="0"/>
              <w:rPr>
                <w:sz w:val="1"/>
                <w:szCs w:val="1"/>
                <w:color w:val="auto"/>
              </w:rPr>
            </w:pPr>
          </w:p>
        </w:tc>
      </w:tr>
      <w:tr>
        <w:trPr>
          <w:trHeight w:val="199"/>
        </w:trPr>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Discharge of holdback</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obligation related to a</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8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prior acquisition</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(1,612)</w:t>
            </w:r>
          </w:p>
        </w:tc>
        <w:tc>
          <w:tcPr>
            <w:tcW w:w="12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(1,612)</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(1,995)</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(3,607)</w:t>
            </w:r>
          </w:p>
        </w:tc>
        <w:tc>
          <w:tcPr>
            <w:tcW w:w="0" w:type="dxa"/>
            <w:vAlign w:val="bottom"/>
          </w:tcPr>
          <w:p>
            <w:pPr>
              <w:spacing w:after="0"/>
              <w:rPr>
                <w:sz w:val="1"/>
                <w:szCs w:val="1"/>
                <w:color w:val="auto"/>
              </w:rPr>
            </w:pPr>
          </w:p>
        </w:tc>
      </w:tr>
      <w:tr>
        <w:trPr>
          <w:trHeight w:val="35"/>
        </w:trPr>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vesting of restricted stock</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units, net of shares</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withheld for taxes</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455,820</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CCEEFF"/>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35"/>
        </w:trPr>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w:t>
            </w:r>
          </w:p>
        </w:tc>
        <w:tc>
          <w:tcPr>
            <w:tcW w:w="1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20"/>
                <w:szCs w:val="20"/>
                <w:color w:val="auto"/>
              </w:rPr>
            </w:pPr>
          </w:p>
        </w:tc>
        <w:tc>
          <w:tcPr>
            <w:tcW w:w="920" w:type="dxa"/>
            <w:vAlign w:val="bottom"/>
            <w:gridSpan w:val="3"/>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(2,231)</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(2,231)</w:t>
            </w:r>
          </w:p>
        </w:tc>
        <w:tc>
          <w:tcPr>
            <w:tcW w:w="0" w:type="dxa"/>
            <w:vAlign w:val="bottom"/>
          </w:tcPr>
          <w:p>
            <w:pPr>
              <w:spacing w:after="0"/>
              <w:rPr>
                <w:sz w:val="1"/>
                <w:szCs w:val="1"/>
                <w:color w:val="auto"/>
              </w:rPr>
            </w:pPr>
          </w:p>
        </w:tc>
      </w:tr>
      <w:tr>
        <w:trPr>
          <w:trHeight w:val="35"/>
        </w:trPr>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Class P Unit exchange</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9,666</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CCEEFF"/>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(1,538)</w:t>
            </w:r>
          </w:p>
        </w:tc>
        <w:tc>
          <w:tcPr>
            <w:tcW w:w="12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(1,538)</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(974)</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(2,512)</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September 30, 2023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93,881,130</w:t>
            </w:r>
          </w:p>
        </w:tc>
        <w:tc>
          <w:tcPr>
            <w:tcW w:w="160" w:type="dxa"/>
            <w:vAlign w:val="bottom"/>
            <w:tcBorders>
              <w:right w:val="single" w:sz="8" w:color="CCEEFF"/>
            </w:tcBorders>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w:t>
            </w:r>
          </w:p>
        </w:tc>
        <w:tc>
          <w:tcPr>
            <w:tcW w:w="12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55,486,361</w:t>
            </w:r>
          </w:p>
        </w:tc>
        <w:tc>
          <w:tcPr>
            <w:tcW w:w="160" w:type="dxa"/>
            <w:vAlign w:val="bottom"/>
            <w:tcBorders>
              <w:right w:val="single" w:sz="8" w:color="CCEEFF"/>
            </w:tcBorders>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$ 5</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77,339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w w:val="98"/>
              </w:rPr>
              <w:t>$</w:t>
            </w:r>
            <w:r>
              <w:rPr>
                <w:rFonts w:ascii="Times New Roman" w:cs="Times New Roman" w:eastAsia="Times New Roman" w:hAnsi="Times New Roman"/>
                <w:sz w:val="15"/>
                <w:szCs w:val="15"/>
                <w:color w:val="auto"/>
                <w:w w:val="98"/>
              </w:rPr>
              <w:t>(57,407)</w:t>
            </w: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19,946</w:t>
            </w:r>
          </w:p>
        </w:tc>
        <w:tc>
          <w:tcPr>
            <w:tcW w:w="26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$ 94,836</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114,782</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-4697095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-4697095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-4697095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-4697095</wp:posOffset>
            </wp:positionV>
            <wp:extent cx="342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-4697095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-4697095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-4697095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-4697095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-4697095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2" w:name="page143"/>
    <w:bookmarkEnd w:id="1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2220" w:type="dxa"/>
            <w:vAlign w:val="bottom"/>
            <w:gridSpan w:val="10"/>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50"/>
        </w:trPr>
        <w:tc>
          <w:tcPr>
            <w:tcW w:w="62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6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gridSpan w:val="4"/>
          </w:tcPr>
          <w:p>
            <w:pPr>
              <w:jc w:val="right"/>
              <w:ind w:right="180"/>
              <w:spacing w:after="0" w:line="243"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98"/>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(4,498)</w:t>
            </w:r>
          </w:p>
        </w:tc>
        <w:tc>
          <w:tcPr>
            <w:tcW w:w="0" w:type="dxa"/>
            <w:vAlign w:val="bottom"/>
          </w:tcPr>
          <w:p>
            <w:pPr>
              <w:spacing w:after="0"/>
              <w:rPr>
                <w:sz w:val="1"/>
                <w:szCs w:val="1"/>
                <w:color w:val="auto"/>
              </w:rPr>
            </w:pPr>
          </w:p>
        </w:tc>
      </w:tr>
      <w:tr>
        <w:trPr>
          <w:trHeight w:val="40"/>
        </w:trPr>
        <w:tc>
          <w:tcPr>
            <w:tcW w:w="6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6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6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lease assets</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2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6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10,389</w:t>
            </w:r>
          </w:p>
        </w:tc>
        <w:tc>
          <w:tcPr>
            <w:tcW w:w="0" w:type="dxa"/>
            <w:vAlign w:val="bottom"/>
          </w:tcPr>
          <w:p>
            <w:pPr>
              <w:spacing w:after="0"/>
              <w:rPr>
                <w:sz w:val="1"/>
                <w:szCs w:val="1"/>
                <w:color w:val="auto"/>
              </w:rPr>
            </w:pPr>
          </w:p>
        </w:tc>
      </w:tr>
      <w:tr>
        <w:trPr>
          <w:trHeight w:val="257"/>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lease termination</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6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Discharge of a holdback obligation related to a prior acquisition</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(3,705)</w:t>
            </w:r>
          </w:p>
        </w:tc>
        <w:tc>
          <w:tcPr>
            <w:tcW w:w="0" w:type="dxa"/>
            <w:vAlign w:val="bottom"/>
          </w:tcPr>
          <w:p>
            <w:pPr>
              <w:spacing w:after="0"/>
              <w:rPr>
                <w:sz w:val="1"/>
                <w:szCs w:val="1"/>
                <w:color w:val="auto"/>
              </w:rPr>
            </w:pPr>
          </w:p>
        </w:tc>
      </w:tr>
      <w:tr>
        <w:trPr>
          <w:trHeight w:val="257"/>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(recovery) for credit losses</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40"/>
        </w:trPr>
        <w:tc>
          <w:tcPr>
            <w:tcW w:w="6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6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2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6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(1,169)</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(15,439)</w:t>
            </w:r>
          </w:p>
        </w:tc>
        <w:tc>
          <w:tcPr>
            <w:tcW w:w="0" w:type="dxa"/>
            <w:vAlign w:val="bottom"/>
          </w:tcPr>
          <w:p>
            <w:pPr>
              <w:spacing w:after="0"/>
              <w:rPr>
                <w:sz w:val="1"/>
                <w:szCs w:val="1"/>
                <w:color w:val="auto"/>
              </w:rPr>
            </w:pPr>
          </w:p>
        </w:tc>
      </w:tr>
      <w:tr>
        <w:trPr>
          <w:trHeight w:val="257"/>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40"/>
        </w:trPr>
        <w:tc>
          <w:tcPr>
            <w:tcW w:w="6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(4,994)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(4,668)</w:t>
            </w:r>
          </w:p>
        </w:tc>
        <w:tc>
          <w:tcPr>
            <w:tcW w:w="0" w:type="dxa"/>
            <w:vAlign w:val="bottom"/>
          </w:tcPr>
          <w:p>
            <w:pPr>
              <w:spacing w:after="0"/>
              <w:rPr>
                <w:sz w:val="1"/>
                <w:szCs w:val="1"/>
                <w:color w:val="auto"/>
              </w:rPr>
            </w:pPr>
          </w:p>
        </w:tc>
      </w:tr>
      <w:tr>
        <w:trPr>
          <w:trHeight w:val="61"/>
        </w:trPr>
        <w:tc>
          <w:tcPr>
            <w:tcW w:w="6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27,275</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12,410</w:t>
            </w:r>
          </w:p>
        </w:tc>
        <w:tc>
          <w:tcPr>
            <w:tcW w:w="0" w:type="dxa"/>
            <w:vAlign w:val="bottom"/>
          </w:tcPr>
          <w:p>
            <w:pPr>
              <w:spacing w:after="0"/>
              <w:rPr>
                <w:sz w:val="1"/>
                <w:szCs w:val="1"/>
                <w:color w:val="auto"/>
              </w:rPr>
            </w:pPr>
          </w:p>
        </w:tc>
      </w:tr>
      <w:tr>
        <w:trPr>
          <w:trHeight w:val="61"/>
        </w:trPr>
        <w:tc>
          <w:tcPr>
            <w:tcW w:w="6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6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6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software and expenditures</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(9,499)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(8,870)</w:t>
            </w:r>
          </w:p>
        </w:tc>
        <w:tc>
          <w:tcPr>
            <w:tcW w:w="0" w:type="dxa"/>
            <w:vAlign w:val="bottom"/>
          </w:tcPr>
          <w:p>
            <w:pPr>
              <w:spacing w:after="0"/>
              <w:rPr>
                <w:sz w:val="1"/>
                <w:szCs w:val="1"/>
                <w:color w:val="auto"/>
              </w:rPr>
            </w:pPr>
          </w:p>
        </w:tc>
      </w:tr>
      <w:tr>
        <w:trPr>
          <w:trHeight w:val="61"/>
        </w:trPr>
        <w:tc>
          <w:tcPr>
            <w:tcW w:w="6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8"/>
              </w:rPr>
              <w:t>(9,499)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(8,870)</w:t>
            </w:r>
          </w:p>
        </w:tc>
        <w:tc>
          <w:tcPr>
            <w:tcW w:w="0" w:type="dxa"/>
            <w:vAlign w:val="bottom"/>
          </w:tcPr>
          <w:p>
            <w:pPr>
              <w:spacing w:after="0"/>
              <w:rPr>
                <w:sz w:val="1"/>
                <w:szCs w:val="1"/>
                <w:color w:val="auto"/>
              </w:rPr>
            </w:pPr>
          </w:p>
        </w:tc>
      </w:tr>
      <w:tr>
        <w:trPr>
          <w:trHeight w:val="61"/>
        </w:trPr>
        <w:tc>
          <w:tcPr>
            <w:tcW w:w="6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6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6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insurance premium financing</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57"/>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8"/>
              </w:rPr>
              <w:t>(7,250)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(3,233)</w:t>
            </w:r>
          </w:p>
        </w:tc>
        <w:tc>
          <w:tcPr>
            <w:tcW w:w="0" w:type="dxa"/>
            <w:vAlign w:val="bottom"/>
          </w:tcPr>
          <w:p>
            <w:pPr>
              <w:spacing w:after="0"/>
              <w:rPr>
                <w:sz w:val="1"/>
                <w:szCs w:val="1"/>
                <w:color w:val="auto"/>
              </w:rPr>
            </w:pPr>
          </w:p>
        </w:tc>
      </w:tr>
      <w:tr>
        <w:trPr>
          <w:trHeight w:val="40"/>
        </w:trPr>
        <w:tc>
          <w:tcPr>
            <w:tcW w:w="6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repayment of related party note</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receivable agreement payment</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6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61"/>
        </w:trPr>
        <w:tc>
          <w:tcPr>
            <w:tcW w:w="6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8"/>
              </w:rPr>
              <w:t>(7,083)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(4,402)</w:t>
            </w:r>
          </w:p>
        </w:tc>
        <w:tc>
          <w:tcPr>
            <w:tcW w:w="0" w:type="dxa"/>
            <w:vAlign w:val="bottom"/>
          </w:tcPr>
          <w:p>
            <w:pPr>
              <w:spacing w:after="0"/>
              <w:rPr>
                <w:sz w:val="1"/>
                <w:szCs w:val="1"/>
                <w:color w:val="auto"/>
              </w:rPr>
            </w:pPr>
          </w:p>
        </w:tc>
      </w:tr>
      <w:tr>
        <w:trPr>
          <w:trHeight w:val="61"/>
        </w:trPr>
        <w:tc>
          <w:tcPr>
            <w:tcW w:w="6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6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60" w:type="dxa"/>
            <w:vAlign w:val="bottom"/>
            <w:gridSpan w:val="2"/>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10,693</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40"/>
        </w:trPr>
        <w:tc>
          <w:tcPr>
            <w:tcW w:w="6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34,350</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28,583</w:t>
            </w:r>
          </w:p>
        </w:tc>
        <w:tc>
          <w:tcPr>
            <w:tcW w:w="0" w:type="dxa"/>
            <w:vAlign w:val="bottom"/>
          </w:tcPr>
          <w:p>
            <w:pPr>
              <w:spacing w:after="0"/>
              <w:rPr>
                <w:sz w:val="1"/>
                <w:szCs w:val="1"/>
                <w:color w:val="auto"/>
              </w:rPr>
            </w:pPr>
          </w:p>
        </w:tc>
      </w:tr>
      <w:tr>
        <w:trPr>
          <w:trHeight w:val="61"/>
        </w:trPr>
        <w:tc>
          <w:tcPr>
            <w:tcW w:w="6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Cash – end of period</w:t>
            </w:r>
          </w:p>
        </w:tc>
        <w:tc>
          <w:tcPr>
            <w:tcW w:w="9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45,043</w:t>
            </w:r>
          </w:p>
        </w:tc>
        <w:tc>
          <w:tcPr>
            <w:tcW w:w="120" w:type="dxa"/>
            <w:vAlign w:val="bottom"/>
          </w:tcPr>
          <w:p>
            <w:pPr>
              <w:spacing w:after="0"/>
              <w:rPr>
                <w:sz w:val="23"/>
                <w:szCs w:val="23"/>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27,721</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6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7"/>
        </w:trPr>
        <w:tc>
          <w:tcPr>
            <w:tcW w:w="6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6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capitalized for software development</w:t>
            </w: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5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assets included in accounts payable and accrued expenses</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41"/>
        </w:trPr>
        <w:tc>
          <w:tcPr>
            <w:tcW w:w="6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Remeasurement of lease liabilities and right-of-use assets due to lease</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modification</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2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-8331835</wp:posOffset>
            </wp:positionV>
            <wp:extent cx="857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-8331835</wp:posOffset>
            </wp:positionV>
            <wp:extent cx="514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319" w:hanging="348"/>
        <w:spacing w:after="0" w:line="241" w:lineRule="auto"/>
        <w:tabs>
          <w:tab w:leader="none" w:pos="6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nine months ended September 30, 2023, provision (recovery) for credit losses and change in accounts receivable have been retrospectively adjusted to reflect the restatement of previously reported revenue and credit losses. See Note 2, “Summary of Significant Accounting Policies,” for further information.</w:t>
      </w:r>
    </w:p>
    <w:p>
      <w:pPr>
        <w:sectPr>
          <w:pgSz w:w="11900" w:h="16838" w:orient="portrait"/>
          <w:cols w:equalWidth="0" w:num="1">
            <w:col w:w="9019"/>
          </w:cols>
          <w:pgMar w:left="1440" w:top="263" w:right="1440" w:bottom="0" w:gutter="0" w:footer="0" w:header="0"/>
        </w:sectPr>
      </w:pP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ectPr>
          <w:pgSz w:w="11900" w:h="16838" w:orient="portrait"/>
          <w:cols w:equalWidth="0" w:num="1">
            <w:col w:w="9019"/>
          </w:cols>
          <w:pgMar w:left="1440" w:top="263" w:right="1440" w:bottom="0" w:gutter="0" w:footer="0" w:header="0"/>
          <w:type w:val="continuous"/>
        </w:sectPr>
      </w:pPr>
    </w:p>
    <w:bookmarkStart w:id="143" w:name="page144"/>
    <w:bookmarkEnd w:id="143"/>
    <w:p>
      <w:pPr>
        <w:jc w:val="center"/>
        <w:ind w:right="1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4" w:name="page145"/>
    <w:bookmarkEnd w:id="1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71" w:lineRule="exact"/>
        <w:rPr>
          <w:sz w:val="20"/>
          <w:szCs w:val="20"/>
          <w:color w:val="auto"/>
        </w:rPr>
      </w:pPr>
    </w:p>
    <w:p>
      <w:pPr>
        <w:ind w:left="640" w:hanging="348"/>
        <w:spacing w:after="0"/>
        <w:tabs>
          <w:tab w:leader="none" w:pos="6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Organization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(the “Company”) operates a leading online cannabis marketplace for consumers together with a comprehensive set of eCommerce and compliance software solutions for cannabis businesses, which are sold to both storefront locations and delivery operators (“retailers”) and brands in the U.S. states and U.S. territories legalized cannabis markets. The Company’s comprehensive two-sided marketplace of business-to-consumer and business-to-business suite of products afford cannabis retailers and brands of all sizes integrated tools to compliantly run their businesses and to reach, convert, and retain consumers.</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(“POS”), to provide consumers with the ability to browse by strain, price, cannabinoids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The Company believes the size, loyalty and engagement of its user base and the frequency of consumption of cannabis by its user base makes the Weedmaps marketplace highly valuable to its clients.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Weedmaps for Business, the Company’s SaaS offering, is a comprehensive set of eCommerce and compliance software solutions catered towards cannabis retailers, delivery services and brands that streamline front and back-end operations and help manage compliance needs. With the development of Weedmaps for Business, the Company offers an end-to-end platform for licensed cannabis retailers to comply with state laws. The Company sells a monthly subscription offering to storefront, delivery and brand clients as well as upsell and add-on offerings to licensed clients. The Company also offers other ad solutions and WM Dispatch for additional fees.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On the Closing Date, and in connection with the closing of the Business Combination (the “Closing”), Silver Spike was domesticated and continues as a Delaware corporation, changing its name to WM Technology, Inc.</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Legacy WMH was reorganized into an Up-C structure, in which substantially all of the assets and business of Legacy WMH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of September 30, 2024, the Company had an accumulated deficit of $59.2 million. The Company has funded its operations primarily with customer payments for its services and proceeds from the issuance of common stock in connection with its initial public offering and follow-on offering. As of September 30, 2024, the Company had cash of $45.0 million. The Company believes that its existing sources of liquidity will satisfy its working capital and capital requirements for at least the next twelve months.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5" w:name="page146"/>
    <w:bookmarkEnd w:id="1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59"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ind w:left="640" w:hanging="348"/>
        <w:spacing w:after="0"/>
        <w:tabs>
          <w:tab w:leader="none" w:pos="6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GAAP and the rules and regulations of the Securities and Exchange Commission (“SEC”) for quarterly reports on Form 10-Q and Article 10-1 of Regulation S-X. Accordingly, certain information and footnotes required by GAAP in annual financial statements have been omitted or condensed and these interim financial statements should be read in conjunction with the audited consolidated financial statements and notes thereto included in the Company’s Annual Report on Form 10-K for the year ended December 31, 2023, filed with the SEC on May 24, 2024. The condensed consolidated financial statements of the Company include all adjustments of a normal recurring nature which, in the opinion of management, are necessary for a fair statement of the Company’s financial position as of September 30, 2024, and results of its operations and its cash flows for the interim periods presented. Certain prior period amounts have been reclassified to conform to the current period presentation. The results of operations for the three and nine months ended September 30, 2024 are not necessarily indicative of the results to be expected for the entire year. There have been no significant changes in the Company’s accounting policies from those described in the Company’s audited consolidated financial statements and the related notes to those statements.</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WM Technology, Inc. and WMH LLC, including their wholly and majority owned subsidiaries. In conformity with GAAP, all significant intercompany accounts and transactions have been eliminated.</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Restatement of Previously Reported 2023 Quarterly Revenue and Credit Losses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preparation of the Company's Consolidated Financial Statements as of and for the fiscal year ended December 31, 2023, the Company discovered that in 2023, it had an inadequate policy associated with its revenue recognition related to the cash collection of a certain subset of its customers that had been placed on cash basis in 2023. For these customers, because the determination had been made that there was significant collection risk and the Company had no ability to estimate the collectability of the consideration it was entitled to, revenue recognition was prohibited under Accounting Standards Codification,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until cash was collected for the services that were provided. The Company refers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in this situation as customers that have been placed on cash basis. As further discussed below, in 2023 the Company misapplied this policy in each of the first three quarters of 2023 by failing to apply (in certain cases) cash receipts to prior accounts receivable (via a credit loss recovery) and instead recognized additional revenue for the cash receipt.</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recognizes revenue from contracts with customers under ASC 606.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Once the Company believes that it is no longer probable of collecting substantially all of the consideration to which it will be entitled in exchange for the goods or services transferred to the customer and as such is prohibited from recognizing revenue until it is probable that it will be entitled to all of the consideration. As such, when a customer with significant collection risk is identified, the Company fully reserves for all outstanding accounts receivable and records a credit loss for these receivables.</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Initially, revenue for contracts that the Company assesses are not probable of collection is not recognized until the customer has paid or settled all outstanding accounts receivable balances.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When services are still provided to customers that have been identified with significant collection risk, the Company initially applies all payments received against the customers oldest invoices. However, if the Company continues to provide services to these customers for a significant period of time, cash collections have stabilized and other factors indicate it is appropriate, cash collections are assessed to determine if any of the on-going cash receipts should be accounted for as variable consideration under ASC 606 for on-going services instead of recovery of credit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6" w:name="page147"/>
    <w:bookmarkEnd w:id="1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losses. To date, no material variable consideration has been recognized and after applying the corrections shown in the table below, all cash collections for these customers are reflected as recovery of credit losses.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Due to the inconsistency of the cash application related to the cash basis customers, and the prohibition on recognizing revenue when the Company does not believe it will receive the consideration it is entitled to, the Company had determined that it had improperly recognized revenue for these customers and should have instead recognized a credit loss recovery related to these cash receipts.</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All periods presented below have been retrospectively restated to reflect the effects of the change to revenues and operating expenses. There was no impact to operating income (loss), net income (loss), net income (loss) per share, net cash provided by operating activities and adjusted EBITDA for any periods presented. The consolidated statement of equity is not affected by this restatement.</w:t>
      </w:r>
    </w:p>
    <w:p>
      <w:pPr>
        <w:spacing w:after="0" w:line="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operations for the period ended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September 30, 2023 as follows (in thousands):</w:t>
      </w: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23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3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23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20" w:type="dxa"/>
            <w:vAlign w:val="bottom"/>
          </w:tcPr>
          <w:p>
            <w:pPr>
              <w:spacing w:after="0"/>
              <w:rPr>
                <w:sz w:val="16"/>
                <w:szCs w:val="16"/>
                <w:color w:val="auto"/>
              </w:rPr>
            </w:pPr>
          </w:p>
        </w:tc>
        <w:tc>
          <w:tcPr>
            <w:tcW w:w="23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50"/>
        </w:trPr>
        <w:tc>
          <w:tcPr>
            <w:tcW w:w="3600" w:type="dxa"/>
            <w:vAlign w:val="bottom"/>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600" w:type="dxa"/>
            <w:vAlign w:val="bottom"/>
          </w:tcPr>
          <w:p>
            <w:pPr>
              <w:spacing w:after="0"/>
              <w:rPr>
                <w:sz w:val="16"/>
                <w:szCs w:val="16"/>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0" w:type="dxa"/>
            <w:vAlign w:val="bottom"/>
          </w:tcPr>
          <w:p>
            <w:pPr>
              <w:spacing w:after="0"/>
              <w:rPr>
                <w:sz w:val="16"/>
                <w:szCs w:val="16"/>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8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8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36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$47,725</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$(1,038)</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$46,687</w:t>
            </w:r>
          </w:p>
        </w:tc>
        <w:tc>
          <w:tcPr>
            <w:tcW w:w="7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$146,584</w:t>
            </w: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$(5,058)</w:t>
            </w: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$141,526</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$19,189</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$(1,038)</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$18,151</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$ 60,897</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$(5,058)</w:t>
            </w:r>
          </w:p>
        </w:tc>
        <w:tc>
          <w:tcPr>
            <w:tcW w:w="120" w:type="dxa"/>
            <w:vAlign w:val="bottom"/>
          </w:tcPr>
          <w:p>
            <w:pPr>
              <w:spacing w:after="0"/>
              <w:rPr>
                <w:sz w:val="23"/>
                <w:szCs w:val="23"/>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$ 55,839</w:t>
            </w:r>
          </w:p>
        </w:tc>
        <w:tc>
          <w:tcPr>
            <w:tcW w:w="0" w:type="dxa"/>
            <w:vAlign w:val="bottom"/>
          </w:tcPr>
          <w:p>
            <w:pPr>
              <w:spacing w:after="0"/>
              <w:rPr>
                <w:sz w:val="1"/>
                <w:szCs w:val="1"/>
                <w:color w:val="auto"/>
              </w:rPr>
            </w:pPr>
          </w:p>
        </w:tc>
      </w:tr>
      <w:tr>
        <w:trPr>
          <w:trHeight w:val="54"/>
        </w:trPr>
        <w:tc>
          <w:tcPr>
            <w:tcW w:w="3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$53,273</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$(1,038)</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$52,235</w:t>
            </w:r>
          </w:p>
        </w:tc>
        <w:tc>
          <w:tcPr>
            <w:tcW w:w="7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$152,497</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$(5,058)</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$147,439</w:t>
            </w:r>
          </w:p>
        </w:tc>
        <w:tc>
          <w:tcPr>
            <w:tcW w:w="0" w:type="dxa"/>
            <w:vAlign w:val="bottom"/>
          </w:tcPr>
          <w:p>
            <w:pPr>
              <w:spacing w:after="0"/>
              <w:rPr>
                <w:sz w:val="1"/>
                <w:szCs w:val="1"/>
                <w:color w:val="auto"/>
              </w:rPr>
            </w:pPr>
          </w:p>
        </w:tc>
      </w:tr>
      <w:tr>
        <w:trPr>
          <w:trHeight w:val="54"/>
        </w:trPr>
        <w:tc>
          <w:tcPr>
            <w:tcW w:w="36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-633730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-633730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-633730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-633730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-633730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-633730</wp:posOffset>
            </wp:positionV>
            <wp:extent cx="431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Cash Flows for period ended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September 30, 2023 as follows (in thousands):</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26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50"/>
        </w:trPr>
        <w:tc>
          <w:tcPr>
            <w:tcW w:w="5820" w:type="dxa"/>
            <w:vAlign w:val="bottom"/>
          </w:tcPr>
          <w:p>
            <w:pPr>
              <w:spacing w:after="0"/>
              <w:rPr>
                <w:sz w:val="4"/>
                <w:szCs w:val="4"/>
                <w:color w:val="auto"/>
              </w:rPr>
            </w:pPr>
          </w:p>
        </w:tc>
        <w:tc>
          <w:tcPr>
            <w:tcW w:w="860" w:type="dxa"/>
            <w:vAlign w:val="bottom"/>
            <w:tcBorders>
              <w:bottom w:val="single" w:sz="8" w:color="auto"/>
            </w:tcBorders>
            <w:gridSpan w:val="3"/>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5820" w:type="dxa"/>
            <w:vAlign w:val="bottom"/>
          </w:tcPr>
          <w:p>
            <w:pPr>
              <w:spacing w:after="0"/>
              <w:rPr>
                <w:sz w:val="16"/>
                <w:szCs w:val="16"/>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8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5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(recovery) for credit losses</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$4,862</w:t>
            </w:r>
          </w:p>
        </w:tc>
        <w:tc>
          <w:tcPr>
            <w:tcW w:w="160" w:type="dxa"/>
            <w:vAlign w:val="bottom"/>
          </w:tcPr>
          <w:p>
            <w:pPr>
              <w:spacing w:after="0"/>
              <w:rPr>
                <w:sz w:val="23"/>
                <w:szCs w:val="23"/>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$(5,058)</w:t>
            </w:r>
          </w:p>
        </w:tc>
        <w:tc>
          <w:tcPr>
            <w:tcW w:w="16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(196)</w:t>
            </w:r>
          </w:p>
        </w:tc>
        <w:tc>
          <w:tcPr>
            <w:tcW w:w="0" w:type="dxa"/>
            <w:vAlign w:val="bottom"/>
          </w:tcPr>
          <w:p>
            <w:pPr>
              <w:spacing w:after="0"/>
              <w:rPr>
                <w:sz w:val="1"/>
                <w:szCs w:val="1"/>
                <w:color w:val="auto"/>
              </w:rPr>
            </w:pPr>
          </w:p>
        </w:tc>
      </w:tr>
      <w:tr>
        <w:trPr>
          <w:trHeight w:val="54"/>
        </w:trPr>
        <w:tc>
          <w:tcPr>
            <w:tcW w:w="5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tcPr>
          <w:p>
            <w:pPr>
              <w:spacing w:after="0"/>
              <w:rPr>
                <w:sz w:val="23"/>
                <w:szCs w:val="23"/>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$ 5,058</w:t>
            </w:r>
          </w:p>
        </w:tc>
        <w:tc>
          <w:tcPr>
            <w:tcW w:w="16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$5,320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-934085</wp:posOffset>
            </wp:positionV>
            <wp:extent cx="10287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-934085</wp:posOffset>
            </wp:positionV>
            <wp:extent cx="10287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-934085</wp:posOffset>
            </wp:positionV>
            <wp:extent cx="603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and nine months ended September 30, 2024 and 2023.</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could differ from those estimates.</w:t>
      </w:r>
    </w:p>
    <w:p>
      <w:pPr>
        <w:spacing w:after="0" w:line="75"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Significant estimates made by management include, the allowance for credit losses, the useful lives of long-lived assets, income taxes, website and internal-use software development costs, leases, valuation of goodwill and other intangible assets, valuation of warrant liability, deferred tax assets and the related valuation allowance, tax receivable agreement (“TRA”) liability, revenue recognition, performance and stock-based compensation and the recognition and disclosure of contingent liabilities.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7" w:name="page148"/>
    <w:bookmarkEnd w:id="1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Company operates in a relatively new industry where laws and regulations vary significantly by jurisdiction. As of September 30, 2024, thirty-nine states, the District of Columbia, Puerto Rico, the Virgin Islands, and Guam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can be a predicate for certain other crimes, including money laundering laws and the Racketeer Influenced and Corrupt Organizations Act. If any state that permits use of cannabis was to change their laws or the federal government was to actively enforce the CSA or other laws related to the federal prohibition on cannabis, the Company’s business could be adversely affected.</w:t>
      </w:r>
    </w:p>
    <w:p>
      <w:pPr>
        <w:spacing w:after="0" w:line="8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geographic concentration of the Company’s clients makes the Company vulnerable to a downturn in the local market area. Historically, the Company’s business operations have been located primarily in the State of California. See Note 3, “Revenue from Contracts with Customers,” to these condensed consolidated financial statements for additional information.</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jc w:val="both"/>
        <w:ind w:left="300" w:right="299"/>
        <w:spacing w:after="0" w:line="267"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w:t>
      </w:r>
      <w:r>
        <w:rPr>
          <w:rFonts w:ascii="Times New Roman" w:cs="Times New Roman" w:eastAsia="Times New Roman" w:hAnsi="Times New Roman"/>
          <w:sz w:val="18"/>
          <w:szCs w:val="18"/>
          <w:i w:val="1"/>
          <w:iCs w:val="1"/>
          <w:color w:val="auto"/>
        </w:rPr>
        <w:t>– 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 See Note 5, “Fair Value Measurements” to these condensed consolidated financial statements for additional information.</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A receivable is recorded when an unconditional right to invoice and receive payment exists. Accounts receivable primarily include amounts related to receivables from customers. Receivables are shown net of allowance for credit losses which is maintained at a level that management believes to be sufficient to absorb estimated losses in the accounts receivable portfolio. The Company measures credit losses on its trade accounts receivable using the current expected credit loss model under ASC 326 </w:t>
      </w:r>
      <w:r>
        <w:rPr>
          <w:rFonts w:ascii="Times New Roman" w:cs="Times New Roman" w:eastAsia="Times New Roman" w:hAnsi="Times New Roman"/>
          <w:sz w:val="18"/>
          <w:szCs w:val="18"/>
          <w:i w:val="1"/>
          <w:iCs w:val="1"/>
          <w:color w:val="auto"/>
        </w:rPr>
        <w:t>– Financial Instruments – Credit Losses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Company calculates the expected credit losses on a pool basis for trade receivables that have similar risk characteristics. For trade receivables that do not share similar risk characteristics, the allowance for credit losses is calculated on an individual basis. Risk characteristics relevant to the Company’s accounts receivable include balance of customer account and aging status.</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Account balances are written off against the allowance when it is determined that it is probable that the receivable will not be recovered. The Company had allowance for credit losses of $0.9 million and $8.7 million as of September 30, 2024 and December 31, 2023, respectively.</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no customer accounted for more than 10% of the total gross accounts receivable outstanding.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8" w:name="page149"/>
    <w:bookmarkEnd w:id="1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credit losses: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2380" w:type="dxa"/>
            <w:vAlign w:val="bottom"/>
            <w:gridSpan w:val="10"/>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0" w:type="dxa"/>
            <w:vAlign w:val="bottom"/>
            <w:gridSpan w:val="8"/>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50"/>
        </w:trPr>
        <w:tc>
          <w:tcPr>
            <w:tcW w:w="38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left="1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5"/>
          </w:tcPr>
          <w:p>
            <w:pPr>
              <w:jc w:val="center"/>
              <w:ind w:right="120"/>
              <w:spacing w:after="0" w:line="243"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311"/>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beginning of period</w:t>
            </w:r>
          </w:p>
        </w:tc>
        <w:tc>
          <w:tcPr>
            <w:tcW w:w="30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200" w:type="dxa"/>
            <w:vAlign w:val="bottom"/>
            <w:tcBorders>
              <w:top w:val="single" w:sz="8" w:color="auto"/>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200" w:type="dxa"/>
            <w:vAlign w:val="bottom"/>
            <w:tcBorders>
              <w:top w:val="single" w:sz="8" w:color="auto"/>
              <w:bottom w:val="single" w:sz="8" w:color="CCEEFF"/>
            </w:tcBorders>
            <w:gridSpan w:val="4"/>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$10,202</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8,748</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160" w:type="dxa"/>
            <w:vAlign w:val="bottom"/>
            <w:tcBorders>
              <w:top w:val="single" w:sz="8" w:color="auto"/>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$12,232</w:t>
            </w: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Provision (recovery) for credit losses</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23"/>
                <w:szCs w:val="23"/>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23"/>
                <w:szCs w:val="23"/>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54"/>
        </w:trPr>
        <w:tc>
          <w:tcPr>
            <w:tcW w:w="3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9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(2,218)</w:t>
            </w:r>
          </w:p>
        </w:tc>
        <w:tc>
          <w:tcPr>
            <w:tcW w:w="120" w:type="dxa"/>
            <w:vAlign w:val="bottom"/>
            <w:shd w:val="clear" w:color="auto" w:fill="CCEEFF"/>
          </w:tcPr>
          <w:p>
            <w:pPr>
              <w:spacing w:after="0"/>
              <w:rPr>
                <w:sz w:val="22"/>
                <w:szCs w:val="22"/>
                <w:color w:val="auto"/>
              </w:rPr>
            </w:pPr>
          </w:p>
        </w:tc>
        <w:tc>
          <w:tcPr>
            <w:tcW w:w="12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(1,317)</w:t>
            </w:r>
          </w:p>
        </w:tc>
        <w:tc>
          <w:tcPr>
            <w:tcW w:w="120" w:type="dxa"/>
            <w:vAlign w:val="bottom"/>
            <w:shd w:val="clear" w:color="auto" w:fill="CCEEFF"/>
          </w:tcPr>
          <w:p>
            <w:pPr>
              <w:spacing w:after="0"/>
              <w:rPr>
                <w:sz w:val="22"/>
                <w:szCs w:val="22"/>
                <w:color w:val="auto"/>
              </w:rPr>
            </w:pPr>
          </w:p>
        </w:tc>
        <w:tc>
          <w:tcPr>
            <w:tcW w:w="9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(7,595)</w:t>
            </w:r>
          </w:p>
        </w:tc>
        <w:tc>
          <w:tcPr>
            <w:tcW w:w="120" w:type="dxa"/>
            <w:vAlign w:val="bottom"/>
            <w:shd w:val="clear" w:color="auto" w:fill="CCEEFF"/>
          </w:tcPr>
          <w:p>
            <w:pPr>
              <w:spacing w:after="0"/>
              <w:rPr>
                <w:sz w:val="22"/>
                <w:szCs w:val="22"/>
                <w:color w:val="auto"/>
              </w:rPr>
            </w:pP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(2,932)</w:t>
            </w:r>
          </w:p>
        </w:tc>
        <w:tc>
          <w:tcPr>
            <w:tcW w:w="0" w:type="dxa"/>
            <w:vAlign w:val="bottom"/>
          </w:tcPr>
          <w:p>
            <w:pPr>
              <w:spacing w:after="0"/>
              <w:rPr>
                <w:sz w:val="1"/>
                <w:szCs w:val="1"/>
                <w:color w:val="auto"/>
              </w:rPr>
            </w:pPr>
          </w:p>
        </w:tc>
      </w:tr>
      <w:tr>
        <w:trPr>
          <w:trHeight w:val="61"/>
        </w:trPr>
        <w:tc>
          <w:tcPr>
            <w:tcW w:w="38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Allowance, end of period</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$ 9,104</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tcPr>
          <w:p>
            <w:pPr>
              <w:spacing w:after="0"/>
              <w:rPr>
                <w:sz w:val="23"/>
                <w:szCs w:val="23"/>
                <w:color w:val="auto"/>
              </w:rPr>
            </w:pPr>
          </w:p>
        </w:tc>
        <w:tc>
          <w:tcPr>
            <w:tcW w:w="11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$ 9,104</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-847725</wp:posOffset>
            </wp:positionV>
            <wp:extent cx="857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-847725</wp:posOffset>
            </wp:positionV>
            <wp:extent cx="857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-847725</wp:posOffset>
            </wp:positionV>
            <wp:extent cx="857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-847725</wp:posOffset>
            </wp:positionV>
            <wp:extent cx="431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319" w:hanging="348"/>
        <w:spacing w:after="0" w:line="241" w:lineRule="auto"/>
        <w:tabs>
          <w:tab w:leader="none" w:pos="6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Provision (recovery) for credit losses for the three and nine months ended September 30, 2023 and related allowance at the end of the period September 30, 2023, has been retrospectively adjusted to reflect the restatement of previously reported credit losses. See </w:t>
      </w:r>
      <w:r>
        <w:rPr>
          <w:rFonts w:ascii="Times New Roman" w:cs="Times New Roman" w:eastAsia="Times New Roman" w:hAnsi="Times New Roman"/>
          <w:sz w:val="14"/>
          <w:szCs w:val="14"/>
          <w:i w:val="1"/>
          <w:iCs w:val="1"/>
          <w:color w:val="auto"/>
        </w:rPr>
        <w:t xml:space="preserve">Restatement of Previously Reported 2023 Quarterly Revenue and Credit Losses </w:t>
      </w:r>
      <w:r>
        <w:rPr>
          <w:rFonts w:ascii="Times New Roman" w:cs="Times New Roman" w:eastAsia="Times New Roman" w:hAnsi="Times New Roman"/>
          <w:sz w:val="14"/>
          <w:szCs w:val="14"/>
          <w:color w:val="auto"/>
        </w:rPr>
        <w:t>above for further information.</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consist of internally developed software, computer equipment, furniture and fixtures and leasehold improvements. Depreciation is computed using the straight-line method over the estimated useful lives of the assets and generally over three years for computer equipment and seven years for furniture and fixtures. Leasehold improvements are amortized using the straight-line method over the shorter of their estimated useful lives or the remaining term of the related lease. Maintenance and repairs are expensed as incurred. When assets are retired or otherwise disposed of, the cost and related accumulated depreciation are removed from the accounts and any resulting gain or loss is reflected in the Company’s condensed consolidated statements of operations.</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assesses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No impairments to property and equipment were recorded during the three and nine months ended September 30, 2024. The Company recorded a non-cash property and equipment impairment charge of $2.3 million for the three and nine months ended September 30, 2023 related to certain product offerings that were sunset in December 2023, which is included in asset impairment charges in the condensed consolidated statements of operations.</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Capitalized website and internal-use software development costs are included in property and equipment in the accompanying condensed consolidated balance sheets. The Company capitalizes certain costs related to the development and enhancement of the Weedmaps platform and SaaS solutions. The Company began to capitalize these costs when preliminary development efforts were successfully completed, management has authorized and committed project funding, and it was probable that the project would be completed and the software would be used as intended. Capitalization ceases upon completion of all substantial testing.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include compensation and benefits for employees, including engineering and technical teams who are responsible for building new products, as well as maintaining and improving existing products. Product development costs that do not meet the criteria for capitalization are expensed as incurred.</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has $23.7 million and $23.1 million in capitalized software costs, net, respectively which are recorded within property and equipment, net on the Company’s condensed consolidated balance sheets. During the three months ended September 30, 2024 and 2023, the Company amortized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9" w:name="page150"/>
    <w:bookmarkEnd w:id="1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$3.1 million and $2.2 million, respectively. During the nine months ended September 30, 2024 and 2023, the Company amortized $8.4 million and $5.4 million, respectively. Amortization of internal-use software development costs is included in depreciation and amortization expense in the accompanying condensed consolidated statements of operations.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Goodwill consists of the excess of the purchase price over the fair value of identifiable net assets of businesses acquired. Goodwill is reviewed for impairment each year using a qualitative or quantitative process that is performed at least annually as of December 31, such as changes in the business climate, poor indicators of operating performance or the sale or disposition of a significant portion of a reporting unit. As of September 30, 2024 and December 31, 2023, the Company has $68.4 million in goodwill.</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testing for goodwill impairment, the Company may elect to utilize a qualitative assessment to evaluate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if the carrying value of the reporting unit exceeds its fair value, an impairment loss equal to the difference will be recorded.</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Goodwill is assessed for impairment annually on December 31. For the year ended December 31, 2023, in accordance with the Company’s annual assessment policy, the Company opted to bypass the qualitative assessment and performed a quantitative assessment to test goodwill for impairment. As part of the Company’s impairment assessment, the fair value of the reporting unit is estimated using a discounted cash flow valuation which incorporates assumptions regarding long-term growth rates, revenue and earnings projections, estimation of cash flows, discount rates and other factors. For the year ended December 31, 2023, in conducting the quantitative assessment, it was determined that the fair value of the goodwill exceeded its carrying amount by approximately 18%, and as a result, no impairment existed as of the annual assessment date of December 31, 2023. If the Company’s forecasts of cash flows or other key inputs are negatively revised in the future, the estimated fair value of the reporting unit would be adversely impacted, potentially leading to an impairment in the future that could materially affect our operating results. There were no goodwill impairment charges recorded for the three and nine months ended September 30, 2024 and 2023.</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Intangible assets are reviewed for impairment whenever events or changes in circumstances may affect the recoverability of the net assets. Such reviews may include an analysis of current results and take into consideration the undiscounted value of projected operating cash flows. The Company recorded a non-cash intangible impairment charge of $6.1 million for the three and nine months ended September 30, 2023 related to certain product offerings that were sunset in December 2023, which is included in asset impairment charges in the condensed consolidated statements of operations. There were no intangible asset impairment charges recorded for the three and nine months ended September 30, 2024. See Note 6, “Intangible Assets,” to these condensed consolidated financial statements for additional information.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Company’s operating leases consist of office space located in the United States. The Company does not have any leases classified as financing leases. The Company classifies arrangements meeting the definition of a lease as operating or financing leases, and leases are recorded on the condensed consolidated balance sheets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Operating lease assets and liabilities are recognized at commencement date based on the present value of lease payments over the lease term. For finance leases, interest on the lease liability and the amortization of the right-of-use asset results in front-loaded expense over the lease term. Variable lease expenses are recorded when incurred.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0" w:name="page151"/>
    <w:bookmarkEnd w:id="1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 During the three and nine months ended September 30, 2024 and 2023, the Company recognized no impairment charge related to ROU assets.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rent expense for the three months ended September 30, 2024 and 2023 was $1.7 million and $2.2 million, respectively. Net rent expense for the nine months ended September 30, 2024 and 2023 was $5.8 million and $6.6 million, respectively. Rent expense is included in general and administrative expense in the accompanying condensed consolidated statements of operations.</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the third quarter of 2024, the Company amended its lease associated with its corporate headquarters located in Irvine, California. The amendment extended the lease term five years through February 2030 and reduced the leased square footage. The lease extension was accounted for as a lease modification, and the Company remeasured its lease liability and ROU asset using an incremental borrowing rate of 11.5% and recognized a non-cash lease liability of $3.3 million and the related non-cash ROU asset of $3.3 million. The lease classification remained as an operating lease.</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in the second quarter 2024, the Company paid $0.1 million to terminate a lease agreement for one of the offices. In conjunction with the early lease termination, the Company reported a gain of $0.1 million which is recognized as a reduction to the related lease expense. The Company also de-recognized the remaining ROU asset of $0.2 million and a lease liability of $0.4 million on the condensed consolidated balance sheet related to early lease termination.</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2022, the Company entered into a sublease agreement with an affiliate of the Chief Executive Officer. The sublease commenced on June 1, 2022, and expired on October 31, 2024. See Note 13, “Related Party Transactions,” to these condensed consolidated financial statements for additional information.</w:t>
      </w:r>
    </w:p>
    <w:p>
      <w:pPr>
        <w:spacing w:after="0" w:line="68"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Sublease rental income is recognized as a reduction to the related lease expense on a straight-line basis over the sublease term. For the three months ended September 30, 2024 and 2023, the Company recorded rent income related to sublease of $0.2 million and $0.5 million, respectively. For the nine months ended September 30, 2024 and 2023, the Company recorded rent income related to sublease of $1.3 million and $1.6 million, respectively.</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jc w:val="both"/>
        <w:ind w:left="300" w:right="299"/>
        <w:spacing w:after="0" w:line="289" w:lineRule="auto"/>
        <w:rPr>
          <w:sz w:val="20"/>
          <w:szCs w:val="20"/>
          <w:color w:val="auto"/>
        </w:rPr>
      </w:pPr>
      <w:r>
        <w:rPr>
          <w:rFonts w:ascii="Times New Roman" w:cs="Times New Roman" w:eastAsia="Times New Roman" w:hAnsi="Times New Roman"/>
          <w:sz w:val="17"/>
          <w:szCs w:val="17"/>
          <w:color w:val="auto"/>
        </w:rPr>
        <w:t>The Company assumed public warrants originally issued in the initial public offering of Silver Spike (the “Public Warrants”) and private placement warrants that were originally issued in a private placement by Silver Spike (the “Private Placement Warrants” and, together with the Public Warrants, the “Warrants”) upon the Closing, all of which</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1" w:name="page152"/>
    <w:bookmarkEnd w:id="1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were issued in connection with Silver Spike’s initial public offering. The Company evaluated the Warrants under ASC 815-40 </w:t>
      </w:r>
      <w:r>
        <w:rPr>
          <w:rFonts w:ascii="Times New Roman" w:cs="Times New Roman" w:eastAsia="Times New Roman" w:hAnsi="Times New Roman"/>
          <w:sz w:val="18"/>
          <w:szCs w:val="18"/>
          <w:i w:val="1"/>
          <w:iCs w:val="1"/>
          <w:color w:val="auto"/>
        </w:rPr>
        <w:t>- Derivatives and Hedging - Contracts in Entity’s Own Equity</w:t>
      </w:r>
      <w:r>
        <w:rPr>
          <w:rFonts w:ascii="Times New Roman" w:cs="Times New Roman" w:eastAsia="Times New Roman" w:hAnsi="Times New Roman"/>
          <w:sz w:val="18"/>
          <w:szCs w:val="18"/>
          <w:color w:val="auto"/>
        </w:rPr>
        <w:t xml:space="preserve"> and concluded they do not meet the criteria to be classified in stockholders’ equity. See Note 9, “Warrant Liability,” to these condensed consolidated financial statements for additional information.</w:t>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TRA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 expected benefit. The remaining 15% is recorded to additional paid-in capital.</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The TRA liability is subject to remeasurement each reporting period, due to various factors, including changes in federal and state income tax rates and assessment of the probability of payment. As these remeasurement changes are subsequent to the initial measurement, the impact of the remeasurement is recorded in other income (loss), net on the condensed consolidated statements of operations. As of September 30, 2024 and December 31, 2023, the TRA liability was $3.1 million and $1.8 million, respectively. During the three and nine months ended September 30, 2024, the Company recognized a loss of $0.5 million and $1.5 million, respectively, related to the remeasurement of its TRA liability. During the three and nine months ended September 30, 2023, the Company recognized a loss of $0.1 million and $0.7 million, respectively, related to the remeasurement of its TRA liability. See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below for information related to the Company’s allowance against its net deferred tax assets.</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The Company recognizes revenue when the fundamental criteria for revenue recognition are met. In accordance with ASC 606 </w:t>
      </w:r>
      <w:r>
        <w:rPr>
          <w:rFonts w:ascii="Times New Roman" w:cs="Times New Roman" w:eastAsia="Times New Roman" w:hAnsi="Times New Roman"/>
          <w:sz w:val="18"/>
          <w:szCs w:val="18"/>
          <w:i w:val="1"/>
          <w:iCs w:val="1"/>
          <w:color w:val="auto"/>
        </w:rPr>
        <w:t>- Revenue from Contracts with Customers,</w:t>
      </w:r>
      <w:r>
        <w:rPr>
          <w:rFonts w:ascii="Times New Roman" w:cs="Times New Roman" w:eastAsia="Times New Roman" w:hAnsi="Times New Roman"/>
          <w:sz w:val="18"/>
          <w:szCs w:val="18"/>
          <w:color w:val="auto"/>
        </w:rPr>
        <w:t xml:space="preserve"> the Company recognizes revenue by applying the following five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The transaction price reflects the amount the Company expects to receive for such goods, net of discounts. Discounts issued are primarily related to the Company’s WM Teal program, which stands for “Together for Equity Access and Legislation”, through which the Company provides discounts including free software, advertising, educational materials and training programs to applicants or licenses under social equity licensing programs. The Company provides a discount to license holders who were awarded special status by the state based on owner qualifications. These are typically given in new markets to add more diversity and inclusion in the cannabis space. A license’s social equity status is validated by the Company on the applicable state’s website. For clients that pay in advance for listing and other services, the Company records deferred revenue and recognizes revenue over the applicable subscription term.</w:t>
      </w:r>
    </w:p>
    <w:p>
      <w:pPr>
        <w:spacing w:after="0" w:line="88"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17"/>
          <w:szCs w:val="17"/>
          <w:color w:val="auto"/>
        </w:rPr>
        <w:t>The Company’s revenues are derived primarily from monthly subscriptions to Weedmaps for Business, featured and deal listings and other ad solutions. The Company’s Weedmaps for Business subscriptions generally have one-month terms that automatically renew unless notice of cancellation is provided in advance. Featured and deal listings and other ad solutions are offered as add-on products to the Weedmaps for Business subscriptions. Featured and deal listings provide customers with premium placement ad solutions and discount and promotion pricing tools. Other ad solutions include banner ads and promotion tiles on the Company’s marketplace ad as well as other advertising products on and off the Weedmaps marketplace.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services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2" w:name="page153"/>
    <w:bookmarkEnd w:id="1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Revenue for service contracts that the Company assesses are not probable of collection is not recognized until the contract is completed and payment is received.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See Note 3, “Revenue from Contracts with Customers,” to these condensed consolidated financial statements for additional information.</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Company’s cost of revenue primarily consists of web hosting, internet service costs, credit card processing costs and other third party services.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Company expenses the cost of advertising in the period incurred. Advertising expense totaled $2.0 million and $3.5 million for the three months ended September 30, 2024 and 2023, respectively, and $8.3 million and $8.1 million for the nine months ended September 30, 2024 and 2023, respectively, and are included in sales and marketing expense in the accompanying condensed consolidated statements of operations.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that impacts the vesting of the award, the Company records compensation cost when it becomes probable that the performance condition will be met and the expense will be attributed over the performance period. See Note 11, “Stock-based Compensation,” to these condensed consolidated financial statements for additional information.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Company’s 401(k) saving plan is a tax-qualified deferred compensation arrangement under Section 401(k) of the Internal Revenue Code. Under the 401(k) Plan, participating U.S. employees may contribute a portion of their eligible earnings, subject to applicable U.S. Internal Revenue Service and plan limits. The Company matches up to 3.5% of the employee’s eligible compensation, vested upon two years of service. For the three months ended September 30, 2024 and 2023, the Company recognized an expense of $0.4 million and $0.9 million, respectively, and for the nine months ended September 30, 2024 and 2023, the Company recognized an expense of $1.4 million and $1.9 million, respectively, related to employer contributions for the Company’s 401(k) plan.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primarily of change in fair value of warrant liability, TRA liability remeasurement, discharge of a holdback obligation related to a prior acquisition, interest income and other tax related expenses.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The Company uses the asset and liability method of accounting for income taxes under ASC 740 -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Under the guidance, deferred tax assets and liabilities are recognized for the future tax consequences of (i) temporary differences between the financial statement carrying amounts and the tax basis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3" w:name="page154"/>
    <w:bookmarkEnd w:id="1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assesses whether it is “more-likely-than-not” that it will realize its deferred tax assets. The Company establishes a valuation allowance when available evidence indicates that it is more-likely-than-not that the deferred tax asset will not be realized. In assessing the need for a valuation allowance, the Company considers the amounts and timing of expected future deductions or carry forwards and sources of taxable income that may enable utilization. This includes an analysis of the Company’s current financial position, results of operations for the current and prior years and all currently available information about future years. This assessment and estimates require significant management judgment. The Company maintains an existing valuation allowance until enough positive evidence exists to support its reversal. Change in the amount or timing of expected future deductions or taxable income may have a material impact on the level of income tax valuation allowances.</w:t>
      </w:r>
    </w:p>
    <w:p>
      <w:pPr>
        <w:spacing w:after="0" w:line="80"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For nine months ended September 30, 2024 and for the year ending December 31, 2023, the Company conducted similar analyses, and determined that a full valuation allowance was still required. As of September 30, 2024 and December 31, 2023, the TRA liability was $3.1 million and $1.8 million, respectively.</w:t>
      </w:r>
    </w:p>
    <w:p>
      <w:pPr>
        <w:spacing w:after="0" w:line="68" w:lineRule="exact"/>
        <w:rPr>
          <w:sz w:val="20"/>
          <w:szCs w:val="20"/>
          <w:color w:val="auto"/>
        </w:rPr>
      </w:pPr>
    </w:p>
    <w:p>
      <w:pPr>
        <w:jc w:val="both"/>
        <w:ind w:left="300" w:right="299"/>
        <w:spacing w:after="0" w:line="274" w:lineRule="auto"/>
        <w:rPr>
          <w:sz w:val="20"/>
          <w:szCs w:val="20"/>
          <w:color w:val="auto"/>
        </w:rPr>
      </w:pPr>
      <w:r>
        <w:rPr>
          <w:rFonts w:ascii="Times New Roman" w:cs="Times New Roman" w:eastAsia="Times New Roman" w:hAnsi="Times New Roman"/>
          <w:sz w:val="17"/>
          <w:szCs w:val="17"/>
          <w:color w:val="auto"/>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is subject to variation due to several factors, including variability in pre-tax income (or loss), revaluations of the warrant liability, changes in flow-through income not subject to tax, valuation allowances and tax law developments.</w:t>
      </w:r>
    </w:p>
    <w:p>
      <w:pPr>
        <w:spacing w:after="0" w:line="6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Any taxable income or loss generated by WMH LLC is passed through to and included in the taxable income or loss of its members, including WM Technology, Inc.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WMH LLC will generally be required from time to time to make pro rata distributions in cash to the Company and the other holders of WMH Units at certain assumed tax rates in amounts that are intended to be sufficient to cover the taxes on the Company’s and the other WMH equity holders’ respective allocable shares of the taxable income of WMH LLC.</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For the three and nine ended September 30, 2024, the Company recorded $0.02 million and $0.07 million, respectively, in income tax provisions due to the impact of the full valuation allowance on its net deferred assets. For the three and nine months ended September 30, 2023, the Company recorded zero in income tax provisions due to the impact of the full valuation allowance on its net deferred assets. The effective tax rates differ from the federal statutory rate of 21% primarily due to the impact of valuation allowances, warrant valuations, non-controlling interests represented by the portion of the flow-through income not subject to tax, permanent stock-based compensation and state taxes.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 Company does not believe it has any uncertain income tax positions that are more-likely-than-not to materially affect its condensed consolidated financial statements.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Company has identified one business segment which management also considers to be one reporting unit as the Company’s Chief Executive Officer and Chief Financial Officer allocate resources, assess performance and manage the businesses as one segment.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4" w:name="page155"/>
    <w:bookmarkEnd w:id="1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Basic income (loss) per share is computed by dividing net income (loss) attributable to WM Technology, Inc. by the weighted-average number of shares of Class A Common Stock outstanding during the period.</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Potential common shares are excluded from the calculation of diluted EPS in the event they are antidilutive or subject to performance conditions for which the necessary conditions have not been satisfied by the end of the reporting period. See Note 12, “Earnings Per Share,” for additional information on dilutive securities.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are potentially subject to concentrations of credit risk. The Company places its cash with high quality credit institutions and the Company’s cash balances at these institutions typically exceed the Federal Deposit Insurance Corporation limit. As of September 30, 2024, the Company had cash balances that exceeded the FDIC limit with four financial institutions. Management believes that the risk of loss is not significant and has not experienced any losses in such accounts.</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Company reviewed the accounting pronouncements that became effective for fiscal year 2024 and determined that either they were not applicable, or they did not have a material impact on the consolidated financial statements.</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November 2023, the Financial Accounting Standards Board issued Accounting Standards Update (“ASU”) 2023-07, “</w:t>
      </w:r>
      <w:r>
        <w:rPr>
          <w:rFonts w:ascii="Times New Roman" w:cs="Times New Roman" w:eastAsia="Times New Roman" w:hAnsi="Times New Roman"/>
          <w:sz w:val="18"/>
          <w:szCs w:val="18"/>
          <w:i w:val="1"/>
          <w:iCs w:val="1"/>
          <w:color w:val="auto"/>
        </w:rPr>
        <w:t>Segment Reporting (Topic 280): Improvements to Reportable Segment Disclosure”</w:t>
      </w:r>
      <w:r>
        <w:rPr>
          <w:rFonts w:ascii="Times New Roman" w:cs="Times New Roman" w:eastAsia="Times New Roman" w:hAnsi="Times New Roman"/>
          <w:sz w:val="18"/>
          <w:szCs w:val="18"/>
          <w:color w:val="auto"/>
        </w:rPr>
        <w:t>, which is intended to improve reportable segment disclosure requirements, primarily through enhanced disclosures about significant segment expense categories that are regularly provided to the chief operating decision maker and included in each reported measure of a segment’s profit or loss. The update also requires all annual disclosures about a reportable segment’s profit or loss and assets to be provided in interim periods and for entities with a single reportable segment to provide all the disclosures required by ASC 280, Segment Reporting, including the significant segment expense disclosures. This ASU is effective for fiscal years beginning after December 15, 2024. The Company does not expect the adoption of this standard to have a material impact on the consolidated financial statements.</w:t>
      </w:r>
    </w:p>
    <w:p>
      <w:pPr>
        <w:spacing w:after="0" w:line="7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issued ASU 2023-09, </w:t>
      </w:r>
      <w:r>
        <w:rPr>
          <w:rFonts w:ascii="Times New Roman" w:cs="Times New Roman" w:eastAsia="Times New Roman" w:hAnsi="Times New Roman"/>
          <w:sz w:val="18"/>
          <w:szCs w:val="18"/>
          <w:i w:val="1"/>
          <w:iCs w:val="1"/>
          <w:color w:val="auto"/>
        </w:rPr>
        <w:t>“Income Taxes -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Income Tax Disclosures” </w:t>
      </w:r>
      <w:r>
        <w:rPr>
          <w:rFonts w:ascii="Times New Roman" w:cs="Times New Roman" w:eastAsia="Times New Roman" w:hAnsi="Times New Roman"/>
          <w:sz w:val="18"/>
          <w:szCs w:val="18"/>
          <w:color w:val="auto"/>
        </w:rPr>
        <w:t>requiring enhancements and further transparency to certain income tax disclosures,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notably the tax rate reconciliation and income taxes paid. This ASU is effective for fiscal years beginning after December 15, 2024 on a prospective basis and retrospective application is permitted. We are currently evaluating the impact of the adoption of this standard.</w:t>
      </w:r>
    </w:p>
    <w:p>
      <w:pPr>
        <w:spacing w:after="0" w:line="7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also reviewed other recently issued accounting pronouncements to be adopted in future periods and determined that they are not expected to have a material impact on the consolidated financial statements.</w:t>
      </w:r>
    </w:p>
    <w:p>
      <w:pPr>
        <w:spacing w:after="0" w:line="158" w:lineRule="exact"/>
        <w:rPr>
          <w:sz w:val="20"/>
          <w:szCs w:val="20"/>
          <w:color w:val="auto"/>
        </w:rPr>
      </w:pPr>
    </w:p>
    <w:p>
      <w:pPr>
        <w:ind w:left="640" w:hanging="348"/>
        <w:spacing w:after="0"/>
        <w:tabs>
          <w:tab w:leader="none" w:pos="6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sells a monthly subscription offering to retailer and brand clients as well as upsell and add-on offerings to licensed clients. The Company’s current Weedmaps for Business monthly subscription package includes:</w:t>
      </w:r>
    </w:p>
    <w:p>
      <w:pPr>
        <w:spacing w:after="0" w:line="68" w:lineRule="exact"/>
        <w:rPr>
          <w:sz w:val="20"/>
          <w:szCs w:val="20"/>
          <w:color w:val="auto"/>
        </w:rPr>
      </w:pPr>
    </w:p>
    <w:p>
      <w:pPr>
        <w:jc w:val="both"/>
        <w:ind w:left="1000" w:right="299" w:hanging="348"/>
        <w:spacing w:after="0" w:line="261"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Listings: A listing page with product menu for a retailer or brand on the Weedmaps marketplace, enabling the Company’s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Orders: Software for retailers to receive pickup and delivery orders directly from a Weedmaps listing and connect orders directly with a client’s POS system (for certain POS systems). The marketplace also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5" w:name="page156"/>
    <w:bookmarkEnd w:id="1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72" w:lineRule="exact"/>
        <w:rPr>
          <w:sz w:val="20"/>
          <w:szCs w:val="20"/>
          <w:color w:val="auto"/>
        </w:rPr>
      </w:pPr>
    </w:p>
    <w:p>
      <w:pPr>
        <w:jc w:val="both"/>
        <w:ind w:left="1000" w:right="299" w:hanging="348"/>
        <w:spacing w:after="0" w:line="259"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294"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also offers other add-on products for additional fees, including:</w:t>
      </w:r>
    </w:p>
    <w:p>
      <w:pPr>
        <w:spacing w:after="0" w:line="117" w:lineRule="exact"/>
        <w:rPr>
          <w:sz w:val="20"/>
          <w:szCs w:val="20"/>
          <w:color w:val="auto"/>
        </w:rPr>
      </w:pPr>
    </w:p>
    <w:p>
      <w:pPr>
        <w:jc w:val="both"/>
        <w:ind w:left="1000" w:right="319" w:hanging="348"/>
        <w:spacing w:after="0" w:line="266"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Ads, which includes, featured and deal listings and other ad solutions on the Weedmaps marketplace designed for clients to amplify their businesses and reach more highly engaged cannabis consumers throughout their buying journey including:</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39" w:lineRule="auto"/>
        <w:tabs>
          <w:tab w:leader="none" w:pos="1360" w:val="left"/>
        </w:tabs>
        <w:numPr>
          <w:ilvl w:val="1"/>
          <w:numId w:val="10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Featured Listings: Premium placement ad solutions on high visibility locations on the Weedmaps marketplace (desktop and mobile) to amplify our clients’ businesses and maximize clients’ listings and deal presence.</w:t>
      </w:r>
    </w:p>
    <w:p>
      <w:pPr>
        <w:sectPr>
          <w:pgSz w:w="11900" w:h="16838" w:orient="portrait"/>
          <w:cols w:equalWidth="0" w:num="1">
            <w:col w:w="9019"/>
          </w:cols>
          <w:pgMar w:left="1440" w:top="263" w:right="1440" w:bottom="1440" w:gutter="0" w:footer="0" w:header="0"/>
        </w:sectPr>
      </w:pPr>
    </w:p>
    <w:p>
      <w:pPr>
        <w:spacing w:after="0" w:line="9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68"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Other ad solutions: Includes banner ads and promotion tiles on our marketplace as well as banner ads that can be tied to keyword searches. These products provide clients with targeted ad solutions in highly visible slots across our digital surfaces.</w:t>
      </w:r>
    </w:p>
    <w:p>
      <w:pPr>
        <w:spacing w:after="0" w:line="68" w:lineRule="exact"/>
        <w:rPr>
          <w:sz w:val="20"/>
          <w:szCs w:val="20"/>
          <w:color w:val="auto"/>
        </w:rPr>
      </w:pPr>
    </w:p>
    <w:p>
      <w:pPr>
        <w:sectPr>
          <w:pgSz w:w="11900" w:h="16838" w:orient="portrait"/>
          <w:cols w:equalWidth="0" w:num="2">
            <w:col w:w="1080" w:space="280"/>
            <w:col w:w="7659"/>
          </w:cols>
          <w:pgMar w:left="1440" w:top="263" w:right="1440" w:bottom="1440" w:gutter="0" w:footer="0" w:header="0"/>
          <w:type w:val="continuous"/>
        </w:sectPr>
      </w:pPr>
    </w:p>
    <w:p>
      <w:pPr>
        <w:jc w:val="both"/>
        <w:ind w:left="1000" w:right="319" w:hanging="348"/>
        <w:spacing w:after="0" w:line="266" w:lineRule="auto"/>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December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56" w:name="page157"/>
    <w:bookmarkEnd w:id="1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net revenues information (in thousands):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2420" w:type="dxa"/>
            <w:vAlign w:val="bottom"/>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1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50"/>
        </w:trPr>
        <w:tc>
          <w:tcPr>
            <w:tcW w:w="38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3820" w:type="dxa"/>
            <w:vAlign w:val="bottom"/>
          </w:tcPr>
          <w:p>
            <w:pPr>
              <w:spacing w:after="0"/>
              <w:rPr>
                <w:sz w:val="15"/>
                <w:szCs w:val="15"/>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1"/>
                <w:szCs w:val="21"/>
                <w:color w:val="auto"/>
              </w:rPr>
            </w:pPr>
          </w:p>
        </w:tc>
        <w:tc>
          <w:tcPr>
            <w:tcW w:w="76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4"/>
          </w:tcPr>
          <w:p>
            <w:pPr>
              <w:ind w:left="200"/>
              <w:spacing w:after="0" w:line="243"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8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3"/>
          </w:tcPr>
          <w:p>
            <w:pPr>
              <w:ind w:left="160"/>
              <w:spacing w:after="0" w:line="243"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311"/>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auto"/>
              <w:bottom w:val="single" w:sz="8" w:color="CCEEFF"/>
            </w:tcBorders>
            <w:shd w:val="clear" w:color="auto" w:fill="CCEEFF"/>
          </w:tcPr>
          <w:p>
            <w:pPr>
              <w:spacing w:after="0"/>
              <w:rPr>
                <w:sz w:val="24"/>
                <w:szCs w:val="24"/>
                <w:color w:val="auto"/>
              </w:rPr>
            </w:pPr>
          </w:p>
        </w:tc>
        <w:tc>
          <w:tcPr>
            <w:tcW w:w="580" w:type="dxa"/>
            <w:vAlign w:val="bottom"/>
            <w:tcBorders>
              <w:top w:val="single" w:sz="8" w:color="auto"/>
              <w:bottom w:val="single" w:sz="8" w:color="CCEEFF"/>
            </w:tcBorders>
            <w:shd w:val="clear" w:color="auto" w:fill="CCEEFF"/>
          </w:tcPr>
          <w:p>
            <w:pPr>
              <w:spacing w:after="0"/>
              <w:rPr>
                <w:sz w:val="24"/>
                <w:szCs w:val="24"/>
                <w:color w:val="auto"/>
              </w:rPr>
            </w:pPr>
          </w:p>
        </w:tc>
        <w:tc>
          <w:tcPr>
            <w:tcW w:w="20" w:type="dxa"/>
            <w:vAlign w:val="bottom"/>
            <w:tcBorders>
              <w:top w:val="single" w:sz="8" w:color="auto"/>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CCEEFF"/>
            </w:tcBorders>
            <w:shd w:val="clear" w:color="auto" w:fill="CCEEFF"/>
          </w:tcPr>
          <w:p>
            <w:pPr>
              <w:spacing w:after="0"/>
              <w:rPr>
                <w:sz w:val="24"/>
                <w:szCs w:val="24"/>
                <w:color w:val="auto"/>
              </w:rPr>
            </w:pP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CCEEFF"/>
            </w:tcBorders>
            <w:shd w:val="clear" w:color="auto" w:fill="CCEEFF"/>
          </w:tcPr>
          <w:p>
            <w:pPr>
              <w:spacing w:after="0"/>
              <w:rPr>
                <w:sz w:val="24"/>
                <w:szCs w:val="24"/>
                <w:color w:val="auto"/>
              </w:rPr>
            </w:pPr>
          </w:p>
        </w:tc>
        <w:tc>
          <w:tcPr>
            <w:tcW w:w="660" w:type="dxa"/>
            <w:vAlign w:val="bottom"/>
            <w:tcBorders>
              <w:top w:val="single" w:sz="8" w:color="auto"/>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CCEEFF"/>
            </w:tcBorders>
            <w:shd w:val="clear" w:color="auto" w:fill="CCEEFF"/>
          </w:tcPr>
          <w:p>
            <w:pPr>
              <w:spacing w:after="0"/>
              <w:rPr>
                <w:sz w:val="24"/>
                <w:szCs w:val="24"/>
                <w:color w:val="auto"/>
              </w:rPr>
            </w:pPr>
          </w:p>
        </w:tc>
        <w:tc>
          <w:tcPr>
            <w:tcW w:w="680" w:type="dxa"/>
            <w:vAlign w:val="bottom"/>
            <w:tcBorders>
              <w:top w:val="single" w:sz="8" w:color="auto"/>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Weedmaps for Business and other SaaS</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solutions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$13,583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$10,877</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$ 40,285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$ 33,847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Featured and deal listings</w:t>
            </w: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29,233</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31,907</w:t>
            </w: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85,814</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96,782</w:t>
            </w: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38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42,816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42,784</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126,099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130,629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 solutions</w:t>
            </w: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3,736</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10,897</w:t>
            </w: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38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Total net revenues</w:t>
            </w:r>
            <w:r>
              <w:rPr>
                <w:rFonts w:ascii="Times New Roman" w:cs="Times New Roman" w:eastAsia="Times New Roman" w:hAnsi="Times New Roman"/>
                <w:sz w:val="29"/>
                <w:szCs w:val="29"/>
                <w:color w:val="auto"/>
                <w:vertAlign w:val="superscript"/>
              </w:rPr>
              <w:t>2</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46,552</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46,687</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136,844</w:t>
            </w:r>
          </w:p>
        </w:tc>
        <w:tc>
          <w:tcPr>
            <w:tcW w:w="10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141,526</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-1414145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-1414145</wp:posOffset>
            </wp:positionV>
            <wp:extent cx="7747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-1414145</wp:posOffset>
            </wp:positionV>
            <wp:extent cx="857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-1414145</wp:posOffset>
            </wp:positionV>
            <wp:extent cx="431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19" w:hanging="348"/>
        <w:spacing w:after="0" w:line="261" w:lineRule="auto"/>
        <w:tabs>
          <w:tab w:leader="none" w:pos="6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2023, net revenues have been retrospectively adjusted to reflect the restatement of previously reported 2023 revenue. See Note 2, “Summary of Significant Accounting Policies,” for further information.</w:t>
      </w:r>
    </w:p>
    <w:p>
      <w:pPr>
        <w:spacing w:after="0" w:line="1" w:lineRule="exact"/>
        <w:rPr>
          <w:sz w:val="20"/>
          <w:szCs w:val="20"/>
          <w:color w:val="auto"/>
        </w:rPr>
      </w:pPr>
    </w:p>
    <w:p>
      <w:pPr>
        <w:ind w:left="640" w:right="299" w:hanging="348"/>
        <w:spacing w:after="0" w:line="261" w:lineRule="auto"/>
        <w:tabs>
          <w:tab w:leader="none" w:pos="6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are net of discounts of $0.1 million and $0.8 million, respectively, for the three months ended September 30, 2024 and 2023 and $0.6 million and $3.0 million, respectively, for the nine months ended September 30, 2024 and 2023.</w:t>
      </w:r>
    </w:p>
    <w:p>
      <w:pPr>
        <w:spacing w:after="0" w:line="5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Deferred revenue primarily consists of billings or payments received in advance of revenue recognition from subscription offerings, as described above, and is recognized as the revenue recognition criteria are met. Deferred revenue balance as of September 30, 2024 and December 31, 2023 were $5.8 million and $5.9 million, respectively, and the balance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revenue has been generated in the United States for the three and nine months ended September 30, 2024 and 2023. For the three and nine months ended September 30, 2024, approximately 52% of the Company’s net revenues originated in California. For the three and nine months ended September 30, 2023, approximately 51% and 52% of the Company’s net revenues originated in California, respectively.</w:t>
      </w:r>
    </w:p>
    <w:p>
      <w:pPr>
        <w:spacing w:after="0" w:line="176" w:lineRule="exact"/>
        <w:rPr>
          <w:sz w:val="20"/>
          <w:szCs w:val="20"/>
          <w:color w:val="auto"/>
        </w:rPr>
      </w:pPr>
    </w:p>
    <w:p>
      <w:pPr>
        <w:ind w:left="640" w:hanging="348"/>
        <w:spacing w:after="0"/>
        <w:tabs>
          <w:tab w:leader="none" w:pos="6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 Matter</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previously disclosed, in the second quarter of 2022, the Company’s board of directors received an internal complaint regarding the calculation, definition and reporting of the Company’s monthly active users (“MAUs”) metric. In response, the Company’s board of directors formed a special committee of independent directors to conduct an internal investigation with the assistance of outside counsel. As a result of the findings of that internal investigation, the Company provided certain additional information regarding the growth and nature of the Company’s previously-reported MAUs in the Company’s Quarterly Report on Form 10-Q for the quarter ended June 30, 2022 filed with the SEC on August 9, 2022. This investigation found no impact on the Company’s financial results under GAAP or the reporting or disclosure of any currently disclosed non-GAAP financial metric. As also previously reported, in the third quarter of 2022, the Company determined not to report MAUs going forward. In August 2022, the Company’s board of directors determined to voluntarily report the internal complaint and subsequent internal investigation to the SEC, following which the SEC’s Division of Enforcement commenced an investigation. The Company has been fully cooperating with the SEC’s investigation.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7" w:name="page158"/>
    <w:bookmarkEnd w:id="1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also previously reported in the Current Report on Form 8-K filed on July 25, 2024, on July 22, 2024, the Company reached an agreement in principle with the SEC staff to resolve the SEC’s investigation with respect to the Company. Under the terms of the settlement, the Company consented, without admitting or denying the SEC’s findings, to the entry of an administrative cease-and-desist order finding violations of Sections 17(a)(2) and (3) of the Securities Act of 1933, as amended, Sections 13(a) and 14(a) of the Securities Exchange Act of 1934, as amended, and Rules 12b-20, 13a-1, 13a-11, 13a-13, and 14a-9 thereunder, and pay a civil money penalty of $1.5 million. The settlement was approved by the SEC, and the administrative cease-and-desist order was entered in September 2024. The Company issued payment to the SEC, and it was received by the SEC, in October 2024. Accordingly, the SEC enforcement matter is concluded with respect to the Company.</w:t>
      </w:r>
    </w:p>
    <w:p>
      <w:pPr>
        <w:spacing w:after="0" w:line="8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recorded a liability of $1.5 million for the SEC settlement which is included in general and administrative expenses in the condensed consolidated statements of operations and accounts payable and accrued expenses in the condensed consolidated balance sheets. The SEC settlement of $1.5 million was paid in October 2024.</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Company has minimum outstanding purchase obligations of approximately $1.8 million for the remaining three months in 2024, $7.3 million in 2025 and $7.5 million in 2026, due under software license agreements, of which the majority relates to the Company’s three-year AWS Enterprise agreement.</w:t>
      </w:r>
    </w:p>
    <w:p>
      <w:pPr>
        <w:spacing w:after="0" w:line="172" w:lineRule="exact"/>
        <w:rPr>
          <w:sz w:val="20"/>
          <w:szCs w:val="20"/>
          <w:color w:val="auto"/>
        </w:rPr>
      </w:pPr>
    </w:p>
    <w:p>
      <w:pPr>
        <w:ind w:left="640" w:hanging="348"/>
        <w:spacing w:after="0"/>
        <w:tabs>
          <w:tab w:leader="none" w:pos="6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9" w:lineRule="exact"/>
        <w:rPr>
          <w:sz w:val="20"/>
          <w:szCs w:val="20"/>
          <w:color w:val="auto"/>
        </w:rPr>
      </w:pPr>
    </w:p>
    <w:p>
      <w:pPr>
        <w:jc w:val="both"/>
        <w:ind w:left="300" w:right="299"/>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w:t>
      </w:r>
    </w:p>
    <w:p>
      <w:pPr>
        <w:spacing w:after="0" w:line="5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4" w:lineRule="exact"/>
        <w:rPr>
          <w:sz w:val="20"/>
          <w:szCs w:val="20"/>
          <w:color w:val="auto"/>
        </w:rPr>
      </w:pPr>
    </w:p>
    <w:p>
      <w:pPr>
        <w:jc w:val="both"/>
        <w:ind w:left="1000" w:right="299" w:hanging="348"/>
        <w:spacing w:after="0" w:line="266"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based on the Company assessment of the assumptions that market participants would use in pricing the asset or liability.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8" w:name="page159"/>
    <w:bookmarkEnd w:id="1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at September 30, 2024 and December 31, 2023, and indicates the fair value hierarchy of the valuation inputs the Company utilized to determine such fair value (in thousands):</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3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51"/>
        </w:trPr>
        <w:tc>
          <w:tcPr>
            <w:tcW w:w="53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311"/>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r>
      <w:tr>
        <w:trPr>
          <w:trHeight w:val="27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3"/>
                <w:szCs w:val="23"/>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$375</w:t>
            </w:r>
          </w:p>
        </w:tc>
      </w:tr>
      <w:tr>
        <w:trPr>
          <w:trHeight w:val="54"/>
        </w:trPr>
        <w:tc>
          <w:tcPr>
            <w:tcW w:w="5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5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400" w:type="dxa"/>
            <w:vAlign w:val="bottom"/>
            <w:shd w:val="clear" w:color="auto" w:fill="CCEEFF"/>
          </w:tcPr>
          <w:p>
            <w:pPr>
              <w:spacing w:after="0"/>
              <w:rPr>
                <w:sz w:val="22"/>
                <w:szCs w:val="22"/>
                <w:color w:val="auto"/>
              </w:rPr>
            </w:pPr>
          </w:p>
        </w:tc>
      </w:tr>
      <w:tr>
        <w:trPr>
          <w:trHeight w:val="61"/>
        </w:trPr>
        <w:tc>
          <w:tcPr>
            <w:tcW w:w="5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r>
      <w:tr>
        <w:trPr>
          <w:trHeight w:val="270"/>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warrant liability</w:t>
            </w: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390</w:t>
            </w: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585</w:t>
            </w:r>
          </w:p>
        </w:tc>
      </w:tr>
      <w:tr>
        <w:trPr>
          <w:trHeight w:val="20"/>
        </w:trPr>
        <w:tc>
          <w:tcPr>
            <w:tcW w:w="5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-847725</wp:posOffset>
            </wp:positionV>
            <wp:extent cx="10287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-847725</wp:posOffset>
            </wp:positionV>
            <wp:extent cx="10287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-847725</wp:posOffset>
            </wp:positionV>
            <wp:extent cx="514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tables summarize the changes in the fair value of the warrant liabilities (in thousands):</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300" w:type="dxa"/>
            <w:vAlign w:val="bottom"/>
            <w:gridSpan w:val="7"/>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4120" w:type="dxa"/>
            <w:vAlign w:val="bottom"/>
          </w:tcPr>
          <w:p>
            <w:pPr>
              <w:spacing w:after="0"/>
              <w:rPr>
                <w:sz w:val="16"/>
                <w:szCs w:val="16"/>
                <w:color w:val="auto"/>
              </w:rPr>
            </w:pPr>
          </w:p>
        </w:tc>
        <w:tc>
          <w:tcPr>
            <w:tcW w:w="230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51"/>
        </w:trPr>
        <w:tc>
          <w:tcPr>
            <w:tcW w:w="41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120" w:type="dxa"/>
            <w:vAlign w:val="bottom"/>
          </w:tcPr>
          <w:p>
            <w:pPr>
              <w:spacing w:after="0"/>
              <w:rPr>
                <w:sz w:val="16"/>
                <w:szCs w:val="16"/>
                <w:color w:val="auto"/>
              </w:rPr>
            </w:pPr>
          </w:p>
        </w:tc>
        <w:tc>
          <w:tcPr>
            <w:tcW w:w="7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Public</w:t>
            </w:r>
          </w:p>
        </w:tc>
        <w:tc>
          <w:tcPr>
            <w:tcW w:w="7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Private</w:t>
            </w: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7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7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87"/>
              </w:rPr>
              <w:t>Private</w:t>
            </w:r>
          </w:p>
        </w:tc>
        <w:tc>
          <w:tcPr>
            <w:tcW w:w="5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0"/>
              </w:rPr>
              <w:t>Warrant</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86"/>
              </w:rPr>
              <w:t>Placement</w:t>
            </w:r>
          </w:p>
        </w:tc>
        <w:tc>
          <w:tcPr>
            <w:tcW w:w="7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12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89"/>
              </w:rPr>
              <w:t>Warrants</w:t>
            </w:r>
          </w:p>
        </w:tc>
        <w:tc>
          <w:tcPr>
            <w:tcW w:w="7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89"/>
              </w:rPr>
              <w:t>Warrants</w:t>
            </w: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85"/>
              </w:rPr>
              <w:t>Warrants</w:t>
            </w: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82"/>
              </w:rPr>
              <w:t>Warrants</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Liabilities</w:t>
            </w:r>
          </w:p>
        </w:tc>
        <w:tc>
          <w:tcPr>
            <w:tcW w:w="0" w:type="dxa"/>
            <w:vAlign w:val="bottom"/>
          </w:tcPr>
          <w:p>
            <w:pPr>
              <w:spacing w:after="0"/>
              <w:rPr>
                <w:sz w:val="1"/>
                <w:szCs w:val="1"/>
                <w:color w:val="auto"/>
              </w:rPr>
            </w:pPr>
          </w:p>
        </w:tc>
      </w:tr>
      <w:tr>
        <w:trPr>
          <w:trHeight w:val="50"/>
        </w:trPr>
        <w:tc>
          <w:tcPr>
            <w:tcW w:w="412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1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520" w:type="dxa"/>
            <w:vAlign w:val="bottom"/>
            <w:tcBorders>
              <w:bottom w:val="single" w:sz="8" w:color="CCEEFF"/>
              <w:right w:val="single" w:sz="8" w:color="CCEEFF"/>
            </w:tcBorders>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$ 625</w:t>
            </w:r>
          </w:p>
        </w:tc>
        <w:tc>
          <w:tcPr>
            <w:tcW w:w="260" w:type="dxa"/>
            <w:vAlign w:val="bottom"/>
            <w:tcBorders>
              <w:bottom w:val="single" w:sz="8" w:color="CCEEFF"/>
              <w:right w:val="single" w:sz="8" w:color="CCEEFF"/>
            </w:tcBorders>
            <w:shd w:val="clear" w:color="auto" w:fill="CCEEFF"/>
          </w:tcPr>
          <w:p>
            <w:pPr>
              <w:spacing w:after="0"/>
              <w:rPr>
                <w:sz w:val="24"/>
                <w:szCs w:val="24"/>
                <w:color w:val="auto"/>
              </w:rPr>
            </w:pPr>
          </w:p>
        </w:tc>
        <w:tc>
          <w:tcPr>
            <w:tcW w:w="4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$ 350</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520" w:type="dxa"/>
            <w:vAlign w:val="bottom"/>
            <w:tcBorders>
              <w:bottom w:val="single" w:sz="8" w:color="CCEEFF"/>
              <w:right w:val="single" w:sz="8" w:color="CCEEFF"/>
            </w:tcBorders>
            <w:shd w:val="clear" w:color="auto" w:fill="CCEEFF"/>
          </w:tcPr>
          <w:p>
            <w:pPr>
              <w:jc w:val="center"/>
              <w:ind w:right="17"/>
              <w:spacing w:after="0"/>
              <w:rPr>
                <w:sz w:val="20"/>
                <w:szCs w:val="20"/>
                <w:color w:val="auto"/>
              </w:rPr>
            </w:pPr>
            <w:r>
              <w:rPr>
                <w:rFonts w:ascii="Times New Roman" w:cs="Times New Roman" w:eastAsia="Times New Roman" w:hAnsi="Times New Roman"/>
                <w:sz w:val="18"/>
                <w:szCs w:val="18"/>
                <w:color w:val="auto"/>
              </w:rPr>
              <w:t>$ 975</w:t>
            </w:r>
          </w:p>
        </w:tc>
        <w:tc>
          <w:tcPr>
            <w:tcW w:w="220" w:type="dxa"/>
            <w:vAlign w:val="bottom"/>
            <w:tcBorders>
              <w:bottom w:val="single" w:sz="8" w:color="CCEEFF"/>
              <w:right w:val="single" w:sz="8" w:color="CCEEFF"/>
            </w:tcBorders>
            <w:shd w:val="clear" w:color="auto" w:fill="CCEEFF"/>
          </w:tcPr>
          <w:p>
            <w:pPr>
              <w:spacing w:after="0"/>
              <w:rPr>
                <w:sz w:val="24"/>
                <w:szCs w:val="24"/>
                <w:color w:val="auto"/>
              </w:rPr>
            </w:pPr>
          </w:p>
        </w:tc>
        <w:tc>
          <w:tcPr>
            <w:tcW w:w="520" w:type="dxa"/>
            <w:vAlign w:val="bottom"/>
            <w:tcBorders>
              <w:bottom w:val="single" w:sz="8" w:color="CCEEFF"/>
              <w:right w:val="single" w:sz="8" w:color="CCEEFF"/>
            </w:tcBorders>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$ 375</w:t>
            </w: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480" w:type="dxa"/>
            <w:vAlign w:val="bottom"/>
            <w:tcBorders>
              <w:bottom w:val="single" w:sz="8" w:color="CCEEFF"/>
              <w:right w:val="single" w:sz="8" w:color="CCEEFF"/>
            </w:tcBorders>
            <w:shd w:val="clear" w:color="auto" w:fill="CCEEFF"/>
          </w:tcPr>
          <w:p>
            <w:pPr>
              <w:jc w:val="center"/>
              <w:ind w:right="37"/>
              <w:spacing w:after="0"/>
              <w:rPr>
                <w:sz w:val="20"/>
                <w:szCs w:val="20"/>
                <w:color w:val="auto"/>
              </w:rPr>
            </w:pPr>
            <w:r>
              <w:rPr>
                <w:rFonts w:ascii="Times New Roman" w:cs="Times New Roman" w:eastAsia="Times New Roman" w:hAnsi="Times New Roman"/>
                <w:sz w:val="18"/>
                <w:szCs w:val="18"/>
                <w:color w:val="auto"/>
                <w:w w:val="99"/>
              </w:rPr>
              <w:t>$210</w:t>
            </w:r>
          </w:p>
        </w:tc>
        <w:tc>
          <w:tcPr>
            <w:tcW w:w="220" w:type="dxa"/>
            <w:vAlign w:val="bottom"/>
            <w:tcBorders>
              <w:bottom w:val="single" w:sz="8" w:color="CCEEFF"/>
              <w:right w:val="single" w:sz="8" w:color="CCEEFF"/>
            </w:tcBorders>
            <w:shd w:val="clear" w:color="auto" w:fill="CCEEFF"/>
          </w:tcPr>
          <w:p>
            <w:pPr>
              <w:spacing w:after="0"/>
              <w:rPr>
                <w:sz w:val="24"/>
                <w:szCs w:val="24"/>
                <w:color w:val="auto"/>
              </w:rPr>
            </w:pPr>
          </w:p>
        </w:tc>
        <w:tc>
          <w:tcPr>
            <w:tcW w:w="4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$ 585</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60" w:type="dxa"/>
            <w:vAlign w:val="bottom"/>
          </w:tcPr>
          <w:p>
            <w:pPr>
              <w:spacing w:after="0"/>
              <w:rPr>
                <w:sz w:val="22"/>
                <w:szCs w:val="22"/>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22"/>
                <w:szCs w:val="22"/>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61"/>
        </w:trPr>
        <w:tc>
          <w:tcPr>
            <w:tcW w:w="412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41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520" w:type="dxa"/>
            <w:vAlign w:val="bottom"/>
            <w:tcBorders>
              <w:right w:val="single" w:sz="8" w:color="CCEEFF"/>
            </w:tcBorders>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$ 250</w:t>
            </w:r>
          </w:p>
        </w:tc>
        <w:tc>
          <w:tcPr>
            <w:tcW w:w="260" w:type="dxa"/>
            <w:vAlign w:val="bottom"/>
            <w:tcBorders>
              <w:right w:val="single" w:sz="8" w:color="CCEEFF"/>
            </w:tcBorders>
            <w:shd w:val="clear" w:color="auto" w:fill="CCEEFF"/>
          </w:tcPr>
          <w:p>
            <w:pPr>
              <w:spacing w:after="0"/>
              <w:rPr>
                <w:sz w:val="24"/>
                <w:szCs w:val="24"/>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$ 140</w:t>
            </w:r>
          </w:p>
        </w:tc>
        <w:tc>
          <w:tcPr>
            <w:tcW w:w="8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jc w:val="center"/>
              <w:ind w:right="17"/>
              <w:spacing w:after="0"/>
              <w:rPr>
                <w:sz w:val="20"/>
                <w:szCs w:val="20"/>
                <w:color w:val="auto"/>
              </w:rPr>
            </w:pPr>
            <w:r>
              <w:rPr>
                <w:rFonts w:ascii="Times New Roman" w:cs="Times New Roman" w:eastAsia="Times New Roman" w:hAnsi="Times New Roman"/>
                <w:sz w:val="18"/>
                <w:szCs w:val="18"/>
                <w:color w:val="auto"/>
              </w:rPr>
              <w:t>$ 390</w:t>
            </w:r>
          </w:p>
        </w:tc>
        <w:tc>
          <w:tcPr>
            <w:tcW w:w="220" w:type="dxa"/>
            <w:vAlign w:val="bottom"/>
            <w:tcBorders>
              <w:right w:val="single" w:sz="8" w:color="CCEEFF"/>
            </w:tcBorders>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$ 250</w:t>
            </w:r>
          </w:p>
        </w:tc>
        <w:tc>
          <w:tcPr>
            <w:tcW w:w="240" w:type="dxa"/>
            <w:vAlign w:val="bottom"/>
            <w:tcBorders>
              <w:right w:val="single" w:sz="8" w:color="CCEEFF"/>
            </w:tcBorders>
            <w:shd w:val="clear" w:color="auto" w:fill="CCEEFF"/>
          </w:tcPr>
          <w:p>
            <w:pPr>
              <w:spacing w:after="0"/>
              <w:rPr>
                <w:sz w:val="24"/>
                <w:szCs w:val="24"/>
                <w:color w:val="auto"/>
              </w:rPr>
            </w:pPr>
          </w:p>
        </w:tc>
        <w:tc>
          <w:tcPr>
            <w:tcW w:w="480" w:type="dxa"/>
            <w:vAlign w:val="bottom"/>
            <w:tcBorders>
              <w:right w:val="single" w:sz="8" w:color="CCEEFF"/>
            </w:tcBorders>
            <w:shd w:val="clear" w:color="auto" w:fill="CCEEFF"/>
          </w:tcPr>
          <w:p>
            <w:pPr>
              <w:jc w:val="center"/>
              <w:ind w:right="37"/>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140</w:t>
            </w:r>
          </w:p>
        </w:tc>
        <w:tc>
          <w:tcPr>
            <w:tcW w:w="220" w:type="dxa"/>
            <w:vAlign w:val="bottom"/>
            <w:tcBorders>
              <w:right w:val="single" w:sz="8" w:color="CCEEFF"/>
            </w:tcBorders>
            <w:shd w:val="clear" w:color="auto" w:fill="CCEEFF"/>
          </w:tcPr>
          <w:p>
            <w:pPr>
              <w:spacing w:after="0"/>
              <w:rPr>
                <w:sz w:val="24"/>
                <w:szCs w:val="24"/>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$ 390</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120" w:type="dxa"/>
            <w:vAlign w:val="bottom"/>
            <w:tcBorders>
              <w:top w:val="single" w:sz="8" w:color="CCEEFF"/>
              <w:right w:val="single" w:sz="8" w:color="CCEEFF"/>
            </w:tcBorders>
            <w:shd w:val="clear" w:color="auto" w:fill="CCEEFF"/>
          </w:tcPr>
          <w:p>
            <w:pPr>
              <w:spacing w:after="0"/>
              <w:rPr>
                <w:sz w:val="2"/>
                <w:szCs w:val="2"/>
                <w:color w:val="auto"/>
              </w:rPr>
            </w:pPr>
          </w:p>
        </w:tc>
        <w:tc>
          <w:tcPr>
            <w:tcW w:w="520" w:type="dxa"/>
            <w:vAlign w:val="bottom"/>
            <w:tcBorders>
              <w:top w:val="single" w:sz="8" w:color="auto"/>
              <w:right w:val="single" w:sz="8" w:color="CCEEFF"/>
            </w:tcBorders>
            <w:shd w:val="clear" w:color="auto" w:fill="000000"/>
          </w:tcPr>
          <w:p>
            <w:pPr>
              <w:spacing w:after="0"/>
              <w:rPr>
                <w:sz w:val="2"/>
                <w:szCs w:val="2"/>
                <w:color w:val="auto"/>
              </w:rPr>
            </w:pPr>
          </w:p>
        </w:tc>
        <w:tc>
          <w:tcPr>
            <w:tcW w:w="260" w:type="dxa"/>
            <w:vAlign w:val="bottom"/>
            <w:tcBorders>
              <w:top w:val="single" w:sz="8" w:color="CCEEFF"/>
              <w:right w:val="single" w:sz="8" w:color="CCEEFF"/>
            </w:tcBorders>
            <w:shd w:val="clear" w:color="auto" w:fill="CCEEFF"/>
          </w:tcPr>
          <w:p>
            <w:pPr>
              <w:spacing w:after="0"/>
              <w:rPr>
                <w:sz w:val="2"/>
                <w:szCs w:val="2"/>
                <w:color w:val="auto"/>
              </w:rPr>
            </w:pPr>
          </w:p>
        </w:tc>
        <w:tc>
          <w:tcPr>
            <w:tcW w:w="460" w:type="dxa"/>
            <w:vAlign w:val="bottom"/>
            <w:tcBorders>
              <w:top w:val="single" w:sz="8" w:color="auto"/>
              <w:right w:val="single" w:sz="8" w:color="CCEEFF"/>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right w:val="single" w:sz="8" w:color="CCEEFF"/>
            </w:tcBorders>
            <w:shd w:val="clear" w:color="auto" w:fill="CCEEFF"/>
          </w:tcPr>
          <w:p>
            <w:pPr>
              <w:spacing w:after="0"/>
              <w:rPr>
                <w:sz w:val="2"/>
                <w:szCs w:val="2"/>
                <w:color w:val="auto"/>
              </w:rPr>
            </w:pPr>
          </w:p>
        </w:tc>
        <w:tc>
          <w:tcPr>
            <w:tcW w:w="520" w:type="dxa"/>
            <w:vAlign w:val="bottom"/>
            <w:tcBorders>
              <w:top w:val="single" w:sz="8" w:color="auto"/>
              <w:right w:val="single" w:sz="8" w:color="CCEEFF"/>
            </w:tcBorders>
            <w:shd w:val="clear" w:color="auto" w:fill="000000"/>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520" w:type="dxa"/>
            <w:vAlign w:val="bottom"/>
            <w:tcBorders>
              <w:top w:val="single" w:sz="8" w:color="auto"/>
              <w:right w:val="single" w:sz="8" w:color="CCEEFF"/>
            </w:tcBorders>
            <w:shd w:val="clear" w:color="auto" w:fill="000000"/>
          </w:tcPr>
          <w:p>
            <w:pPr>
              <w:spacing w:after="0"/>
              <w:rPr>
                <w:sz w:val="2"/>
                <w:szCs w:val="2"/>
                <w:color w:val="auto"/>
              </w:rPr>
            </w:pPr>
          </w:p>
        </w:tc>
        <w:tc>
          <w:tcPr>
            <w:tcW w:w="24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auto"/>
              <w:right w:val="single" w:sz="8" w:color="auto"/>
            </w:tcBorders>
            <w:shd w:val="clear" w:color="auto" w:fill="000000"/>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460" w:type="dxa"/>
            <w:vAlign w:val="bottom"/>
            <w:tcBorders>
              <w:top w:val="single" w:sz="8" w:color="auto"/>
              <w:right w:val="single" w:sz="8" w:color="CCEEFF"/>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0"/>
        </w:trPr>
        <w:tc>
          <w:tcPr>
            <w:tcW w:w="4120" w:type="dxa"/>
            <w:vAlign w:val="bottom"/>
          </w:tcPr>
          <w:p>
            <w:pPr>
              <w:spacing w:after="0"/>
              <w:rPr>
                <w:sz w:val="24"/>
                <w:szCs w:val="24"/>
                <w:color w:val="auto"/>
              </w:rPr>
            </w:pPr>
          </w:p>
        </w:tc>
        <w:tc>
          <w:tcPr>
            <w:tcW w:w="230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4120" w:type="dxa"/>
            <w:vAlign w:val="bottom"/>
          </w:tcPr>
          <w:p>
            <w:pPr>
              <w:spacing w:after="0"/>
              <w:rPr>
                <w:sz w:val="16"/>
                <w:szCs w:val="16"/>
                <w:color w:val="auto"/>
              </w:rPr>
            </w:pPr>
          </w:p>
        </w:tc>
        <w:tc>
          <w:tcPr>
            <w:tcW w:w="230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00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50"/>
        </w:trPr>
        <w:tc>
          <w:tcPr>
            <w:tcW w:w="41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120" w:type="dxa"/>
            <w:vAlign w:val="bottom"/>
          </w:tcPr>
          <w:p>
            <w:pPr>
              <w:spacing w:after="0"/>
              <w:rPr>
                <w:sz w:val="16"/>
                <w:szCs w:val="16"/>
                <w:color w:val="auto"/>
              </w:rPr>
            </w:pPr>
          </w:p>
        </w:tc>
        <w:tc>
          <w:tcPr>
            <w:tcW w:w="7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Public</w:t>
            </w:r>
          </w:p>
        </w:tc>
        <w:tc>
          <w:tcPr>
            <w:tcW w:w="7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Private</w:t>
            </w: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7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7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87"/>
              </w:rPr>
              <w:t>Private</w:t>
            </w:r>
          </w:p>
        </w:tc>
        <w:tc>
          <w:tcPr>
            <w:tcW w:w="5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0"/>
              </w:rPr>
              <w:t>Warrant</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86"/>
              </w:rPr>
              <w:t>Placement</w:t>
            </w:r>
          </w:p>
        </w:tc>
        <w:tc>
          <w:tcPr>
            <w:tcW w:w="7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12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89"/>
              </w:rPr>
              <w:t>Warrants</w:t>
            </w:r>
          </w:p>
        </w:tc>
        <w:tc>
          <w:tcPr>
            <w:tcW w:w="7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89"/>
              </w:rPr>
              <w:t>Warrants</w:t>
            </w: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85"/>
              </w:rPr>
              <w:t>Warrants</w:t>
            </w: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82"/>
              </w:rPr>
              <w:t>Warrants</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Liabilities</w:t>
            </w:r>
          </w:p>
        </w:tc>
        <w:tc>
          <w:tcPr>
            <w:tcW w:w="0" w:type="dxa"/>
            <w:vAlign w:val="bottom"/>
          </w:tcPr>
          <w:p>
            <w:pPr>
              <w:spacing w:after="0"/>
              <w:rPr>
                <w:sz w:val="1"/>
                <w:szCs w:val="1"/>
                <w:color w:val="auto"/>
              </w:rPr>
            </w:pPr>
          </w:p>
        </w:tc>
      </w:tr>
      <w:tr>
        <w:trPr>
          <w:trHeight w:val="50"/>
        </w:trPr>
        <w:tc>
          <w:tcPr>
            <w:tcW w:w="412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1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52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$1,500</w:t>
            </w:r>
          </w:p>
        </w:tc>
        <w:tc>
          <w:tcPr>
            <w:tcW w:w="260" w:type="dxa"/>
            <w:vAlign w:val="bottom"/>
            <w:tcBorders>
              <w:bottom w:val="single" w:sz="8" w:color="CCEEFF"/>
              <w:right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  910</w:t>
            </w: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52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$2,410</w:t>
            </w:r>
          </w:p>
        </w:tc>
        <w:tc>
          <w:tcPr>
            <w:tcW w:w="220" w:type="dxa"/>
            <w:vAlign w:val="bottom"/>
            <w:tcBorders>
              <w:bottom w:val="single" w:sz="8" w:color="CCEEFF"/>
              <w:right w:val="single" w:sz="8" w:color="CCEEFF"/>
            </w:tcBorders>
            <w:shd w:val="clear" w:color="auto" w:fill="CCEEFF"/>
          </w:tcPr>
          <w:p>
            <w:pPr>
              <w:spacing w:after="0"/>
              <w:rPr>
                <w:sz w:val="24"/>
                <w:szCs w:val="24"/>
                <w:color w:val="auto"/>
              </w:rPr>
            </w:pPr>
          </w:p>
        </w:tc>
        <w:tc>
          <w:tcPr>
            <w:tcW w:w="52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$1,250</w:t>
            </w: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48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  840</w:t>
            </w:r>
          </w:p>
        </w:tc>
        <w:tc>
          <w:tcPr>
            <w:tcW w:w="220" w:type="dxa"/>
            <w:vAlign w:val="bottom"/>
            <w:tcBorders>
              <w:bottom w:val="single" w:sz="8" w:color="CCEEFF"/>
              <w:right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6"/>
              </w:rPr>
              <w:t>$2,090</w:t>
            </w:r>
          </w:p>
        </w:tc>
        <w:tc>
          <w:tcPr>
            <w:tcW w:w="0" w:type="dxa"/>
            <w:vAlign w:val="bottom"/>
          </w:tcPr>
          <w:p>
            <w:pPr>
              <w:spacing w:after="0"/>
              <w:rPr>
                <w:sz w:val="1"/>
                <w:szCs w:val="1"/>
                <w:color w:val="auto"/>
              </w:rPr>
            </w:pPr>
          </w:p>
        </w:tc>
      </w:tr>
      <w:tr>
        <w:trPr>
          <w:trHeight w:val="25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412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41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5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1,750</w:t>
            </w:r>
          </w:p>
        </w:tc>
        <w:tc>
          <w:tcPr>
            <w:tcW w:w="260" w:type="dxa"/>
            <w:vAlign w:val="bottom"/>
            <w:tcBorders>
              <w:right w:val="single" w:sz="8" w:color="CCEEFF"/>
            </w:tcBorders>
            <w:shd w:val="clear" w:color="auto" w:fill="CCEEFF"/>
          </w:tcPr>
          <w:p>
            <w:pPr>
              <w:spacing w:after="0"/>
              <w:rPr>
                <w:sz w:val="24"/>
                <w:szCs w:val="24"/>
                <w:color w:val="auto"/>
              </w:rPr>
            </w:pPr>
          </w:p>
        </w:tc>
        <w:tc>
          <w:tcPr>
            <w:tcW w:w="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1,120</w:t>
            </w:r>
          </w:p>
        </w:tc>
        <w:tc>
          <w:tcPr>
            <w:tcW w:w="240" w:type="dxa"/>
            <w:vAlign w:val="bottom"/>
            <w:tcBorders>
              <w:right w:val="single" w:sz="8" w:color="CCEEFF"/>
            </w:tcBorders>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2,870</w:t>
            </w:r>
          </w:p>
        </w:tc>
        <w:tc>
          <w:tcPr>
            <w:tcW w:w="220" w:type="dxa"/>
            <w:vAlign w:val="bottom"/>
            <w:tcBorders>
              <w:right w:val="single" w:sz="8" w:color="CCEEFF"/>
            </w:tcBorders>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1,750</w:t>
            </w:r>
          </w:p>
        </w:tc>
        <w:tc>
          <w:tcPr>
            <w:tcW w:w="240" w:type="dxa"/>
            <w:vAlign w:val="bottom"/>
            <w:tcBorders>
              <w:right w:val="single" w:sz="8" w:color="CCEEFF"/>
            </w:tcBorders>
            <w:shd w:val="clear" w:color="auto" w:fill="CCEEFF"/>
          </w:tcPr>
          <w:p>
            <w:pPr>
              <w:spacing w:after="0"/>
              <w:rPr>
                <w:sz w:val="24"/>
                <w:szCs w:val="24"/>
                <w:color w:val="auto"/>
              </w:rPr>
            </w:pPr>
          </w:p>
        </w:tc>
        <w:tc>
          <w:tcPr>
            <w:tcW w:w="4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84"/>
              </w:rPr>
              <w:t>$</w:t>
            </w:r>
            <w:r>
              <w:rPr>
                <w:rFonts w:ascii="Times New Roman" w:cs="Times New Roman" w:eastAsia="Times New Roman" w:hAnsi="Times New Roman"/>
                <w:sz w:val="18"/>
                <w:szCs w:val="18"/>
                <w:color w:val="auto"/>
                <w:w w:val="84"/>
              </w:rPr>
              <w:t>1,120</w:t>
            </w:r>
          </w:p>
        </w:tc>
        <w:tc>
          <w:tcPr>
            <w:tcW w:w="220" w:type="dxa"/>
            <w:vAlign w:val="bottom"/>
            <w:tcBorders>
              <w:right w:val="single" w:sz="8" w:color="CCEEFF"/>
            </w:tcBorders>
            <w:shd w:val="clear" w:color="auto" w:fill="CCEEFF"/>
          </w:tcPr>
          <w:p>
            <w:pPr>
              <w:spacing w:after="0"/>
              <w:rPr>
                <w:sz w:val="24"/>
                <w:szCs w:val="24"/>
                <w:color w:val="auto"/>
              </w:rPr>
            </w:pPr>
          </w:p>
        </w:tc>
        <w:tc>
          <w:tcPr>
            <w:tcW w:w="5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2,870</w:t>
            </w:r>
          </w:p>
        </w:tc>
        <w:tc>
          <w:tcPr>
            <w:tcW w:w="0" w:type="dxa"/>
            <w:vAlign w:val="bottom"/>
          </w:tcPr>
          <w:p>
            <w:pPr>
              <w:spacing w:after="0"/>
              <w:rPr>
                <w:sz w:val="1"/>
                <w:szCs w:val="1"/>
                <w:color w:val="auto"/>
              </w:rPr>
            </w:pPr>
          </w:p>
        </w:tc>
      </w:tr>
      <w:tr>
        <w:trPr>
          <w:trHeight w:val="27"/>
        </w:trPr>
        <w:tc>
          <w:tcPr>
            <w:tcW w:w="4120" w:type="dxa"/>
            <w:vAlign w:val="bottom"/>
            <w:tcBorders>
              <w:top w:val="single" w:sz="8" w:color="CCEEFF"/>
              <w:right w:val="single" w:sz="8" w:color="auto"/>
            </w:tcBorders>
            <w:shd w:val="clear" w:color="auto" w:fill="CCEEFF"/>
          </w:tcPr>
          <w:p>
            <w:pPr>
              <w:spacing w:after="0"/>
              <w:rPr>
                <w:sz w:val="2"/>
                <w:szCs w:val="2"/>
                <w:color w:val="auto"/>
              </w:rPr>
            </w:pPr>
          </w:p>
        </w:tc>
        <w:tc>
          <w:tcPr>
            <w:tcW w:w="520" w:type="dxa"/>
            <w:vAlign w:val="bottom"/>
            <w:tcBorders>
              <w:top w:val="single" w:sz="8" w:color="auto"/>
              <w:right w:val="single" w:sz="8" w:color="auto"/>
            </w:tcBorders>
            <w:shd w:val="clear" w:color="auto" w:fill="000000"/>
          </w:tcPr>
          <w:p>
            <w:pPr>
              <w:spacing w:after="0"/>
              <w:rPr>
                <w:sz w:val="2"/>
                <w:szCs w:val="2"/>
                <w:color w:val="auto"/>
              </w:rPr>
            </w:pPr>
          </w:p>
        </w:tc>
        <w:tc>
          <w:tcPr>
            <w:tcW w:w="260" w:type="dxa"/>
            <w:vAlign w:val="bottom"/>
            <w:tcBorders>
              <w:top w:val="single" w:sz="8" w:color="CCEEFF"/>
              <w:right w:val="single" w:sz="8" w:color="auto"/>
            </w:tcBorders>
            <w:shd w:val="clear" w:color="auto" w:fill="CCEEFF"/>
          </w:tcPr>
          <w:p>
            <w:pPr>
              <w:spacing w:after="0"/>
              <w:rPr>
                <w:sz w:val="2"/>
                <w:szCs w:val="2"/>
                <w:color w:val="auto"/>
              </w:rPr>
            </w:pPr>
          </w:p>
        </w:tc>
        <w:tc>
          <w:tcPr>
            <w:tcW w:w="460" w:type="dxa"/>
            <w:vAlign w:val="bottom"/>
            <w:tcBorders>
              <w:top w:val="single" w:sz="8" w:color="auto"/>
              <w:right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right w:val="single" w:sz="8" w:color="auto"/>
            </w:tcBorders>
            <w:shd w:val="clear" w:color="auto" w:fill="CCEEFF"/>
          </w:tcPr>
          <w:p>
            <w:pPr>
              <w:spacing w:after="0"/>
              <w:rPr>
                <w:sz w:val="2"/>
                <w:szCs w:val="2"/>
                <w:color w:val="auto"/>
              </w:rPr>
            </w:pPr>
          </w:p>
        </w:tc>
        <w:tc>
          <w:tcPr>
            <w:tcW w:w="520" w:type="dxa"/>
            <w:vAlign w:val="bottom"/>
            <w:tcBorders>
              <w:top w:val="single" w:sz="8" w:color="auto"/>
              <w:right w:val="single" w:sz="8" w:color="auto"/>
            </w:tcBorders>
            <w:shd w:val="clear" w:color="auto" w:fill="000000"/>
          </w:tcPr>
          <w:p>
            <w:pPr>
              <w:spacing w:after="0"/>
              <w:rPr>
                <w:sz w:val="2"/>
                <w:szCs w:val="2"/>
                <w:color w:val="auto"/>
              </w:rPr>
            </w:pPr>
          </w:p>
        </w:tc>
        <w:tc>
          <w:tcPr>
            <w:tcW w:w="220" w:type="dxa"/>
            <w:vAlign w:val="bottom"/>
            <w:tcBorders>
              <w:top w:val="single" w:sz="8" w:color="CCEEFF"/>
              <w:right w:val="single" w:sz="8" w:color="auto"/>
            </w:tcBorders>
            <w:shd w:val="clear" w:color="auto" w:fill="CCEEFF"/>
          </w:tcPr>
          <w:p>
            <w:pPr>
              <w:spacing w:after="0"/>
              <w:rPr>
                <w:sz w:val="2"/>
                <w:szCs w:val="2"/>
                <w:color w:val="auto"/>
              </w:rPr>
            </w:pPr>
          </w:p>
        </w:tc>
        <w:tc>
          <w:tcPr>
            <w:tcW w:w="520" w:type="dxa"/>
            <w:vAlign w:val="bottom"/>
            <w:tcBorders>
              <w:top w:val="single" w:sz="8" w:color="auto"/>
              <w:right w:val="single" w:sz="8" w:color="auto"/>
            </w:tcBorders>
            <w:shd w:val="clear" w:color="auto" w:fill="000000"/>
          </w:tcPr>
          <w:p>
            <w:pPr>
              <w:spacing w:after="0"/>
              <w:rPr>
                <w:sz w:val="2"/>
                <w:szCs w:val="2"/>
                <w:color w:val="auto"/>
              </w:rPr>
            </w:pPr>
          </w:p>
        </w:tc>
        <w:tc>
          <w:tcPr>
            <w:tcW w:w="240" w:type="dxa"/>
            <w:vAlign w:val="bottom"/>
            <w:tcBorders>
              <w:top w:val="single" w:sz="8" w:color="CCEEFF"/>
              <w:right w:val="single" w:sz="8" w:color="auto"/>
            </w:tcBorders>
            <w:shd w:val="clear" w:color="auto" w:fill="CCEEFF"/>
          </w:tcPr>
          <w:p>
            <w:pPr>
              <w:spacing w:after="0"/>
              <w:rPr>
                <w:sz w:val="2"/>
                <w:szCs w:val="2"/>
                <w:color w:val="auto"/>
              </w:rPr>
            </w:pPr>
          </w:p>
        </w:tc>
        <w:tc>
          <w:tcPr>
            <w:tcW w:w="480" w:type="dxa"/>
            <w:vAlign w:val="bottom"/>
            <w:tcBorders>
              <w:top w:val="single" w:sz="8" w:color="auto"/>
              <w:right w:val="single" w:sz="8" w:color="auto"/>
            </w:tcBorders>
            <w:shd w:val="clear" w:color="auto" w:fill="000000"/>
          </w:tcPr>
          <w:p>
            <w:pPr>
              <w:spacing w:after="0"/>
              <w:rPr>
                <w:sz w:val="2"/>
                <w:szCs w:val="2"/>
                <w:color w:val="auto"/>
              </w:rPr>
            </w:pPr>
          </w:p>
        </w:tc>
        <w:tc>
          <w:tcPr>
            <w:tcW w:w="220" w:type="dxa"/>
            <w:vAlign w:val="bottom"/>
            <w:tcBorders>
              <w:top w:val="single" w:sz="8" w:color="CCEEFF"/>
              <w:right w:val="single" w:sz="8" w:color="auto"/>
            </w:tcBorders>
            <w:shd w:val="clear" w:color="auto" w:fill="CCEEFF"/>
          </w:tcPr>
          <w:p>
            <w:pPr>
              <w:spacing w:after="0"/>
              <w:rPr>
                <w:sz w:val="2"/>
                <w:szCs w:val="2"/>
                <w:color w:val="auto"/>
              </w:rPr>
            </w:pPr>
          </w:p>
        </w:tc>
        <w:tc>
          <w:tcPr>
            <w:tcW w:w="460" w:type="dxa"/>
            <w:vAlign w:val="bottom"/>
            <w:tcBorders>
              <w:top w:val="single" w:sz="8" w:color="auto"/>
              <w:right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-2048510</wp:posOffset>
            </wp:positionV>
            <wp:extent cx="857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-2048510</wp:posOffset>
            </wp:positionV>
            <wp:extent cx="857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-2048510</wp:posOffset>
            </wp:positionV>
            <wp:extent cx="857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-2048510</wp:posOffset>
            </wp:positionV>
            <wp:extent cx="857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-2048510</wp:posOffset>
            </wp:positionV>
            <wp:extent cx="939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-2048510</wp:posOffset>
            </wp:positionV>
            <wp:extent cx="514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-650875</wp:posOffset>
            </wp:positionV>
            <wp:extent cx="8572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-650875</wp:posOffset>
            </wp:positionV>
            <wp:extent cx="8572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-650875</wp:posOffset>
            </wp:positionV>
            <wp:extent cx="8572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-650875</wp:posOffset>
            </wp:positionV>
            <wp:extent cx="8572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-650875</wp:posOffset>
            </wp:positionV>
            <wp:extent cx="939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-650875</wp:posOffset>
            </wp:positionV>
            <wp:extent cx="5143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Company determined the fair value of the Public Warrants, based on the publicly listed trading price of such warrants as of the valuation date. Accordingly, the Public Warrants are classified as Level 1 financial instruments. The fair value of the Public Warrants was $0.3 million and $0.4 million as of September 30, 2024 and December 31, 2023, respectively.</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9" w:name="page160"/>
    <w:bookmarkEnd w:id="1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319"/>
        <w:spacing w:after="0" w:line="270"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tbl>
      <w:tblPr>
        <w:tblLayout w:type="fixed"/>
        <w:tblInd w:w="30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50"/>
        </w:trPr>
        <w:tc>
          <w:tcPr>
            <w:tcW w:w="582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r>
      <w:tr>
        <w:trPr>
          <w:trHeight w:val="311"/>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22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$11.50</w:t>
            </w: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$11.50</w:t>
            </w:r>
          </w:p>
        </w:tc>
      </w:tr>
      <w:tr>
        <w:trPr>
          <w:trHeight w:val="27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0.87</w:t>
            </w:r>
          </w:p>
        </w:tc>
        <w:tc>
          <w:tcPr>
            <w:tcW w:w="1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0.72</w:t>
            </w:r>
          </w:p>
        </w:tc>
      </w:tr>
      <w:tr>
        <w:trPr>
          <w:trHeight w:val="54"/>
        </w:trPr>
        <w:tc>
          <w:tcPr>
            <w:tcW w:w="5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5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93.0%</w:t>
            </w:r>
          </w:p>
        </w:tc>
        <w:tc>
          <w:tcPr>
            <w:tcW w:w="1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87.5%</w:t>
            </w:r>
          </w:p>
        </w:tc>
      </w:tr>
      <w:tr>
        <w:trPr>
          <w:trHeight w:val="27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Term (years)</w:t>
            </w:r>
          </w:p>
        </w:tc>
        <w:tc>
          <w:tcPr>
            <w:tcW w:w="500" w:type="dxa"/>
            <w:vAlign w:val="bottom"/>
          </w:tcPr>
          <w:p>
            <w:pPr>
              <w:spacing w:after="0"/>
              <w:rPr>
                <w:sz w:val="23"/>
                <w:szCs w:val="23"/>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2.46</w:t>
            </w:r>
          </w:p>
        </w:tc>
      </w:tr>
      <w:tr>
        <w:trPr>
          <w:trHeight w:val="54"/>
        </w:trPr>
        <w:tc>
          <w:tcPr>
            <w:tcW w:w="5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7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00" w:type="dxa"/>
            <w:vAlign w:val="bottom"/>
            <w:shd w:val="clear" w:color="auto" w:fill="CCEEFF"/>
          </w:tcPr>
          <w:p>
            <w:pPr>
              <w:spacing w:after="0"/>
              <w:rPr>
                <w:sz w:val="23"/>
                <w:szCs w:val="23"/>
                <w:color w:val="auto"/>
              </w:rPr>
            </w:pPr>
          </w:p>
        </w:tc>
        <w:tc>
          <w:tcPr>
            <w:tcW w:w="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3.75%</w:t>
            </w:r>
          </w:p>
        </w:tc>
        <w:tc>
          <w:tcPr>
            <w:tcW w:w="1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4.13%</w:t>
            </w:r>
          </w:p>
        </w:tc>
      </w:tr>
      <w:tr>
        <w:trPr>
          <w:trHeight w:val="54"/>
        </w:trPr>
        <w:tc>
          <w:tcPr>
            <w:tcW w:w="582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4660265</wp:posOffset>
            </wp:positionH>
            <wp:positionV relativeFrom="paragraph">
              <wp:posOffset>-1045210</wp:posOffset>
            </wp:positionV>
            <wp:extent cx="12001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-1045210</wp:posOffset>
            </wp:positionV>
            <wp:extent cx="6032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Significant changes in the volatility would result in a significant lower or higher fair value measurement, respectively.</w:t>
      </w:r>
    </w:p>
    <w:p>
      <w:pPr>
        <w:spacing w:after="0" w:line="5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fair value of the Private Placement Warrants was $0.1 million and $0.2 million as of September 30, 2024 and December 31, 2023, respectively. There were no transfers in or out of Level 3 from other levels in the fair value hierarchy.</w:t>
      </w:r>
    </w:p>
    <w:p>
      <w:pPr>
        <w:spacing w:after="0" w:line="172" w:lineRule="exact"/>
        <w:rPr>
          <w:sz w:val="20"/>
          <w:szCs w:val="20"/>
          <w:color w:val="auto"/>
        </w:rPr>
      </w:pPr>
    </w:p>
    <w:p>
      <w:pPr>
        <w:ind w:left="640" w:hanging="348"/>
        <w:spacing w:after="0"/>
        <w:tabs>
          <w:tab w:leader="none" w:pos="6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Intangible assets consisted of the following as of September 30, 2024 and December 31, 2023 (in thousands):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880" w:type="dxa"/>
            <w:vAlign w:val="bottom"/>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88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6"/>
                <w:szCs w:val="16"/>
                <w:color w:val="auto"/>
              </w:rPr>
            </w:pPr>
          </w:p>
        </w:tc>
        <w:tc>
          <w:tcPr>
            <w:tcW w:w="6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640" w:type="dxa"/>
            <w:vAlign w:val="bottom"/>
            <w:gridSpan w:val="4"/>
            <w:vMerge w:val="continue"/>
          </w:tcPr>
          <w:p>
            <w:pPr>
              <w:spacing w:after="0"/>
              <w:rPr>
                <w:sz w:val="12"/>
                <w:szCs w:val="12"/>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720" w:type="dxa"/>
            <w:vAlign w:val="bottom"/>
            <w:gridSpan w:val="5"/>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920" w:type="dxa"/>
            <w:vAlign w:val="bottom"/>
            <w:gridSpan w:val="4"/>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880" w:type="dxa"/>
            <w:vAlign w:val="bottom"/>
          </w:tcPr>
          <w:p>
            <w:pPr>
              <w:spacing w:after="0"/>
              <w:rPr>
                <w:sz w:val="16"/>
                <w:szCs w:val="16"/>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80" w:type="dxa"/>
            <w:vAlign w:val="bottom"/>
          </w:tcPr>
          <w:p>
            <w:pPr>
              <w:spacing w:after="0"/>
              <w:rPr>
                <w:sz w:val="16"/>
                <w:szCs w:val="16"/>
                <w:color w:val="auto"/>
              </w:rPr>
            </w:pPr>
          </w:p>
        </w:tc>
        <w:tc>
          <w:tcPr>
            <w:tcW w:w="6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50"/>
        </w:trPr>
        <w:tc>
          <w:tcPr>
            <w:tcW w:w="48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$7,256</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$(5,370)</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w:t>
            </w: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90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3"/>
                <w:szCs w:val="23"/>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3"/>
                <w:szCs w:val="23"/>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54"/>
        </w:trPr>
        <w:tc>
          <w:tcPr>
            <w:tcW w:w="48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9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48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23"/>
                <w:szCs w:val="23"/>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7,675</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(5,584)</w:t>
            </w:r>
          </w:p>
        </w:tc>
        <w:tc>
          <w:tcPr>
            <w:tcW w:w="80" w:type="dxa"/>
            <w:vAlign w:val="bottom"/>
          </w:tcPr>
          <w:p>
            <w:pPr>
              <w:spacing w:after="0"/>
              <w:rPr>
                <w:sz w:val="23"/>
                <w:szCs w:val="23"/>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2,091</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9"/>
        </w:trPr>
        <w:tc>
          <w:tcPr>
            <w:tcW w:w="4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4880" w:type="dxa"/>
            <w:vAlign w:val="bottom"/>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88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6"/>
                <w:szCs w:val="16"/>
                <w:color w:val="auto"/>
              </w:rPr>
            </w:pPr>
          </w:p>
        </w:tc>
        <w:tc>
          <w:tcPr>
            <w:tcW w:w="6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640" w:type="dxa"/>
            <w:vAlign w:val="bottom"/>
            <w:gridSpan w:val="4"/>
            <w:vMerge w:val="continue"/>
          </w:tcPr>
          <w:p>
            <w:pPr>
              <w:spacing w:after="0"/>
              <w:rPr>
                <w:sz w:val="12"/>
                <w:szCs w:val="12"/>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720" w:type="dxa"/>
            <w:vAlign w:val="bottom"/>
            <w:gridSpan w:val="5"/>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920" w:type="dxa"/>
            <w:vAlign w:val="bottom"/>
            <w:gridSpan w:val="4"/>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880" w:type="dxa"/>
            <w:vAlign w:val="bottom"/>
          </w:tcPr>
          <w:p>
            <w:pPr>
              <w:spacing w:after="0"/>
              <w:rPr>
                <w:sz w:val="16"/>
                <w:szCs w:val="16"/>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80" w:type="dxa"/>
            <w:vAlign w:val="bottom"/>
          </w:tcPr>
          <w:p>
            <w:pPr>
              <w:spacing w:after="0"/>
              <w:rPr>
                <w:sz w:val="16"/>
                <w:szCs w:val="16"/>
                <w:color w:val="auto"/>
              </w:rPr>
            </w:pPr>
          </w:p>
        </w:tc>
        <w:tc>
          <w:tcPr>
            <w:tcW w:w="6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50"/>
        </w:trPr>
        <w:tc>
          <w:tcPr>
            <w:tcW w:w="48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$7,256</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$(5,008)</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90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3"/>
                <w:szCs w:val="23"/>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9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48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23"/>
                <w:szCs w:val="23"/>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7,675</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(5,168)</w:t>
            </w:r>
          </w:p>
        </w:tc>
        <w:tc>
          <w:tcPr>
            <w:tcW w:w="80" w:type="dxa"/>
            <w:vAlign w:val="bottom"/>
          </w:tcPr>
          <w:p>
            <w:pPr>
              <w:spacing w:after="0"/>
              <w:rPr>
                <w:sz w:val="23"/>
                <w:szCs w:val="23"/>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4900295</wp:posOffset>
            </wp:positionH>
            <wp:positionV relativeFrom="paragraph">
              <wp:posOffset>-2451100</wp:posOffset>
            </wp:positionV>
            <wp:extent cx="5143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-2451100</wp:posOffset>
            </wp:positionV>
            <wp:extent cx="5143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-2451100</wp:posOffset>
            </wp:positionV>
            <wp:extent cx="5143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-2451100</wp:posOffset>
            </wp:positionV>
            <wp:extent cx="254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-847725</wp:posOffset>
            </wp:positionV>
            <wp:extent cx="514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-847725</wp:posOffset>
            </wp:positionV>
            <wp:extent cx="514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-847725</wp:posOffset>
            </wp:positionV>
            <wp:extent cx="5143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-847725</wp:posOffset>
            </wp:positionV>
            <wp:extent cx="2540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83"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was $0.1 million and $0.5 million during the three months ended September 30, 2024 and 2023, respectively. Amortization expense for intangible assets was $0.4 million and $1.6 million during the nine months ended September 30, 2024 and 2023, respectively.</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Company recorded a non-cash intangible impairment charge of $6.1 million for the three and nine months ended September 30, 2023 related to certain product offerings that were sunset in December, 2023, which is included in asset impairment charges in the condensed consolidated statements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0" w:name="page161"/>
    <w:bookmarkEnd w:id="1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estimated future amortization expense of intangible assets as of September 30, 2024 is as follows (in thousands):</w:t>
      </w:r>
    </w:p>
    <w:p>
      <w:pPr>
        <w:spacing w:after="0" w:line="112" w:lineRule="exact"/>
        <w:rPr>
          <w:sz w:val="20"/>
          <w:szCs w:val="20"/>
          <w:color w:val="auto"/>
        </w:rPr>
      </w:pPr>
    </w:p>
    <w:tbl>
      <w:tblPr>
        <w:tblLayout w:type="fixed"/>
        <w:tblInd w:w="300" w:type="dxa"/>
        <w:tblCellMar>
          <w:top w:w="0" w:type="dxa"/>
          <w:left w:w="0" w:type="dxa"/>
          <w:bottom w:w="0" w:type="dxa"/>
          <w:right w:w="0" w:type="dxa"/>
        </w:tblCellMar>
      </w:tblPr>
      <w:tr>
        <w:trPr>
          <w:trHeight w:val="358"/>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period in 2024 (three months)</w:t>
            </w:r>
          </w:p>
        </w:tc>
        <w:tc>
          <w:tcPr>
            <w:tcW w:w="2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7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2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 w:type="dxa"/>
            <w:vAlign w:val="bottom"/>
          </w:tcPr>
          <w:p>
            <w:pPr>
              <w:spacing w:after="0"/>
              <w:rPr>
                <w:sz w:val="23"/>
                <w:szCs w:val="23"/>
                <w:color w:val="auto"/>
              </w:rPr>
            </w:pPr>
          </w:p>
        </w:tc>
      </w:tr>
      <w:tr>
        <w:trPr>
          <w:trHeight w:val="54"/>
        </w:trPr>
        <w:tc>
          <w:tcPr>
            <w:tcW w:w="544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24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2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0" w:type="dxa"/>
            <w:vAlign w:val="bottom"/>
          </w:tcPr>
          <w:p>
            <w:pPr>
              <w:spacing w:after="0"/>
              <w:rPr>
                <w:sz w:val="23"/>
                <w:szCs w:val="23"/>
                <w:color w:val="auto"/>
              </w:rPr>
            </w:pPr>
          </w:p>
        </w:tc>
      </w:tr>
      <w:tr>
        <w:trPr>
          <w:trHeight w:val="54"/>
        </w:trPr>
        <w:tc>
          <w:tcPr>
            <w:tcW w:w="544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24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22"/>
                <w:szCs w:val="22"/>
                <w:color w:val="auto"/>
              </w:rPr>
            </w:pPr>
          </w:p>
        </w:tc>
      </w:tr>
      <w:tr>
        <w:trPr>
          <w:trHeight w:val="61"/>
        </w:trPr>
        <w:tc>
          <w:tcPr>
            <w:tcW w:w="544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91"/>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2,091</w:t>
            </w:r>
          </w:p>
        </w:tc>
      </w:tr>
      <w:tr>
        <w:trPr>
          <w:trHeight w:val="27"/>
        </w:trPr>
        <w:tc>
          <w:tcPr>
            <w:tcW w:w="544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340" w:type="dxa"/>
            <w:vAlign w:val="bottom"/>
            <w:tcBorders>
              <w:top w:val="single" w:sz="8" w:color="auto"/>
            </w:tcBorders>
            <w:shd w:val="clear" w:color="auto" w:fill="000000"/>
          </w:tcPr>
          <w:p>
            <w:pPr>
              <w:spacing w:after="0"/>
              <w:rPr>
                <w:sz w:val="2"/>
                <w:szCs w:val="2"/>
                <w:color w:val="auto"/>
              </w:rPr>
            </w:pPr>
          </w:p>
        </w:tc>
        <w:tc>
          <w:tcPr>
            <w:tcW w:w="20" w:type="dxa"/>
            <w:vAlign w:val="bottom"/>
            <w:tcBorders>
              <w:top w:val="single" w:sz="8" w:color="auto"/>
            </w:tcBorders>
            <w:shd w:val="clear" w:color="auto" w:fill="000000"/>
          </w:tcPr>
          <w:p>
            <w:pPr>
              <w:spacing w:after="0"/>
              <w:rPr>
                <w:sz w:val="2"/>
                <w:szCs w:val="2"/>
                <w:color w:val="auto"/>
              </w:rPr>
            </w:pPr>
          </w:p>
        </w:tc>
      </w:tr>
    </w:tbl>
    <w:p>
      <w:pPr>
        <w:spacing w:after="0" w:line="194" w:lineRule="exact"/>
        <w:rPr>
          <w:sz w:val="20"/>
          <w:szCs w:val="20"/>
          <w:color w:val="auto"/>
        </w:rPr>
      </w:pPr>
    </w:p>
    <w:p>
      <w:pPr>
        <w:ind w:left="640" w:hanging="348"/>
        <w:spacing w:after="0"/>
        <w:tabs>
          <w:tab w:leader="none" w:pos="6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as of September 30, 2024 and December 31, 2023 consisted of the following (in thousands):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5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50"/>
        </w:trPr>
        <w:tc>
          <w:tcPr>
            <w:tcW w:w="57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311"/>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3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$1,530</w:t>
            </w: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Prepaid marketing</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w:t>
            </w:r>
          </w:p>
        </w:tc>
        <w:tc>
          <w:tcPr>
            <w:tcW w:w="360" w:type="dxa"/>
            <w:vAlign w:val="bottom"/>
          </w:tcPr>
          <w:p>
            <w:pPr>
              <w:spacing w:after="0"/>
              <w:rPr>
                <w:sz w:val="23"/>
                <w:szCs w:val="23"/>
                <w:color w:val="auto"/>
              </w:rPr>
            </w:pPr>
          </w:p>
        </w:tc>
      </w:tr>
      <w:tr>
        <w:trPr>
          <w:trHeight w:val="54"/>
        </w:trPr>
        <w:tc>
          <w:tcPr>
            <w:tcW w:w="5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304"/>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3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2,406</w:t>
            </w:r>
          </w:p>
        </w:tc>
        <w:tc>
          <w:tcPr>
            <w:tcW w:w="360" w:type="dxa"/>
            <w:vAlign w:val="bottom"/>
            <w:tcBorders>
              <w:bottom w:val="single" w:sz="8" w:color="CCEEFF"/>
            </w:tcBorders>
            <w:shd w:val="clear" w:color="auto" w:fill="CCEEFF"/>
          </w:tcPr>
          <w:p>
            <w:pPr>
              <w:spacing w:after="0"/>
              <w:rPr>
                <w:sz w:val="24"/>
                <w:szCs w:val="24"/>
                <w:color w:val="auto"/>
              </w:rPr>
            </w:pP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1,655</w:t>
            </w:r>
          </w:p>
        </w:tc>
        <w:tc>
          <w:tcPr>
            <w:tcW w:w="360" w:type="dxa"/>
            <w:vAlign w:val="bottom"/>
          </w:tcPr>
          <w:p>
            <w:pPr>
              <w:spacing w:after="0"/>
              <w:rPr>
                <w:sz w:val="23"/>
                <w:szCs w:val="23"/>
                <w:color w:val="auto"/>
              </w:rPr>
            </w:pPr>
          </w:p>
        </w:tc>
      </w:tr>
      <w:tr>
        <w:trPr>
          <w:trHeight w:val="48"/>
        </w:trPr>
        <w:tc>
          <w:tcPr>
            <w:tcW w:w="5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r>
      <w:tr>
        <w:trPr>
          <w:trHeight w:val="290"/>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6,409</w:t>
            </w:r>
          </w:p>
        </w:tc>
        <w:tc>
          <w:tcPr>
            <w:tcW w:w="3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5,978</w:t>
            </w:r>
          </w:p>
        </w:tc>
      </w:tr>
      <w:tr>
        <w:trPr>
          <w:trHeight w:val="27"/>
        </w:trPr>
        <w:tc>
          <w:tcPr>
            <w:tcW w:w="57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tcBorders>
            <w:shd w:val="clear" w:color="auto" w:fill="000000"/>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tcBorders>
            <w:shd w:val="clear" w:color="auto" w:fill="000000"/>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-1062355</wp:posOffset>
            </wp:positionV>
            <wp:extent cx="18859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-1062355</wp:posOffset>
            </wp:positionV>
            <wp:extent cx="9461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Company capitalizes implementation costs incurred in cloud computing arrangements that are service contracts if they meet certain requirements. Those requirements are similar to the requirements for capitalizing implementation costs incurred to develop internal-use software. Amortization is computed using the straight-line method over the term of the associated hosting arrangement. These implementation costs are classified on the balance sheet in prepaid and other current assets, and the related cash flows are presented as cash outflows from operations. Impairment is recognized and measured when it is no longer probable that the computer software project will be completed and placed in service.</w:t>
      </w:r>
    </w:p>
    <w:p>
      <w:pPr>
        <w:spacing w:after="0" w:line="185" w:lineRule="exact"/>
        <w:rPr>
          <w:sz w:val="20"/>
          <w:szCs w:val="20"/>
          <w:color w:val="auto"/>
        </w:rPr>
      </w:pPr>
    </w:p>
    <w:p>
      <w:pPr>
        <w:ind w:left="640" w:hanging="348"/>
        <w:spacing w:after="0"/>
        <w:tabs>
          <w:tab w:leader="none" w:pos="6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Expenses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Accounts payable and accrued expenses as of September 30, 2024 and December 31, 2023 consisted of the following (in thousands):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5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50"/>
        </w:trPr>
        <w:tc>
          <w:tcPr>
            <w:tcW w:w="57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311"/>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$ 6,932</w:t>
            </w:r>
          </w:p>
        </w:tc>
        <w:tc>
          <w:tcPr>
            <w:tcW w:w="3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$ 7,323</w:t>
            </w:r>
          </w:p>
        </w:tc>
        <w:tc>
          <w:tcPr>
            <w:tcW w:w="320" w:type="dxa"/>
            <w:vAlign w:val="bottom"/>
            <w:tcBorders>
              <w:bottom w:val="single" w:sz="8" w:color="CCEEFF"/>
            </w:tcBorders>
            <w:shd w:val="clear" w:color="auto" w:fill="CCEEFF"/>
          </w:tcPr>
          <w:p>
            <w:pPr>
              <w:spacing w:after="0"/>
              <w:rPr>
                <w:sz w:val="24"/>
                <w:szCs w:val="24"/>
                <w:color w:val="auto"/>
              </w:rPr>
            </w:pPr>
          </w:p>
        </w:tc>
      </w:tr>
      <w:tr>
        <w:trPr>
          <w:trHeight w:val="25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expenses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320" w:type="dxa"/>
            <w:vAlign w:val="bottom"/>
          </w:tcPr>
          <w:p>
            <w:pPr>
              <w:spacing w:after="0"/>
              <w:rPr>
                <w:sz w:val="22"/>
                <w:szCs w:val="22"/>
                <w:color w:val="auto"/>
              </w:rPr>
            </w:pPr>
          </w:p>
        </w:tc>
      </w:tr>
      <w:tr>
        <w:trPr>
          <w:trHeight w:val="61"/>
        </w:trPr>
        <w:tc>
          <w:tcPr>
            <w:tcW w:w="5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r>
      <w:tr>
        <w:trPr>
          <w:trHeight w:val="290"/>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16,533</w:t>
            </w:r>
          </w:p>
        </w:tc>
        <w:tc>
          <w:tcPr>
            <w:tcW w:w="3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21,182</w:t>
            </w:r>
          </w:p>
        </w:tc>
        <w:tc>
          <w:tcPr>
            <w:tcW w:w="320" w:type="dxa"/>
            <w:vAlign w:val="bottom"/>
            <w:shd w:val="clear" w:color="auto" w:fill="CCEEFF"/>
          </w:tcPr>
          <w:p>
            <w:pPr>
              <w:spacing w:after="0"/>
              <w:rPr>
                <w:sz w:val="24"/>
                <w:szCs w:val="24"/>
                <w:color w:val="auto"/>
              </w:rPr>
            </w:pPr>
          </w:p>
        </w:tc>
      </w:tr>
      <w:tr>
        <w:trPr>
          <w:trHeight w:val="27"/>
        </w:trPr>
        <w:tc>
          <w:tcPr>
            <w:tcW w:w="57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-650875</wp:posOffset>
            </wp:positionV>
            <wp:extent cx="18859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-650875</wp:posOffset>
            </wp:positionV>
            <wp:extent cx="9461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70"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Accrued employee expenses include accrued bonuses and commission of $4.2 million and $7.4 million as of September 30, 2024 and December 31, 2023, respectively. Accounts payable and other accrued liabilities as of September 30, 2024 include $1.5 million in potential SEC settlement. See Note 4, “Commitments and Contingencies” to these condensed consolidated financial statements for further information.</w:t>
      </w:r>
    </w:p>
    <w:p>
      <w:pPr>
        <w:spacing w:after="0" w:line="176" w:lineRule="exact"/>
        <w:rPr>
          <w:sz w:val="20"/>
          <w:szCs w:val="20"/>
          <w:color w:val="auto"/>
        </w:rPr>
      </w:pPr>
    </w:p>
    <w:p>
      <w:pPr>
        <w:ind w:left="640" w:hanging="348"/>
        <w:spacing w:after="0"/>
        <w:tabs>
          <w:tab w:leader="none" w:pos="6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Liability</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At September 30, 2024, there were 12,499,973 Public Warrants outstanding and 7,000,000 Private Placement Warrants outstanding.</w:t>
      </w:r>
    </w:p>
    <w:p>
      <w:pPr>
        <w:spacing w:after="0" w:line="54"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Public Warrants entitle the holder thereof to purchase one share of Class A Common Stock at a price of $11.50 per share, subject to adjustments. The Public Warrants may be exercised only for a whole number of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1" w:name="page162"/>
    <w:bookmarkEnd w:id="1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8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may exercise its redemption right even if it is unable to register or qualify the underlying securities for sale under all applicable state securities laws. 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concluded the Public Warrants and Private Placement Warrants, or the Warrants, meet the definition of a derivative under ASC 815- Derivatives and Hedging and are recorded as liabilities. Upon the Closing, the fair value of the Warrants was recorded on the balance sheet. The fair value of the Warrants are remeasured as of each balance sheet date, which resulted in a non-cash gain of $0.6 million and $0.2 million in the condensed consolidated statements of operations for the three and nine months ended September 30, 2024, respectively, and a non-cash loss of $0.5 million and $0.8 million in the condensed consolidated statements of operations for the three and nine months ended September 30, 2023, respectively. See Note 5, “Fair Value Measurements” to these condensed consolidated financial statements for additional information.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10.  Equity</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2" w:name="page163"/>
    <w:bookmarkEnd w:id="1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2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the Company’s board of directors.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the Company’s assets.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Issuance and Retirement of Class V Common Stock</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3" w:name="page164"/>
    <w:bookmarkEnd w:id="1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September 30, 2024, there were no shares of preferred stock issued or outstanding.</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noncontrolling interest represents the Units held by holders other than the Company. As of September 30, 2024, the noncontrolling interests owned 36.9%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WM Holding Company, LLC Equity Incentive Plan</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accounted for the issuance of Class A-3 and Class B Units issued under WM Holding Company, LLC’s Equity Incentive Plan in accordance with ASC 718 – </w:t>
      </w:r>
      <w:r>
        <w:rPr>
          <w:rFonts w:ascii="Times New Roman" w:cs="Times New Roman" w:eastAsia="Times New Roman" w:hAnsi="Times New Roman"/>
          <w:sz w:val="18"/>
          <w:szCs w:val="18"/>
          <w:i w:val="1"/>
          <w:iCs w:val="1"/>
          <w:color w:val="auto"/>
        </w:rPr>
        <w:t>Stock Based Compensation</w:t>
      </w:r>
      <w:r>
        <w:rPr>
          <w:rFonts w:ascii="Times New Roman" w:cs="Times New Roman" w:eastAsia="Times New Roman" w:hAnsi="Times New Roman"/>
          <w:sz w:val="18"/>
          <w:szCs w:val="18"/>
          <w:color w:val="auto"/>
        </w:rPr>
        <w:t>. The Company considers the limitation on the exercisability of the Class A-3 and Class B Units to be a performance condition and records compensation cost when it becomes probable that the performance condition will be met.</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Class P Unit activity for the nine months ended September 30, 2024 is as follows: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 of Units</w:t>
            </w:r>
          </w:p>
        </w:tc>
      </w:tr>
      <w:tr>
        <w:trPr>
          <w:trHeight w:val="50"/>
        </w:trPr>
        <w:tc>
          <w:tcPr>
            <w:tcW w:w="73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311"/>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Class P Units, December 31, 2023</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14,804,507</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Cancellations</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(775)</w:t>
            </w:r>
          </w:p>
        </w:tc>
      </w:tr>
      <w:tr>
        <w:trPr>
          <w:trHeight w:val="54"/>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57"/>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Exchanged for Class A Common Stock</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(125,000)</w:t>
            </w:r>
          </w:p>
        </w:tc>
      </w:tr>
      <w:tr>
        <w:trPr>
          <w:trHeight w:val="61"/>
        </w:trPr>
        <w:tc>
          <w:tcPr>
            <w:tcW w:w="7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r>
      <w:tr>
        <w:trPr>
          <w:trHeight w:val="27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Class P Units, September 30, 2024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14,678,732</w:t>
            </w:r>
          </w:p>
        </w:tc>
        <w:tc>
          <w:tcPr>
            <w:tcW w:w="120" w:type="dxa"/>
            <w:vAlign w:val="bottom"/>
          </w:tcPr>
          <w:p>
            <w:pPr>
              <w:spacing w:after="0"/>
              <w:rPr>
                <w:sz w:val="23"/>
                <w:szCs w:val="23"/>
                <w:color w:val="auto"/>
              </w:rPr>
            </w:pPr>
          </w:p>
        </w:tc>
      </w:tr>
      <w:tr>
        <w:trPr>
          <w:trHeight w:val="20"/>
        </w:trPr>
        <w:tc>
          <w:tcPr>
            <w:tcW w:w="7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45"/>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September 30, 2024</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14,659,364</w:t>
            </w:r>
          </w:p>
        </w:tc>
        <w:tc>
          <w:tcPr>
            <w:tcW w:w="12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-1113790</wp:posOffset>
            </wp:positionV>
            <wp:extent cx="685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As of September 30, 2024, unrecognized stock-based compensation expense for non-vested Class P Units was $0.04 million which is expected to be recognized over a weighted-average period of 0.2 years. For the three months ended September 30, 2024 and 2023, the Company recorded stock-based compensation expense for the Class P Units of $0.1 million and $0.1 million, respectively. For the nine months ended September 30, 2024 and 2023, the Company recorded stock-based compensation expense for the Class P Units of $0.2 million and $0.5 million,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4" w:name="page165"/>
    <w:bookmarkEnd w:id="1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WM Technology, Inc. Equity Incentive Plan</w:t>
      </w:r>
    </w:p>
    <w:p>
      <w:pPr>
        <w:spacing w:after="0" w:line="119" w:lineRule="exact"/>
        <w:rPr>
          <w:sz w:val="20"/>
          <w:szCs w:val="20"/>
          <w:color w:val="auto"/>
        </w:rPr>
      </w:pPr>
    </w:p>
    <w:p>
      <w:pPr>
        <w:jc w:val="both"/>
        <w:ind w:left="300" w:right="299"/>
        <w:spacing w:after="0"/>
        <w:rPr>
          <w:sz w:val="20"/>
          <w:szCs w:val="20"/>
          <w:color w:val="auto"/>
        </w:rPr>
      </w:pPr>
      <w:r>
        <w:rPr>
          <w:rFonts w:ascii="Times New Roman" w:cs="Times New Roman" w:eastAsia="Times New Roman" w:hAnsi="Times New Roman"/>
          <w:sz w:val="18"/>
          <w:szCs w:val="18"/>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September 30, 2024, 40,639,882 shares of Class A Common Stock were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a given year to provide that the increase for such year will be a lesser number of shares of Common Stock. As of September 30, 2024, 27,621,566 shares of Class A Common Stock were available for future issuance.</w:t>
      </w:r>
    </w:p>
    <w:p>
      <w:pPr>
        <w:spacing w:after="0" w:line="13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 summary of the restricted stock unit (“RSU”) activity for the nine months ended September 30, 2024 is as follows: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3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5940" w:type="dxa"/>
            <w:vAlign w:val="bottom"/>
          </w:tcPr>
          <w:p>
            <w:pPr>
              <w:spacing w:after="0"/>
              <w:rPr>
                <w:sz w:val="16"/>
                <w:szCs w:val="16"/>
                <w:color w:val="auto"/>
              </w:rPr>
            </w:pPr>
          </w:p>
        </w:tc>
        <w:tc>
          <w:tcPr>
            <w:tcW w:w="1360" w:type="dxa"/>
            <w:vAlign w:val="bottom"/>
            <w:gridSpan w:val="4"/>
            <w:vMerge w:val="continue"/>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50"/>
        </w:trPr>
        <w:tc>
          <w:tcPr>
            <w:tcW w:w="59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0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7,683,598</w:t>
            </w:r>
          </w:p>
        </w:tc>
        <w:tc>
          <w:tcPr>
            <w:tcW w:w="2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$2.96</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906,232</w:t>
            </w:r>
          </w:p>
        </w:tc>
        <w:tc>
          <w:tcPr>
            <w:tcW w:w="28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0" w:type="dxa"/>
            <w:vAlign w:val="bottom"/>
          </w:tcPr>
          <w:p>
            <w:pPr>
              <w:spacing w:after="0"/>
              <w:rPr>
                <w:sz w:val="1"/>
                <w:szCs w:val="1"/>
                <w:color w:val="auto"/>
              </w:rPr>
            </w:pPr>
          </w:p>
        </w:tc>
      </w:tr>
      <w:tr>
        <w:trPr>
          <w:trHeight w:val="54"/>
        </w:trPr>
        <w:tc>
          <w:tcPr>
            <w:tcW w:w="5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(2,897,408)</w:t>
            </w:r>
          </w:p>
        </w:tc>
        <w:tc>
          <w:tcPr>
            <w:tcW w:w="2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$2.97</w:t>
            </w:r>
          </w:p>
        </w:tc>
        <w:tc>
          <w:tcPr>
            <w:tcW w:w="0" w:type="dxa"/>
            <w:vAlign w:val="bottom"/>
          </w:tcPr>
          <w:p>
            <w:pPr>
              <w:spacing w:after="0"/>
              <w:rPr>
                <w:sz w:val="1"/>
                <w:szCs w:val="1"/>
                <w:color w:val="auto"/>
              </w:rPr>
            </w:pPr>
          </w:p>
        </w:tc>
      </w:tr>
      <w:tr>
        <w:trPr>
          <w:trHeight w:val="25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(1,328,501)</w:t>
            </w:r>
          </w:p>
        </w:tc>
        <w:tc>
          <w:tcPr>
            <w:tcW w:w="28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$2.87</w:t>
            </w:r>
          </w:p>
        </w:tc>
        <w:tc>
          <w:tcPr>
            <w:tcW w:w="0" w:type="dxa"/>
            <w:vAlign w:val="bottom"/>
          </w:tcPr>
          <w:p>
            <w:pPr>
              <w:spacing w:after="0"/>
              <w:rPr>
                <w:sz w:val="1"/>
                <w:szCs w:val="1"/>
                <w:color w:val="auto"/>
              </w:rPr>
            </w:pPr>
          </w:p>
        </w:tc>
      </w:tr>
      <w:tr>
        <w:trPr>
          <w:trHeight w:val="61"/>
        </w:trPr>
        <w:tc>
          <w:tcPr>
            <w:tcW w:w="5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September 30, 2024</w:t>
            </w: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4,363,921</w:t>
            </w: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$2.57</w:t>
            </w:r>
          </w:p>
        </w:tc>
        <w:tc>
          <w:tcPr>
            <w:tcW w:w="0" w:type="dxa"/>
            <w:vAlign w:val="bottom"/>
          </w:tcPr>
          <w:p>
            <w:pPr>
              <w:spacing w:after="0"/>
              <w:rPr>
                <w:sz w:val="1"/>
                <w:szCs w:val="1"/>
                <w:color w:val="auto"/>
              </w:rPr>
            </w:pPr>
          </w:p>
        </w:tc>
      </w:tr>
      <w:tr>
        <w:trPr>
          <w:trHeight w:val="27"/>
        </w:trPr>
        <w:tc>
          <w:tcPr>
            <w:tcW w:w="59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-1062355</wp:posOffset>
            </wp:positionV>
            <wp:extent cx="18859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-1062355</wp:posOffset>
            </wp:positionV>
            <wp:extent cx="10287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of September 30, 2024, unrecognized stock-based compensation expense for non-vested RSUs was $10.0 million, which is expected to be recognized over a weighted-average period of 1.2 years. For the three months ended September 30, 2024 and 2023, the Company recorded stock-based compensation expense for the RSUs of $1.5 million and $2.7 million, respectively. For the nine months ended September 30, 2024 and 2023, the Company recorded stock-based compensation expense for the RSUs of $6.9 million and $10.1 million, respectively.</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grants performance-based restricted stock units (“PRSUs”) with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3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PRSUs</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5900" w:type="dxa"/>
            <w:vAlign w:val="bottom"/>
          </w:tcPr>
          <w:p>
            <w:pPr>
              <w:spacing w:after="0"/>
              <w:rPr>
                <w:sz w:val="16"/>
                <w:szCs w:val="16"/>
                <w:color w:val="auto"/>
              </w:rPr>
            </w:pPr>
          </w:p>
        </w:tc>
        <w:tc>
          <w:tcPr>
            <w:tcW w:w="1380" w:type="dxa"/>
            <w:vAlign w:val="bottom"/>
            <w:gridSpan w:val="4"/>
            <w:vMerge w:val="continue"/>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50"/>
        </w:trPr>
        <w:tc>
          <w:tcPr>
            <w:tcW w:w="59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9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234,375</w:t>
            </w:r>
          </w:p>
        </w:tc>
        <w:tc>
          <w:tcPr>
            <w:tcW w:w="2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$6.40</w:t>
            </w:r>
          </w:p>
        </w:tc>
        <w:tc>
          <w:tcPr>
            <w:tcW w:w="0" w:type="dxa"/>
            <w:vAlign w:val="bottom"/>
          </w:tcPr>
          <w:p>
            <w:pPr>
              <w:spacing w:after="0"/>
              <w:rPr>
                <w:sz w:val="1"/>
                <w:szCs w:val="1"/>
                <w:color w:val="auto"/>
              </w:rPr>
            </w:pPr>
          </w:p>
        </w:tc>
      </w:tr>
      <w:tr>
        <w:trPr>
          <w:trHeight w:val="27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54"/>
        </w:trPr>
        <w:tc>
          <w:tcPr>
            <w:tcW w:w="5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(58,594)</w:t>
            </w:r>
          </w:p>
        </w:tc>
        <w:tc>
          <w:tcPr>
            <w:tcW w:w="2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$6.40</w:t>
            </w:r>
          </w:p>
        </w:tc>
        <w:tc>
          <w:tcPr>
            <w:tcW w:w="0" w:type="dxa"/>
            <w:vAlign w:val="bottom"/>
          </w:tcPr>
          <w:p>
            <w:pPr>
              <w:spacing w:after="0"/>
              <w:rPr>
                <w:sz w:val="1"/>
                <w:szCs w:val="1"/>
                <w:color w:val="auto"/>
              </w:rPr>
            </w:pPr>
          </w:p>
        </w:tc>
      </w:tr>
      <w:tr>
        <w:trPr>
          <w:trHeight w:val="25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(175,781)</w:t>
            </w:r>
          </w:p>
        </w:tc>
        <w:tc>
          <w:tcPr>
            <w:tcW w:w="24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$6.40</w:t>
            </w:r>
          </w:p>
        </w:tc>
        <w:tc>
          <w:tcPr>
            <w:tcW w:w="0" w:type="dxa"/>
            <w:vAlign w:val="bottom"/>
          </w:tcPr>
          <w:p>
            <w:pPr>
              <w:spacing w:after="0"/>
              <w:rPr>
                <w:sz w:val="1"/>
                <w:szCs w:val="1"/>
                <w:color w:val="auto"/>
              </w:rPr>
            </w:pPr>
          </w:p>
        </w:tc>
      </w:tr>
      <w:tr>
        <w:trPr>
          <w:trHeight w:val="61"/>
        </w:trPr>
        <w:tc>
          <w:tcPr>
            <w:tcW w:w="5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September 30, 2024</w:t>
            </w:r>
          </w:p>
        </w:tc>
        <w:tc>
          <w:tcPr>
            <w:tcW w:w="24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59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auto"/>
              <w:right w:val="single" w:sz="8" w:color="CCEEFF"/>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4660265</wp:posOffset>
            </wp:positionH>
            <wp:positionV relativeFrom="paragraph">
              <wp:posOffset>-1062355</wp:posOffset>
            </wp:positionV>
            <wp:extent cx="15430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-1062355</wp:posOffset>
            </wp:positionV>
            <wp:extent cx="7683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of September 30, 2024, the Company has no outstanding grants for PRSUs. For the three months ended September 30, 2024, the Company recorded no stock-based compensation expense for PRSUs. For the three months ended September 30, 2023, the Company recorded stock-based compensation credit of for PRSUs $0.5 million. For the nine months ended September 30, 2024 and 2023, the Company recorded stock-based compensation expense for PRSUs of $0.1 million and stock-based compensation credit for PRSUs of $0.2 million,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5" w:name="page166"/>
    <w:bookmarkEnd w:id="1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cost related to the Class P Units, RSUs and PRSUs in the following expense categories on the accompanying condensed consolidated statements of operations (in thousands):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20" w:type="dxa"/>
            <w:vAlign w:val="bottom"/>
            <w:gridSpan w:val="9"/>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144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8"/>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6"/>
                <w:szCs w:val="16"/>
                <w:color w:val="auto"/>
              </w:rPr>
            </w:pPr>
          </w:p>
        </w:tc>
        <w:tc>
          <w:tcPr>
            <w:tcW w:w="144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50"/>
        </w:trPr>
        <w:tc>
          <w:tcPr>
            <w:tcW w:w="51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7"/>
        </w:trPr>
        <w:tc>
          <w:tcPr>
            <w:tcW w:w="5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r>
      <w:tr>
        <w:trPr>
          <w:trHeight w:val="50"/>
        </w:trPr>
        <w:tc>
          <w:tcPr>
            <w:tcW w:w="510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98"/>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587</w:t>
            </w:r>
          </w:p>
        </w:tc>
        <w:tc>
          <w:tcPr>
            <w:tcW w:w="3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$1,116</w:t>
            </w:r>
          </w:p>
        </w:tc>
        <w:tc>
          <w:tcPr>
            <w:tcW w:w="3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$ 2,180</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2,811</w:t>
            </w:r>
          </w:p>
        </w:tc>
        <w:tc>
          <w:tcPr>
            <w:tcW w:w="320" w:type="dxa"/>
            <w:vAlign w:val="bottom"/>
          </w:tcPr>
          <w:p>
            <w:pPr>
              <w:spacing w:after="0"/>
              <w:rPr>
                <w:sz w:val="22"/>
                <w:szCs w:val="22"/>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3,226</w:t>
            </w:r>
          </w:p>
        </w:tc>
      </w:tr>
      <w:tr>
        <w:trPr>
          <w:trHeight w:val="41"/>
        </w:trPr>
        <w:tc>
          <w:tcPr>
            <w:tcW w:w="5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3,245</w:t>
            </w:r>
          </w:p>
        </w:tc>
        <w:tc>
          <w:tcPr>
            <w:tcW w:w="32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4,983</w:t>
            </w:r>
          </w:p>
        </w:tc>
      </w:tr>
      <w:tr>
        <w:trPr>
          <w:trHeight w:val="61"/>
        </w:trPr>
        <w:tc>
          <w:tcPr>
            <w:tcW w:w="5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4"/>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7,172</w:t>
            </w:r>
          </w:p>
        </w:tc>
        <w:tc>
          <w:tcPr>
            <w:tcW w:w="3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20" w:type="dxa"/>
            <w:vAlign w:val="bottom"/>
          </w:tcPr>
          <w:p>
            <w:pPr>
              <w:spacing w:after="0"/>
              <w:rPr>
                <w:sz w:val="24"/>
                <w:szCs w:val="24"/>
                <w:color w:val="auto"/>
              </w:rPr>
            </w:pPr>
          </w:p>
        </w:tc>
      </w:tr>
      <w:tr>
        <w:trPr>
          <w:trHeight w:val="40"/>
        </w:trPr>
        <w:tc>
          <w:tcPr>
            <w:tcW w:w="5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capitalized to software development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829</w:t>
            </w:r>
          </w:p>
        </w:tc>
        <w:tc>
          <w:tcPr>
            <w:tcW w:w="32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959</w:t>
            </w:r>
          </w:p>
        </w:tc>
      </w:tr>
      <w:tr>
        <w:trPr>
          <w:trHeight w:val="61"/>
        </w:trPr>
        <w:tc>
          <w:tcPr>
            <w:tcW w:w="5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70"/>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cost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1,817</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gridSpan w:val="4"/>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2,662</w:t>
            </w:r>
          </w:p>
        </w:tc>
        <w:tc>
          <w:tcPr>
            <w:tcW w:w="320" w:type="dxa"/>
            <w:vAlign w:val="bottom"/>
          </w:tcPr>
          <w:p>
            <w:pPr>
              <w:spacing w:after="0"/>
              <w:rPr>
                <w:sz w:val="23"/>
                <w:szCs w:val="23"/>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8,001</w:t>
            </w:r>
          </w:p>
        </w:tc>
        <w:tc>
          <w:tcPr>
            <w:tcW w:w="320" w:type="dxa"/>
            <w:vAlign w:val="bottom"/>
          </w:tcPr>
          <w:p>
            <w:pPr>
              <w:spacing w:after="0"/>
              <w:rPr>
                <w:sz w:val="23"/>
                <w:szCs w:val="23"/>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11,348</w:t>
            </w:r>
          </w:p>
        </w:tc>
      </w:tr>
      <w:tr>
        <w:trPr>
          <w:trHeight w:val="21"/>
        </w:trPr>
        <w:tc>
          <w:tcPr>
            <w:tcW w:w="5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-1225550</wp:posOffset>
            </wp:positionV>
            <wp:extent cx="20574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-1225550</wp:posOffset>
            </wp:positionV>
            <wp:extent cx="20574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-1225550</wp:posOffset>
            </wp:positionV>
            <wp:extent cx="20574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-1225550</wp:posOffset>
            </wp:positionV>
            <wp:extent cx="11112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8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computation of income (loss) per share attributable to WM Technology, Inc. and weighted-average shares of the Company’s Class A Common Stock outstanding are as follows for the three and nine months ending September 30, 2024 and 2023 (in thousands, except for share and per share amounts):</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12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50"/>
        </w:trPr>
        <w:tc>
          <w:tcPr>
            <w:tcW w:w="1280" w:type="dxa"/>
            <w:vAlign w:val="bottom"/>
          </w:tcPr>
          <w:p>
            <w:pPr>
              <w:spacing w:after="0"/>
              <w:rPr>
                <w:sz w:val="4"/>
                <w:szCs w:val="4"/>
                <w:color w:val="auto"/>
              </w:rPr>
            </w:pPr>
          </w:p>
        </w:tc>
        <w:tc>
          <w:tcPr>
            <w:tcW w:w="30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7"/>
        </w:trPr>
        <w:tc>
          <w:tcPr>
            <w:tcW w:w="12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r>
      <w:tr>
        <w:trPr>
          <w:trHeight w:val="50"/>
        </w:trPr>
        <w:tc>
          <w:tcPr>
            <w:tcW w:w="1280" w:type="dxa"/>
            <w:vAlign w:val="bottom"/>
            <w:tcBorders>
              <w:bottom w:val="single" w:sz="8" w:color="CCEEFF"/>
            </w:tcBorders>
          </w:tcPr>
          <w:p>
            <w:pPr>
              <w:spacing w:after="0"/>
              <w:rPr>
                <w:sz w:val="4"/>
                <w:szCs w:val="4"/>
                <w:color w:val="auto"/>
              </w:rPr>
            </w:pPr>
          </w:p>
        </w:tc>
        <w:tc>
          <w:tcPr>
            <w:tcW w:w="30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98"/>
        </w:trPr>
        <w:tc>
          <w:tcPr>
            <w:tcW w:w="4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5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(4,498)</w:t>
            </w:r>
          </w:p>
        </w:tc>
      </w:tr>
      <w:tr>
        <w:trPr>
          <w:trHeight w:val="40"/>
        </w:trPr>
        <w:tc>
          <w:tcPr>
            <w:tcW w:w="12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38"/>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82"/>
        </w:trPr>
        <w:tc>
          <w:tcPr>
            <w:tcW w:w="4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(1,711)</w:t>
            </w:r>
          </w:p>
        </w:tc>
      </w:tr>
      <w:tr>
        <w:trPr>
          <w:trHeight w:val="265"/>
        </w:trPr>
        <w:tc>
          <w:tcPr>
            <w:tcW w:w="43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10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r>
      <w:tr>
        <w:trPr>
          <w:trHeight w:val="221"/>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Class A Common Stock –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(2,787)</w:t>
            </w:r>
          </w:p>
        </w:tc>
      </w:tr>
      <w:tr>
        <w:trPr>
          <w:trHeight w:val="21"/>
        </w:trPr>
        <w:tc>
          <w:tcPr>
            <w:tcW w:w="12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
        </w:trPr>
        <w:tc>
          <w:tcPr>
            <w:tcW w:w="1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318"/>
        </w:trPr>
        <w:tc>
          <w:tcPr>
            <w:tcW w:w="4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38"/>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of shares of Class A Common Stock</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outstanding – basic</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97,166,788</w:t>
            </w:r>
          </w:p>
        </w:tc>
        <w:tc>
          <w:tcPr>
            <w:tcW w:w="2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93,651,871</w:t>
            </w:r>
          </w:p>
        </w:tc>
        <w:tc>
          <w:tcPr>
            <w:tcW w:w="8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95,743,064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92,947,191</w:t>
            </w:r>
          </w:p>
        </w:tc>
        <w:tc>
          <w:tcPr>
            <w:tcW w:w="80" w:type="dxa"/>
            <w:vAlign w:val="bottom"/>
          </w:tcPr>
          <w:p>
            <w:pPr>
              <w:spacing w:after="0"/>
              <w:rPr>
                <w:sz w:val="20"/>
                <w:szCs w:val="20"/>
                <w:color w:val="auto"/>
              </w:rPr>
            </w:pPr>
          </w:p>
        </w:tc>
      </w:tr>
      <w:tr>
        <w:trPr>
          <w:trHeight w:val="40"/>
        </w:trPr>
        <w:tc>
          <w:tcPr>
            <w:tcW w:w="12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7"/>
        </w:trPr>
        <w:tc>
          <w:tcPr>
            <w:tcW w:w="4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5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holdback shares</w:t>
            </w:r>
          </w:p>
        </w:tc>
        <w:tc>
          <w:tcPr>
            <w:tcW w:w="1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12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97"/>
        </w:trPr>
        <w:tc>
          <w:tcPr>
            <w:tcW w:w="4340" w:type="dxa"/>
            <w:vAlign w:val="bottom"/>
            <w:gridSpan w:val="2"/>
            <w:shd w:val="clear" w:color="auto" w:fill="CCEEFF"/>
          </w:tcPr>
          <w:p>
            <w:pPr>
              <w:spacing w:after="0" w:line="296" w:lineRule="exact"/>
              <w:rPr>
                <w:sz w:val="20"/>
                <w:szCs w:val="20"/>
                <w:color w:val="auto"/>
              </w:rPr>
            </w:pPr>
            <w:r>
              <w:rPr>
                <w:rFonts w:ascii="Times New Roman" w:cs="Times New Roman" w:eastAsia="Times New Roman" w:hAnsi="Times New Roman"/>
                <w:sz w:val="18"/>
                <w:szCs w:val="18"/>
                <w:color w:val="auto"/>
              </w:rPr>
              <w:t>Restricted stock units</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644,463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1,016,101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48"/>
        </w:trPr>
        <w:tc>
          <w:tcPr>
            <w:tcW w:w="1280" w:type="dxa"/>
            <w:vAlign w:val="bottom"/>
          </w:tcPr>
          <w:p>
            <w:pPr>
              <w:spacing w:after="0"/>
              <w:rPr>
                <w:sz w:val="4"/>
                <w:szCs w:val="4"/>
                <w:color w:val="auto"/>
              </w:rPr>
            </w:pPr>
          </w:p>
        </w:tc>
        <w:tc>
          <w:tcPr>
            <w:tcW w:w="30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of shares of Class A Common Stock</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r>
      <w:tr>
        <w:trPr>
          <w:trHeight w:val="295"/>
        </w:trPr>
        <w:tc>
          <w:tcPr>
            <w:tcW w:w="4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 diluted</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97,811,251</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93,651,871</w:t>
            </w:r>
          </w:p>
        </w:tc>
        <w:tc>
          <w:tcPr>
            <w:tcW w:w="8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96,761,731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92,947,191</w:t>
            </w:r>
          </w:p>
        </w:tc>
        <w:tc>
          <w:tcPr>
            <w:tcW w:w="80" w:type="dxa"/>
            <w:vAlign w:val="bottom"/>
            <w:shd w:val="clear" w:color="auto" w:fill="CCEEFF"/>
          </w:tcPr>
          <w:p>
            <w:pPr>
              <w:spacing w:after="0"/>
              <w:rPr>
                <w:sz w:val="24"/>
                <w:szCs w:val="24"/>
                <w:color w:val="auto"/>
              </w:rPr>
            </w:pPr>
          </w:p>
        </w:tc>
      </w:tr>
      <w:tr>
        <w:trPr>
          <w:trHeight w:val="279"/>
        </w:trPr>
        <w:tc>
          <w:tcPr>
            <w:tcW w:w="43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income (loss) per share of Class A Common Stock –</w:t>
            </w: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221"/>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r>
      <w:tr>
        <w:trPr>
          <w:trHeight w:val="20"/>
        </w:trPr>
        <w:tc>
          <w:tcPr>
            <w:tcW w:w="12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
        </w:trPr>
        <w:tc>
          <w:tcPr>
            <w:tcW w:w="1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79"/>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of Class A Common Stock –</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68"/>
        </w:trPr>
        <w:tc>
          <w:tcPr>
            <w:tcW w:w="4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r>
      <w:tr>
        <w:trPr>
          <w:trHeight w:val="162"/>
        </w:trPr>
        <w:tc>
          <w:tcPr>
            <w:tcW w:w="1280" w:type="dxa"/>
            <w:vAlign w:val="bottom"/>
            <w:tcBorders>
              <w:top w:val="single" w:sz="8" w:color="CCEEFF"/>
              <w:bottom w:val="single" w:sz="8" w:color="auto"/>
            </w:tcBorders>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-3642360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-3642360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-3642360</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-3642360</wp:posOffset>
            </wp:positionV>
            <wp:extent cx="342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1" w:lineRule="exact"/>
        <w:rPr>
          <w:sz w:val="20"/>
          <w:szCs w:val="20"/>
          <w:color w:val="auto"/>
        </w:rPr>
      </w:pPr>
    </w:p>
    <w:p>
      <w:pPr>
        <w:ind w:left="640" w:hanging="348"/>
        <w:spacing w:after="0"/>
        <w:tabs>
          <w:tab w:leader="none" w:pos="64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using the treasury stock method.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6" w:name="page167"/>
    <w:bookmarkEnd w:id="1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 However, shares of the Class V Common Stock outstanding for the period are considered potentially dilutive shares of Class A common stock under application of the if-converted method and are included in the computation of diluted earnings (loss) per share, except when the effect would be anti-dilutive.</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securities from its computation of diluted shares outstanding for the periods presented, as their effect would have been anti-dilutive:</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20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20" w:type="dxa"/>
            <w:vAlign w:val="bottom"/>
            <w:gridSpan w:val="3"/>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4520" w:type="dxa"/>
            <w:vAlign w:val="bottom"/>
          </w:tcPr>
          <w:p>
            <w:pPr>
              <w:spacing w:after="0"/>
              <w:rPr>
                <w:sz w:val="16"/>
                <w:szCs w:val="16"/>
                <w:color w:val="auto"/>
              </w:rPr>
            </w:pPr>
          </w:p>
        </w:tc>
        <w:tc>
          <w:tcPr>
            <w:tcW w:w="20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20" w:type="dxa"/>
            <w:vAlign w:val="bottom"/>
            <w:gridSpan w:val="3"/>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51"/>
        </w:trPr>
        <w:tc>
          <w:tcPr>
            <w:tcW w:w="452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27"/>
        </w:trPr>
        <w:tc>
          <w:tcPr>
            <w:tcW w:w="4520" w:type="dxa"/>
            <w:vAlign w:val="bottom"/>
          </w:tcPr>
          <w:p>
            <w:pPr>
              <w:spacing w:after="0"/>
              <w:rPr>
                <w:sz w:val="19"/>
                <w:szCs w:val="19"/>
                <w:color w:val="auto"/>
              </w:rPr>
            </w:pPr>
          </w:p>
        </w:tc>
        <w:tc>
          <w:tcPr>
            <w:tcW w:w="8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0"/>
        </w:trPr>
        <w:tc>
          <w:tcPr>
            <w:tcW w:w="452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311"/>
        </w:trPr>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V Units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55,486,361</w:t>
            </w: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55,486,361</w:t>
            </w: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55,486,361</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55,486,361</w:t>
            </w:r>
          </w:p>
        </w:tc>
      </w:tr>
      <w:tr>
        <w:trPr>
          <w:trHeight w:val="27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Class P Units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14,678,732</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14,966,127</w:t>
            </w:r>
          </w:p>
        </w:tc>
        <w:tc>
          <w:tcPr>
            <w:tcW w:w="20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14,678,732</w:t>
            </w:r>
          </w:p>
        </w:tc>
        <w:tc>
          <w:tcPr>
            <w:tcW w:w="18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14,966,127</w:t>
            </w:r>
          </w:p>
        </w:tc>
      </w:tr>
      <w:tr>
        <w:trPr>
          <w:trHeight w:val="54"/>
        </w:trPr>
        <w:tc>
          <w:tcPr>
            <w:tcW w:w="45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4"/>
        </w:trPr>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2,813,084</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7,173,708</w:t>
            </w: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2,964,600</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7,173,708</w:t>
            </w:r>
          </w:p>
        </w:tc>
      </w:tr>
      <w:tr>
        <w:trPr>
          <w:trHeight w:val="27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PRSUs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234,375</w:t>
            </w:r>
          </w:p>
        </w:tc>
        <w:tc>
          <w:tcPr>
            <w:tcW w:w="20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234,375</w:t>
            </w:r>
          </w:p>
        </w:tc>
      </w:tr>
      <w:tr>
        <w:trPr>
          <w:trHeight w:val="54"/>
        </w:trPr>
        <w:tc>
          <w:tcPr>
            <w:tcW w:w="45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4"/>
        </w:trPr>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12,499,973</w:t>
            </w: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12,499,973</w:t>
            </w: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12,499,973</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12,499,973</w:t>
            </w:r>
          </w:p>
        </w:tc>
      </w:tr>
      <w:tr>
        <w:trPr>
          <w:trHeight w:val="27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7,000,000</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4900295</wp:posOffset>
            </wp:positionH>
            <wp:positionV relativeFrom="paragraph">
              <wp:posOffset>-1216660</wp:posOffset>
            </wp:positionV>
            <wp:extent cx="12001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-1216660</wp:posOffset>
            </wp:positionV>
            <wp:extent cx="13716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-1216660</wp:posOffset>
            </wp:positionV>
            <wp:extent cx="13716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-1216660</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During the second quarter of 2022, the Company entered into a sublease agreement with an affiliate of the Chief Executive Officer. The sublease commenced on June 1, 2022, and the term is for the remainder of the amended lease term which expired on October 31, 2024. The monthly base rent, after the rent abatement period for the first four months, is $69,000. As of September 30, 2024 and December 31, 2023, rent receivable was $0.2 million and $0.7 million, respectively, and these amounts are included in prepaid expenses and other current assets on the accompanying condensed balance sheets. The Company expects to collect the remaining rent receivable balance which was $0.2 million as of September 30, 2024 in the fourth quarter of 2024. Rent receivable of $0.7 million from December 31, 2023 was subsequently collected in April 2024. For the three and nine months ended September 30, 2024, income on the sublease with a related party was $0.2 million and $0.5 million, respectively. For the three and nine months ended September 30, 2023, income on the sublease with a related party was $0.2 million and $0.5 million, respectively. The income on sublease is netted with rent expense and included in general and administrative expenses on the condensed consolidated statements of operations.</w:t>
      </w:r>
    </w:p>
    <w:p>
      <w:pPr>
        <w:spacing w:after="0" w:line="8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connection with the Business Combination, the Company paid $1.1 million in certain transaction costs reimbursable by Silver Spike’s sponsor (“Silver Spike Sponsor”), an affiliate to a member of the board of directors. On March 16, 2023, Silver Spike Holdings, an affiliate of Silver Spike Sponsor, entered into a promissory note with the Company and agreed to pay the principal amount of $1.1 million in 12 equal quarterly installments commencing on March 31, 2023. The promissory note bears interest at a rate of 5% per annum commencing on March 31, 2023. In an event of default, the outstanding principal amount shall bear interest for the entire period during which the principal balance is unpaid at a rate which is equal to 10% per annum. As of September 30, 2024, the remaining balance of the promissory note receivable was the $0.4 million of which $0.3 million was included in prepaid expenses and other current assets and $0.1 million was included in other assets on the condensed consolidated balance sheets. As of December 31, 2023, the remaining balance of the promissory note receivable was $0.7 million of which $0.4 million was included in prepaid expenses and other current assets and $0.3 million was included in other assets on the consolidated balance sheets. For the three and nine ended September 30, 2024 and 2023, interest income on the promissory note was less than $0.1 million, which is included in other income (expense), net on the accompanying condensed consolidated statements of operations.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7" w:name="page168"/>
    <w:bookmarkEnd w:id="1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WM Technology, Inc.</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WM Technology, Inc. (the “Company”) as of December 31, 2023, the related consolidated statements of operations, equity and cash flows for the year ended December 31, 2023, and the related notes (collectively referred to as the “consolidated financial statements”).</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our opinion, the consolidated financial statements present fairly, in all material respects, the consolidated financial position of the Company as of December 31, 2023, and the consolidated results of its operations and its cash flows for the year ended December 31, 2023, in conformity with accounting principles generally accepted in the United States of America.</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May 24, 2024 expressed an adverse opinion on the Company’s internal control over financial reporting due to material weaknesses.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Restatement of Financial Statements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certain quarterly financial statements for the quarters ended March 31, 2023, June 30, 2023, and September 30, 2023 have been restated to correct a misstatement.</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 a reasonable basis for our opinion.</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w:t>
      </w:r>
    </w:p>
    <w:p>
      <w:pPr>
        <w:jc w:val="both"/>
        <w:ind w:left="300" w:right="299" w:hanging="8"/>
        <w:spacing w:after="0" w:line="253" w:lineRule="auto"/>
        <w:tabs>
          <w:tab w:leader="none" w:pos="56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Allowance for Credit Losses on Accounts Receivable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maintains an allowance for credit losses that management believes to be sufficient to absorb estimated losses in the accounts receivable portfolio. As of December 31, 2023, the allowance for credit losses was $8.7 million. We identified the Company’s assessment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8" w:name="page169"/>
    <w:bookmarkEnd w:id="1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expected credit losses on its trade accounts receivable, as a critical audit matter. The determination of the allowance for credit losses involves significant judgment by management in assessing the likelihood of collection of a customer’s accounts receivable including assessment of various factors such as communications from the customer, historical collections, and the number of days accounts receivables have been outstanding. Auditing the significant assumptions and judgements used by management involved a high degree of auditor judgment and increased extent of effort when performing audit procedures and evaluating the results of those procedures. Additionally, as described in the “Basis for Opinions” section, a material weakness was identified in relation to this matter.</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ind w:left="1000" w:right="299" w:hanging="348"/>
        <w:spacing w:after="0" w:line="282"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 understanding of management's processes and assumptions for developing the allowance for credit losses.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methods and significant assumptions used by management including:</w:t>
      </w:r>
    </w:p>
    <w:p>
      <w:pPr>
        <w:sectPr>
          <w:pgSz w:w="11900" w:h="16838" w:orient="portrait"/>
          <w:cols w:equalWidth="0" w:num="1">
            <w:col w:w="9019"/>
          </w:cols>
          <w:pgMar w:left="1440" w:top="263" w:right="1440" w:bottom="1440" w:gutter="0" w:footer="0" w:header="0"/>
        </w:sectPr>
      </w:pP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For customers that share similar risk characteristics, we evaluated the underlying assumptions in the determination of the allowance for credit losses including the historical credit loss rates and their application to a provisional matrix based on days outstanding;</w:t>
      </w:r>
    </w:p>
    <w:p>
      <w:pPr>
        <w:spacing w:after="0" w:line="68" w:lineRule="exact"/>
        <w:rPr>
          <w:sz w:val="20"/>
          <w:szCs w:val="20"/>
          <w:color w:val="auto"/>
        </w:rPr>
      </w:pPr>
    </w:p>
    <w:p>
      <w:pPr>
        <w:jc w:val="both"/>
        <w:ind w:right="319"/>
        <w:spacing w:after="0" w:line="258" w:lineRule="auto"/>
        <w:rPr>
          <w:sz w:val="20"/>
          <w:szCs w:val="20"/>
          <w:color w:val="auto"/>
        </w:rPr>
      </w:pPr>
      <w:r>
        <w:rPr>
          <w:rFonts w:ascii="Times New Roman" w:cs="Times New Roman" w:eastAsia="Times New Roman" w:hAnsi="Times New Roman"/>
          <w:sz w:val="18"/>
          <w:szCs w:val="18"/>
          <w:color w:val="auto"/>
        </w:rPr>
        <w:t>For customers that lack similar risk characteristics, we evaluated the rationale for establishing a specific customer allowance for credit losses and assessed the reasonable of management’s estimate of the specific customer allowance by evaluating historical credit loss rates for these specific customers, historical and current collection trends, and the number of days accounts receivables have been outstanding.</w:t>
      </w:r>
    </w:p>
    <w:p>
      <w:pPr>
        <w:spacing w:after="0" w:line="75" w:lineRule="exact"/>
        <w:rPr>
          <w:sz w:val="20"/>
          <w:szCs w:val="20"/>
          <w:color w:val="auto"/>
        </w:rPr>
      </w:pPr>
    </w:p>
    <w:p>
      <w:pPr>
        <w:sectPr>
          <w:pgSz w:w="11900" w:h="16838" w:orient="portrait"/>
          <w:cols w:equalWidth="0" w:num="2">
            <w:col w:w="1080" w:space="280"/>
            <w:col w:w="7659"/>
          </w:cols>
          <w:pgMar w:left="1440" w:top="263" w:right="1440" w:bottom="1440" w:gutter="0" w:footer="0" w:header="0"/>
          <w:type w:val="continuous"/>
        </w:sectPr>
      </w:pPr>
    </w:p>
    <w:p>
      <w:pPr>
        <w:ind w:left="1000" w:right="319" w:hanging="348"/>
        <w:spacing w:after="0" w:line="282"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the underlying data and evaluating the relevance and reliability of the sources of the data used by management.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subsequent collections and write-offs occurring after the balance sheet date for select customers and considering the impact of potential subsequent events on the estimate of the specific customer allowance.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has a certain subset of customers for whom management determined it was no longer probable that the Company will collect the consideration to which it will be entitled resulting in revenue not being recognized until the contract is completed and payment is received in accordance with ASC 606. The Company refers to customers in this situation as customers that have been placed on “cash basis”. We identified the Company’s evaluation of when a customer is placed on “cash basis” as a critical audit matter because of the significant judgment required by management in both making that determination as well as the timing of such determination. Management’s evaluation is based on the best information available to the Company and takes into consideration industry-specific circumstances, current discussions with the customers, as well as historical and current collection trends. This, in turn, led to a high degree of auditor judgment, subjectivity, and effort in performing procedures and evaluating audit evidence related to the Company’s “cash basis” determination. Additionally, as described in the “Basis for Opinions” section, a material weakness was identified in relation to this matter.</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jc w:val="both"/>
        <w:ind w:left="1000" w:right="319" w:hanging="348"/>
        <w:spacing w:after="0" w:line="266"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 understanding of management’s process for evaluating whether it is probable the Company will collect the consideration to which it will be entitled for purposes of determining whether a contract exists under ASC 606.</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judgments made by management in determining whether to place a customer on a “cash basis” because it was no longer probable that the Company will collect the consideration to which it will be entitled.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the date at which management determined that it was no longer probable that the Company would collect the consideration to which it will be entitled. This included evaluating management’s assertions regarding collectability of outstanding accounts receivable for these customers.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69" w:name="page170"/>
    <w:bookmarkEnd w:id="1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whether the population of customers placed on a “cash basis” was complete as of December 31, 2023. This included comparing actual cash collections and write-offs to the assumptions made as of the determination date in order to evaluate the reasonableness of management’s estimate.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the underlying data used in management’s analysis.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Moss Adams LLP</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24, 2024</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0" w:name="page171"/>
    <w:bookmarkEnd w:id="1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To the stockholders and board of directors of WM Technology, Inc.:</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ind w:left="300" w:right="31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WM Technology, Inc. (the “Company”) as of December 31, 2022, the related consolidated statements of operations, changes in stockholders’ equity and cash flows for the years ended December 31, 2022 and 2021, and the related notes (collectively referred to as the “consolidated financial statements”). In our opinion, the consolidated financial statements present fairly, in all material respects, the financial position of the Company as of December 31, 2022, and the results of its operations and its cash flows for years ended December 31, 2022 and 2021, in conformity with accounting principles generally accepted in the United States of America.</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Emphasis of Matter Related to the Company’s Operations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is an organization that provides online directory services to legalized cannabis companies. As discussed in Note 2, the Company operates in an industry where laws and regulations vary significantly by jurisdiction. Currently, several states permit medicinal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served as the Company's auditor from 2014 to 2023.</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16, 2023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1" w:name="page172"/>
    <w:bookmarkEnd w:id="17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3060" w:type="dxa"/>
            <w:vAlign w:val="bottom"/>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50"/>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1"/>
        </w:trPr>
        <w:tc>
          <w:tcPr>
            <w:tcW w:w="1300" w:type="dxa"/>
            <w:vAlign w:val="bottom"/>
          </w:tcPr>
          <w:p>
            <w:pPr>
              <w:spacing w:after="0"/>
              <w:rPr>
                <w:sz w:val="4"/>
                <w:szCs w:val="4"/>
                <w:color w:val="auto"/>
              </w:rPr>
            </w:pPr>
          </w:p>
        </w:tc>
        <w:tc>
          <w:tcPr>
            <w:tcW w:w="666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$ 34,350</w:t>
            </w:r>
          </w:p>
        </w:tc>
        <w:tc>
          <w:tcPr>
            <w:tcW w:w="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$ 28,583</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11,158</w:t>
            </w:r>
          </w:p>
        </w:tc>
        <w:tc>
          <w:tcPr>
            <w:tcW w:w="6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17,438</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3"/>
        </w:trPr>
        <w:tc>
          <w:tcPr>
            <w:tcW w:w="1300" w:type="dxa"/>
            <w:vAlign w:val="bottom"/>
          </w:tcPr>
          <w:p>
            <w:pPr>
              <w:spacing w:after="0"/>
              <w:rPr>
                <w:sz w:val="24"/>
                <w:szCs w:val="24"/>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51,486</w:t>
            </w:r>
          </w:p>
        </w:tc>
        <w:tc>
          <w:tcPr>
            <w:tcW w:w="6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54,983</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24,255</w:t>
            </w:r>
          </w:p>
        </w:tc>
        <w:tc>
          <w:tcPr>
            <w:tcW w:w="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24,928</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6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6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31,447</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167,021</w:t>
            </w:r>
          </w:p>
        </w:tc>
        <w:tc>
          <w:tcPr>
            <w:tcW w:w="6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199,035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66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$ 21,182</w:t>
            </w:r>
          </w:p>
        </w:tc>
        <w:tc>
          <w:tcPr>
            <w:tcW w:w="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$ 33,635</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6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current</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tcPr>
          <w:p>
            <w:pPr>
              <w:spacing w:after="0"/>
              <w:rPr>
                <w:sz w:val="23"/>
                <w:szCs w:val="23"/>
                <w:color w:val="auto"/>
              </w:rPr>
            </w:pPr>
          </w:p>
        </w:tc>
        <w:tc>
          <w:tcPr>
            <w:tcW w:w="2040" w:type="dxa"/>
            <w:vAlign w:val="bottom"/>
            <w:gridSpan w:val="3"/>
          </w:tcPr>
          <w:p>
            <w:pPr>
              <w:jc w:val="right"/>
              <w:ind w:right="13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4"/>
        </w:trPr>
        <w:tc>
          <w:tcPr>
            <w:tcW w:w="1300" w:type="dxa"/>
            <w:vAlign w:val="bottom"/>
          </w:tcPr>
          <w:p>
            <w:pPr>
              <w:spacing w:after="0"/>
              <w:rPr>
                <w:sz w:val="24"/>
                <w:szCs w:val="24"/>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33,715</w:t>
            </w:r>
          </w:p>
        </w:tc>
        <w:tc>
          <w:tcPr>
            <w:tcW w:w="6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46,323</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26,550</w:t>
            </w:r>
          </w:p>
        </w:tc>
        <w:tc>
          <w:tcPr>
            <w:tcW w:w="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33,043</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Tax receivable agreement liability, non-current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6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585</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6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7"/>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63,870</w:t>
            </w:r>
          </w:p>
        </w:tc>
        <w:tc>
          <w:tcPr>
            <w:tcW w:w="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84,258</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2"/>
        </w:trPr>
        <w:tc>
          <w:tcPr>
            <w:tcW w:w="1300" w:type="dxa"/>
            <w:vAlign w:val="bottom"/>
          </w:tcPr>
          <w:p>
            <w:pPr>
              <w:spacing w:after="0"/>
              <w:rPr>
                <w:sz w:val="21"/>
                <w:szCs w:val="21"/>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 $0.0001 par value; 75,000,000 shares authorized; no shares issued</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outstanding at December 31, 2023 and December 31, 2022</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040" w:type="dxa"/>
            <w:vAlign w:val="bottom"/>
            <w:gridSpan w:val="3"/>
          </w:tcPr>
          <w:p>
            <w:pPr>
              <w:jc w:val="right"/>
              <w:ind w:right="13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2"/>
        </w:trPr>
        <w:tc>
          <w:tcPr>
            <w:tcW w:w="1300" w:type="dxa"/>
            <w:vAlign w:val="bottom"/>
          </w:tcPr>
          <w:p>
            <w:pPr>
              <w:spacing w:after="0"/>
              <w:rPr>
                <w:sz w:val="21"/>
                <w:szCs w:val="21"/>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 $0.0001 par value; 1,500,000,000 shares authorized;</w:t>
            </w: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16"/>
        </w:trPr>
        <w:tc>
          <w:tcPr>
            <w:tcW w:w="1300" w:type="dxa"/>
            <w:vAlign w:val="bottom"/>
          </w:tcPr>
          <w:p>
            <w:pPr>
              <w:spacing w:after="0"/>
              <w:rPr>
                <w:sz w:val="18"/>
                <w:szCs w:val="18"/>
                <w:color w:val="auto"/>
              </w:rPr>
            </w:pPr>
          </w:p>
        </w:tc>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94,383,053 shares issued and outstanding at December 31, 2023 and 92,062,468</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68"/>
        </w:trPr>
        <w:tc>
          <w:tcPr>
            <w:tcW w:w="1300" w:type="dxa"/>
            <w:vAlign w:val="bottom"/>
          </w:tcPr>
          <w:p>
            <w:pPr>
              <w:spacing w:after="0"/>
              <w:rPr>
                <w:sz w:val="23"/>
                <w:szCs w:val="23"/>
                <w:color w:val="auto"/>
              </w:rPr>
            </w:pPr>
          </w:p>
        </w:tc>
        <w:tc>
          <w:tcPr>
            <w:tcW w:w="6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at December 31, 2022</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252"/>
        </w:trPr>
        <w:tc>
          <w:tcPr>
            <w:tcW w:w="1300" w:type="dxa"/>
            <w:vAlign w:val="bottom"/>
          </w:tcPr>
          <w:p>
            <w:pPr>
              <w:spacing w:after="0"/>
              <w:rPr>
                <w:sz w:val="21"/>
                <w:szCs w:val="21"/>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V Common Stock - $0.0001 par value; 500,000,000 shares authorized,</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6"/>
        </w:trPr>
        <w:tc>
          <w:tcPr>
            <w:tcW w:w="1300" w:type="dxa"/>
            <w:vAlign w:val="bottom"/>
          </w:tcPr>
          <w:p>
            <w:pPr>
              <w:spacing w:after="0"/>
              <w:rPr>
                <w:sz w:val="18"/>
                <w:szCs w:val="18"/>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55,486,361 shares issued and outstanding at December 31, 2023 and December 31,</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796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80,884</w:t>
            </w:r>
          </w:p>
        </w:tc>
        <w:tc>
          <w:tcPr>
            <w:tcW w:w="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67,986</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(64,518)</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(54,620)</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13,380</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86,771</w:t>
            </w:r>
          </w:p>
        </w:tc>
        <w:tc>
          <w:tcPr>
            <w:tcW w:w="6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101,397</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103,151</w:t>
            </w:r>
          </w:p>
        </w:tc>
        <w:tc>
          <w:tcPr>
            <w:tcW w:w="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114,777</w:t>
            </w:r>
          </w:p>
        </w:tc>
        <w:tc>
          <w:tcPr>
            <w:tcW w:w="8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6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167,021</w:t>
            </w:r>
          </w:p>
        </w:tc>
        <w:tc>
          <w:tcPr>
            <w:tcW w:w="6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199,035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0"/>
        </w:trPr>
        <w:tc>
          <w:tcPr>
            <w:tcW w:w="130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79"/>
        </w:trPr>
        <w:tc>
          <w:tcPr>
            <w:tcW w:w="1300" w:type="dxa"/>
            <w:vAlign w:val="bottom"/>
          </w:tcPr>
          <w:p>
            <w:pPr>
              <w:spacing w:after="0"/>
              <w:rPr>
                <w:sz w:val="24"/>
                <w:szCs w:val="24"/>
                <w:color w:val="auto"/>
              </w:rPr>
            </w:pPr>
          </w:p>
        </w:tc>
        <w:tc>
          <w:tcPr>
            <w:tcW w:w="7400" w:type="dxa"/>
            <w:vAlign w:val="bottom"/>
            <w:gridSpan w:val="4"/>
          </w:tcPr>
          <w:p>
            <w:pPr>
              <w:ind w:left="10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666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F-34</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66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5526405</wp:posOffset>
            </wp:positionH>
            <wp:positionV relativeFrom="paragraph">
              <wp:posOffset>-8923020</wp:posOffset>
            </wp:positionV>
            <wp:extent cx="17145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-8923020</wp:posOffset>
            </wp:positionV>
            <wp:extent cx="8572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020"/>
          </w:cols>
          <w:pgMar w:left="440" w:top="263" w:right="439" w:bottom="244" w:gutter="0" w:footer="0" w:header="0"/>
        </w:sectPr>
      </w:pPr>
    </w:p>
    <w:bookmarkStart w:id="172" w:name="page173"/>
    <w:bookmarkEnd w:id="1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gridSpan w:val="8"/>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0"/>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7"/>
        </w:trPr>
        <w:tc>
          <w:tcPr>
            <w:tcW w:w="4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9"/>
                <w:szCs w:val="19"/>
                <w:color w:val="auto"/>
              </w:rPr>
            </w:pPr>
          </w:p>
        </w:tc>
      </w:tr>
      <w:tr>
        <w:trPr>
          <w:trHeight w:val="51"/>
        </w:trPr>
        <w:tc>
          <w:tcPr>
            <w:tcW w:w="45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187,993</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215,531</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193,146</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2"/>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68"/>
        </w:trPr>
        <w:tc>
          <w:tcPr>
            <w:tcW w:w="4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shown separately below)</w:t>
            </w:r>
          </w:p>
        </w:tc>
        <w:tc>
          <w:tcPr>
            <w:tcW w:w="3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15,407</w:t>
            </w: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47,073</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82,624</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56,119</w:t>
            </w:r>
          </w:p>
        </w:tc>
        <w:tc>
          <w:tcPr>
            <w:tcW w:w="8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36,001</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50,520</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35,395</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74,313</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120,787</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95,075</w:t>
            </w:r>
          </w:p>
        </w:tc>
        <w:tc>
          <w:tcPr>
            <w:tcW w:w="8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11,498</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80" w:type="dxa"/>
            <w:vAlign w:val="bottom"/>
          </w:tcPr>
          <w:p>
            <w:pPr>
              <w:spacing w:after="0"/>
              <w:rPr>
                <w:sz w:val="22"/>
                <w:szCs w:val="22"/>
                <w:color w:val="auto"/>
              </w:rPr>
            </w:pPr>
          </w:p>
        </w:tc>
      </w:tr>
      <w:tr>
        <w:trPr>
          <w:trHeight w:val="61"/>
        </w:trPr>
        <w:tc>
          <w:tcPr>
            <w:tcW w:w="4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270"/>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206,450</w:t>
            </w: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285,153</w:t>
            </w: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201,324</w:t>
            </w:r>
          </w:p>
        </w:tc>
        <w:tc>
          <w:tcPr>
            <w:tcW w:w="80" w:type="dxa"/>
            <w:vAlign w:val="bottom"/>
            <w:shd w:val="clear" w:color="auto" w:fill="CCEEFF"/>
          </w:tcPr>
          <w:p>
            <w:pPr>
              <w:spacing w:after="0"/>
              <w:rPr>
                <w:sz w:val="23"/>
                <w:szCs w:val="23"/>
                <w:color w:val="auto"/>
              </w:rPr>
            </w:pPr>
          </w:p>
        </w:tc>
      </w:tr>
      <w:tr>
        <w:trPr>
          <w:trHeight w:val="61"/>
        </w:trPr>
        <w:tc>
          <w:tcPr>
            <w:tcW w:w="45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8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(18,457)</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(69,622)</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(8,178)</w:t>
            </w: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 net</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25,370</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166,518</w:t>
            </w:r>
          </w:p>
        </w:tc>
        <w:tc>
          <w:tcPr>
            <w:tcW w:w="8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142,352</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(1,674)</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(6,723)</w:t>
            </w:r>
          </w:p>
        </w:tc>
      </w:tr>
      <w:tr>
        <w:trPr>
          <w:trHeight w:val="61"/>
        </w:trPr>
        <w:tc>
          <w:tcPr>
            <w:tcW w:w="4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4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(15,634)</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96,426</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151,617</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179,077</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(601)</w:t>
            </w:r>
          </w:p>
        </w:tc>
      </w:tr>
      <w:tr>
        <w:trPr>
          <w:trHeight w:val="61"/>
        </w:trPr>
        <w:tc>
          <w:tcPr>
            <w:tcW w:w="4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(15,727)</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(82,651)</w:t>
            </w: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152,218</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33,338</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91,835</w:t>
            </w:r>
          </w:p>
        </w:tc>
        <w:tc>
          <w:tcPr>
            <w:tcW w:w="80" w:type="dxa"/>
            <w:vAlign w:val="bottom"/>
          </w:tcPr>
          <w:p>
            <w:pPr>
              <w:spacing w:after="0"/>
              <w:rPr>
                <w:sz w:val="22"/>
                <w:szCs w:val="22"/>
                <w:color w:val="auto"/>
              </w:rPr>
            </w:pPr>
          </w:p>
        </w:tc>
      </w:tr>
      <w:tr>
        <w:trPr>
          <w:trHeight w:val="61"/>
        </w:trPr>
        <w:tc>
          <w:tcPr>
            <w:tcW w:w="4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70"/>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w:t>
            </w: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(115,989)</w:t>
            </w: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60,383</w:t>
            </w:r>
          </w:p>
        </w:tc>
        <w:tc>
          <w:tcPr>
            <w:tcW w:w="80" w:type="dxa"/>
            <w:vAlign w:val="bottom"/>
            <w:shd w:val="clear" w:color="auto" w:fill="CCEEFF"/>
          </w:tcPr>
          <w:p>
            <w:pPr>
              <w:spacing w:after="0"/>
              <w:rPr>
                <w:sz w:val="23"/>
                <w:szCs w:val="23"/>
                <w:color w:val="auto"/>
              </w:rPr>
            </w:pPr>
          </w:p>
        </w:tc>
      </w:tr>
      <w:tr>
        <w:trPr>
          <w:trHeight w:val="61"/>
        </w:trPr>
        <w:tc>
          <w:tcPr>
            <w:tcW w:w="45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338"/>
        </w:trPr>
        <w:tc>
          <w:tcPr>
            <w:tcW w:w="4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4"/>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3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8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(0.18)</w:t>
            </w:r>
          </w:p>
        </w:tc>
      </w:tr>
      <w:tr>
        <w:trPr>
          <w:trHeight w:val="324"/>
        </w:trPr>
        <w:tc>
          <w:tcPr>
            <w:tcW w:w="4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4"/>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93,244,911</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85,027,120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65,013,517</w:t>
            </w:r>
          </w:p>
        </w:tc>
        <w:tc>
          <w:tcPr>
            <w:tcW w:w="8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80" w:type="dxa"/>
            <w:vAlign w:val="bottom"/>
          </w:tcPr>
          <w:p>
            <w:pPr>
              <w:spacing w:after="0"/>
              <w:rPr>
                <w:sz w:val="4"/>
                <w:szCs w:val="4"/>
                <w:color w:val="auto"/>
              </w:rPr>
            </w:pPr>
          </w:p>
        </w:tc>
      </w:tr>
      <w:tr>
        <w:trPr>
          <w:trHeight w:val="270"/>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2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93,244,911</w:t>
            </w: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85,027,120</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66,813,417</w:t>
            </w:r>
          </w:p>
        </w:tc>
        <w:tc>
          <w:tcPr>
            <w:tcW w:w="80" w:type="dxa"/>
            <w:vAlign w:val="bottom"/>
            <w:shd w:val="clear" w:color="auto" w:fill="CCEEFF"/>
          </w:tcPr>
          <w:p>
            <w:pPr>
              <w:spacing w:after="0"/>
              <w:rPr>
                <w:sz w:val="23"/>
                <w:szCs w:val="23"/>
                <w:color w:val="auto"/>
              </w:rPr>
            </w:pPr>
          </w:p>
        </w:tc>
      </w:tr>
      <w:tr>
        <w:trPr>
          <w:trHeight w:val="54"/>
        </w:trPr>
        <w:tc>
          <w:tcPr>
            <w:tcW w:w="456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-5811520</wp:posOffset>
            </wp:positionV>
            <wp:extent cx="20574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-5811520</wp:posOffset>
            </wp:positionV>
            <wp:extent cx="20574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-5811520</wp:posOffset>
            </wp:positionV>
            <wp:extent cx="10287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20" w:type="dxa"/>
            <w:vAlign w:val="bottom"/>
          </w:tcPr>
          <w:p>
            <w:pPr>
              <w:spacing w:after="0"/>
              <w:rPr>
                <w:sz w:val="12"/>
                <w:szCs w:val="12"/>
                <w:color w:val="auto"/>
              </w:rPr>
            </w:pPr>
          </w:p>
        </w:tc>
        <w:tc>
          <w:tcPr>
            <w:tcW w:w="1320" w:type="dxa"/>
            <w:vAlign w:val="bottom"/>
            <w:gridSpan w:val="6"/>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2"/>
                <w:szCs w:val="12"/>
                <w:color w:val="auto"/>
              </w:rPr>
            </w:pPr>
          </w:p>
        </w:tc>
        <w:tc>
          <w:tcPr>
            <w:tcW w:w="1400" w:type="dxa"/>
            <w:vAlign w:val="bottom"/>
            <w:gridSpan w:val="7"/>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7"/>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2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Total WM</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000" w:type="dxa"/>
            <w:vAlign w:val="bottom"/>
            <w:gridSpan w:val="4"/>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5"/>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Class V</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20" w:type="dxa"/>
            <w:vAlign w:val="bottom"/>
            <w:gridSpan w:val="6"/>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Technology, Inc.</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182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7"/>
                <w:szCs w:val="7"/>
                <w:color w:val="auto"/>
              </w:rPr>
            </w:pPr>
          </w:p>
        </w:tc>
        <w:tc>
          <w:tcPr>
            <w:tcW w:w="900" w:type="dxa"/>
            <w:vAlign w:val="bottom"/>
            <w:gridSpan w:val="6"/>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2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72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660" w:type="dxa"/>
            <w:vAlign w:val="bottom"/>
            <w:gridSpan w:val="6"/>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Members’</w:t>
            </w: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1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56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6"/>
            <w:vMerge w:val="continue"/>
          </w:tcPr>
          <w:p>
            <w:pPr>
              <w:spacing w:after="0"/>
              <w:rPr>
                <w:sz w:val="3"/>
                <w:szCs w:val="3"/>
                <w:color w:val="auto"/>
              </w:rPr>
            </w:pPr>
          </w:p>
        </w:tc>
        <w:tc>
          <w:tcPr>
            <w:tcW w:w="1020" w:type="dxa"/>
            <w:vAlign w:val="bottom"/>
            <w:gridSpan w:val="6"/>
            <w:vMerge w:val="continue"/>
          </w:tcPr>
          <w:p>
            <w:pPr>
              <w:spacing w:after="0"/>
              <w:rPr>
                <w:sz w:val="3"/>
                <w:szCs w:val="3"/>
                <w:color w:val="auto"/>
              </w:rPr>
            </w:pPr>
          </w:p>
        </w:tc>
        <w:tc>
          <w:tcPr>
            <w:tcW w:w="720" w:type="dxa"/>
            <w:vAlign w:val="bottom"/>
            <w:gridSpan w:val="6"/>
            <w:vMerge w:val="continue"/>
          </w:tcPr>
          <w:p>
            <w:pPr>
              <w:spacing w:after="0"/>
              <w:rPr>
                <w:sz w:val="3"/>
                <w:szCs w:val="3"/>
                <w:color w:val="auto"/>
              </w:rPr>
            </w:pPr>
          </w:p>
        </w:tc>
        <w:tc>
          <w:tcPr>
            <w:tcW w:w="660" w:type="dxa"/>
            <w:vAlign w:val="bottom"/>
            <w:gridSpan w:val="6"/>
            <w:vMerge w:val="continue"/>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1820" w:type="dxa"/>
            <w:vAlign w:val="bottom"/>
          </w:tcPr>
          <w:p>
            <w:pPr>
              <w:spacing w:after="0"/>
              <w:rPr>
                <w:sz w:val="15"/>
                <w:szCs w:val="15"/>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Par Value</w:t>
            </w:r>
          </w:p>
        </w:tc>
        <w:tc>
          <w:tcPr>
            <w:tcW w:w="100" w:type="dxa"/>
            <w:vAlign w:val="bottom"/>
          </w:tcPr>
          <w:p>
            <w:pPr>
              <w:spacing w:after="0"/>
              <w:rPr>
                <w:sz w:val="15"/>
                <w:szCs w:val="15"/>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Par Value</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4"/>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Pr>
          <w:p>
            <w:pPr>
              <w:spacing w:after="0"/>
              <w:rPr>
                <w:sz w:val="15"/>
                <w:szCs w:val="15"/>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40" w:type="dxa"/>
            <w:vAlign w:val="bottom"/>
          </w:tcPr>
          <w:p>
            <w:pPr>
              <w:spacing w:after="0"/>
              <w:rPr>
                <w:sz w:val="15"/>
                <w:szCs w:val="15"/>
                <w:color w:val="auto"/>
              </w:rPr>
            </w:pPr>
          </w:p>
        </w:tc>
        <w:tc>
          <w:tcPr>
            <w:tcW w:w="62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55"/>
        </w:trPr>
        <w:tc>
          <w:tcPr>
            <w:tcW w:w="18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 of December 31, 2020</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76"/>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29,271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$ 29,271</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9,570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20,853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30,423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Distributions</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(888)</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4"/>
              </w:rPr>
              <w:t>(18,110)</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(18,998)</w:t>
            </w:r>
          </w:p>
        </w:tc>
        <w:tc>
          <w:tcPr>
            <w:tcW w:w="0" w:type="dxa"/>
            <w:vAlign w:val="bottom"/>
          </w:tcPr>
          <w:p>
            <w:pPr>
              <w:spacing w:after="0"/>
              <w:rPr>
                <w:sz w:val="1"/>
                <w:szCs w:val="1"/>
                <w:color w:val="auto"/>
              </w:rPr>
            </w:pPr>
          </w:p>
        </w:tc>
      </w:tr>
      <w:tr>
        <w:trPr>
          <w:trHeight w:val="190"/>
        </w:trPr>
        <w:tc>
          <w:tcPr>
            <w:tcW w:w="1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Repurchase of Class B</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8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Units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(5,565)</w:t>
            </w:r>
          </w:p>
        </w:tc>
        <w:tc>
          <w:tcPr>
            <w:tcW w:w="80" w:type="dxa"/>
            <w:vAlign w:val="bottom"/>
          </w:tcPr>
          <w:p>
            <w:pPr>
              <w:spacing w:after="0"/>
              <w:rPr>
                <w:sz w:val="15"/>
                <w:szCs w:val="15"/>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(5,565)</w:t>
            </w:r>
          </w:p>
        </w:tc>
        <w:tc>
          <w:tcPr>
            <w:tcW w:w="0" w:type="dxa"/>
            <w:vAlign w:val="bottom"/>
          </w:tcPr>
          <w:p>
            <w:pPr>
              <w:spacing w:after="0"/>
              <w:rPr>
                <w:sz w:val="1"/>
                <w:szCs w:val="1"/>
                <w:color w:val="auto"/>
              </w:rPr>
            </w:pPr>
          </w:p>
        </w:tc>
      </w:tr>
      <w:tr>
        <w:trPr>
          <w:trHeight w:val="41"/>
        </w:trPr>
        <w:tc>
          <w:tcPr>
            <w:tcW w:w="1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and shares issued</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 the Business</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Combination</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63,738,563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65,502,347</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4"/>
              </w:rPr>
              <w:t>(20,118)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(19,119)</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(44,928)</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(20,674)</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(84,721)</w:t>
            </w:r>
          </w:p>
        </w:tc>
        <w:tc>
          <w:tcPr>
            <w:tcW w:w="0" w:type="dxa"/>
            <w:vAlign w:val="bottom"/>
          </w:tcPr>
          <w:p>
            <w:pPr>
              <w:spacing w:after="0"/>
              <w:rPr>
                <w:sz w:val="1"/>
                <w:szCs w:val="1"/>
                <w:color w:val="auto"/>
              </w:rPr>
            </w:pPr>
          </w:p>
        </w:tc>
      </w:tr>
      <w:tr>
        <w:trPr>
          <w:trHeight w:val="190"/>
        </w:trPr>
        <w:tc>
          <w:tcPr>
            <w:tcW w:w="1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8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for acquisitions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1,938,798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12,722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16,590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29,312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60,383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60,383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15,078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152,218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8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6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6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 of December 31, 2021</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65,677,361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65,502,347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180" w:type="dxa"/>
            <w:vAlign w:val="bottom"/>
          </w:tcPr>
          <w:p>
            <w:pPr>
              <w:spacing w:after="0"/>
              <w:rPr>
                <w:sz w:val="19"/>
                <w:szCs w:val="19"/>
                <w:color w:val="auto"/>
              </w:rPr>
            </w:pPr>
          </w:p>
        </w:tc>
        <w:tc>
          <w:tcPr>
            <w:tcW w:w="26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2,173</w:t>
            </w:r>
          </w:p>
        </w:tc>
        <w:tc>
          <w:tcPr>
            <w:tcW w:w="80" w:type="dxa"/>
            <w:vAlign w:val="bottom"/>
          </w:tcPr>
          <w:p>
            <w:pPr>
              <w:spacing w:after="0"/>
              <w:rPr>
                <w:sz w:val="19"/>
                <w:szCs w:val="19"/>
                <w:color w:val="auto"/>
              </w:rPr>
            </w:pPr>
          </w:p>
        </w:tc>
        <w:tc>
          <w:tcPr>
            <w:tcW w:w="280" w:type="dxa"/>
            <w:vAlign w:val="bottom"/>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61,369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63,556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68,384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$131,940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22,862</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22,862</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2,298</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25,160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(2,448)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(2,448)</w:t>
            </w:r>
          </w:p>
        </w:tc>
        <w:tc>
          <w:tcPr>
            <w:tcW w:w="0" w:type="dxa"/>
            <w:vAlign w:val="bottom"/>
          </w:tcPr>
          <w:p>
            <w:pPr>
              <w:spacing w:after="0"/>
              <w:rPr>
                <w:sz w:val="1"/>
                <w:szCs w:val="1"/>
                <w:color w:val="auto"/>
              </w:rPr>
            </w:pPr>
          </w:p>
        </w:tc>
      </w:tr>
      <w:tr>
        <w:trPr>
          <w:trHeight w:val="41"/>
        </w:trPr>
        <w:tc>
          <w:tcPr>
            <w:tcW w:w="1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vesting of restricted</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stock units, net of shares</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withheld for employee</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taxes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3,447,946</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90"/>
        </w:trPr>
        <w:tc>
          <w:tcPr>
            <w:tcW w:w="1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8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for acquisitions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4,721,706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12,836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12,836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15,889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28,725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warrants exercised</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1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Class A Common shares</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issued - Class A Unit</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8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exchange</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10,015,986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tcPr>
          <w:p>
            <w:pPr>
              <w:spacing w:after="0"/>
              <w:rPr>
                <w:sz w:val="15"/>
                <w:szCs w:val="15"/>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(10,015,986)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8,993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(8,993)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1"/>
        </w:trPr>
        <w:tc>
          <w:tcPr>
            <w:tcW w:w="1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Class A Common shares</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issued - Class P Unit</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exchange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8,199,449</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7,064</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7,064</w:t>
            </w: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(7,064)</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1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Impact of tax receivable</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agreement due to</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exchanges of Class A</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8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Units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14,064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14,064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14,064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 (loss)</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8"/>
              </w:rPr>
              <w:t>(115,989)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w w:val="98"/>
              </w:rPr>
              <w:t>(115,989)</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33,338</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(82,651)</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 of December 31, 2022</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92,062,468</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55,486,361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80" w:type="dxa"/>
            <w:vAlign w:val="bottom"/>
          </w:tcPr>
          <w:p>
            <w:pPr>
              <w:spacing w:after="0"/>
              <w:rPr>
                <w:sz w:val="18"/>
                <w:szCs w:val="18"/>
                <w:color w:val="auto"/>
              </w:rPr>
            </w:pPr>
          </w:p>
        </w:tc>
        <w:tc>
          <w:tcPr>
            <w:tcW w:w="26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67,986</w:t>
            </w:r>
          </w:p>
        </w:tc>
        <w:tc>
          <w:tcPr>
            <w:tcW w:w="80" w:type="dxa"/>
            <w:vAlign w:val="bottom"/>
          </w:tcPr>
          <w:p>
            <w:pPr>
              <w:spacing w:after="0"/>
              <w:rPr>
                <w:sz w:val="18"/>
                <w:szCs w:val="18"/>
                <w:color w:val="auto"/>
              </w:rPr>
            </w:pPr>
          </w:p>
        </w:tc>
        <w:tc>
          <w:tcPr>
            <w:tcW w:w="280" w:type="dxa"/>
            <w:vAlign w:val="bottom"/>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(54,620)</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13,380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101,397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114,777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8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14,385</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14,385</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14,901</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(7,187)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(7,187)</w:t>
            </w:r>
          </w:p>
        </w:tc>
        <w:tc>
          <w:tcPr>
            <w:tcW w:w="0" w:type="dxa"/>
            <w:vAlign w:val="bottom"/>
          </w:tcPr>
          <w:p>
            <w:pPr>
              <w:spacing w:after="0"/>
              <w:rPr>
                <w:sz w:val="1"/>
                <w:szCs w:val="1"/>
                <w:color w:val="auto"/>
              </w:rPr>
            </w:pPr>
          </w:p>
        </w:tc>
      </w:tr>
      <w:tr>
        <w:trPr>
          <w:trHeight w:val="41"/>
        </w:trPr>
        <w:tc>
          <w:tcPr>
            <w:tcW w:w="1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vesting of restricted</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stock units, net of shares</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withheld for employee</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taxes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2,242,930</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90"/>
        </w:trPr>
        <w:tc>
          <w:tcPr>
            <w:tcW w:w="1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Discharge of holdback</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obligation related to</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8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prior acquisition</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(1,612)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(1,612)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(1,995)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(3,607)</w:t>
            </w:r>
          </w:p>
        </w:tc>
        <w:tc>
          <w:tcPr>
            <w:tcW w:w="0" w:type="dxa"/>
            <w:vAlign w:val="bottom"/>
          </w:tcPr>
          <w:p>
            <w:pPr>
              <w:spacing w:after="0"/>
              <w:rPr>
                <w:sz w:val="1"/>
                <w:szCs w:val="1"/>
                <w:color w:val="auto"/>
              </w:rPr>
            </w:pPr>
          </w:p>
        </w:tc>
      </w:tr>
      <w:tr>
        <w:trPr>
          <w:trHeight w:val="41"/>
        </w:trPr>
        <w:tc>
          <w:tcPr>
            <w:tcW w:w="1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Class A Common shares</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issued - Class P Unit</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exchange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77,655</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6"/>
        </w:trPr>
        <w:tc>
          <w:tcPr>
            <w:tcW w:w="1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 (loss)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(9,898)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(9,898)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(5,829)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(15,727)</w:t>
            </w:r>
          </w:p>
        </w:tc>
        <w:tc>
          <w:tcPr>
            <w:tcW w:w="0" w:type="dxa"/>
            <w:vAlign w:val="bottom"/>
          </w:tcPr>
          <w:p>
            <w:pPr>
              <w:spacing w:after="0"/>
              <w:rPr>
                <w:sz w:val="1"/>
                <w:szCs w:val="1"/>
                <w:color w:val="auto"/>
              </w:rPr>
            </w:pPr>
          </w:p>
        </w:tc>
      </w:tr>
      <w:tr>
        <w:trPr>
          <w:trHeight w:val="34"/>
        </w:trPr>
        <w:tc>
          <w:tcPr>
            <w:tcW w:w="18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94,383,053</w:t>
            </w:r>
          </w:p>
        </w:tc>
        <w:tc>
          <w:tcPr>
            <w:tcW w:w="1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55,486,361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80" w:type="dxa"/>
            <w:vAlign w:val="bottom"/>
            <w:shd w:val="clear" w:color="auto" w:fill="CCEEFF"/>
          </w:tcPr>
          <w:p>
            <w:pPr>
              <w:spacing w:after="0"/>
              <w:rPr>
                <w:sz w:val="19"/>
                <w:szCs w:val="19"/>
                <w:color w:val="auto"/>
              </w:rPr>
            </w:pPr>
          </w:p>
        </w:tc>
        <w:tc>
          <w:tcPr>
            <w:tcW w:w="2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80,884</w:t>
            </w:r>
          </w:p>
        </w:tc>
        <w:tc>
          <w:tcPr>
            <w:tcW w:w="80" w:type="dxa"/>
            <w:vAlign w:val="bottom"/>
            <w:shd w:val="clear" w:color="auto" w:fill="CCEEFF"/>
          </w:tcPr>
          <w:p>
            <w:pPr>
              <w:spacing w:after="0"/>
              <w:rPr>
                <w:sz w:val="19"/>
                <w:szCs w:val="19"/>
                <w:color w:val="auto"/>
              </w:rPr>
            </w:pPr>
          </w:p>
        </w:tc>
        <w:tc>
          <w:tcPr>
            <w:tcW w:w="2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(64,518)</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16,380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86,771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103,151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2515235</wp:posOffset>
            </wp:positionH>
            <wp:positionV relativeFrom="paragraph">
              <wp:posOffset>-6497320</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-6497320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-6497320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-6497320</wp:posOffset>
            </wp:positionV>
            <wp:extent cx="342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5515610</wp:posOffset>
            </wp:positionH>
            <wp:positionV relativeFrom="paragraph">
              <wp:posOffset>-6497320</wp:posOffset>
            </wp:positionV>
            <wp:extent cx="5143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-6497320</wp:posOffset>
            </wp:positionV>
            <wp:extent cx="5143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4632325</wp:posOffset>
            </wp:positionH>
            <wp:positionV relativeFrom="paragraph">
              <wp:posOffset>-6497320</wp:posOffset>
            </wp:positionV>
            <wp:extent cx="5143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-6497320</wp:posOffset>
            </wp:positionV>
            <wp:extent cx="5143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3415030</wp:posOffset>
            </wp:positionH>
            <wp:positionV relativeFrom="paragraph">
              <wp:posOffset>-6497320</wp:posOffset>
            </wp:positionV>
            <wp:extent cx="5143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2952115</wp:posOffset>
            </wp:positionH>
            <wp:positionV relativeFrom="paragraph">
              <wp:posOffset>-6497320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74" w:name="page175"/>
    <w:bookmarkEnd w:id="1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11"/>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7"/>
        </w:trPr>
        <w:tc>
          <w:tcPr>
            <w:tcW w:w="546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9"/>
                <w:szCs w:val="19"/>
                <w:color w:val="auto"/>
              </w:rPr>
            </w:pPr>
          </w:p>
        </w:tc>
      </w:tr>
      <w:tr>
        <w:trPr>
          <w:trHeight w:val="51"/>
        </w:trPr>
        <w:tc>
          <w:tcPr>
            <w:tcW w:w="54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$(15,727)</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(82,651)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152,218</w:t>
            </w:r>
          </w:p>
        </w:tc>
        <w:tc>
          <w:tcPr>
            <w:tcW w:w="80" w:type="dxa"/>
            <w:vAlign w:val="bottom"/>
          </w:tcPr>
          <w:p>
            <w:pPr>
              <w:spacing w:after="0"/>
              <w:rPr>
                <w:sz w:val="23"/>
                <w:szCs w:val="23"/>
                <w:color w:val="auto"/>
              </w:rPr>
            </w:pPr>
          </w:p>
        </w:tc>
      </w:tr>
      <w:tr>
        <w:trPr>
          <w:trHeight w:val="54"/>
        </w:trPr>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2"/>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68"/>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by operating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r>
      <w:tr>
        <w:trPr>
          <w:trHeight w:val="270"/>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11,498</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80" w:type="dxa"/>
            <w:vAlign w:val="bottom"/>
          </w:tcPr>
          <w:p>
            <w:pPr>
              <w:spacing w:after="0"/>
              <w:rPr>
                <w:sz w:val="23"/>
                <w:szCs w:val="23"/>
                <w:color w:val="auto"/>
              </w:rPr>
            </w:pPr>
          </w:p>
        </w:tc>
      </w:tr>
      <w:tr>
        <w:trPr>
          <w:trHeight w:val="54"/>
        </w:trPr>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gridSpan w:val="2"/>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(1,505)</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(25,370)</w:t>
            </w:r>
          </w:p>
        </w:tc>
        <w:tc>
          <w:tcPr>
            <w:tcW w:w="10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(166,518)</w:t>
            </w:r>
          </w:p>
        </w:tc>
      </w:tr>
      <w:tr>
        <w:trPr>
          <w:trHeight w:val="270"/>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3"/>
              </w:rPr>
              <w:t>1,256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(142,352)</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 -use lease assets</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3"/>
              </w:rPr>
              <w:t>4,930</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80" w:type="dxa"/>
            <w:vAlign w:val="bottom"/>
          </w:tcPr>
          <w:p>
            <w:pPr>
              <w:spacing w:after="0"/>
              <w:rPr>
                <w:sz w:val="23"/>
                <w:szCs w:val="23"/>
                <w:color w:val="auto"/>
              </w:rPr>
            </w:pPr>
          </w:p>
        </w:tc>
      </w:tr>
      <w:tr>
        <w:trPr>
          <w:trHeight w:val="54"/>
        </w:trPr>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23,493</w:t>
            </w: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29,324</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w:t>
            </w:r>
          </w:p>
        </w:tc>
        <w:tc>
          <w:tcPr>
            <w:tcW w:w="220" w:type="dxa"/>
            <w:vAlign w:val="bottom"/>
          </w:tcPr>
          <w:p>
            <w:pPr>
              <w:spacing w:after="0"/>
              <w:rPr>
                <w:sz w:val="23"/>
                <w:szCs w:val="23"/>
                <w:color w:val="auto"/>
              </w:rPr>
            </w:pPr>
          </w:p>
        </w:tc>
        <w:tc>
          <w:tcPr>
            <w:tcW w:w="9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179,077</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54"/>
        </w:trPr>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Discharge of holdback obligation related to prior acquisition</w:t>
            </w:r>
          </w:p>
        </w:tc>
        <w:tc>
          <w:tcPr>
            <w:tcW w:w="9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(3,705)</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3"/>
              </w:rPr>
              <w:t>1,792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80" w:type="dxa"/>
            <w:vAlign w:val="bottom"/>
          </w:tcPr>
          <w:p>
            <w:pPr>
              <w:spacing w:after="0"/>
              <w:rPr>
                <w:sz w:val="23"/>
                <w:szCs w:val="23"/>
                <w:color w:val="auto"/>
              </w:rPr>
            </w:pPr>
          </w:p>
        </w:tc>
      </w:tr>
      <w:tr>
        <w:trPr>
          <w:trHeight w:val="54"/>
        </w:trPr>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3"/>
              </w:rPr>
              <w:t>4,488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(16,270)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(13,609)</w:t>
            </w:r>
          </w:p>
        </w:tc>
      </w:tr>
      <w:tr>
        <w:trPr>
          <w:trHeight w:val="54"/>
        </w:trPr>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(43,323)</w:t>
            </w:r>
          </w:p>
        </w:tc>
      </w:tr>
      <w:tr>
        <w:trPr>
          <w:trHeight w:val="270"/>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3"/>
              </w:rPr>
              <w:t>3,335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80" w:type="dxa"/>
            <w:vAlign w:val="bottom"/>
          </w:tcPr>
          <w:p>
            <w:pPr>
              <w:spacing w:after="0"/>
              <w:rPr>
                <w:sz w:val="23"/>
                <w:szCs w:val="23"/>
                <w:color w:val="auto"/>
              </w:rPr>
            </w:pPr>
          </w:p>
        </w:tc>
      </w:tr>
      <w:tr>
        <w:trPr>
          <w:trHeight w:val="54"/>
        </w:trPr>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9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70"/>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(15,275)</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14,892</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tcPr>
          <w:p>
            <w:pPr>
              <w:spacing w:after="0"/>
              <w:rPr>
                <w:sz w:val="23"/>
                <w:szCs w:val="23"/>
                <w:color w:val="auto"/>
              </w:rPr>
            </w:pPr>
          </w:p>
        </w:tc>
      </w:tr>
      <w:tr>
        <w:trPr>
          <w:trHeight w:val="54"/>
        </w:trPr>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(338)</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(6,334)</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44,840</w:t>
            </w:r>
          </w:p>
        </w:tc>
        <w:tc>
          <w:tcPr>
            <w:tcW w:w="80" w:type="dxa"/>
            <w:vAlign w:val="bottom"/>
          </w:tcPr>
          <w:p>
            <w:pPr>
              <w:spacing w:after="0"/>
              <w:rPr>
                <w:sz w:val="22"/>
                <w:szCs w:val="22"/>
                <w:color w:val="auto"/>
              </w:rPr>
            </w:pPr>
          </w:p>
        </w:tc>
      </w:tr>
      <w:tr>
        <w:trPr>
          <w:trHeight w:val="61"/>
        </w:trPr>
        <w:tc>
          <w:tcPr>
            <w:tcW w:w="5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7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22,928</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(11,621)</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30,190</w:t>
            </w:r>
          </w:p>
        </w:tc>
        <w:tc>
          <w:tcPr>
            <w:tcW w:w="80" w:type="dxa"/>
            <w:vAlign w:val="bottom"/>
            <w:shd w:val="clear" w:color="auto" w:fill="CCEEFF"/>
          </w:tcPr>
          <w:p>
            <w:pPr>
              <w:spacing w:after="0"/>
              <w:rPr>
                <w:sz w:val="23"/>
                <w:szCs w:val="23"/>
                <w:color w:val="auto"/>
              </w:rPr>
            </w:pPr>
          </w:p>
        </w:tc>
      </w:tr>
      <w:tr>
        <w:trPr>
          <w:trHeight w:val="61"/>
        </w:trPr>
        <w:tc>
          <w:tcPr>
            <w:tcW w:w="54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338"/>
        </w:trPr>
        <w:tc>
          <w:tcPr>
            <w:tcW w:w="5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4"/>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software and expenditures</w:t>
            </w: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(11,871)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(16,055)</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(7,935)</w:t>
            </w:r>
          </w:p>
        </w:tc>
      </w:tr>
      <w:tr>
        <w:trPr>
          <w:trHeight w:val="54"/>
        </w:trPr>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(16,000)</w:t>
            </w:r>
          </w:p>
        </w:tc>
      </w:tr>
      <w:tr>
        <w:trPr>
          <w:trHeight w:val="270"/>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acquisition holdback release</w:t>
            </w:r>
          </w:p>
        </w:tc>
        <w:tc>
          <w:tcPr>
            <w:tcW w:w="220" w:type="dxa"/>
            <w:vAlign w:val="bottom"/>
          </w:tcPr>
          <w:p>
            <w:pPr>
              <w:spacing w:after="0"/>
              <w:rPr>
                <w:sz w:val="23"/>
                <w:szCs w:val="23"/>
                <w:color w:val="auto"/>
              </w:rPr>
            </w:pPr>
          </w:p>
        </w:tc>
        <w:tc>
          <w:tcPr>
            <w:tcW w:w="9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other investments</w:t>
            </w:r>
          </w:p>
        </w:tc>
        <w:tc>
          <w:tcPr>
            <w:tcW w:w="220" w:type="dxa"/>
            <w:vAlign w:val="bottom"/>
            <w:shd w:val="clear" w:color="auto" w:fill="CCEEFF"/>
          </w:tcPr>
          <w:p>
            <w:pPr>
              <w:spacing w:after="0"/>
              <w:rPr>
                <w:sz w:val="22"/>
                <w:szCs w:val="22"/>
                <w:color w:val="auto"/>
              </w:rPr>
            </w:pPr>
          </w:p>
        </w:tc>
        <w:tc>
          <w:tcPr>
            <w:tcW w:w="92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61"/>
        </w:trPr>
        <w:tc>
          <w:tcPr>
            <w:tcW w:w="54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7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(11,871)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(17,768)</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(30,435)</w:t>
            </w:r>
          </w:p>
        </w:tc>
      </w:tr>
      <w:tr>
        <w:trPr>
          <w:trHeight w:val="61"/>
        </w:trPr>
        <w:tc>
          <w:tcPr>
            <w:tcW w:w="5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38"/>
        </w:trPr>
        <w:tc>
          <w:tcPr>
            <w:tcW w:w="5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70"/>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4"/>
        </w:trPr>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9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(4,218)</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(18,998)</w:t>
            </w:r>
          </w:p>
        </w:tc>
      </w:tr>
      <w:tr>
        <w:trPr>
          <w:trHeight w:val="270"/>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insurance premium financing</w:t>
            </w: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(1,450)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(7,098)</w:t>
            </w:r>
          </w:p>
        </w:tc>
      </w:tr>
      <w:tr>
        <w:trPr>
          <w:trHeight w:val="54"/>
        </w:trPr>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9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collection of related party note receivable</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business combination</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79,969</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note payable</w:t>
            </w:r>
          </w:p>
        </w:tc>
        <w:tc>
          <w:tcPr>
            <w:tcW w:w="220" w:type="dxa"/>
            <w:vAlign w:val="bottom"/>
          </w:tcPr>
          <w:p>
            <w:pPr>
              <w:spacing w:after="0"/>
              <w:rPr>
                <w:sz w:val="23"/>
                <w:szCs w:val="23"/>
                <w:color w:val="auto"/>
              </w:rPr>
            </w:pPr>
          </w:p>
        </w:tc>
        <w:tc>
          <w:tcPr>
            <w:tcW w:w="9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54"/>
        </w:trPr>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Class B Units</w:t>
            </w:r>
          </w:p>
        </w:tc>
        <w:tc>
          <w:tcPr>
            <w:tcW w:w="220" w:type="dxa"/>
            <w:vAlign w:val="bottom"/>
            <w:shd w:val="clear" w:color="auto" w:fill="CCEEFF"/>
          </w:tcPr>
          <w:p>
            <w:pPr>
              <w:spacing w:after="0"/>
              <w:rPr>
                <w:sz w:val="22"/>
                <w:szCs w:val="22"/>
                <w:color w:val="auto"/>
              </w:rPr>
            </w:pPr>
          </w:p>
        </w:tc>
        <w:tc>
          <w:tcPr>
            <w:tcW w:w="92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w:t>
            </w:r>
          </w:p>
        </w:tc>
      </w:tr>
      <w:tr>
        <w:trPr>
          <w:trHeight w:val="61"/>
        </w:trPr>
        <w:tc>
          <w:tcPr>
            <w:tcW w:w="54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7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(5,290)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48,103</w:t>
            </w:r>
          </w:p>
        </w:tc>
        <w:tc>
          <w:tcPr>
            <w:tcW w:w="80" w:type="dxa"/>
            <w:vAlign w:val="bottom"/>
          </w:tcPr>
          <w:p>
            <w:pPr>
              <w:spacing w:after="0"/>
              <w:rPr>
                <w:sz w:val="23"/>
                <w:szCs w:val="23"/>
                <w:color w:val="auto"/>
              </w:rPr>
            </w:pPr>
          </w:p>
        </w:tc>
      </w:tr>
      <w:tr>
        <w:trPr>
          <w:trHeight w:val="61"/>
        </w:trPr>
        <w:tc>
          <w:tcPr>
            <w:tcW w:w="5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3"/>
              </w:rPr>
              <w:t>5,767</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(39,194)</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47,858</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Cash – beginning of year</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67,777</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19,919</w:t>
            </w:r>
          </w:p>
        </w:tc>
        <w:tc>
          <w:tcPr>
            <w:tcW w:w="80" w:type="dxa"/>
            <w:vAlign w:val="bottom"/>
          </w:tcPr>
          <w:p>
            <w:pPr>
              <w:spacing w:after="0"/>
              <w:rPr>
                <w:sz w:val="22"/>
                <w:szCs w:val="22"/>
                <w:color w:val="auto"/>
              </w:rPr>
            </w:pPr>
          </w:p>
        </w:tc>
      </w:tr>
      <w:tr>
        <w:trPr>
          <w:trHeight w:val="61"/>
        </w:trPr>
        <w:tc>
          <w:tcPr>
            <w:tcW w:w="5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7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end of year</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$ 34,350</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28,583</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67,777</w:t>
            </w:r>
          </w:p>
        </w:tc>
      </w:tr>
      <w:tr>
        <w:trPr>
          <w:trHeight w:val="48"/>
        </w:trPr>
        <w:tc>
          <w:tcPr>
            <w:tcW w:w="5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432"/>
        </w:trPr>
        <w:tc>
          <w:tcPr>
            <w:tcW w:w="7400" w:type="dxa"/>
            <w:vAlign w:val="bottom"/>
            <w:gridSpan w:val="9"/>
          </w:tcPr>
          <w:p>
            <w:pPr>
              <w:ind w:left="10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46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F-37</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-9257665</wp:posOffset>
            </wp:positionV>
            <wp:extent cx="13716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-9257665</wp:posOffset>
            </wp:positionV>
            <wp:extent cx="13716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-9257665</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9019"/>
          </w:cols>
          <w:pgMar w:left="1440" w:top="263" w:right="1440" w:bottom="0" w:gutter="0" w:footer="0" w:header="0"/>
        </w:sectPr>
      </w:pPr>
    </w:p>
    <w:bookmarkStart w:id="175" w:name="page176"/>
    <w:bookmarkEnd w:id="1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7"/>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1"/>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27"/>
        </w:trPr>
        <w:tc>
          <w:tcPr>
            <w:tcW w:w="5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50"/>
        </w:trPr>
        <w:tc>
          <w:tcPr>
            <w:tcW w:w="56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311"/>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(refunded from) paid for income taxes</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24"/>
        </w:trPr>
        <w:tc>
          <w:tcPr>
            <w:tcW w:w="56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70"/>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equity for acquisitions</w:t>
            </w:r>
          </w:p>
        </w:tc>
        <w:tc>
          <w:tcPr>
            <w:tcW w:w="3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$28,725</w:t>
            </w: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29,312</w:t>
            </w: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premium financing</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11,205</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 assumed in connection with acquisition</w:t>
            </w:r>
          </w:p>
        </w:tc>
        <w:tc>
          <w:tcPr>
            <w:tcW w:w="3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capitalized for software development</w:t>
            </w:r>
          </w:p>
        </w:tc>
        <w:tc>
          <w:tcPr>
            <w:tcW w:w="7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6"/>
              </w:rPr>
              <w:t>$1,386</w:t>
            </w:r>
          </w:p>
        </w:tc>
        <w:tc>
          <w:tcPr>
            <w:tcW w:w="32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assets included in accounts payable and accrued expenses</w:t>
            </w:r>
          </w:p>
        </w:tc>
        <w:tc>
          <w:tcPr>
            <w:tcW w:w="7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$1,041</w:t>
            </w: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Holdback liability recognized in connection with acquisition</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gridSpan w:val="2"/>
          </w:tcPr>
          <w:p>
            <w:pPr>
              <w:spacing w:after="0"/>
              <w:rPr>
                <w:sz w:val="4"/>
                <w:szCs w:val="4"/>
                <w:color w:val="auto"/>
              </w:rPr>
            </w:pPr>
          </w:p>
        </w:tc>
      </w:tr>
      <w:tr>
        <w:trPr>
          <w:trHeight w:val="304"/>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liability assumed from the Business Combination</w:t>
            </w:r>
          </w:p>
        </w:tc>
        <w:tc>
          <w:tcPr>
            <w:tcW w:w="3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$193,978</w:t>
            </w:r>
          </w:p>
        </w:tc>
      </w:tr>
      <w:tr>
        <w:trPr>
          <w:trHeight w:val="252"/>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recognized in connection with the</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34"/>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Business Combination</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$128,567</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2"/>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 recognized in connection with the Business</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68"/>
        </w:trPr>
        <w:tc>
          <w:tcPr>
            <w:tcW w:w="5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Combination</w:t>
            </w:r>
          </w:p>
        </w:tc>
        <w:tc>
          <w:tcPr>
            <w:tcW w:w="3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$151,255</w:t>
            </w: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 assumed from the Business Combination</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4900295</wp:posOffset>
            </wp:positionH>
            <wp:positionV relativeFrom="paragraph">
              <wp:posOffset>-3136900</wp:posOffset>
            </wp:positionV>
            <wp:extent cx="20574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-3136900</wp:posOffset>
            </wp:positionV>
            <wp:extent cx="20574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-3136900</wp:posOffset>
            </wp:positionV>
            <wp:extent cx="10287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7" w:name="page178"/>
    <w:bookmarkEnd w:id="1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40" w:hanging="348"/>
        <w:spacing w:after="0"/>
        <w:tabs>
          <w:tab w:leader="none" w:pos="6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Organization</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(the “Company”) operates a leading online cannabis marketplace for consumers together with a comprehensive set of eCommerce and compliance software solutions for cannabis businesses, which are sold to both storefront locations and delivery operators (“retailers”) and brands in the U.S. states and U.S. territories legalized cannabis markets. The Company’s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00" w:right="319"/>
        <w:spacing w:after="0" w:line="253" w:lineRule="auto"/>
        <w:rPr>
          <w:sz w:val="20"/>
          <w:szCs w:val="20"/>
          <w:color w:val="auto"/>
        </w:rPr>
      </w:pPr>
      <w:r>
        <w:rPr>
          <w:rFonts w:ascii="Times New Roman" w:cs="Times New Roman" w:eastAsia="Times New Roman" w:hAnsi="Times New Roman"/>
          <w:sz w:val="18"/>
          <w:szCs w:val="18"/>
          <w:color w:val="auto"/>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(“POS”), to provide consumers with the ability to browse by strain, price, cannabinoids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Weedmaps for Business, the Company’s SaaS offering, is a comprehensive set of eCommerce and compliance software solutions catered towards cannabis retailers, delivery services and brands that streamline front and back-end operations and help manage compliance needs. With the development of Weedmaps for Business, the Company offers an end-to-end platform for licensed cannabis retailers to comply with state law. The Company sells a monthly subscription offering to storefront, delivery and brand clients as well as upsell and add-on offerings to licensed clients. The Company also offers other add-on products for additional fees.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spacing w:after="0" w:line="29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Legacy WMH was reorganized into an Up-C structure, in which substantially all of the assets and business of Legacy WMH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7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an accumulated deficit of $64.5 million. The Company has funded its operations primarily with customer payments for its services and proceeds from the issuance of common stock in connection with its initial public offering (IPO) and follow-on offering. As of December 31, 2023, the Company had cash of $34.4 million. The Company believes that its existing sources of liquidity will satisfy its working capital and capital requirements for at least the next twelve months.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8" w:name="page179"/>
    <w:bookmarkEnd w:id="1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GAAP and the rules and regulations of the Securities and Exchange Commission (“SEC”). The consolidated financial statements reflect all adjustments considered necessary for a fair presentation of the consolidated results of operations and financial position for the fiscal years presented. All such adjustments are of a normal recurring nature. Certain prior year amounts have been reclassified to conform to the current year presentation.</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WM Technology, Inc. and WMH LLC, including their wholly and majority owned subsidiaries. In conformity with GAAP, all significant intercompany accounts and transactions have been eliminated.</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Restatement of Previously Reported 2023 Quarterly Revenue and Credit Losses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preparation of the Company's Consolidated Financial Statements as of and for the fiscal year ended December 31, 2023, the Company discovered that in 2023, it had an inadequate policy associated with its revenue recognition related to the cash collection of a certain subset of its customers that had been placed on cash basis in 2023. For these customers, because the determination had been made that there was significant collection risk and the Company had no ability to estimate the collectability of the consideration it was entitled to, revenue recognition was prohibited under Accounting Standards Codification,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until cash was collected for the services that were provided. The Company refers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in this situation as customers that have been placed on cash basis. As further discussed below, the Company misapplied this policy in each of the first three quarters of 2023 by failing to apply (in certain cases) cash receipts to prior accounts receivable (via a credit loss recovery) and instead recognized additional revenue for the cash receipt.</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recognizes revenue from contracts with customers under ASC 606.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Once the Company believes that it is no longer probable of collecting substantially all of the consideration to which it will be entitled in exchange for the goods or services transferred to the customer and as such is prohibited from recognizing revenue until it is probable that it will be entitled to all of the consideration. As such, when a customer with significant collection risk is identified, the Company fully reserves for all outstanding accounts receivable and records a credit loss for these receivables.</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Initially, revenue for contracts that the Company assesses are not probable of collection is not recognized until the customer has paid or settled all outstanding accounts receivable balances.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When services are still provided to customers that have been identified with significant collection risk, the Company initially applies all payments received against the customers oldest invoices. However, if the Company continues to provide services to these customers for a significant period of time, cash collections have stabilized and other factors indicate it is appropriate, cash collections are assessed to determine if any of the on-going cash receipts should be accounted for as variable consideration under ASC 606 for on-going services instead of recovery of credit losses. To date, no material variable consideration has been recognized and after applying the corrections shown in the table below, all cash collections for these customers are reflected as recovery of credit losses.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Due to the inconsistency of the cash application related to the cash basis customers, and the prohibition on recognizing revenue when the Company does not believe it will receive the consideration it is entitled to, the Company had determined that it had improperly recognized revenue for these customers and should have instead recognized a credit loss recovery related to these cash receipts.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9" w:name="page180"/>
    <w:bookmarkEnd w:id="179"/>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All periods presented below have been retrospectively restated to reflect the effects of the change to revenues and operating expenses. There was no impact to operating income (loss), net income (loss), net income (loss) per share, net cash provided by operating activities and adjusted EBITDA for any periods presented. The consolidated statement of equity is not affected by this restatement.</w:t>
      </w:r>
    </w:p>
    <w:p>
      <w:pPr>
        <w:spacing w:after="0" w:line="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operations for the periods ended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March 31, 2023, June 30, 2023 and September 30, 2023, as follows (in thousands):</w:t>
      </w:r>
    </w:p>
    <w:p>
      <w:pPr>
        <w:spacing w:after="0" w:line="241"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20" w:type="dxa"/>
            <w:vAlign w:val="bottom"/>
            <w:gridSpan w:val="1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0" w:type="dxa"/>
            <w:vAlign w:val="bottom"/>
          </w:tcPr>
          <w:p>
            <w:pPr>
              <w:spacing w:after="0"/>
              <w:rPr>
                <w:sz w:val="1"/>
                <w:szCs w:val="1"/>
                <w:color w:val="auto"/>
              </w:rPr>
            </w:pPr>
          </w:p>
        </w:tc>
      </w:tr>
      <w:tr>
        <w:trPr>
          <w:trHeight w:val="50"/>
        </w:trPr>
        <w:tc>
          <w:tcPr>
            <w:tcW w:w="3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7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1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$48,007</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$(1,591)</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5"/>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$46,416</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$22,500</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$(1,591)</w:t>
            </w:r>
          </w:p>
        </w:tc>
        <w:tc>
          <w:tcPr>
            <w:tcW w:w="20" w:type="dxa"/>
            <w:vAlign w:val="bottom"/>
          </w:tcPr>
          <w:p>
            <w:pPr>
              <w:spacing w:after="0"/>
              <w:rPr>
                <w:sz w:val="23"/>
                <w:szCs w:val="23"/>
                <w:color w:val="auto"/>
              </w:rPr>
            </w:pPr>
          </w:p>
        </w:tc>
        <w:tc>
          <w:tcPr>
            <w:tcW w:w="940" w:type="dxa"/>
            <w:vAlign w:val="bottom"/>
            <w:gridSpan w:val="5"/>
          </w:tcPr>
          <w:p>
            <w:pPr>
              <w:jc w:val="right"/>
              <w:ind w:right="8"/>
              <w:spacing w:after="0"/>
              <w:rPr>
                <w:sz w:val="20"/>
                <w:szCs w:val="20"/>
                <w:color w:val="auto"/>
              </w:rPr>
            </w:pPr>
            <w:r>
              <w:rPr>
                <w:rFonts w:ascii="Times New Roman" w:cs="Times New Roman" w:eastAsia="Times New Roman" w:hAnsi="Times New Roman"/>
                <w:sz w:val="18"/>
                <w:szCs w:val="18"/>
                <w:color w:val="auto"/>
              </w:rPr>
              <w:t>$20,909</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$52,155</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$(1,591)</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5"/>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$50,564</w:t>
            </w:r>
          </w:p>
        </w:tc>
        <w:tc>
          <w:tcPr>
            <w:tcW w:w="0" w:type="dxa"/>
            <w:vAlign w:val="bottom"/>
          </w:tcPr>
          <w:p>
            <w:pPr>
              <w:spacing w:after="0"/>
              <w:rPr>
                <w:sz w:val="1"/>
                <w:szCs w:val="1"/>
                <w:color w:val="auto"/>
              </w:rPr>
            </w:pPr>
          </w:p>
        </w:tc>
      </w:tr>
      <w:tr>
        <w:trPr>
          <w:trHeight w:val="382"/>
        </w:trPr>
        <w:tc>
          <w:tcPr>
            <w:tcW w:w="3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40" w:type="dxa"/>
            <w:vAlign w:val="bottom"/>
            <w:gridSpan w:val="11"/>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40" w:type="dxa"/>
            <w:vAlign w:val="bottom"/>
          </w:tcPr>
          <w:p>
            <w:pPr>
              <w:spacing w:after="0"/>
              <w:rPr>
                <w:sz w:val="24"/>
                <w:szCs w:val="24"/>
                <w:color w:val="auto"/>
              </w:rPr>
            </w:pPr>
          </w:p>
        </w:tc>
        <w:tc>
          <w:tcPr>
            <w:tcW w:w="2520" w:type="dxa"/>
            <w:vAlign w:val="bottom"/>
            <w:gridSpan w:val="1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0" w:type="dxa"/>
            <w:vAlign w:val="bottom"/>
          </w:tcPr>
          <w:p>
            <w:pPr>
              <w:spacing w:after="0"/>
              <w:rPr>
                <w:sz w:val="1"/>
                <w:szCs w:val="1"/>
                <w:color w:val="auto"/>
              </w:rPr>
            </w:pPr>
          </w:p>
        </w:tc>
      </w:tr>
      <w:tr>
        <w:trPr>
          <w:trHeight w:val="50"/>
        </w:trPr>
        <w:tc>
          <w:tcPr>
            <w:tcW w:w="3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Borders>
              <w:bottom w:val="single" w:sz="8" w:color="auto"/>
            </w:tcBorders>
            <w:gridSpan w:val="3"/>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Previously</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Adjustment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0" w:type="dxa"/>
            <w:vAlign w:val="bottom"/>
          </w:tcPr>
          <w:p>
            <w:pPr>
              <w:spacing w:after="0"/>
              <w:rPr>
                <w:sz w:val="16"/>
                <w:szCs w:val="16"/>
                <w:color w:val="auto"/>
              </w:rPr>
            </w:pPr>
          </w:p>
        </w:tc>
        <w:tc>
          <w:tcPr>
            <w:tcW w:w="8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20" w:type="dxa"/>
            <w:vAlign w:val="bottom"/>
          </w:tcPr>
          <w:p>
            <w:pPr>
              <w:spacing w:after="0"/>
              <w:rPr>
                <w:sz w:val="16"/>
                <w:szCs w:val="16"/>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31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7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$50,852</w:t>
            </w:r>
          </w:p>
        </w:tc>
        <w:tc>
          <w:tcPr>
            <w:tcW w:w="920" w:type="dxa"/>
            <w:vAlign w:val="bottom"/>
            <w:tcBorders>
              <w:bottom w:val="single" w:sz="8" w:color="CCEEFF"/>
            </w:tcBorders>
            <w:gridSpan w:val="4"/>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$(2,429)</w:t>
            </w:r>
          </w:p>
        </w:tc>
        <w:tc>
          <w:tcPr>
            <w:tcW w:w="940" w:type="dxa"/>
            <w:vAlign w:val="bottom"/>
            <w:tcBorders>
              <w:bottom w:val="single" w:sz="8" w:color="CCEEFF"/>
            </w:tcBorders>
            <w:gridSpan w:val="4"/>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$48,423</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$98,859</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$(4,020)</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5"/>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$94,839</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$19,208</w:t>
            </w:r>
          </w:p>
        </w:tc>
        <w:tc>
          <w:tcPr>
            <w:tcW w:w="9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auto"/>
              </w:rPr>
              <w:t>$(2,429)</w:t>
            </w:r>
          </w:p>
        </w:tc>
        <w:tc>
          <w:tcPr>
            <w:tcW w:w="94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color w:val="auto"/>
                <w:w w:val="99"/>
              </w:rPr>
              <w:t>$16,779</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$41,708</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$(4,020)</w:t>
            </w:r>
          </w:p>
        </w:tc>
        <w:tc>
          <w:tcPr>
            <w:tcW w:w="20" w:type="dxa"/>
            <w:vAlign w:val="bottom"/>
          </w:tcPr>
          <w:p>
            <w:pPr>
              <w:spacing w:after="0"/>
              <w:rPr>
                <w:sz w:val="23"/>
                <w:szCs w:val="23"/>
                <w:color w:val="auto"/>
              </w:rPr>
            </w:pPr>
          </w:p>
        </w:tc>
        <w:tc>
          <w:tcPr>
            <w:tcW w:w="940" w:type="dxa"/>
            <w:vAlign w:val="bottom"/>
            <w:gridSpan w:val="5"/>
          </w:tcPr>
          <w:p>
            <w:pPr>
              <w:jc w:val="center"/>
              <w:ind w:left="70"/>
              <w:spacing w:after="0"/>
              <w:rPr>
                <w:sz w:val="20"/>
                <w:szCs w:val="20"/>
                <w:color w:val="auto"/>
              </w:rPr>
            </w:pPr>
            <w:r>
              <w:rPr>
                <w:rFonts w:ascii="Times New Roman" w:cs="Times New Roman" w:eastAsia="Times New Roman" w:hAnsi="Times New Roman"/>
                <w:sz w:val="18"/>
                <w:szCs w:val="18"/>
                <w:color w:val="auto"/>
                <w:w w:val="99"/>
              </w:rPr>
              <w:t>$37,688</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7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$47,069</w:t>
            </w:r>
          </w:p>
        </w:tc>
        <w:tc>
          <w:tcPr>
            <w:tcW w:w="920" w:type="dxa"/>
            <w:vAlign w:val="bottom"/>
            <w:tcBorders>
              <w:bottom w:val="single" w:sz="8" w:color="CCEEFF"/>
            </w:tcBorders>
            <w:gridSpan w:val="4"/>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$(2,429)</w:t>
            </w:r>
          </w:p>
        </w:tc>
        <w:tc>
          <w:tcPr>
            <w:tcW w:w="940" w:type="dxa"/>
            <w:vAlign w:val="bottom"/>
            <w:tcBorders>
              <w:bottom w:val="single" w:sz="8" w:color="CCEEFF"/>
            </w:tcBorders>
            <w:gridSpan w:val="4"/>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$44,640</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$99,224</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$(4,020)</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5"/>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$95,204</w:t>
            </w:r>
          </w:p>
        </w:tc>
        <w:tc>
          <w:tcPr>
            <w:tcW w:w="0" w:type="dxa"/>
            <w:vAlign w:val="bottom"/>
          </w:tcPr>
          <w:p>
            <w:pPr>
              <w:spacing w:after="0"/>
              <w:rPr>
                <w:sz w:val="1"/>
                <w:szCs w:val="1"/>
                <w:color w:val="auto"/>
              </w:rPr>
            </w:pPr>
          </w:p>
        </w:tc>
      </w:tr>
      <w:tr>
        <w:trPr>
          <w:trHeight w:val="382"/>
        </w:trPr>
        <w:tc>
          <w:tcPr>
            <w:tcW w:w="3160" w:type="dxa"/>
            <w:vAlign w:val="bottom"/>
          </w:tcPr>
          <w:p>
            <w:pPr>
              <w:spacing w:after="0"/>
              <w:rPr>
                <w:sz w:val="24"/>
                <w:szCs w:val="24"/>
                <w:color w:val="auto"/>
              </w:rPr>
            </w:pPr>
          </w:p>
        </w:tc>
        <w:tc>
          <w:tcPr>
            <w:tcW w:w="2700" w:type="dxa"/>
            <w:vAlign w:val="bottom"/>
            <w:gridSpan w:val="1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40" w:type="dxa"/>
            <w:vAlign w:val="bottom"/>
          </w:tcPr>
          <w:p>
            <w:pPr>
              <w:spacing w:after="0"/>
              <w:rPr>
                <w:sz w:val="24"/>
                <w:szCs w:val="24"/>
                <w:color w:val="auto"/>
              </w:rPr>
            </w:pPr>
          </w:p>
        </w:tc>
        <w:tc>
          <w:tcPr>
            <w:tcW w:w="2520" w:type="dxa"/>
            <w:vAlign w:val="bottom"/>
            <w:gridSpan w:val="1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50"/>
        </w:trPr>
        <w:tc>
          <w:tcPr>
            <w:tcW w:w="3160" w:type="dxa"/>
            <w:vAlign w:val="bottom"/>
          </w:tcPr>
          <w:p>
            <w:pPr>
              <w:spacing w:after="0"/>
              <w:rPr>
                <w:sz w:val="4"/>
                <w:szCs w:val="4"/>
                <w:color w:val="auto"/>
              </w:rPr>
            </w:pPr>
          </w:p>
        </w:tc>
        <w:tc>
          <w:tcPr>
            <w:tcW w:w="70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Borders>
              <w:bottom w:val="single" w:sz="8" w:color="auto"/>
            </w:tcBorders>
            <w:gridSpan w:val="5"/>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20" w:type="dxa"/>
            <w:vAlign w:val="bottom"/>
          </w:tcPr>
          <w:p>
            <w:pPr>
              <w:spacing w:after="0"/>
              <w:rPr>
                <w:sz w:val="16"/>
                <w:szCs w:val="16"/>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16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gridSpan w:val="4"/>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7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$47,725</w:t>
            </w:r>
          </w:p>
        </w:tc>
        <w:tc>
          <w:tcPr>
            <w:tcW w:w="920" w:type="dxa"/>
            <w:vAlign w:val="bottom"/>
            <w:tcBorders>
              <w:bottom w:val="single" w:sz="8" w:color="CCEEFF"/>
            </w:tcBorders>
            <w:gridSpan w:val="4"/>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7"/>
              </w:rPr>
              <w:t>$(1,038)</w:t>
            </w:r>
          </w:p>
        </w:tc>
        <w:tc>
          <w:tcPr>
            <w:tcW w:w="940" w:type="dxa"/>
            <w:vAlign w:val="bottom"/>
            <w:tcBorders>
              <w:bottom w:val="single" w:sz="8" w:color="CCEEFF"/>
            </w:tcBorders>
            <w:gridSpan w:val="4"/>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$46,687</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$146,584</w:t>
            </w: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$(5,058)</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5"/>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$141,526</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$19,189</w:t>
            </w:r>
          </w:p>
        </w:tc>
        <w:tc>
          <w:tcPr>
            <w:tcW w:w="92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auto"/>
                <w:w w:val="97"/>
              </w:rPr>
              <w:t>$(1,038)</w:t>
            </w:r>
          </w:p>
        </w:tc>
        <w:tc>
          <w:tcPr>
            <w:tcW w:w="94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color w:val="auto"/>
                <w:w w:val="99"/>
              </w:rPr>
              <w:t>$18,151</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$ 60,897</w:t>
            </w:r>
          </w:p>
        </w:tc>
        <w:tc>
          <w:tcPr>
            <w:tcW w:w="120" w:type="dxa"/>
            <w:vAlign w:val="bottom"/>
          </w:tcPr>
          <w:p>
            <w:pPr>
              <w:spacing w:after="0"/>
              <w:rPr>
                <w:sz w:val="23"/>
                <w:szCs w:val="23"/>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$(5,058)</w:t>
            </w:r>
          </w:p>
        </w:tc>
        <w:tc>
          <w:tcPr>
            <w:tcW w:w="20" w:type="dxa"/>
            <w:vAlign w:val="bottom"/>
          </w:tcPr>
          <w:p>
            <w:pPr>
              <w:spacing w:after="0"/>
              <w:rPr>
                <w:sz w:val="23"/>
                <w:szCs w:val="23"/>
                <w:color w:val="auto"/>
              </w:rPr>
            </w:pPr>
          </w:p>
        </w:tc>
        <w:tc>
          <w:tcPr>
            <w:tcW w:w="94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color w:val="auto"/>
              </w:rPr>
              <w:t>$ 55,839</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70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4"/>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$53,273</w:t>
            </w:r>
          </w:p>
        </w:tc>
        <w:tc>
          <w:tcPr>
            <w:tcW w:w="920" w:type="dxa"/>
            <w:vAlign w:val="bottom"/>
            <w:gridSpan w:val="4"/>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7"/>
              </w:rPr>
              <w:t>$(1,038)</w:t>
            </w:r>
          </w:p>
        </w:tc>
        <w:tc>
          <w:tcPr>
            <w:tcW w:w="940" w:type="dxa"/>
            <w:vAlign w:val="bottom"/>
            <w:gridSpan w:val="4"/>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$52,235</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$152,497</w:t>
            </w: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$(5,058)</w:t>
            </w:r>
          </w:p>
        </w:tc>
        <w:tc>
          <w:tcPr>
            <w:tcW w:w="20" w:type="dxa"/>
            <w:vAlign w:val="bottom"/>
            <w:shd w:val="clear" w:color="auto" w:fill="CCEEFF"/>
          </w:tcPr>
          <w:p>
            <w:pPr>
              <w:spacing w:after="0"/>
              <w:rPr>
                <w:sz w:val="23"/>
                <w:szCs w:val="23"/>
                <w:color w:val="auto"/>
              </w:rPr>
            </w:pPr>
          </w:p>
        </w:tc>
        <w:tc>
          <w:tcPr>
            <w:tcW w:w="940" w:type="dxa"/>
            <w:vAlign w:val="bottom"/>
            <w:gridSpan w:val="5"/>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$147,439</w:t>
            </w:r>
          </w:p>
        </w:tc>
        <w:tc>
          <w:tcPr>
            <w:tcW w:w="0" w:type="dxa"/>
            <w:vAlign w:val="bottom"/>
          </w:tcPr>
          <w:p>
            <w:pPr>
              <w:spacing w:after="0"/>
              <w:rPr>
                <w:sz w:val="1"/>
                <w:szCs w:val="1"/>
                <w:color w:val="auto"/>
              </w:rPr>
            </w:pPr>
          </w:p>
        </w:tc>
      </w:tr>
      <w:tr>
        <w:trPr>
          <w:trHeight w:val="54"/>
        </w:trPr>
        <w:tc>
          <w:tcPr>
            <w:tcW w:w="31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5560695</wp:posOffset>
            </wp:positionH>
            <wp:positionV relativeFrom="paragraph">
              <wp:posOffset>-3016885</wp:posOffset>
            </wp:positionV>
            <wp:extent cx="13716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4960620</wp:posOffset>
            </wp:positionH>
            <wp:positionV relativeFrom="paragraph">
              <wp:posOffset>-3016885</wp:posOffset>
            </wp:positionV>
            <wp:extent cx="13716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-3016885</wp:posOffset>
            </wp:positionV>
            <wp:extent cx="7683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5569585</wp:posOffset>
            </wp:positionH>
            <wp:positionV relativeFrom="paragraph">
              <wp:posOffset>-1824990</wp:posOffset>
            </wp:positionV>
            <wp:extent cx="12001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4986655</wp:posOffset>
            </wp:positionH>
            <wp:positionV relativeFrom="paragraph">
              <wp:posOffset>-1824990</wp:posOffset>
            </wp:positionV>
            <wp:extent cx="12001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-1824990</wp:posOffset>
            </wp:positionV>
            <wp:extent cx="12001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3863340</wp:posOffset>
            </wp:positionH>
            <wp:positionV relativeFrom="paragraph">
              <wp:posOffset>-1824990</wp:posOffset>
            </wp:positionV>
            <wp:extent cx="12001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3280410</wp:posOffset>
            </wp:positionH>
            <wp:positionV relativeFrom="paragraph">
              <wp:posOffset>-1824990</wp:posOffset>
            </wp:positionV>
            <wp:extent cx="12001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-1824990</wp:posOffset>
            </wp:positionV>
            <wp:extent cx="6032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-633730</wp:posOffset>
            </wp:positionV>
            <wp:extent cx="6858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5020945</wp:posOffset>
            </wp:positionH>
            <wp:positionV relativeFrom="paragraph">
              <wp:posOffset>-633730</wp:posOffset>
            </wp:positionV>
            <wp:extent cx="6858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4480560</wp:posOffset>
            </wp:positionH>
            <wp:positionV relativeFrom="paragraph">
              <wp:posOffset>-633730</wp:posOffset>
            </wp:positionV>
            <wp:extent cx="6858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-633730</wp:posOffset>
            </wp:positionV>
            <wp:extent cx="6858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-633730</wp:posOffset>
            </wp:positionV>
            <wp:extent cx="6858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-633730</wp:posOffset>
            </wp:positionV>
            <wp:extent cx="3429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Cash Flows for the periods ended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March 31, 2023, June 30, 2023 and September 30, 2023,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0" w:type="dxa"/>
            <w:vAlign w:val="bottom"/>
            <w:gridSpan w:val="6"/>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5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30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20" w:type="dxa"/>
            <w:vAlign w:val="bottom"/>
            <w:gridSpan w:val="2"/>
            <w:vMerge w:val="continue"/>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59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300" w:type="dxa"/>
            <w:vAlign w:val="bottom"/>
          </w:tcPr>
          <w:p>
            <w:pPr>
              <w:spacing w:after="0"/>
              <w:rPr>
                <w:sz w:val="21"/>
                <w:szCs w:val="21"/>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5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$1,951</w:t>
            </w:r>
          </w:p>
        </w:tc>
        <w:tc>
          <w:tcPr>
            <w:tcW w:w="200" w:type="dxa"/>
            <w:vAlign w:val="bottom"/>
          </w:tcPr>
          <w:p>
            <w:pPr>
              <w:spacing w:after="0"/>
              <w:rPr>
                <w:sz w:val="23"/>
                <w:szCs w:val="23"/>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$(1,591)</w:t>
            </w:r>
          </w:p>
        </w:tc>
        <w:tc>
          <w:tcPr>
            <w:tcW w:w="20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360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86</w:t>
            </w:r>
          </w:p>
        </w:tc>
        <w:tc>
          <w:tcPr>
            <w:tcW w:w="200" w:type="dxa"/>
            <w:vAlign w:val="bottom"/>
          </w:tcPr>
          <w:p>
            <w:pPr>
              <w:spacing w:after="0"/>
              <w:rPr>
                <w:sz w:val="23"/>
                <w:szCs w:val="23"/>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$ 1,591</w:t>
            </w:r>
          </w:p>
        </w:tc>
        <w:tc>
          <w:tcPr>
            <w:tcW w:w="20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$1,677</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5"/>
        </w:trPr>
        <w:tc>
          <w:tcPr>
            <w:tcW w:w="13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0" w:type="dxa"/>
            <w:vAlign w:val="bottom"/>
            <w:gridSpan w:val="6"/>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5900" w:type="dxa"/>
            <w:vAlign w:val="bottom"/>
          </w:tcPr>
          <w:p>
            <w:pPr>
              <w:spacing w:after="0"/>
              <w:rPr>
                <w:sz w:val="4"/>
                <w:szCs w:val="4"/>
                <w:color w:val="auto"/>
              </w:rPr>
            </w:pPr>
          </w:p>
        </w:tc>
        <w:tc>
          <w:tcPr>
            <w:tcW w:w="860" w:type="dxa"/>
            <w:vAlign w:val="bottom"/>
            <w:tcBorders>
              <w:bottom w:val="single" w:sz="8" w:color="auto"/>
            </w:tcBorders>
            <w:gridSpan w:val="3"/>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30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20" w:type="dxa"/>
            <w:vAlign w:val="bottom"/>
            <w:gridSpan w:val="2"/>
            <w:vMerge w:val="continue"/>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59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300" w:type="dxa"/>
            <w:vAlign w:val="bottom"/>
          </w:tcPr>
          <w:p>
            <w:pPr>
              <w:spacing w:after="0"/>
              <w:rPr>
                <w:sz w:val="21"/>
                <w:szCs w:val="21"/>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5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$ 3,605</w:t>
            </w:r>
          </w:p>
        </w:tc>
        <w:tc>
          <w:tcPr>
            <w:tcW w:w="200" w:type="dxa"/>
            <w:vAlign w:val="bottom"/>
          </w:tcPr>
          <w:p>
            <w:pPr>
              <w:spacing w:after="0"/>
              <w:rPr>
                <w:sz w:val="23"/>
                <w:szCs w:val="23"/>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$(4,020)</w:t>
            </w:r>
          </w:p>
        </w:tc>
        <w:tc>
          <w:tcPr>
            <w:tcW w:w="20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(415)</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4"/>
              </w:rPr>
              <w:t>$(1,138)</w:t>
            </w:r>
          </w:p>
        </w:tc>
        <w:tc>
          <w:tcPr>
            <w:tcW w:w="200" w:type="dxa"/>
            <w:vAlign w:val="bottom"/>
          </w:tcPr>
          <w:p>
            <w:pPr>
              <w:spacing w:after="0"/>
              <w:rPr>
                <w:sz w:val="23"/>
                <w:szCs w:val="23"/>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$ 4,020</w:t>
            </w:r>
          </w:p>
        </w:tc>
        <w:tc>
          <w:tcPr>
            <w:tcW w:w="20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$2,882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590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F-41</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59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5577840</wp:posOffset>
            </wp:positionH>
            <wp:positionV relativeFrom="paragraph">
              <wp:posOffset>-2905125</wp:posOffset>
            </wp:positionV>
            <wp:extent cx="12001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-2905125</wp:posOffset>
            </wp:positionV>
            <wp:extent cx="12001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4514850</wp:posOffset>
            </wp:positionH>
            <wp:positionV relativeFrom="paragraph">
              <wp:posOffset>-2905125</wp:posOffset>
            </wp:positionV>
            <wp:extent cx="6858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5577840</wp:posOffset>
            </wp:positionH>
            <wp:positionV relativeFrom="paragraph">
              <wp:posOffset>-1379220</wp:posOffset>
            </wp:positionV>
            <wp:extent cx="12001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-1379220</wp:posOffset>
            </wp:positionV>
            <wp:extent cx="12001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4514850</wp:posOffset>
            </wp:positionH>
            <wp:positionV relativeFrom="paragraph">
              <wp:posOffset>-1379220</wp:posOffset>
            </wp:positionV>
            <wp:extent cx="6032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80" w:name="page181"/>
    <w:bookmarkEnd w:id="1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25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51"/>
        </w:trPr>
        <w:tc>
          <w:tcPr>
            <w:tcW w:w="5900" w:type="dxa"/>
            <w:vAlign w:val="bottom"/>
          </w:tcPr>
          <w:p>
            <w:pPr>
              <w:spacing w:after="0"/>
              <w:rPr>
                <w:sz w:val="4"/>
                <w:szCs w:val="4"/>
                <w:color w:val="auto"/>
              </w:rPr>
            </w:pPr>
          </w:p>
        </w:tc>
        <w:tc>
          <w:tcPr>
            <w:tcW w:w="800" w:type="dxa"/>
            <w:vAlign w:val="bottom"/>
            <w:tcBorders>
              <w:bottom w:val="single" w:sz="8" w:color="auto"/>
            </w:tcBorders>
            <w:gridSpan w:val="3"/>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900" w:type="dxa"/>
            <w:vAlign w:val="bottom"/>
          </w:tcPr>
          <w:p>
            <w:pPr>
              <w:spacing w:after="0"/>
              <w:rPr>
                <w:sz w:val="16"/>
                <w:szCs w:val="16"/>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5900" w:type="dxa"/>
            <w:vAlign w:val="bottom"/>
          </w:tcPr>
          <w:p>
            <w:pPr>
              <w:spacing w:after="0"/>
              <w:rPr>
                <w:sz w:val="16"/>
                <w:szCs w:val="16"/>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9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5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$4,862</w:t>
            </w:r>
          </w:p>
        </w:tc>
        <w:tc>
          <w:tcPr>
            <w:tcW w:w="10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(196)</w:t>
            </w:r>
          </w:p>
        </w:tc>
        <w:tc>
          <w:tcPr>
            <w:tcW w:w="0" w:type="dxa"/>
            <w:vAlign w:val="bottom"/>
          </w:tcPr>
          <w:p>
            <w:pPr>
              <w:spacing w:after="0"/>
              <w:rPr>
                <w:sz w:val="1"/>
                <w:szCs w:val="1"/>
                <w:color w:val="auto"/>
              </w:rPr>
            </w:pPr>
          </w:p>
        </w:tc>
      </w:tr>
      <w:tr>
        <w:trPr>
          <w:trHeight w:val="54"/>
        </w:trPr>
        <w:tc>
          <w:tcPr>
            <w:tcW w:w="5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$ 5,058</w:t>
            </w:r>
          </w:p>
        </w:tc>
        <w:tc>
          <w:tcPr>
            <w:tcW w:w="1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$5,320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-934085</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-934085</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-934085</wp:posOffset>
            </wp:positionV>
            <wp:extent cx="342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years ended December 31, 2023, 2022 and 2021.</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Significant estimates made by management include, among others, the allowance for credit losses, the useful lives of long-lived assets, income taxes, website and internal-use software development costs, leases, valuation of goodwill and other intangible assets, valuation of warrant liability, deferred tax assets and the related valuation allowance, tax receivable agreement (“TRA”) liability, revenue recognition, performance and stock-based compensation and the recognition and disclosure of contingent liabilities.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Company operates in a relatively new industry where laws and regulations vary significantly by jurisdiction. As of September 30, 2024, thirty-nine states, the District of Columbia, Puerto Rico, the Virgin Islands, and Guam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can be a predicate for certain other crimes, including money laundering laws and the Racketeer Influenced and Corrupt Organizations Act. If any of the states that permit use of cannabis were to change their laws or the federal government was to actively enforce the CSA or other laws related to the federal prohibition on cannabis, the Company’s business could be adversely affected.</w:t>
      </w:r>
    </w:p>
    <w:p>
      <w:pPr>
        <w:spacing w:after="0" w:line="8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geographic concentration of the Company’s clients makes the Company vulnerable to a downturn in the local markets. Historically, the Company’s business operations have been located primarily in the State of California. See Note 3, “Revenue from Contracts with Customers,” to these consolidated financial statements for additional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1" w:name="page182"/>
    <w:bookmarkEnd w:id="1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A receivable is recorded when an unconditional right to invoice and receive payment exists. Accounts receivable primarily include amounts related to receivables from customers. Receivables are shown net of allowance for credit losses which is maintained at a level that management believes to be sufficient to absorb estimated losses in the accounts receivable portfolio. The Company measures credit losses on its trade accounts receivable using the current expected credit loss model under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Company calculates the expected credit losses on a pool basis for trade receivables that have similar risk characteristics. For trade receivables that do not share similar risk characteristics, the allowance for credit losses is calculated on an individual basis. Risk characteristics relevant to the Company’s accounts receivable include balance of customer account and aging status.</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Account balances are written off against the allowance when it is determined that it is probable that the receivable will not be recovered. The Company had allowance for credit losses of $8.7 million as of December 31, 2023 and $12.2 million of as of December 31, 2022, respectively.</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As of December 31, 2023, no customer accounted for more than 10% of the total gross accounts receivable outstanding. As of December 31, 2022, a receivable due from one customer accounted for approximately 11% of the total gross accounts receivable outstanding.</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credit losses:</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360" w:type="dxa"/>
            <w:vAlign w:val="bottom"/>
            <w:gridSpan w:val="10"/>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60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7"/>
        </w:trPr>
        <w:tc>
          <w:tcPr>
            <w:tcW w:w="6060" w:type="dxa"/>
            <w:vAlign w:val="bottom"/>
          </w:tcPr>
          <w:p>
            <w:pPr>
              <w:spacing w:after="0"/>
              <w:rPr>
                <w:sz w:val="19"/>
                <w:szCs w:val="19"/>
                <w:color w:val="auto"/>
              </w:rPr>
            </w:pPr>
          </w:p>
        </w:tc>
        <w:tc>
          <w:tcPr>
            <w:tcW w:w="5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9"/>
                <w:szCs w:val="19"/>
                <w:color w:val="auto"/>
              </w:rPr>
            </w:pPr>
          </w:p>
        </w:tc>
      </w:tr>
      <w:tr>
        <w:trPr>
          <w:trHeight w:val="51"/>
        </w:trPr>
        <w:tc>
          <w:tcPr>
            <w:tcW w:w="60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beginning of year</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$12,232</w:t>
            </w:r>
          </w:p>
        </w:tc>
        <w:tc>
          <w:tcPr>
            <w:tcW w:w="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5,169</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credit losses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17,216</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5,487</w:t>
            </w:r>
          </w:p>
        </w:tc>
        <w:tc>
          <w:tcPr>
            <w:tcW w:w="80" w:type="dxa"/>
            <w:vAlign w:val="bottom"/>
          </w:tcPr>
          <w:p>
            <w:pPr>
              <w:spacing w:after="0"/>
              <w:rPr>
                <w:sz w:val="23"/>
                <w:szCs w:val="23"/>
                <w:color w:val="auto"/>
              </w:rPr>
            </w:pPr>
          </w:p>
        </w:tc>
      </w:tr>
      <w:tr>
        <w:trPr>
          <w:trHeight w:val="54"/>
        </w:trPr>
        <w:tc>
          <w:tcPr>
            <w:tcW w:w="6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80" w:type="dxa"/>
            <w:vAlign w:val="bottom"/>
          </w:tcPr>
          <w:p>
            <w:pPr>
              <w:spacing w:after="0"/>
              <w:rPr>
                <w:sz w:val="4"/>
                <w:szCs w:val="4"/>
                <w:color w:val="auto"/>
              </w:rPr>
            </w:pPr>
          </w:p>
        </w:tc>
      </w:tr>
      <w:tr>
        <w:trPr>
          <w:trHeight w:val="27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 net of recoveries</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(5,276)</w:t>
            </w: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(10,153)</w:t>
            </w:r>
          </w:p>
        </w:tc>
        <w:tc>
          <w:tcPr>
            <w:tcW w:w="200" w:type="dxa"/>
            <w:vAlign w:val="bottom"/>
            <w:shd w:val="clear" w:color="auto" w:fill="CCEEFF"/>
          </w:tcPr>
          <w:p>
            <w:pPr>
              <w:spacing w:after="0"/>
              <w:rPr>
                <w:sz w:val="23"/>
                <w:szCs w:val="23"/>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(1,175)</w:t>
            </w:r>
          </w:p>
        </w:tc>
      </w:tr>
      <w:tr>
        <w:trPr>
          <w:trHeight w:val="48"/>
        </w:trPr>
        <w:tc>
          <w:tcPr>
            <w:tcW w:w="60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8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Allowance, end of year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$ 8,748</w:t>
            </w:r>
          </w:p>
        </w:tc>
        <w:tc>
          <w:tcPr>
            <w:tcW w:w="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12,232</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5,169</w:t>
            </w:r>
          </w:p>
        </w:tc>
        <w:tc>
          <w:tcPr>
            <w:tcW w:w="80" w:type="dxa"/>
            <w:vAlign w:val="bottom"/>
          </w:tcPr>
          <w:p>
            <w:pPr>
              <w:spacing w:after="0"/>
              <w:rPr>
                <w:sz w:val="24"/>
                <w:szCs w:val="24"/>
                <w:color w:val="auto"/>
              </w:rPr>
            </w:pPr>
          </w:p>
        </w:tc>
      </w:tr>
      <w:tr>
        <w:trPr>
          <w:trHeight w:val="20"/>
        </w:trPr>
        <w:tc>
          <w:tcPr>
            <w:tcW w:w="606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-830580</wp:posOffset>
            </wp:positionV>
            <wp:extent cx="12001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-830580</wp:posOffset>
            </wp:positionV>
            <wp:extent cx="12001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-830580</wp:posOffset>
            </wp:positionV>
            <wp:extent cx="6032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Equity Securities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Investments in equity securities that do not have a readily determinable fair value and qualify for the measurement alternative for equity investments provided in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are accounted for at cost, less any impairment, plus or minus changes resulting from observable price changes in orderly transactions for an identical or similar investment of the same issuer. As of December 31, 2022, the carrying value of the Company’s investments in equity securities without a readily determinable fair value was $3.5 million, which is recorded within other assets on the Company’s consolidated balance sheets.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performs a qualitative assessment at each reporting date to evaluate whether the investments in equity securities are impaired. When a qualitative assessment indicates that an investment is impaired, the investment is written down to its fair value. For the years ended December 31, 2023 and 2022, the Company recorded $3.5 million, $3.0 million, respectively, in impairment charges related to investments in equity securities. These impairment charges are included in asset impairment charges in the accompanying consolidated statements of operations. The Company did not have any impairment charges related to investments in equity securities. in 2021.</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Property and equipment are carried at cost, less accumulated depreciation, amortization and asset impairment charges, and consist of internally developed software, computer equipment, furniture and fixtures and leasehold improvements. Depreciation is computed using the straight-line method over the estimated useful lives of the assets and generally over three years for computer equipment, seven years for furniture and fixtures. Leasehold improvements are amortized using the straight-line method over the shorter of their estimated useful lives or the remaining term of the related lease. Maintenance and repairs are expensed as incurred. When assets are retired or otherwise disposed of, the cost and related accumulated depreciation and amortization are removed from the accounts and any resulting gain or loss is reflected in the Company’s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2" w:name="page183"/>
    <w:bookmarkEnd w:id="1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 assesses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For the year ended December 31, 2023, the Company recorded impairment charges of $3.9 million of which $2.7 million related to property and equipment associated with certain product offerings that were sunset in December 2023 and $1.3 million related to leasehold improvements associated with the impairment of a ROU asset both of which are included in asset impairment charges in the consolidated statements of operations. No impairments to property and equipment were recorded during the years ended December 31, 2022 and 2021.</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w:t>
      </w:r>
    </w:p>
    <w:p>
      <w:pPr>
        <w:spacing w:after="0" w:line="121"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Capitalized website and internal-use software development costs are included in property and equipment in the accompanying balance sheets. The Company capitalizes certain costs related to the development and enhancement of the Weedmaps platform and SaaS solutions when (i) the preliminary development project stage is completed,</w:t>
      </w:r>
    </w:p>
    <w:p>
      <w:pPr>
        <w:spacing w:after="0" w:line="1" w:lineRule="exact"/>
        <w:rPr>
          <w:sz w:val="20"/>
          <w:szCs w:val="20"/>
          <w:color w:val="auto"/>
        </w:rPr>
      </w:pPr>
    </w:p>
    <w:p>
      <w:pPr>
        <w:jc w:val="both"/>
        <w:ind w:left="300" w:right="299" w:hanging="8"/>
        <w:spacing w:after="0" w:line="251" w:lineRule="auto"/>
        <w:tabs>
          <w:tab w:leader="none" w:pos="59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authorized further funding for the completion of the project and (iii) it is probable that the project will be completed and performed as intended. These capitalized costs include personnel and related expenses for employees and costs of third-party contractors who are directly associated with and who devote time to internal-use software projects. Capitalization of these costs ceases once the project is substantially complete and the software is ready for its intended purpose.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include salaries and benefits for employees, including engineering and technical teams who are responsible for building new products, as well as maintaining and improving existing products. Product development costs that do not meet the criteria for capitalization are expensed as incurred.</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amortized $7.7 million, $5.1 million and $0.1 million, respectively, of internal-use software development costs to subscription and support cost of revenues. For the years ended December 31, 2023 and 2022, the Company capitalized $13.1 million and $15.5 million of costs related to the development of software applications. At December 31, 2023 and 2022, the accumulated amortization of capitalized internal-use software development costs was $12.9 million and $5.1 million, respectively.</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Goodwill consists of the excess of the purchase price over the fair value of identifiable net assets of businesses acquired. Goodwill is reviewed for impairment each year using a qualitative or quantitative process that is performed at least annually as of December 31 or whenever events or circumstances indicate a likely reduction in the fair value of a reporting unit below its carrying amount such as changes in the business climate, poor indicators of operating performance or the sale or disposition of a significant portion of a reporting unit.</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testing for goodwill impairment, the Company may elect to utilize a qualitative assessment to evaluate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if the carrying value of the reporting unit exceeds its fair value, an impairment loss equal to the difference will be recorded.</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Intangible assets are reviewed for impairment whenever events or changes in circumstances may affect the recoverability of the net assets. Such reviews may include an analysis of current results and take into consideration the undiscounted value of projected operating cash flows. The Company recorded an impairment charge of $6.1 million for the year ended December 31, 2023 related to intangible assets associated with certain product offerings that were sunset in December 2023, which is included in asset impairment charges in the consolidated statements of operations. No intangible asset impairment charges have been recorded for the years ended December 31, 2022 and 2021. See Note 9, “Goodwill and Intangible Assets,” to these consolidated financial statements for additional information.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3" w:name="page184"/>
    <w:bookmarkEnd w:id="1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Company’s operating leases consist of office space located primarily in the United States. The Company does not have any leases classified as financing leases. The Company classifies arrangements meeting the definition of a lease as operating or financing leases, and leases are recorded on the consolidated balance sheets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Operating lease assets and liabilities are recognized at commencement date based on the present value of lease payments over the lease term. For finance leases, interest on the lease liability and the amortization of the right-of-use asset results in front-loaded expense over the lease term. Variable lease expenses are recorded when incurred.</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calculating the right-of-use asset and lease liability, the Company elects to combine lease and non-lease components for all classes of assets. The Company excludes short-term leases having initial terms of 12 months or less as an accounting policy election, and instead recognizes rent expense on a straight-line basis over the lease term.</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w:t>
      </w:r>
    </w:p>
    <w:p>
      <w:pPr>
        <w:spacing w:after="0" w:line="8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2023, the Company recognized $10.9 million of ROU asset impairment charges driven by updated sublease assumptions for our second headquarter space in Los Angeles, California, pursuant to an operating lease that expires in 2031. In addition, the Company recognized ROU asset impairment charges of $0.6 million and $2.4 million during the years ended December 31, 2022 and 2021, respectively, related to certain ROU assets reducing the carrying values of the lease assets to their estimated fair values based on the discounted cash flows of estimated net rental income for the office spaces subleased.</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impairment charges of ROU assets are included in asset impairment charges in the consolidated statements of operations. See Note 4, “Leases,” to these consolidated financial statements for additional information.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 assumed 12,499,993 Public Warrants originally issued in the initial public offering of Silver Spike (the “Public Warrants”) and 7,000,000 Private Placement Warrants that were originally issued in a private placement by Silver Spike (the “Private Placement Warrants” and together with the Public Warrants, the “Warrants”) upon the Closing, all of which were issued in connection with Silver Spike’s initial public offering and entitle the holder to purchase one share of Class A Common Stock at an exercise price of at $11.50 per share. As of December 31, 2023, 12,499,973 Public Warrants and 7,000,000 Private Placement Warrants remained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4" w:name="page185"/>
    <w:bookmarkEnd w:id="1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7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The Company evaluated the Warrants under ASC 815-40 </w:t>
      </w:r>
      <w:r>
        <w:rPr>
          <w:rFonts w:ascii="Times New Roman" w:cs="Times New Roman" w:eastAsia="Times New Roman" w:hAnsi="Times New Roman"/>
          <w:sz w:val="18"/>
          <w:szCs w:val="18"/>
          <w:i w:val="1"/>
          <w:iCs w:val="1"/>
          <w:color w:val="auto"/>
        </w:rPr>
        <w:t>- Derivatives and Hedging - Contracts in Entity’s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and concluded they do not meet the criteria to be classified in stockholders’ equity. Specifically, the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consolidated balance sheets at fair value, with subsequent changes in their respective fair values recognized in change in fair value of warrant liabilities within the consolidated statements of operations at each reporting date. See Note 12, “Warrant Liability,” to these consolidated financial statements for additional information.</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tax receivable agreement (the “TRA”) with continuing members that provides for a payment to the continuing Class A Unit holders of 85% of the amount of tax benefits, if any, that the Company realizes, or is deemed to realize, as a result of redemptions or exchanges of Units (as defined below). In connection with such potential future tax benefits resulting from the Business Combination, and such subsequent redemptions and exchanges, the Company has established a deferred tax asset for the additional tax basis and a corresponding TRA liability of 85% of the expected benefit. The remaining 15% is recorded to additional paid-in capital.</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TRA liability is subject to remeasurement each reporting period, due to various factors, including changes in federal and state income tax rates and assessment of the probability of payment. As these remeasurement changes are subsequent to the initial measurement, the impact of the remeasurement is recorded in other income (expense), net on the consolidated statements of operations. See Note 16, “Income Taxes,” to these consolidated financial statements for additional information.</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The Company recognizes revenue when the fundamental criteria for revenue recognition are met.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recognizes revenue by applying the following five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The transaction price reflects the amount the Company expects to receive for such goods, net of discounts. Discounts issued are primarily related to the Company’s WM Teal program, which stands for “Together for Equity Access and Legislation”, through which the Company provides discounts including free software, advertising, educational materials and training programs to applicants or licenses under social equity licensing programs. The Company provides a discount to license holders who were awarded special status by the state based on owner qualifications. These are typically given in new markets to add more diversity and inclusion in the cannabis space. A license’s social equity status is validated by the Company on the applicable state’s website. For the years ended December 31, 2023, 2022 and 2021, total discounts issued was $4.2 million, $4.5 million and $2.6 million, respectively. For clients that pay in advance for listing and other services, the Company records deferred revenue and recognizes revenue over the applicable subscription term.</w:t>
      </w:r>
    </w:p>
    <w:p>
      <w:pPr>
        <w:spacing w:after="0" w:line="8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Company’s revenues are derived primarily from monthly subscriptions to Weedmaps for Business, featured and deal listings and other WM Ad solutions. The Company’s Weedmaps for Business subscriptions generally have one-month terms that automatically renew unless notice of cancellation is provided in advance. Featured and deal listings and other WM Ad solutions are offered as add-on products to the Weedmaps for Business subscriptions. Featured and deal listings provide customers with premium placement ad solutions and discount and promotion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5" w:name="page186"/>
    <w:bookmarkEnd w:id="1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pricing tools. Other WM Ad solutions include banner ads and promotion tiles on the Company’s marketplace ad as well as other advertising products on and off the Weedmaps marketplace.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services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84"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Revenue for service contracts that the Company assesses are not probable of collection is not recognized until the contract is completed and payment is received.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See Note 3, “Revenue from Contracts with Customers,” to these consolidated financial statements for additional information.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Company’s cost of revenue primarily consists of web hosting, internet service costs, credit card processing costs and other third party services.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expenses the cost of advertising in the period incurred. Advertising expense totaled $11.8 million, $14.4 million and $17.7 million for the years ended December 31, 2023, 2022 and 2021, respectively, and are included in sales and marketing expense in the accompanying consolidated statements of operations.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that impacts the vesting of the award, the Company records compensation cost when it becomes probable that the performance condition will be met and the expense will be attributed over the performance period. See Note 14, “Stock-based Compensation,” to these consolidated financial statements for additional information.</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Company’s 401(k) saving plan is a tax-qualified deferred compensation arrangement under Section 401(k) of the Internal Revenue Code. Under the Company’s 401(k) plan, participating U.S. employees may contribute a portion of their eligible earnings, subject to applicable U.S. Internal Revenue Service and plan limits. The Company matches up to 3.5% of the employee’s eligible compensation, vested upon two years of service. For the years ended December 31, 2023, 2022 and 2021, the Company recognized $2.3 million, $2.4 million and $1.5 million, respectively, of expenses related to employer contributions for the Company’s 401(k) plan.</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Other income (expense), net consists primarily of gain resulting from the discharge of a holdback obligation related to a prior acquisition, change in fair value of warrant liability and TRA liability remeasurement, political contributions, interest income, interest expense, financing fees and other tax related expenses. The Company recorded a non-cash gain of $3.7 million during the year ended December 31, 2023 resulting from the discharge of a holdback obligation related to a prior acquisition.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accounts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6" w:name="page187"/>
    <w:bookmarkEnd w:id="1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applicable to the periods in which the temporary differences are expected to reverse. Any effects of changes in income tax rates or laws are included in income tax expense in the period of enactment. A valuation allowance is recognized if the Company determines it is more-likely-than-not that all or a portion of a deferred tax asset will not be recognized. In making such determination, the Company considers all available evidence, including scheduled reversals of deferred tax liabilities, projected future taxable income, tax planning strategies and recent and expected future results of operation. See Note 16, “Income Taxes,” to these consolidated financial statements for additional information.</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Company has identified one business segment which management also considers to be one reporting unit as the Company’s Executive Chair and Interim Chief Financial Officer allocate resources, assess performance and manage the businesses as one segment.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Basic income (loss) per share is computed by dividing net income (loss) attributable to WM Technology, Inc. by the weighted-average number of shares of Class A Common Stock outstanding during the period.</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Potential common shares are excluded from the calculation of diluted EPS in the event they are antidilutive or subject to performance conditions for which the necessary conditions have not been satisfied by the end of the reporting period. See Note 15, “Earnings Per Share,” for additional information on dilutive securities.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are potentially subject to concentrations of credit risk. The Company places its cash with high quality credit institutions and the Company’s cash balances at these institutions typically exceed the Federal Deposit Insurance Corporation limit. As of December 31, 2023, the Company had cash balances that exceeded the deposit insurance limit with five financial institutions. As of December 31, 2022, the Company had cash balances that exceeded the deposit insurance limit with four financial institutions. Management believes that the risk of loss is not significant and has not experienced any losses in such accounts.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Company reviewed the accounting pronouncements that became effective for fiscal year 2023 and determined that either they were not applicable, or they did not have a material impact on the consolidated financial statements.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issued Accounting Standards Update (“ASU”) 2023-09, </w:t>
      </w:r>
      <w:r>
        <w:rPr>
          <w:rFonts w:ascii="Times New Roman" w:cs="Times New Roman" w:eastAsia="Times New Roman" w:hAnsi="Times New Roman"/>
          <w:sz w:val="18"/>
          <w:szCs w:val="18"/>
          <w:i w:val="1"/>
          <w:iCs w:val="1"/>
          <w:color w:val="auto"/>
        </w:rPr>
        <w:t>“Income Taxes - Improvements to Income Tax Disclosures”</w:t>
      </w:r>
      <w:r>
        <w:rPr>
          <w:rFonts w:ascii="Times New Roman" w:cs="Times New Roman" w:eastAsia="Times New Roman" w:hAnsi="Times New Roman"/>
          <w:sz w:val="18"/>
          <w:szCs w:val="18"/>
          <w:color w:val="auto"/>
        </w:rPr>
        <w:t xml:space="preserve"> requiring enhancements and further transparency to certain income tax disclosures, most notably the tax rate reconciliation and income taxes paid. This ASU is effective for fiscal years beginning after December 15, 2024 on a prospective basis and retrospective application is permitted. We are currently evaluating the impact of the adoption of this standard.</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also reviewed other recently issued accounting pronouncements to be adopted in future periods and determined that they are not expected to have a material impact on the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7" w:name="page188"/>
    <w:bookmarkEnd w:id="1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9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sells a monthly subscription offering to retailer and brand clients as well as upsell and add-on offerings to licensed clients. The Company’s current Weedmaps for Business monthly subscription package includes:</w:t>
      </w:r>
    </w:p>
    <w:p>
      <w:pPr>
        <w:spacing w:after="0" w:line="68" w:lineRule="exact"/>
        <w:rPr>
          <w:sz w:val="20"/>
          <w:szCs w:val="20"/>
          <w:color w:val="auto"/>
        </w:rPr>
      </w:pPr>
    </w:p>
    <w:p>
      <w:pPr>
        <w:jc w:val="both"/>
        <w:ind w:left="1000" w:right="299" w:hanging="348"/>
        <w:spacing w:after="0" w:line="261" w:lineRule="auto"/>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Listings: A listing page with product menu for a retailer or brand on the Weedmaps marketplace, enabling the Company’s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9" w:lineRule="auto"/>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294"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also offers other add-on products for additional fees, including:</w:t>
      </w:r>
    </w:p>
    <w:p>
      <w:pPr>
        <w:spacing w:after="0" w:line="117" w:lineRule="exact"/>
        <w:rPr>
          <w:sz w:val="20"/>
          <w:szCs w:val="20"/>
          <w:color w:val="auto"/>
        </w:rPr>
      </w:pPr>
    </w:p>
    <w:p>
      <w:pPr>
        <w:ind w:left="1000" w:right="319" w:hanging="348"/>
        <w:spacing w:after="0" w:line="282" w:lineRule="auto"/>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Ads: Ad solutions on the Weedmaps marketplace designed for clients to amplify their businesses and reach more highly engaged cannabis consumers throughout their buying journey including:</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39" w:lineRule="auto"/>
        <w:tabs>
          <w:tab w:leader="none" w:pos="1360" w:val="left"/>
        </w:tabs>
        <w:numPr>
          <w:ilvl w:val="1"/>
          <w:numId w:val="1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Featured Listings: Premium placement ad solutions on high visibility locations on the Weedmaps marketplace (desktop and mobile) to amplify our clients’ businesses and maximize clients’ listings and deal presence.</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39" w:lineRule="auto"/>
        <w:tabs>
          <w:tab w:leader="none" w:pos="1360" w:val="left"/>
        </w:tabs>
        <w:numPr>
          <w:ilvl w:val="1"/>
          <w:numId w:val="1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39" w:lineRule="auto"/>
        <w:tabs>
          <w:tab w:leader="none" w:pos="1360" w:val="left"/>
        </w:tabs>
        <w:numPr>
          <w:ilvl w:val="1"/>
          <w:numId w:val="1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Other WM Ads solutions: Includes banner ads and promotion tiles on our marketplace as well as banner ads that can be tied to keyword searches. These products provide clients with targeted ad solutions in highly visible slots across our digital surfaces.</w:t>
      </w:r>
    </w:p>
    <w:p>
      <w:pPr>
        <w:spacing w:after="0" w:line="91" w:lineRule="exact"/>
        <w:rPr>
          <w:rFonts w:ascii="Times New Roman" w:cs="Times New Roman" w:eastAsia="Times New Roman" w:hAnsi="Times New Roman"/>
          <w:sz w:val="22"/>
          <w:szCs w:val="22"/>
          <w:color w:val="auto"/>
          <w:vertAlign w:val="superscript"/>
        </w:rPr>
      </w:pPr>
    </w:p>
    <w:p>
      <w:pPr>
        <w:jc w:val="both"/>
        <w:ind w:left="1000" w:right="319" w:hanging="348"/>
        <w:spacing w:after="0" w:line="266" w:lineRule="auto"/>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December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8" w:name="page189"/>
    <w:bookmarkEnd w:id="1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net revenue information (in thousands):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224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61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7"/>
        </w:trPr>
        <w:tc>
          <w:tcPr>
            <w:tcW w:w="6180" w:type="dxa"/>
            <w:vAlign w:val="bottom"/>
          </w:tcPr>
          <w:p>
            <w:pPr>
              <w:spacing w:after="0"/>
              <w:rPr>
                <w:sz w:val="19"/>
                <w:szCs w:val="19"/>
                <w:color w:val="auto"/>
              </w:rPr>
            </w:pP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r>
      <w:tr>
        <w:trPr>
          <w:trHeight w:val="51"/>
        </w:trPr>
        <w:tc>
          <w:tcPr>
            <w:tcW w:w="61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Featured and deal listings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$126,546</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$149,621</w:t>
            </w:r>
          </w:p>
        </w:tc>
        <w:tc>
          <w:tcPr>
            <w:tcW w:w="10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$138,480</w:t>
            </w:r>
          </w:p>
        </w:tc>
      </w:tr>
      <w:tr>
        <w:trPr>
          <w:trHeight w:val="54"/>
        </w:trPr>
        <w:tc>
          <w:tcPr>
            <w:tcW w:w="6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Weedmaps for Business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46,730</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50,662</w:t>
            </w: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42,611</w:t>
            </w:r>
          </w:p>
        </w:tc>
      </w:tr>
      <w:tr>
        <w:trPr>
          <w:trHeight w:val="61"/>
        </w:trPr>
        <w:tc>
          <w:tcPr>
            <w:tcW w:w="61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4"/>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173,276</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200,283</w:t>
            </w:r>
          </w:p>
        </w:tc>
        <w:tc>
          <w:tcPr>
            <w:tcW w:w="1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181,091</w:t>
            </w:r>
          </w:p>
        </w:tc>
      </w:tr>
      <w:tr>
        <w:trPr>
          <w:trHeight w:val="54"/>
        </w:trPr>
        <w:tc>
          <w:tcPr>
            <w:tcW w:w="6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6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 solutions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14,717</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15,248</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12,055</w:t>
            </w:r>
          </w:p>
        </w:tc>
      </w:tr>
      <w:tr>
        <w:trPr>
          <w:trHeight w:val="61"/>
        </w:trPr>
        <w:tc>
          <w:tcPr>
            <w:tcW w:w="61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70"/>
        </w:trPr>
        <w:tc>
          <w:tcPr>
            <w:tcW w:w="618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Total net revenues</w:t>
            </w:r>
            <w:r>
              <w:rPr>
                <w:rFonts w:ascii="Times New Roman" w:cs="Times New Roman" w:eastAsia="Times New Roman" w:hAnsi="Times New Roman"/>
                <w:sz w:val="29"/>
                <w:szCs w:val="29"/>
                <w:color w:val="auto"/>
                <w:vertAlign w:val="superscript"/>
              </w:rPr>
              <w:t>1</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187,993</w:t>
            </w:r>
          </w:p>
        </w:tc>
        <w:tc>
          <w:tcPr>
            <w:tcW w:w="120" w:type="dxa"/>
            <w:vAlign w:val="bottom"/>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215,531</w:t>
            </w:r>
          </w:p>
        </w:tc>
        <w:tc>
          <w:tcPr>
            <w:tcW w:w="100" w:type="dxa"/>
            <w:vAlign w:val="bottom"/>
          </w:tcPr>
          <w:p>
            <w:pPr>
              <w:spacing w:after="0"/>
              <w:rPr>
                <w:sz w:val="23"/>
                <w:szCs w:val="23"/>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193,146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-1250950</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-1250950</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-1250950</wp:posOffset>
            </wp:positionV>
            <wp:extent cx="342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jc w:val="both"/>
        <w:ind w:left="640" w:right="299" w:hanging="348"/>
        <w:spacing w:after="0" w:line="241" w:lineRule="auto"/>
        <w:tabs>
          <w:tab w:leader="none" w:pos="64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are net of discounts of $4.2 million in 2023, $4.5 million in 2022 and $2.6 million in 2021, primary related to the Company’s Teal program. See “Revenue Recognition” of Note 2, “Summary of Significant Accounting Policies” to the consolidated financial statements for further discussion.</w:t>
      </w:r>
    </w:p>
    <w:p>
      <w:pPr>
        <w:spacing w:after="0" w:line="73"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Deferred revenue primarily consists of billings or payments received in advance of revenue recognition from subscription offerings, as described above, and is recognized as the revenue recognition criteria are met. The deferred revenue balance as of December 31, 2023 was $5.9 million and is expected to be fully recognized within the next twelve months. The deferred revenue balances as of December 31, 2022 and 2021 were $6.3 million and $8.1 million, respectively, and were fully recognized in the first quarter of the following fiscal year.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revenue has been generated in the United States for the years ended December 31, 2023, 2022 and 2021. For the year ended December 31, 2023, approximately 52% of the Company’s net revenue originated in California compared with 56% for the year ended December 31, 2022 and 61% for the year ended December 31, 2021.</w:t>
      </w:r>
    </w:p>
    <w:p>
      <w:pPr>
        <w:spacing w:after="0" w:line="176" w:lineRule="exact"/>
        <w:rPr>
          <w:sz w:val="20"/>
          <w:szCs w:val="20"/>
          <w:color w:val="auto"/>
        </w:rPr>
      </w:pPr>
    </w:p>
    <w:p>
      <w:pPr>
        <w:ind w:left="640" w:hanging="348"/>
        <w:spacing w:after="0"/>
        <w:tabs>
          <w:tab w:leader="none" w:pos="64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Effective January 1, 2021, the Company adopted ASC 842 -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using the modified retrospective transition approach for recording ROU assets and operating lease liabilities for its operating leases. The Company’s operating leases consist of office space located primarily in the United States. The Company does not have any leases classified as financing leases.</w:t>
      </w:r>
    </w:p>
    <w:p>
      <w:pPr>
        <w:spacing w:after="0" w:line="7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components of lease related costs, net for the years ended December 31, 2023, 2022 and 2021 are as follows (in thousands):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2120" w:type="dxa"/>
            <w:vAlign w:val="bottom"/>
            <w:gridSpan w:val="8"/>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63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7"/>
        </w:trPr>
        <w:tc>
          <w:tcPr>
            <w:tcW w:w="6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r>
      <w:tr>
        <w:trPr>
          <w:trHeight w:val="50"/>
        </w:trPr>
        <w:tc>
          <w:tcPr>
            <w:tcW w:w="63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$7,208</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$7,537</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$ 9,229</w:t>
            </w:r>
          </w:p>
        </w:tc>
      </w:tr>
      <w:tr>
        <w:trPr>
          <w:trHeight w:val="257"/>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20" w:type="dxa"/>
            <w:vAlign w:val="bottom"/>
          </w:tcPr>
          <w:p>
            <w:pPr>
              <w:spacing w:after="0"/>
              <w:rPr>
                <w:sz w:val="22"/>
                <w:szCs w:val="22"/>
                <w:color w:val="auto"/>
              </w:rPr>
            </w:pPr>
          </w:p>
        </w:tc>
      </w:tr>
      <w:tr>
        <w:trPr>
          <w:trHeight w:val="61"/>
        </w:trPr>
        <w:tc>
          <w:tcPr>
            <w:tcW w:w="63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9,062</w:t>
            </w:r>
          </w:p>
        </w:tc>
        <w:tc>
          <w:tcPr>
            <w:tcW w:w="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11,446</w:t>
            </w:r>
          </w:p>
        </w:tc>
      </w:tr>
      <w:tr>
        <w:trPr>
          <w:trHeight w:val="25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r>
      <w:tr>
        <w:trPr>
          <w:trHeight w:val="61"/>
        </w:trPr>
        <w:tc>
          <w:tcPr>
            <w:tcW w:w="63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cost, net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8,846</w:t>
            </w: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9,074</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11,534</w:t>
            </w:r>
          </w:p>
        </w:tc>
      </w:tr>
      <w:tr>
        <w:trPr>
          <w:trHeight w:val="48"/>
        </w:trPr>
        <w:tc>
          <w:tcPr>
            <w:tcW w:w="63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-1079500</wp:posOffset>
            </wp:positionV>
            <wp:extent cx="15430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-1079500</wp:posOffset>
            </wp:positionV>
            <wp:extent cx="17145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-1079500</wp:posOffset>
            </wp:positionV>
            <wp:extent cx="8572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rent expense is included in general and administrative expense in the accompanying consolidated statements of operations. During the years ended December 31, 2023, 2022 and 2021, the Company made cash payments of $9.9 million, $9.6 million and $8.2 million respectively, on its operating leases, all of which were included in cash flows from operating activities within the consolidated statements of cash flows.</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Sublease rental income is recognized as a reduction to the related lease expense on a straight-line basis over the sublease term. For the years ended December 31, 2023, 2022 and 2021, the Company recorded rent income related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9" w:name="page190"/>
    <w:bookmarkEnd w:id="1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to a sublease of $2.2 million, $1.9 million and $0.2 million, respectively. In 2022, the Company entered into a sublease agreement with an affiliate of the Chief Executive Officer. The sublease commenced on June 1, 2022, and the term is for the remainder of the original lease and will expire on February 28, 2025, or sooner in the event that the original lease is cancelled prior to the expiration date. See Note 17, “Related Party Transactions,” to these consolidated financial statements for additional information.</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of December 31, 2023, future minimum payments for the next five years and thereafter are as follows (in thousands):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90"/>
        </w:trPr>
        <w:tc>
          <w:tcPr>
            <w:tcW w:w="7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50"/>
        </w:trPr>
        <w:tc>
          <w:tcPr>
            <w:tcW w:w="77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Years Ending December 31,</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80" w:type="dxa"/>
            <w:vAlign w:val="bottom"/>
          </w:tcPr>
          <w:p>
            <w:pPr>
              <w:spacing w:after="0"/>
              <w:rPr>
                <w:sz w:val="23"/>
                <w:szCs w:val="23"/>
                <w:color w:val="auto"/>
              </w:rPr>
            </w:pPr>
          </w:p>
        </w:tc>
      </w:tr>
      <w:tr>
        <w:trPr>
          <w:trHeight w:val="54"/>
        </w:trPr>
        <w:tc>
          <w:tcPr>
            <w:tcW w:w="7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80" w:type="dxa"/>
            <w:vAlign w:val="bottom"/>
          </w:tcPr>
          <w:p>
            <w:pPr>
              <w:spacing w:after="0"/>
              <w:rPr>
                <w:sz w:val="23"/>
                <w:szCs w:val="23"/>
                <w:color w:val="auto"/>
              </w:rPr>
            </w:pPr>
          </w:p>
        </w:tc>
      </w:tr>
      <w:tr>
        <w:trPr>
          <w:trHeight w:val="54"/>
        </w:trPr>
        <w:tc>
          <w:tcPr>
            <w:tcW w:w="7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80" w:type="dxa"/>
            <w:vAlign w:val="bottom"/>
          </w:tcPr>
          <w:p>
            <w:pPr>
              <w:spacing w:after="0"/>
              <w:rPr>
                <w:sz w:val="23"/>
                <w:szCs w:val="23"/>
                <w:color w:val="auto"/>
              </w:rPr>
            </w:pPr>
          </w:p>
        </w:tc>
      </w:tr>
      <w:tr>
        <w:trPr>
          <w:trHeight w:val="54"/>
        </w:trPr>
        <w:tc>
          <w:tcPr>
            <w:tcW w:w="7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w:t>
            </w:r>
          </w:p>
        </w:tc>
        <w:tc>
          <w:tcPr>
            <w:tcW w:w="80" w:type="dxa"/>
            <w:vAlign w:val="bottom"/>
            <w:tcBorders>
              <w:bottom w:val="single" w:sz="8" w:color="CCEEFF"/>
            </w:tcBorders>
            <w:shd w:val="clear" w:color="auto" w:fill="CCEEFF"/>
          </w:tcPr>
          <w:p>
            <w:pPr>
              <w:spacing w:after="0"/>
              <w:rPr>
                <w:sz w:val="22"/>
                <w:szCs w:val="22"/>
                <w:color w:val="auto"/>
              </w:rPr>
            </w:pPr>
          </w:p>
        </w:tc>
      </w:tr>
      <w:tr>
        <w:trPr>
          <w:trHeight w:val="61"/>
        </w:trPr>
        <w:tc>
          <w:tcPr>
            <w:tcW w:w="7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r>
      <w:tr>
        <w:trPr>
          <w:trHeight w:val="283"/>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44,966</w:t>
            </w:r>
          </w:p>
        </w:tc>
        <w:tc>
          <w:tcPr>
            <w:tcW w:w="80" w:type="dxa"/>
            <w:vAlign w:val="bottom"/>
          </w:tcPr>
          <w:p>
            <w:pPr>
              <w:spacing w:after="0"/>
              <w:rPr>
                <w:sz w:val="24"/>
                <w:szCs w:val="24"/>
                <w:color w:val="auto"/>
              </w:rPr>
            </w:pPr>
          </w:p>
        </w:tc>
      </w:tr>
      <w:tr>
        <w:trPr>
          <w:trHeight w:val="54"/>
        </w:trPr>
        <w:tc>
          <w:tcPr>
            <w:tcW w:w="772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(11,923)</w:t>
            </w:r>
          </w:p>
        </w:tc>
      </w:tr>
      <w:tr>
        <w:trPr>
          <w:trHeight w:val="74"/>
        </w:trPr>
        <w:tc>
          <w:tcPr>
            <w:tcW w:w="77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84"/>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33,043</w:t>
            </w: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-2091055</wp:posOffset>
            </wp:positionV>
            <wp:extent cx="13716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of December 31, 2023 and 2022, the Company’s operating leases had a weighted average remaining lease term of 6.3 years and 6.8 years and a weighted-average discount rate of 9.8%. The Company’s lease agreements do not provide an implicit rate and as a result, the Company used an estimated incremental borrowing rate, which was derived from third-party information available at the time the Company adopted ASC 842 in determining the present value of future lease payments. The rate used is for a secured borrowing of a similar term as the right of use asset. The fair value was estimated using an income approach based on management’s forecast of future cash flows expected to be derived based on current sublease market rent.</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w:t>
      </w:r>
    </w:p>
    <w:p>
      <w:pPr>
        <w:spacing w:after="0" w:line="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2023, the Company recognized a ROU asset impairment charge of $10.9 million and impairment of related leasehold improvements of $1.3 million, driven by updated sublease assumptions for our second headquarter space in Los Angeles, California, pursuant to an operating lease that expires in 2031. In addition, the Company recognized ROU asset impairment charges of $0.6 million and $2.4 million during the years ended December 31, 2022 and 2021, respectively, related to certain ROU assets reducing the carrying values of the lease assets to their estimated fair values based on the discounted cash flows of estimated net rental income for the office spaces subleased. The ROU impairment charges are included in asset impairment charges in the consolidated statements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0" w:name="page191"/>
    <w:bookmarkEnd w:id="1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has minimum outstanding purchase obligations of $7.1 million in 2024, $7.3 million in 2025 and $7.5 million in 2026, due under software license agreements, of which the majority relates to the Company’s three-year AWS Enterprise agreement.</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Termination Costs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Company approved plans to reduce the workforce based on cost-reduction initiatives intended to reduce operating expenses and sharpen the Company’s focus on key growth priorities. The Company also incurred termination costs related to the departures of the Company’s former executives.</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provides a roll forward of employee termination costs:</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14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Employee</w:t>
            </w:r>
          </w:p>
        </w:tc>
      </w:tr>
      <w:tr>
        <w:trPr>
          <w:trHeight w:val="190"/>
        </w:trPr>
        <w:tc>
          <w:tcPr>
            <w:tcW w:w="7280" w:type="dxa"/>
            <w:vAlign w:val="bottom"/>
          </w:tcPr>
          <w:p>
            <w:pPr>
              <w:spacing w:after="0"/>
              <w:rPr>
                <w:sz w:val="16"/>
                <w:szCs w:val="16"/>
                <w:color w:val="auto"/>
              </w:rPr>
            </w:pP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Termination Costs</w:t>
            </w:r>
          </w:p>
        </w:tc>
      </w:tr>
      <w:tr>
        <w:trPr>
          <w:trHeight w:val="50"/>
        </w:trPr>
        <w:tc>
          <w:tcPr>
            <w:tcW w:w="72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311"/>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employee termination costs, January 1, 2022</w:t>
            </w:r>
          </w:p>
        </w:tc>
        <w:tc>
          <w:tcPr>
            <w:tcW w:w="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Employee termination costs - severance and other cash costs</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280" w:type="dxa"/>
            <w:vAlign w:val="bottom"/>
          </w:tcPr>
          <w:p>
            <w:pPr>
              <w:spacing w:after="0"/>
              <w:rPr>
                <w:sz w:val="23"/>
                <w:szCs w:val="23"/>
                <w:color w:val="auto"/>
              </w:rPr>
            </w:pPr>
          </w:p>
        </w:tc>
      </w:tr>
      <w:tr>
        <w:trPr>
          <w:trHeight w:val="54"/>
        </w:trPr>
        <w:tc>
          <w:tcPr>
            <w:tcW w:w="7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5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paid</w:t>
            </w:r>
          </w:p>
        </w:tc>
        <w:tc>
          <w:tcPr>
            <w:tcW w:w="114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(4,430)</w:t>
            </w:r>
          </w:p>
        </w:tc>
      </w:tr>
      <w:tr>
        <w:trPr>
          <w:trHeight w:val="61"/>
        </w:trPr>
        <w:tc>
          <w:tcPr>
            <w:tcW w:w="72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r>
      <w:tr>
        <w:trPr>
          <w:trHeight w:val="28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Unpaid employee termination costs, December 31, 2022</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3,646</w:t>
            </w:r>
          </w:p>
        </w:tc>
        <w:tc>
          <w:tcPr>
            <w:tcW w:w="280" w:type="dxa"/>
            <w:vAlign w:val="bottom"/>
          </w:tcPr>
          <w:p>
            <w:pPr>
              <w:spacing w:after="0"/>
              <w:rPr>
                <w:sz w:val="24"/>
                <w:szCs w:val="24"/>
                <w:color w:val="auto"/>
              </w:rPr>
            </w:pPr>
          </w:p>
        </w:tc>
      </w:tr>
      <w:tr>
        <w:trPr>
          <w:trHeight w:val="54"/>
        </w:trPr>
        <w:tc>
          <w:tcPr>
            <w:tcW w:w="7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04"/>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termination costs - severance and other cash costs</w:t>
            </w:r>
          </w:p>
        </w:tc>
        <w:tc>
          <w:tcPr>
            <w:tcW w:w="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80" w:type="dxa"/>
            <w:vAlign w:val="bottom"/>
            <w:tcBorders>
              <w:bottom w:val="single" w:sz="8" w:color="CCEEFF"/>
            </w:tcBorders>
            <w:shd w:val="clear" w:color="auto" w:fill="CCEEFF"/>
          </w:tcPr>
          <w:p>
            <w:pPr>
              <w:spacing w:after="0"/>
              <w:rPr>
                <w:sz w:val="24"/>
                <w:szCs w:val="24"/>
                <w:color w:val="auto"/>
              </w:rPr>
            </w:pPr>
          </w:p>
        </w:tc>
      </w:tr>
      <w:tr>
        <w:trPr>
          <w:trHeight w:val="257"/>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 paid</w:t>
            </w:r>
          </w:p>
        </w:tc>
        <w:tc>
          <w:tcPr>
            <w:tcW w:w="114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(3,840)</w:t>
            </w:r>
          </w:p>
        </w:tc>
      </w:tr>
      <w:tr>
        <w:trPr>
          <w:trHeight w:val="61"/>
        </w:trPr>
        <w:tc>
          <w:tcPr>
            <w:tcW w:w="7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r>
      <w:tr>
        <w:trPr>
          <w:trHeight w:val="270"/>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employee termination costs, December 31, 2023</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48"/>
        </w:trPr>
        <w:tc>
          <w:tcPr>
            <w:tcW w:w="72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4694555</wp:posOffset>
            </wp:positionH>
            <wp:positionV relativeFrom="paragraph">
              <wp:posOffset>-1490980</wp:posOffset>
            </wp:positionV>
            <wp:extent cx="12001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70"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Employee termination costs are included in general and administrative expenses on the consolidated statements of operations.</w:t>
      </w:r>
    </w:p>
    <w:p>
      <w:pPr>
        <w:spacing w:after="0" w:line="158" w:lineRule="exact"/>
        <w:rPr>
          <w:sz w:val="20"/>
          <w:szCs w:val="20"/>
          <w:color w:val="auto"/>
        </w:rPr>
      </w:pPr>
    </w:p>
    <w:p>
      <w:pPr>
        <w:ind w:left="640" w:hanging="348"/>
        <w:spacing w:after="0"/>
        <w:tabs>
          <w:tab w:leader="none" w:pos="6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jc w:val="both"/>
        <w:ind w:left="300" w:right="299"/>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w:t>
      </w:r>
    </w:p>
    <w:p>
      <w:pPr>
        <w:spacing w:after="0" w:line="5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4" w:lineRule="exact"/>
        <w:rPr>
          <w:sz w:val="20"/>
          <w:szCs w:val="20"/>
          <w:color w:val="auto"/>
        </w:rPr>
      </w:pPr>
    </w:p>
    <w:p>
      <w:pPr>
        <w:jc w:val="both"/>
        <w:ind w:left="1000" w:right="299" w:hanging="348"/>
        <w:spacing w:after="0" w:line="266"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based on the Company assessment of the assumptions that market participants would use in pricing the asset or liability.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1" w:name="page192"/>
    <w:bookmarkEnd w:id="19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at December 31, 2023 and 2022, and indicates the fair value hierarchy of the valuation inputs the Company utilized to determine such fair value (in thousands):</w:t>
      </w:r>
    </w:p>
    <w:p>
      <w:pPr>
        <w:spacing w:after="0" w:line="210"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7"/>
        </w:trPr>
        <w:tc>
          <w:tcPr>
            <w:tcW w:w="53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r>
      <w:tr>
        <w:trPr>
          <w:trHeight w:val="284"/>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r>
      <w:tr>
        <w:trPr>
          <w:trHeight w:val="257"/>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$1,250</w:t>
            </w:r>
          </w:p>
        </w:tc>
      </w:tr>
      <w:tr>
        <w:trPr>
          <w:trHeight w:val="41"/>
        </w:trPr>
        <w:tc>
          <w:tcPr>
            <w:tcW w:w="5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290"/>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340" w:type="dxa"/>
            <w:vAlign w:val="bottom"/>
            <w:tcBorders>
              <w:bottom w:val="single" w:sz="8" w:color="CCEEFF"/>
            </w:tcBorders>
            <w:shd w:val="clear" w:color="auto" w:fill="CCEEFF"/>
          </w:tcPr>
          <w:p>
            <w:pPr>
              <w:spacing w:after="0"/>
              <w:rPr>
                <w:sz w:val="24"/>
                <w:szCs w:val="24"/>
                <w:color w:val="auto"/>
              </w:rPr>
            </w:pPr>
          </w:p>
        </w:tc>
      </w:tr>
      <w:tr>
        <w:trPr>
          <w:trHeight w:val="257"/>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warrant liability</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585</w:t>
            </w: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2,090</w:t>
            </w:r>
          </w:p>
        </w:tc>
      </w:tr>
      <w:tr>
        <w:trPr>
          <w:trHeight w:val="20"/>
        </w:trPr>
        <w:tc>
          <w:tcPr>
            <w:tcW w:w="5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5320665</wp:posOffset>
            </wp:positionH>
            <wp:positionV relativeFrom="paragraph">
              <wp:posOffset>-762635</wp:posOffset>
            </wp:positionV>
            <wp:extent cx="10287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4463415</wp:posOffset>
            </wp:positionH>
            <wp:positionV relativeFrom="paragraph">
              <wp:posOffset>-762635</wp:posOffset>
            </wp:positionV>
            <wp:extent cx="11176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4180840</wp:posOffset>
            </wp:positionH>
            <wp:positionV relativeFrom="paragraph">
              <wp:posOffset>-762635</wp:posOffset>
            </wp:positionV>
            <wp:extent cx="6032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tables summarize the changes in the fair value of the warrant liabilities (in thousands):</w:t>
      </w:r>
    </w:p>
    <w:p>
      <w:pPr>
        <w:spacing w:after="0" w:line="246"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5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40" w:type="dxa"/>
            <w:vAlign w:val="bottom"/>
            <w:gridSpan w:val="19"/>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0" w:type="dxa"/>
            <w:vAlign w:val="bottom"/>
          </w:tcPr>
          <w:p>
            <w:pPr>
              <w:spacing w:after="0"/>
              <w:rPr>
                <w:sz w:val="1"/>
                <w:szCs w:val="1"/>
                <w:color w:val="auto"/>
              </w:rPr>
            </w:pPr>
          </w:p>
        </w:tc>
      </w:tr>
      <w:tr>
        <w:trPr>
          <w:trHeight w:val="37"/>
        </w:trPr>
        <w:tc>
          <w:tcPr>
            <w:tcW w:w="5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5"/>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8"/>
              </w:rPr>
              <w:t>Warrant</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5"/>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37"/>
        </w:trPr>
        <w:tc>
          <w:tcPr>
            <w:tcW w:w="57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720" w:type="dxa"/>
            <w:vAlign w:val="bottom"/>
            <w:tcBorders>
              <w:bottom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w:t>
            </w: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$ 840</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$ 2,090</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7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92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color w:val="auto"/>
              </w:rPr>
              <w:t>(630)</w:t>
            </w:r>
          </w:p>
        </w:tc>
        <w:tc>
          <w:tcPr>
            <w:tcW w:w="40" w:type="dxa"/>
            <w:vAlign w:val="bottom"/>
          </w:tcPr>
          <w:p>
            <w:pPr>
              <w:spacing w:after="0"/>
              <w:rPr>
                <w:sz w:val="22"/>
                <w:szCs w:val="22"/>
                <w:color w:val="auto"/>
              </w:rPr>
            </w:pPr>
          </w:p>
        </w:tc>
        <w:tc>
          <w:tcPr>
            <w:tcW w:w="9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34"/>
        </w:trPr>
        <w:tc>
          <w:tcPr>
            <w:tcW w:w="5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72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375</w:t>
            </w:r>
          </w:p>
        </w:tc>
        <w:tc>
          <w:tcPr>
            <w:tcW w:w="40" w:type="dxa"/>
            <w:vAlign w:val="bottom"/>
            <w:shd w:val="clear" w:color="auto" w:fill="CCEEFF"/>
          </w:tcPr>
          <w:p>
            <w:pPr>
              <w:spacing w:after="0"/>
              <w:rPr>
                <w:sz w:val="23"/>
                <w:szCs w:val="23"/>
                <w:color w:val="auto"/>
              </w:rPr>
            </w:pP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2"/>
        </w:trPr>
        <w:tc>
          <w:tcPr>
            <w:tcW w:w="5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40" w:type="dxa"/>
            <w:vAlign w:val="bottom"/>
            <w:gridSpan w:val="19"/>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0" w:type="dxa"/>
            <w:vAlign w:val="bottom"/>
          </w:tcPr>
          <w:p>
            <w:pPr>
              <w:spacing w:after="0"/>
              <w:rPr>
                <w:sz w:val="1"/>
                <w:szCs w:val="1"/>
                <w:color w:val="auto"/>
              </w:rPr>
            </w:pPr>
          </w:p>
        </w:tc>
      </w:tr>
      <w:tr>
        <w:trPr>
          <w:trHeight w:val="37"/>
        </w:trPr>
        <w:tc>
          <w:tcPr>
            <w:tcW w:w="57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760" w:type="dxa"/>
            <w:vAlign w:val="bottom"/>
            <w:gridSpan w:val="7"/>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760" w:type="dxa"/>
            <w:vAlign w:val="bottom"/>
            <w:gridSpan w:val="7"/>
            <w:vMerge w:val="continue"/>
          </w:tcPr>
          <w:p>
            <w:pPr>
              <w:spacing w:after="0"/>
              <w:rPr>
                <w:sz w:val="12"/>
                <w:szCs w:val="12"/>
                <w:color w:val="auto"/>
              </w:rPr>
            </w:pPr>
          </w:p>
        </w:tc>
        <w:tc>
          <w:tcPr>
            <w:tcW w:w="960" w:type="dxa"/>
            <w:vAlign w:val="bottom"/>
            <w:gridSpan w:val="8"/>
          </w:tcPr>
          <w:p>
            <w:pPr>
              <w:jc w:val="center"/>
              <w:ind w:left="73"/>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760" w:type="dxa"/>
            <w:vAlign w:val="bottom"/>
          </w:tcPr>
          <w:p>
            <w:pPr>
              <w:spacing w:after="0"/>
              <w:rPr>
                <w:sz w:val="16"/>
                <w:szCs w:val="16"/>
                <w:color w:val="auto"/>
              </w:rPr>
            </w:pPr>
          </w:p>
        </w:tc>
        <w:tc>
          <w:tcPr>
            <w:tcW w:w="760" w:type="dxa"/>
            <w:vAlign w:val="bottom"/>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20" w:type="dxa"/>
            <w:vAlign w:val="bottom"/>
          </w:tcPr>
          <w:p>
            <w:pPr>
              <w:spacing w:after="0"/>
              <w:rPr>
                <w:sz w:val="16"/>
                <w:szCs w:val="16"/>
                <w:color w:val="auto"/>
              </w:rPr>
            </w:pPr>
          </w:p>
        </w:tc>
        <w:tc>
          <w:tcPr>
            <w:tcW w:w="72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37"/>
        </w:trPr>
        <w:tc>
          <w:tcPr>
            <w:tcW w:w="57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6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$ 16,750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7"/>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w w:val="99"/>
              </w:rPr>
              <w:t>$10,710</w:t>
            </w:r>
          </w:p>
        </w:tc>
        <w:tc>
          <w:tcPr>
            <w:tcW w:w="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$ 27,460</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7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(15,500)</w:t>
            </w:r>
          </w:p>
        </w:tc>
        <w:tc>
          <w:tcPr>
            <w:tcW w:w="40" w:type="dxa"/>
            <w:vAlign w:val="bottom"/>
          </w:tcPr>
          <w:p>
            <w:pPr>
              <w:spacing w:after="0"/>
              <w:rPr>
                <w:sz w:val="22"/>
                <w:szCs w:val="22"/>
                <w:color w:val="auto"/>
              </w:rPr>
            </w:pPr>
          </w:p>
        </w:tc>
        <w:tc>
          <w:tcPr>
            <w:tcW w:w="92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(9,870)</w:t>
            </w:r>
          </w:p>
        </w:tc>
        <w:tc>
          <w:tcPr>
            <w:tcW w:w="40" w:type="dxa"/>
            <w:vAlign w:val="bottom"/>
          </w:tcPr>
          <w:p>
            <w:pPr>
              <w:spacing w:after="0"/>
              <w:rPr>
                <w:sz w:val="22"/>
                <w:szCs w:val="22"/>
                <w:color w:val="auto"/>
              </w:rPr>
            </w:pPr>
          </w:p>
        </w:tc>
        <w:tc>
          <w:tcPr>
            <w:tcW w:w="9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(25,370)</w:t>
            </w:r>
          </w:p>
        </w:tc>
        <w:tc>
          <w:tcPr>
            <w:tcW w:w="0" w:type="dxa"/>
            <w:vAlign w:val="bottom"/>
          </w:tcPr>
          <w:p>
            <w:pPr>
              <w:spacing w:after="0"/>
              <w:rPr>
                <w:sz w:val="1"/>
                <w:szCs w:val="1"/>
                <w:color w:val="auto"/>
              </w:rPr>
            </w:pPr>
          </w:p>
        </w:tc>
      </w:tr>
      <w:tr>
        <w:trPr>
          <w:trHeight w:val="34"/>
        </w:trPr>
        <w:tc>
          <w:tcPr>
            <w:tcW w:w="57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1,250</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840</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2,090</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5569585</wp:posOffset>
            </wp:positionH>
            <wp:positionV relativeFrom="paragraph">
              <wp:posOffset>-1842135</wp:posOffset>
            </wp:positionV>
            <wp:extent cx="18859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-1842135</wp:posOffset>
            </wp:positionV>
            <wp:extent cx="18859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4489450</wp:posOffset>
            </wp:positionH>
            <wp:positionV relativeFrom="paragraph">
              <wp:posOffset>-1842135</wp:posOffset>
            </wp:positionV>
            <wp:extent cx="939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5543550</wp:posOffset>
            </wp:positionH>
            <wp:positionV relativeFrom="paragraph">
              <wp:posOffset>-607695</wp:posOffset>
            </wp:positionV>
            <wp:extent cx="17145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-607695</wp:posOffset>
            </wp:positionV>
            <wp:extent cx="17145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4403725</wp:posOffset>
            </wp:positionH>
            <wp:positionV relativeFrom="paragraph">
              <wp:posOffset>-607695</wp:posOffset>
            </wp:positionV>
            <wp:extent cx="8572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Public Warrants, based on the publicly listed trading price of such warrants as of the valuation date. Accordingly, the Public Warrants are classified as Level 1 financial instruments.</w:t>
      </w:r>
    </w:p>
    <w:p>
      <w:pPr>
        <w:spacing w:after="0" w:line="2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jc w:val="both"/>
        <w:ind w:left="1300" w:right="1300"/>
        <w:spacing w:after="0" w:line="253"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84"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7"/>
        </w:trPr>
        <w:tc>
          <w:tcPr>
            <w:tcW w:w="1300" w:type="dxa"/>
            <w:vAlign w:val="bottom"/>
          </w:tcPr>
          <w:p>
            <w:pPr>
              <w:spacing w:after="0"/>
              <w:rPr>
                <w:sz w:val="3"/>
                <w:szCs w:val="3"/>
                <w:color w:val="auto"/>
              </w:rPr>
            </w:pPr>
          </w:p>
        </w:tc>
        <w:tc>
          <w:tcPr>
            <w:tcW w:w="2800" w:type="dxa"/>
            <w:vAlign w:val="bottom"/>
            <w:tcBorders>
              <w:bottom w:val="single" w:sz="8" w:color="CCEEFF"/>
            </w:tcBorders>
          </w:tcPr>
          <w:p>
            <w:pPr>
              <w:spacing w:after="0"/>
              <w:rPr>
                <w:sz w:val="3"/>
                <w:szCs w:val="3"/>
                <w:color w:val="auto"/>
              </w:rPr>
            </w:pPr>
          </w:p>
        </w:tc>
        <w:tc>
          <w:tcPr>
            <w:tcW w:w="308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300" w:type="dxa"/>
            <w:vAlign w:val="bottom"/>
          </w:tcPr>
          <w:p>
            <w:pPr>
              <w:spacing w:after="0"/>
              <w:rPr>
                <w:sz w:val="3"/>
                <w:szCs w:val="3"/>
                <w:color w:val="auto"/>
              </w:rPr>
            </w:pPr>
          </w:p>
        </w:tc>
      </w:tr>
      <w:tr>
        <w:trPr>
          <w:trHeight w:val="284"/>
        </w:trPr>
        <w:tc>
          <w:tcPr>
            <w:tcW w:w="1300" w:type="dxa"/>
            <w:vAlign w:val="bottom"/>
          </w:tcPr>
          <w:p>
            <w:pPr>
              <w:spacing w:after="0"/>
              <w:rPr>
                <w:sz w:val="24"/>
                <w:szCs w:val="24"/>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4260" w:type="dxa"/>
            <w:vAlign w:val="bottom"/>
            <w:tcBorders>
              <w:bottom w:val="single" w:sz="8" w:color="CCEEFF"/>
            </w:tcBorders>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$11.50</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0.72</w:t>
            </w:r>
          </w:p>
        </w:tc>
        <w:tc>
          <w:tcPr>
            <w:tcW w:w="1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1.01</w:t>
            </w:r>
          </w:p>
        </w:tc>
        <w:tc>
          <w:tcPr>
            <w:tcW w:w="1300" w:type="dxa"/>
            <w:vAlign w:val="bottom"/>
          </w:tcPr>
          <w:p>
            <w:pPr>
              <w:spacing w:after="0"/>
              <w:rPr>
                <w:sz w:val="22"/>
                <w:szCs w:val="22"/>
                <w:color w:val="auto"/>
              </w:rPr>
            </w:pPr>
          </w:p>
        </w:tc>
      </w:tr>
      <w:tr>
        <w:trPr>
          <w:trHeight w:val="40"/>
        </w:trPr>
        <w:tc>
          <w:tcPr>
            <w:tcW w:w="130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0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82.3%</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Term (years)</w:t>
            </w:r>
          </w:p>
        </w:tc>
        <w:tc>
          <w:tcPr>
            <w:tcW w:w="30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3.46</w:t>
            </w:r>
          </w:p>
        </w:tc>
        <w:tc>
          <w:tcPr>
            <w:tcW w:w="1300" w:type="dxa"/>
            <w:vAlign w:val="bottom"/>
          </w:tcPr>
          <w:p>
            <w:pPr>
              <w:spacing w:after="0"/>
              <w:rPr>
                <w:sz w:val="22"/>
                <w:szCs w:val="22"/>
                <w:color w:val="auto"/>
              </w:rPr>
            </w:pPr>
          </w:p>
        </w:tc>
      </w:tr>
      <w:tr>
        <w:trPr>
          <w:trHeight w:val="40"/>
        </w:trPr>
        <w:tc>
          <w:tcPr>
            <w:tcW w:w="130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1"/>
        </w:trPr>
        <w:tc>
          <w:tcPr>
            <w:tcW w:w="1300" w:type="dxa"/>
            <w:vAlign w:val="bottom"/>
          </w:tcPr>
          <w:p>
            <w:pPr>
              <w:spacing w:after="0"/>
              <w:rPr>
                <w:sz w:val="24"/>
                <w:szCs w:val="24"/>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0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4.17%</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560" w:type="dxa"/>
            <w:vAlign w:val="bottom"/>
            <w:gridSpan w:val="2"/>
          </w:tcPr>
          <w:p>
            <w:pPr>
              <w:jc w:val="right"/>
              <w:ind w:right="1908"/>
              <w:spacing w:after="0"/>
              <w:rPr>
                <w:sz w:val="20"/>
                <w:szCs w:val="20"/>
                <w:color w:val="auto"/>
              </w:rPr>
            </w:pPr>
            <w:r>
              <w:rPr>
                <w:rFonts w:ascii="Times New Roman" w:cs="Times New Roman" w:eastAsia="Times New Roman" w:hAnsi="Times New Roman"/>
                <w:sz w:val="18"/>
                <w:szCs w:val="18"/>
                <w:color w:val="auto"/>
              </w:rPr>
              <w:t>F-53</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5303520</wp:posOffset>
            </wp:positionH>
            <wp:positionV relativeFrom="paragraph">
              <wp:posOffset>-1379220</wp:posOffset>
            </wp:positionV>
            <wp:extent cx="10287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-1379220</wp:posOffset>
            </wp:positionV>
            <wp:extent cx="5143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92" w:name="page193"/>
    <w:bookmarkEnd w:id="1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Significant changes in the volatility would result in a significant lower or higher fair value measurement, respectively.</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 were no transfers in or out of Level 3 from other levels in the fair value hierarchy.</w:t>
      </w:r>
    </w:p>
    <w:p>
      <w:pPr>
        <w:spacing w:after="0" w:line="221" w:lineRule="exact"/>
        <w:rPr>
          <w:sz w:val="20"/>
          <w:szCs w:val="20"/>
          <w:color w:val="auto"/>
        </w:rPr>
      </w:pPr>
    </w:p>
    <w:p>
      <w:pPr>
        <w:ind w:left="640" w:hanging="348"/>
        <w:spacing w:after="0"/>
        <w:tabs>
          <w:tab w:leader="none" w:pos="64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the Business Combination was accounted for as a reverse recapitalization in accordance with GAAP (the “Reverse Recapitalization”). Under this method of accounting, Silver Spike was treated as the acquired company and Legacy WMH was treated as the acquirer for financial statement reporting purposes.</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Accordingly, for accounting purposes, the Reverse Recapitalization was treated as the equivalent of Legacy WMH issuing stock for the net assets of Silver Spike, accompanied by a recapitalization.</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Legacy WMH was determined to be the accounting acquirer based on evaluation of the following facts and circumstances:</w:t>
      </w:r>
    </w:p>
    <w:p>
      <w:pPr>
        <w:spacing w:after="0" w:line="54" w:lineRule="exact"/>
        <w:rPr>
          <w:sz w:val="20"/>
          <w:szCs w:val="20"/>
          <w:color w:val="auto"/>
        </w:rPr>
      </w:pPr>
    </w:p>
    <w:p>
      <w:pPr>
        <w:ind w:left="1000" w:right="319" w:hanging="348"/>
        <w:spacing w:after="0" w:line="282"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Class A Unit holders, through their ownership of the Class V Common Stock, had the greatest voting interest in the Company with over 50% of the voting interest;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selected the majority of the new board of directors of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senior management was the senior management of the Company;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was the larger entity based on historical operating activity and had the larger employee base.</w:t>
      </w:r>
    </w:p>
    <w:p>
      <w:pPr>
        <w:spacing w:after="0" w:line="54"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Thus, the financial statements included in this annual report reflect (i) the historical operating results of Legacy WMH prior to the Business Combination; (ii) the combined results of the WMH LLC and Silver Spike following the Business Combination; and (iii) the acquired assets and liabilities of Silver Spike stated at historical cost, with no goodwill or other intangible assets recorded.</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connection with the Closing, the following occurred:</w:t>
      </w:r>
    </w:p>
    <w:p>
      <w:pPr>
        <w:spacing w:after="0" w:line="117" w:lineRule="exact"/>
        <w:rPr>
          <w:sz w:val="20"/>
          <w:szCs w:val="20"/>
          <w:color w:val="auto"/>
        </w:rPr>
      </w:pPr>
    </w:p>
    <w:p>
      <w:pPr>
        <w:ind w:left="1000" w:right="319" w:hanging="348"/>
        <w:spacing w:after="0" w:line="282"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 Spike was domesticated and continues as a Delaware corporation, changing its name to “WM Technology, Inc.”</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consummated the sale of 32,500,000 shares of Class A Common Stock for a purchase price of $10.00 per share (together, the “PIPE Financing”) pursuant to certain subscription agreements dated as of December 10, 2020, for an aggregate price of $325.0 million.</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contributed approximately $80.3 million of cash to WMH LLC, representing (a) the net amount held in the Company’s trust account following the redemption of 10,012 shares of Class A Common Stock originally sold in the Silver Spike’s initial public offering, less (b) cash consideration of $455.2 million paid to Legacy WMH Class A equity holders, plus (c) $325.0 million in aggregate proceeds from the PIPE Financing, less (d) the aggregate amount of transaction expenses incurred by the parties to the Business Combination Agreement.</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transferred $455.2 million to the Legacy WMH equity holders as cash consideration.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Legacy WMH equity holders retained an aggregate of 65,502,347 Class A Units and 25,896,042 Class P Units.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65,502,347 shares of Class V Common Stock to Class A Unit holders, representing the same number of Class A Units retained by the Legacy WMH equity holders.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89" w:lineRule="auto"/>
        <w:tabs>
          <w:tab w:leader="none" w:pos="100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the Holder Representative and the Class A Unit holders entered into the TRA, pursuant to which WM Technology, Inc. will pay to WMH LLC Class A equity holders 85% of the net income tax savings that WM Technology, Inc. actually realizes as a result of increases in the tax basis of WMH LLC’s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3" w:name="page194"/>
    <w:bookmarkEnd w:id="1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assets as a result of the exchange of Units for cash in the Business Combination and future exchanges of the Class A Units for shares of Class A Common Stock or cash pursuant to the Exchange Agreement, and certain other tax attributes of WMH LLC and tax benefits related to the TRA, including tax benefits attributable to payments under the TRA.</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the Exchange Agreement. The terms of the Exchange Agreement, among other things, provide the Unit holders (or certain permitted transferees thereof) with the right from time to time at and after 180 days following the Business Combination to exchange their vested Paired Interests (as defined in Note 14, “Stock-based Compensation” to our consolidated financial statements included herein),for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8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elements of the Business Combination to the consolidated statements of cash flows and the consolidated statements of equity for the year ended December 31, 2021 (in thousands):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Business</w:t>
            </w:r>
          </w:p>
        </w:tc>
      </w:tr>
      <w:tr>
        <w:trPr>
          <w:trHeight w:val="190"/>
        </w:trPr>
        <w:tc>
          <w:tcPr>
            <w:tcW w:w="7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Combination</w:t>
            </w:r>
          </w:p>
        </w:tc>
      </w:tr>
      <w:tr>
        <w:trPr>
          <w:trHeight w:val="37"/>
        </w:trPr>
        <w:tc>
          <w:tcPr>
            <w:tcW w:w="72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270"/>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Silver Spike trust and cash, net of redemptions</w:t>
            </w:r>
          </w:p>
        </w:tc>
        <w:tc>
          <w:tcPr>
            <w:tcW w:w="10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$ 254,203</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Cash - PIPE Financing</w:t>
            </w:r>
          </w:p>
        </w:tc>
        <w:tc>
          <w:tcPr>
            <w:tcW w:w="114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325,000</w:t>
            </w: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cash consideration paid to Legacy WMH equity holders</w:t>
            </w:r>
          </w:p>
        </w:tc>
        <w:tc>
          <w:tcPr>
            <w:tcW w:w="1140" w:type="dxa"/>
            <w:vAlign w:val="bottom"/>
            <w:tcBorders>
              <w:bottom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(455,182)</w:t>
            </w: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transaction costs and advisory fees</w:t>
            </w:r>
          </w:p>
        </w:tc>
        <w:tc>
          <w:tcPr>
            <w:tcW w:w="11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(44,052)</w:t>
            </w:r>
          </w:p>
        </w:tc>
      </w:tr>
      <w:tr>
        <w:trPr>
          <w:trHeight w:val="48"/>
        </w:trPr>
        <w:tc>
          <w:tcPr>
            <w:tcW w:w="7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77"/>
        </w:trPr>
        <w:tc>
          <w:tcPr>
            <w:tcW w:w="7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the Business Combination</w:t>
            </w:r>
          </w:p>
        </w:tc>
        <w:tc>
          <w:tcPr>
            <w:tcW w:w="10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79,969</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initial fair value of warrant liability recognized in the Business Combination</w:t>
            </w:r>
          </w:p>
        </w:tc>
        <w:tc>
          <w:tcPr>
            <w:tcW w:w="11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(193,978)</w:t>
            </w: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transaction costs allocated to Warrants</w:t>
            </w:r>
          </w:p>
        </w:tc>
        <w:tc>
          <w:tcPr>
            <w:tcW w:w="10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Add: non-cash assets assumed from Silver Spike</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8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deferred tax asset</w:t>
            </w:r>
          </w:p>
        </w:tc>
        <w:tc>
          <w:tcPr>
            <w:tcW w:w="1140" w:type="dxa"/>
            <w:vAlign w:val="bottom"/>
            <w:tcBorders>
              <w:bottom w:val="single" w:sz="8" w:color="CCEEFF"/>
            </w:tcBorders>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151,255</w:t>
            </w: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tax receivable agreement liability</w:t>
            </w:r>
          </w:p>
        </w:tc>
        <w:tc>
          <w:tcPr>
            <w:tcW w:w="11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(128,567)</w:t>
            </w:r>
          </w:p>
        </w:tc>
      </w:tr>
      <w:tr>
        <w:trPr>
          <w:trHeight w:val="48"/>
        </w:trPr>
        <w:tc>
          <w:tcPr>
            <w:tcW w:w="7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adjustment to total equity from the Business Combination</w:t>
            </w:r>
          </w:p>
        </w:tc>
        <w:tc>
          <w:tcPr>
            <w:tcW w:w="114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(84,721)</w:t>
            </w:r>
          </w:p>
        </w:tc>
      </w:tr>
      <w:tr>
        <w:trPr>
          <w:trHeight w:val="324"/>
        </w:trPr>
        <w:tc>
          <w:tcPr>
            <w:tcW w:w="7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 number of shares of common stock issued immediately following the Closing:</w:t>
            </w: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22"/>
        </w:trPr>
        <w:tc>
          <w:tcPr>
            <w:tcW w:w="7280" w:type="dxa"/>
            <w:vAlign w:val="bottom"/>
          </w:tcPr>
          <w:p>
            <w:pPr>
              <w:spacing w:after="0"/>
              <w:rPr>
                <w:sz w:val="24"/>
                <w:szCs w:val="24"/>
                <w:color w:val="auto"/>
              </w:rPr>
            </w:pPr>
          </w:p>
        </w:tc>
        <w:tc>
          <w:tcPr>
            <w:tcW w:w="114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50"/>
        </w:trPr>
        <w:tc>
          <w:tcPr>
            <w:tcW w:w="72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outstanding prior to the Business Combination</w:t>
            </w: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24,998,575</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redemption of shares of Silver Spike’s Class A common stock</w:t>
            </w:r>
          </w:p>
        </w:tc>
        <w:tc>
          <w:tcPr>
            <w:tcW w:w="10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10,012</w:t>
            </w:r>
          </w:p>
        </w:tc>
        <w:tc>
          <w:tcPr>
            <w:tcW w:w="80" w:type="dxa"/>
            <w:vAlign w:val="bottom"/>
          </w:tcPr>
          <w:p>
            <w:pPr>
              <w:spacing w:after="0"/>
              <w:rPr>
                <w:sz w:val="22"/>
                <w:szCs w:val="22"/>
                <w:color w:val="auto"/>
              </w:rPr>
            </w:pPr>
          </w:p>
        </w:tc>
      </w:tr>
      <w:tr>
        <w:trPr>
          <w:trHeight w:val="61"/>
        </w:trPr>
        <w:tc>
          <w:tcPr>
            <w:tcW w:w="7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7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of Silver Spike’s Class A common stock</w:t>
            </w: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24,988,563</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Shares of Class A Common Stock held by Silver Spike’s Sponsor</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4"/>
        </w:trPr>
        <w:tc>
          <w:tcPr>
            <w:tcW w:w="7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Class A Common Stock issued in the PIPE Financing</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32,500,000</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61"/>
        </w:trPr>
        <w:tc>
          <w:tcPr>
            <w:tcW w:w="7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83"/>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of Class A Common Stock issued in the Business Combination</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63,738,563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4"/>
        </w:trPr>
        <w:tc>
          <w:tcPr>
            <w:tcW w:w="7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Class V Common Stock issued to Legacy WMH equity holders</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65,502,347</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61"/>
        </w:trPr>
        <w:tc>
          <w:tcPr>
            <w:tcW w:w="7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70"/>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shares of common stock issued in the Business Combination</w:t>
            </w:r>
          </w:p>
        </w:tc>
        <w:tc>
          <w:tcPr>
            <w:tcW w:w="120" w:type="dxa"/>
            <w:vAlign w:val="bottom"/>
          </w:tcPr>
          <w:p>
            <w:pPr>
              <w:spacing w:after="0"/>
              <w:rPr>
                <w:sz w:val="23"/>
                <w:szCs w:val="23"/>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129,240,910</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-4182745</wp:posOffset>
            </wp:positionV>
            <wp:extent cx="15430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-1679575</wp:posOffset>
            </wp:positionV>
            <wp:extent cx="431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income for the period from June 16, 2021 (Closing Date) to December 31, 2021 was $137.1 million, which includes change in fair value of warrant liability of $166.5 million, stock-based compensation expense of $29.3 million and transaction costs related to the warrant liability of $5.5 million. The transaction costs related to the warrant liability is included in other expense, net on the consolidated statements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4" w:name="page195"/>
    <w:bookmarkEnd w:id="1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Eyechronic</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On January 14, 2022, the Company acquired all the equity interests of Eyechronic LLC (“Eyechronic”) d/b/a Enlighten and rebranded as WM Screens, a Delaware limited liability company and a provider of software, digital signage services and multi-media offerings to dispensaries and brands, for total consideration of approximately $29.4 million. The Company accounted for the Eyechronic acquisition as an acquisition of a business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acquired assets and liabilities of Eyechronic were recorded at their acquisition date fair values.</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consideration and the estimated fair value of assets acquired (in thousands):</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Consideration Transferred:</w:t>
      </w:r>
    </w:p>
    <w:p>
      <w:pPr>
        <w:spacing w:after="0" w:line="80" w:lineRule="exact"/>
        <w:rPr>
          <w:sz w:val="20"/>
          <w:szCs w:val="20"/>
          <w:color w:val="auto"/>
        </w:rPr>
      </w:pPr>
    </w:p>
    <w:tbl>
      <w:tblPr>
        <w:tblLayout w:type="fixed"/>
        <w:tblInd w:w="300" w:type="dxa"/>
        <w:tblCellMar>
          <w:top w:w="0" w:type="dxa"/>
          <w:left w:w="0" w:type="dxa"/>
          <w:bottom w:w="0" w:type="dxa"/>
          <w:right w:w="0" w:type="dxa"/>
        </w:tblCellMar>
      </w:tblPr>
      <w:tr>
        <w:trPr>
          <w:trHeight w:val="33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0" w:type="dxa"/>
            <w:vAlign w:val="bottom"/>
            <w:shd w:val="clear" w:color="auto" w:fill="CCEEFF"/>
          </w:tcPr>
          <w:p>
            <w:pPr>
              <w:spacing w:after="0"/>
              <w:rPr>
                <w:sz w:val="24"/>
                <w:szCs w:val="24"/>
                <w:color w:val="auto"/>
              </w:rPr>
            </w:pPr>
          </w:p>
        </w:tc>
      </w:tr>
      <w:tr>
        <w:trPr>
          <w:trHeight w:val="257"/>
        </w:trPr>
        <w:tc>
          <w:tcPr>
            <w:tcW w:w="78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Share consideration</w:t>
            </w:r>
            <w:r>
              <w:rPr>
                <w:rFonts w:ascii="Times New Roman" w:cs="Times New Roman" w:eastAsia="Times New Roman" w:hAnsi="Times New Roman"/>
                <w:sz w:val="29"/>
                <w:szCs w:val="29"/>
                <w:color w:val="auto"/>
                <w:vertAlign w:val="superscript"/>
              </w:rPr>
              <w:t>(2)</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28,725</w:t>
            </w:r>
          </w:p>
        </w:tc>
        <w:tc>
          <w:tcPr>
            <w:tcW w:w="20" w:type="dxa"/>
            <w:vAlign w:val="bottom"/>
          </w:tcPr>
          <w:p>
            <w:pPr>
              <w:spacing w:after="0"/>
              <w:rPr>
                <w:sz w:val="22"/>
                <w:szCs w:val="22"/>
                <w:color w:val="auto"/>
              </w:rPr>
            </w:pPr>
          </w:p>
        </w:tc>
      </w:tr>
      <w:tr>
        <w:trPr>
          <w:trHeight w:val="61"/>
        </w:trPr>
        <w:tc>
          <w:tcPr>
            <w:tcW w:w="7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29,422</w:t>
            </w:r>
          </w:p>
        </w:tc>
      </w:tr>
      <w:tr>
        <w:trPr>
          <w:trHeight w:val="48"/>
        </w:trPr>
        <w:tc>
          <w:tcPr>
            <w:tcW w:w="78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319" w:hanging="348"/>
        <w:spacing w:after="0" w:line="261" w:lineRule="auto"/>
        <w:tabs>
          <w:tab w:leader="none" w:pos="64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$0.2 million settlement of pre-existing accounts payable with Eyechronic and holdback of $0.1 million recorded within other current liabilities on the Company’s accompanying consolidated balance sheets.</w:t>
      </w:r>
    </w:p>
    <w:p>
      <w:pPr>
        <w:ind w:left="640" w:right="319" w:hanging="348"/>
        <w:spacing w:after="0" w:line="261" w:lineRule="auto"/>
        <w:tabs>
          <w:tab w:leader="none" w:pos="64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share consideration was calculated based on 5,399,553 shares of Class A common stock multiplied by the share price on the closing date of $5.32. This includes 677,847 of holdback shares to be issued subject to customary indemnification obligations.</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Estimated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50800</wp:posOffset>
            </wp:positionV>
            <wp:extent cx="5349240" cy="21399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349240" cy="213995"/>
                    </a:xfrm>
                    <a:prstGeom prst="rect">
                      <a:avLst/>
                    </a:prstGeom>
                    <a:noFill/>
                  </pic:spPr>
                </pic:pic>
              </a:graphicData>
            </a:graphic>
          </wp:anchor>
        </w:drawing>
      </w:r>
    </w:p>
    <w:p>
      <w:pPr>
        <w:spacing w:after="0" w:line="1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Assets acquired:</w:t>
      </w:r>
    </w:p>
    <w:p>
      <w:pPr>
        <w:spacing w:after="0" w:line="11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w:t>
            </w: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23"/>
                <w:szCs w:val="23"/>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technology</w:t>
            </w: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8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Order Backlog</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23,073</w:t>
            </w:r>
          </w:p>
        </w:tc>
        <w:tc>
          <w:tcPr>
            <w:tcW w:w="80" w:type="dxa"/>
            <w:vAlign w:val="bottom"/>
          </w:tcPr>
          <w:p>
            <w:pPr>
              <w:spacing w:after="0"/>
              <w:rPr>
                <w:sz w:val="23"/>
                <w:szCs w:val="23"/>
                <w:color w:val="auto"/>
              </w:rPr>
            </w:pPr>
          </w:p>
        </w:tc>
      </w:tr>
      <w:tr>
        <w:trPr>
          <w:trHeight w:val="48"/>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31"/>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31,658</w:t>
            </w:r>
          </w:p>
        </w:tc>
      </w:tr>
      <w:tr>
        <w:trPr>
          <w:trHeight w:val="283"/>
        </w:trPr>
        <w:tc>
          <w:tcPr>
            <w:tcW w:w="7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(460)</w:t>
            </w: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23"/>
                <w:szCs w:val="2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23"/>
                <w:szCs w:val="2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0"/>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liabilities</w:t>
            </w:r>
          </w:p>
        </w:tc>
        <w:tc>
          <w:tcPr>
            <w:tcW w:w="10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(1,650)</w:t>
            </w:r>
          </w:p>
        </w:tc>
      </w:tr>
      <w:tr>
        <w:trPr>
          <w:trHeight w:val="47"/>
        </w:trPr>
        <w:tc>
          <w:tcPr>
            <w:tcW w:w="7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8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(2,236)</w:t>
            </w:r>
          </w:p>
        </w:tc>
      </w:tr>
      <w:tr>
        <w:trPr>
          <w:trHeight w:val="48"/>
        </w:trPr>
        <w:tc>
          <w:tcPr>
            <w:tcW w:w="77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84"/>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assets acquired</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29,422</w:t>
            </w:r>
          </w:p>
        </w:tc>
      </w:tr>
      <w:tr>
        <w:trPr>
          <w:trHeight w:val="34"/>
        </w:trPr>
        <w:tc>
          <w:tcPr>
            <w:tcW w:w="77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48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9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fourth quarter of 2022, the Company made an adjustment to the purchase price allocation of Eyechronic related to certain pre-acquisition deferred tax and other sales tax liabilities that resulted in an increase of long-term liabilities of $1.7 million.</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incurred transaction expenses associated with the Eyechronic acquisition of $0.1 million, which is included in general and administrative expenses in the accompanying consolidated statements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5" w:name="page196"/>
    <w:bookmarkEnd w:id="1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revenue and operating loss from Eyechronic included the Company’s consolidated statements of operations for the year ended December 31, 2022 were not material. Pro forma revenue and earnings amounts on a combined basis have not been presented as they are not material to the Company’s historical pre-acquisition financial statements.</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For acquisitions, 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fair values of the trade name and software technology intangible assets are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these assets. Owning these intangible assets means that the underlying entity wouldn’t have to pay for the privilege of deploying those assets. Therefore, a portion of the acquired entity’s earnings, equal to the after-tax royalty that would have been paid for the use of the assets, can be attributed to the firm’s ownership. The fair values of the customer relationships and customer backlog assets were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w:t>
      </w:r>
    </w:p>
    <w:p>
      <w:pPr>
        <w:spacing w:after="0" w:line="8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December 31, 2023, the Company completed the sunset of certain product offerings including WM Screens, a product offering associated with our acquisition of Eyechronic, as the Company continues to focus the efforts on other Weedmaps for Business products that support the Weedmaps marketplace and improve the eCommerce experience for the Company’s clients and users. For the year ended December 31, 2023 the Company recorded impairment charges of $3.8 million related to intangible assets and $2.6 million related to property and equipment associated with the sunset of WM Screens, which is included in asset impairment charges in the consolidated statements of operations.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Transport Logistics Holding</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September 29, 2021, the Company acquired all of the equity interests of Transport Logistics Holding Company, LLC (“TLH”), a logistics platform that enables the compliant delivery of cannabis, for total consideration of approximately $15.1 million. The Company accounted for the TLH acquisition as an acquisition of a business under ASC 805.</w:t>
      </w:r>
    </w:p>
    <w:p>
      <w:pPr>
        <w:spacing w:after="0" w:line="9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consideration and the fair value of assets acquired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71120</wp:posOffset>
            </wp:positionV>
            <wp:extent cx="5349240" cy="22288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349240" cy="222885"/>
                    </a:xfrm>
                    <a:prstGeom prst="rect">
                      <a:avLst/>
                    </a:prstGeom>
                    <a:noFill/>
                  </pic:spPr>
                </pic:pic>
              </a:graphicData>
            </a:graphic>
          </wp:anchor>
        </w:drawing>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Consideration Transferred:</w:t>
      </w:r>
    </w:p>
    <w:tbl>
      <w:tblPr>
        <w:tblLayout w:type="fixed"/>
        <w:tblInd w:w="300" w:type="dxa"/>
        <w:tblCellMar>
          <w:top w:w="0" w:type="dxa"/>
          <w:left w:w="0" w:type="dxa"/>
          <w:bottom w:w="0" w:type="dxa"/>
          <w:right w:w="0" w:type="dxa"/>
        </w:tblCellMar>
      </w:tblPr>
      <w:tr>
        <w:trPr>
          <w:trHeight w:val="328"/>
        </w:trPr>
        <w:tc>
          <w:tcPr>
            <w:tcW w:w="7820" w:type="dxa"/>
            <w:vAlign w:val="bottom"/>
          </w:tcPr>
          <w:p>
            <w:pPr>
              <w:spacing w:after="0" w:line="328" w:lineRule="exact"/>
              <w:rPr>
                <w:sz w:val="20"/>
                <w:szCs w:val="20"/>
                <w:color w:val="auto"/>
              </w:rPr>
            </w:pPr>
            <w:r>
              <w:rPr>
                <w:rFonts w:ascii="Times New Roman" w:cs="Times New Roman" w:eastAsia="Times New Roman" w:hAnsi="Times New Roman"/>
                <w:sz w:val="18"/>
                <w:szCs w:val="18"/>
                <w:color w:val="auto"/>
              </w:rPr>
              <w:t>Cash consideration</w:t>
            </w:r>
            <w:r>
              <w:rPr>
                <w:rFonts w:ascii="Times New Roman" w:cs="Times New Roman" w:eastAsia="Times New Roman" w:hAnsi="Times New Roman"/>
                <w:sz w:val="29"/>
                <w:szCs w:val="29"/>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24"/>
                <w:szCs w:val="24"/>
                <w:color w:val="auto"/>
              </w:rPr>
            </w:pPr>
          </w:p>
        </w:tc>
      </w:tr>
      <w:tr>
        <w:trPr>
          <w:trHeight w:val="282"/>
        </w:trPr>
        <w:tc>
          <w:tcPr>
            <w:tcW w:w="7820" w:type="dxa"/>
            <w:vAlign w:val="bottom"/>
            <w:tcBorders>
              <w:bottom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Share consideration</w:t>
            </w:r>
            <w:r>
              <w:rPr>
                <w:rFonts w:ascii="Times New Roman" w:cs="Times New Roman" w:eastAsia="Times New Roman" w:hAnsi="Times New Roman"/>
                <w:sz w:val="26"/>
                <w:szCs w:val="26"/>
                <w:color w:val="auto"/>
                <w:vertAlign w:val="superscript"/>
              </w:rPr>
              <w:t>(2)</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78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580" w:type="dxa"/>
            <w:vAlign w:val="bottom"/>
            <w:tcBorders>
              <w:top w:val="single" w:sz="8" w:color="CCEEFF"/>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15,126</w:t>
            </w:r>
          </w:p>
        </w:tc>
        <w:tc>
          <w:tcPr>
            <w:tcW w:w="20" w:type="dxa"/>
            <w:vAlign w:val="bottom"/>
            <w:tcBorders>
              <w:top w:val="single" w:sz="8" w:color="CCEEFF"/>
            </w:tcBorders>
          </w:tcPr>
          <w:p>
            <w:pPr>
              <w:spacing w:after="0"/>
              <w:rPr>
                <w:sz w:val="22"/>
                <w:szCs w:val="22"/>
                <w:color w:val="auto"/>
              </w:rPr>
            </w:pPr>
          </w:p>
        </w:tc>
      </w:tr>
      <w:tr>
        <w:trPr>
          <w:trHeight w:val="156"/>
        </w:trPr>
        <w:tc>
          <w:tcPr>
            <w:tcW w:w="7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4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20" w:type="dxa"/>
            <w:vAlign w:val="bottom"/>
          </w:tcPr>
          <w:p>
            <w:pPr>
              <w:spacing w:after="0"/>
              <w:rPr>
                <w:sz w:val="2"/>
                <w:szCs w:val="2"/>
                <w:color w:val="auto"/>
              </w:rPr>
            </w:pPr>
          </w:p>
        </w:tc>
      </w:tr>
      <w:tr>
        <w:trPr>
          <w:trHeight w:val="282"/>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14,648</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7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 acquired</w:t>
            </w:r>
          </w:p>
        </w:tc>
        <w:tc>
          <w:tcPr>
            <w:tcW w:w="580" w:type="dxa"/>
            <w:vAlign w:val="bottom"/>
            <w:tcBorders>
              <w:top w:val="single" w:sz="8" w:color="CCEEFF"/>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15,126</w:t>
            </w:r>
          </w:p>
        </w:tc>
        <w:tc>
          <w:tcPr>
            <w:tcW w:w="2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holdback of $1.0 million, which was paid during the second quarter of 2022.</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share consideration issued in connection with the TLH acquisition was calculated based on 694,540 shares of Class A common stock issued multiplied by the share price on the closing date of $14.58.</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6" w:name="page197"/>
    <w:bookmarkEnd w:id="1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the expected synergies from combining operations. Goodwill recognized was allocated to the Company’s one operating segment and is generally deductible for tax purposes.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fair values of the trade name intangible assets were determined using an “income approach”, specifically, the relief-from royalty approach, as described above. The fair value of the software technology intangible asset was also determined using an “income approach”, specifically a multi-period excess earnings approach, as described above. The fair value of the customer relationships was determined using an “income approach”, as described above.</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Sprout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September 3, 2021, the Company acquired certain assets of the Sprout business (“Sprout”), a leading, cloud-based customer relationship management (“CRM”) and marketing platform for the cannabis industry, for total consideration of approximately $31.2 million. The Company accounted for the Sprout acquisition as an acquisition of a business under ASC 805.</w:t>
      </w:r>
    </w:p>
    <w:p>
      <w:pPr>
        <w:spacing w:after="0" w:line="9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consideration and the fair value of assets acquired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71120</wp:posOffset>
            </wp:positionV>
            <wp:extent cx="5349240" cy="24003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Consideration Transferred:</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$12,000</w:t>
            </w:r>
          </w:p>
        </w:tc>
      </w:tr>
      <w:tr>
        <w:trPr>
          <w:trHeight w:val="54"/>
        </w:trPr>
        <w:tc>
          <w:tcPr>
            <w:tcW w:w="77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77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Share consideration</w:t>
            </w:r>
            <w:r>
              <w:rPr>
                <w:rFonts w:ascii="Times New Roman" w:cs="Times New Roman" w:eastAsia="Times New Roman" w:hAnsi="Times New Roman"/>
                <w:sz w:val="29"/>
                <w:szCs w:val="29"/>
                <w:color w:val="auto"/>
                <w:vertAlign w:val="superscript"/>
              </w:rPr>
              <w:t>(1)</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19,186</w:t>
            </w:r>
          </w:p>
        </w:tc>
        <w:tc>
          <w:tcPr>
            <w:tcW w:w="20" w:type="dxa"/>
            <w:vAlign w:val="bottom"/>
            <w:shd w:val="clear" w:color="auto" w:fill="CCEEFF"/>
          </w:tcPr>
          <w:p>
            <w:pPr>
              <w:spacing w:after="0"/>
              <w:rPr>
                <w:sz w:val="22"/>
                <w:szCs w:val="22"/>
                <w:color w:val="auto"/>
              </w:rPr>
            </w:pPr>
          </w:p>
        </w:tc>
      </w:tr>
      <w:tr>
        <w:trPr>
          <w:trHeight w:val="61"/>
        </w:trPr>
        <w:tc>
          <w:tcPr>
            <w:tcW w:w="77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31,186</w:t>
            </w:r>
          </w:p>
        </w:tc>
      </w:tr>
      <w:tr>
        <w:trPr>
          <w:trHeight w:val="155"/>
        </w:trPr>
        <w:tc>
          <w:tcPr>
            <w:tcW w:w="7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358"/>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 and Liabilities Assumed:</w:t>
            </w: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Asset acquired:</w:t>
            </w: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 technology</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$ 2,973</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26,686</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1"/>
        </w:trPr>
        <w:tc>
          <w:tcPr>
            <w:tcW w:w="77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31,286</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22"/>
                <w:szCs w:val="22"/>
                <w:color w:val="auto"/>
              </w:rPr>
            </w:pPr>
          </w:p>
        </w:tc>
      </w:tr>
      <w:tr>
        <w:trPr>
          <w:trHeight w:val="61"/>
        </w:trPr>
        <w:tc>
          <w:tcPr>
            <w:tcW w:w="77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net assets acquired</w:t>
            </w: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31,186</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8" w:lineRule="exact"/>
        <w:rPr>
          <w:sz w:val="20"/>
          <w:szCs w:val="20"/>
          <w:color w:val="auto"/>
        </w:rPr>
      </w:pPr>
    </w:p>
    <w:p>
      <w:pPr>
        <w:ind w:left="640" w:right="319" w:hanging="348"/>
        <w:spacing w:after="0" w:line="261" w:lineRule="auto"/>
        <w:tabs>
          <w:tab w:leader="none" w:pos="64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share consideration issued in connection with the Spout acquisition was calculated based on 1,244,258 shares of Class A common stock issued multiplied by the share price on the closing date of $15.42.</w:t>
      </w:r>
    </w:p>
    <w:p>
      <w:pPr>
        <w:spacing w:after="0" w:line="5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the expected synergies from combining operations. Goodwill recognized was allocated to the Company’s one operating segment and is generally deductible for tax purposes.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fair values of the trade name intangible assets were determined using an “income approach”, specifically, the relief-from royalty approach, as described above. The fair value of the software technology intangible asset was also determined using an “income approach”, specifically a multi-period excess earnings approach, as described above.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8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December 31, 2023, the Company completed the sunset of certain product offerings including WM CRM, a product offering associated with the acquisition of Sprout, as the Company continues to focus the efforts on other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7" w:name="page198"/>
    <w:bookmarkEnd w:id="19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Weedmaps for Business products that support the Weedmaps marketplace and improve the eCommerce experience for the Company’s clients and users. For the year ended December 31, 2023 the Company recorded an impairment charge of $2.3 million related to intangible assets and $0.1 million related to property and equipment associated with WM CRM, which is included in asset impairment charges in the consolidated statements of operations.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Pro Forma Results and Acquisition-Related Costs</w:t>
      </w:r>
    </w:p>
    <w:p>
      <w:pPr>
        <w:spacing w:after="0" w:line="121"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for the years ended December 31, 2023, 2022 and 2021 include the financial results of the above acquisitions from the date of the acquisitions. Pro forma financial results have not been presented since these acquisitions were not material to our financial results.</w:t>
      </w:r>
    </w:p>
    <w:p>
      <w:pPr>
        <w:spacing w:after="0" w:line="172" w:lineRule="exact"/>
        <w:rPr>
          <w:sz w:val="20"/>
          <w:szCs w:val="20"/>
          <w:color w:val="auto"/>
        </w:rPr>
      </w:pPr>
    </w:p>
    <w:p>
      <w:pPr>
        <w:ind w:left="1640" w:hanging="348"/>
        <w:spacing w:after="0"/>
        <w:tabs>
          <w:tab w:leader="none" w:pos="164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Goodwill totaled $68.4 million as of December 31, 2023 and 2022. No goodwill impairment charges were recorded for the years ended December 31, 2023, 2022 and 2021.</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Intangible assets consisted of the following for the periods presented below (in thousands):</w:t>
      </w:r>
    </w:p>
    <w:p>
      <w:pPr>
        <w:spacing w:after="0" w:line="259"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20" w:type="dxa"/>
            <w:vAlign w:val="bottom"/>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160" w:type="dxa"/>
            <w:vAlign w:val="bottom"/>
            <w:gridSpan w:val="8"/>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Intangible</w:t>
            </w:r>
          </w:p>
        </w:tc>
        <w:tc>
          <w:tcPr>
            <w:tcW w:w="94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Period</w:t>
            </w:r>
          </w:p>
        </w:tc>
        <w:tc>
          <w:tcPr>
            <w:tcW w:w="1160" w:type="dxa"/>
            <w:vAlign w:val="bottom"/>
            <w:gridSpan w:val="8"/>
            <w:vMerge w:val="continue"/>
          </w:tcPr>
          <w:p>
            <w:pPr>
              <w:spacing w:after="0"/>
              <w:rPr>
                <w:sz w:val="12"/>
                <w:szCs w:val="12"/>
                <w:color w:val="auto"/>
              </w:rPr>
            </w:pPr>
          </w:p>
        </w:tc>
        <w:tc>
          <w:tcPr>
            <w:tcW w:w="940" w:type="dxa"/>
            <w:vAlign w:val="bottom"/>
            <w:gridSpan w:val="6"/>
            <w:vMerge w:val="continue"/>
          </w:tcPr>
          <w:p>
            <w:pPr>
              <w:spacing w:after="0"/>
              <w:rPr>
                <w:sz w:val="12"/>
                <w:szCs w:val="12"/>
                <w:color w:val="auto"/>
              </w:rPr>
            </w:pPr>
          </w:p>
        </w:tc>
        <w:tc>
          <w:tcPr>
            <w:tcW w:w="9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02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37"/>
        </w:trPr>
        <w:tc>
          <w:tcPr>
            <w:tcW w:w="402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128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4"/>
            <w:shd w:val="clear" w:color="auto" w:fill="CCEEFF"/>
          </w:tcPr>
          <w:p>
            <w:pPr>
              <w:jc w:val="center"/>
              <w:ind w:left="194"/>
              <w:spacing w:after="0"/>
              <w:rPr>
                <w:sz w:val="20"/>
                <w:szCs w:val="20"/>
                <w:color w:val="auto"/>
              </w:rPr>
            </w:pPr>
            <w:r>
              <w:rPr>
                <w:rFonts w:ascii="Times New Roman" w:cs="Times New Roman" w:eastAsia="Times New Roman" w:hAnsi="Times New Roman"/>
                <w:sz w:val="18"/>
                <w:szCs w:val="18"/>
                <w:color w:val="auto"/>
              </w:rPr>
              <w:t>$7,256</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$(5,008)</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4"/>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rPr>
              <w:t>$2,248</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280" w:type="dxa"/>
            <w:vAlign w:val="bottom"/>
          </w:tcPr>
          <w:p>
            <w:pPr>
              <w:jc w:val="right"/>
              <w:ind w:right="417"/>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8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spacing w:after="0"/>
              <w:rPr>
                <w:sz w:val="19"/>
                <w:szCs w:val="19"/>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40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28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2"/>
                <w:szCs w:val="22"/>
                <w:color w:val="auto"/>
              </w:rPr>
            </w:pPr>
          </w:p>
        </w:tc>
        <w:tc>
          <w:tcPr>
            <w:tcW w:w="780" w:type="dxa"/>
            <w:vAlign w:val="bottom"/>
            <w:gridSpan w:val="4"/>
          </w:tcPr>
          <w:p>
            <w:pPr>
              <w:jc w:val="center"/>
              <w:ind w:left="194"/>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7,675</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(5,168)</w:t>
            </w:r>
          </w:p>
        </w:tc>
        <w:tc>
          <w:tcPr>
            <w:tcW w:w="120" w:type="dxa"/>
            <w:vAlign w:val="bottom"/>
          </w:tcPr>
          <w:p>
            <w:pPr>
              <w:spacing w:after="0"/>
              <w:rPr>
                <w:sz w:val="22"/>
                <w:szCs w:val="22"/>
                <w:color w:val="auto"/>
              </w:rPr>
            </w:pPr>
          </w:p>
        </w:tc>
        <w:tc>
          <w:tcPr>
            <w:tcW w:w="720" w:type="dxa"/>
            <w:vAlign w:val="bottom"/>
            <w:gridSpan w:val="4"/>
          </w:tcPr>
          <w:p>
            <w:pPr>
              <w:jc w:val="center"/>
              <w:ind w:left="95"/>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2,507</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4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020" w:type="dxa"/>
            <w:vAlign w:val="bottom"/>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160" w:type="dxa"/>
            <w:vAlign w:val="bottom"/>
            <w:gridSpan w:val="8"/>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Intangible</w:t>
            </w:r>
          </w:p>
        </w:tc>
        <w:tc>
          <w:tcPr>
            <w:tcW w:w="94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Period</w:t>
            </w:r>
          </w:p>
        </w:tc>
        <w:tc>
          <w:tcPr>
            <w:tcW w:w="1160" w:type="dxa"/>
            <w:vAlign w:val="bottom"/>
            <w:gridSpan w:val="8"/>
            <w:vMerge w:val="continue"/>
          </w:tcPr>
          <w:p>
            <w:pPr>
              <w:spacing w:after="0"/>
              <w:rPr>
                <w:sz w:val="12"/>
                <w:szCs w:val="12"/>
                <w:color w:val="auto"/>
              </w:rPr>
            </w:pPr>
          </w:p>
        </w:tc>
        <w:tc>
          <w:tcPr>
            <w:tcW w:w="940" w:type="dxa"/>
            <w:vAlign w:val="bottom"/>
            <w:gridSpan w:val="6"/>
            <w:vMerge w:val="continue"/>
          </w:tcPr>
          <w:p>
            <w:pPr>
              <w:spacing w:after="0"/>
              <w:rPr>
                <w:sz w:val="12"/>
                <w:szCs w:val="12"/>
                <w:color w:val="auto"/>
              </w:rPr>
            </w:pPr>
          </w:p>
        </w:tc>
        <w:tc>
          <w:tcPr>
            <w:tcW w:w="9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02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37"/>
        </w:trPr>
        <w:tc>
          <w:tcPr>
            <w:tcW w:w="402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128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$ 7,635</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(4,699)</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$ 2,936</w:t>
            </w: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280" w:type="dxa"/>
            <w:vAlign w:val="bottom"/>
          </w:tcPr>
          <w:p>
            <w:pPr>
              <w:jc w:val="right"/>
              <w:ind w:right="417"/>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7,516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(4,413)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8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5,211</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1280" w:type="dxa"/>
            <w:vAlign w:val="bottom"/>
          </w:tcPr>
          <w:p>
            <w:pPr>
              <w:jc w:val="right"/>
              <w:ind w:right="417"/>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8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   210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   (200)</w:t>
            </w:r>
          </w:p>
        </w:tc>
        <w:tc>
          <w:tcPr>
            <w:tcW w:w="12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40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28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2"/>
                <w:szCs w:val="22"/>
                <w:color w:val="auto"/>
              </w:rPr>
            </w:pPr>
          </w:p>
        </w:tc>
        <w:tc>
          <w:tcPr>
            <w:tcW w:w="1040" w:type="dxa"/>
            <w:vAlign w:val="bottom"/>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20,572</w:t>
            </w:r>
          </w:p>
        </w:tc>
        <w:tc>
          <w:tcPr>
            <w:tcW w:w="120" w:type="dxa"/>
            <w:vAlign w:val="bottom"/>
            <w:shd w:val="clear" w:color="auto" w:fill="CCEEFF"/>
          </w:tcPr>
          <w:p>
            <w:pPr>
              <w:spacing w:after="0"/>
              <w:rPr>
                <w:sz w:val="22"/>
                <w:szCs w:val="22"/>
                <w:color w:val="auto"/>
              </w:rPr>
            </w:pPr>
          </w:p>
        </w:tc>
        <w:tc>
          <w:tcPr>
            <w:tcW w:w="8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(10,233)</w:t>
            </w:r>
          </w:p>
        </w:tc>
        <w:tc>
          <w:tcPr>
            <w:tcW w:w="120" w:type="dxa"/>
            <w:vAlign w:val="bottom"/>
            <w:shd w:val="clear" w:color="auto" w:fill="CCEEFF"/>
          </w:tcPr>
          <w:p>
            <w:pPr>
              <w:spacing w:after="0"/>
              <w:rPr>
                <w:sz w:val="22"/>
                <w:szCs w:val="22"/>
                <w:color w:val="auto"/>
              </w:rPr>
            </w:pPr>
          </w:p>
        </w:tc>
        <w:tc>
          <w:tcPr>
            <w:tcW w:w="7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10,339</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40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5518150</wp:posOffset>
            </wp:positionH>
            <wp:positionV relativeFrom="paragraph">
              <wp:posOffset>-2322830</wp:posOffset>
            </wp:positionV>
            <wp:extent cx="6858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4918075</wp:posOffset>
            </wp:positionH>
            <wp:positionV relativeFrom="paragraph">
              <wp:posOffset>-2322830</wp:posOffset>
            </wp:positionV>
            <wp:extent cx="6858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4189095</wp:posOffset>
            </wp:positionH>
            <wp:positionV relativeFrom="paragraph">
              <wp:posOffset>-2322830</wp:posOffset>
            </wp:positionV>
            <wp:extent cx="6858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3340735</wp:posOffset>
            </wp:positionH>
            <wp:positionV relativeFrom="paragraph">
              <wp:posOffset>-2322830</wp:posOffset>
            </wp:positionV>
            <wp:extent cx="3429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5518150</wp:posOffset>
            </wp:positionH>
            <wp:positionV relativeFrom="paragraph">
              <wp:posOffset>-934085</wp:posOffset>
            </wp:positionV>
            <wp:extent cx="6858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4918075</wp:posOffset>
            </wp:positionH>
            <wp:positionV relativeFrom="paragraph">
              <wp:posOffset>-934085</wp:posOffset>
            </wp:positionV>
            <wp:extent cx="6858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4189095</wp:posOffset>
            </wp:positionH>
            <wp:positionV relativeFrom="paragraph">
              <wp:posOffset>-934085</wp:posOffset>
            </wp:positionV>
            <wp:extent cx="6858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3340735</wp:posOffset>
            </wp:positionH>
            <wp:positionV relativeFrom="paragraph">
              <wp:posOffset>-934085</wp:posOffset>
            </wp:positionV>
            <wp:extent cx="3429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70" w:lineRule="exact"/>
        <w:rPr>
          <w:sz w:val="20"/>
          <w:szCs w:val="20"/>
          <w:color w:val="auto"/>
        </w:rPr>
      </w:pPr>
    </w:p>
    <w:p>
      <w:pPr>
        <w:jc w:val="both"/>
        <w:ind w:left="1300" w:right="1300"/>
        <w:spacing w:after="0" w:line="256" w:lineRule="auto"/>
        <w:rPr>
          <w:sz w:val="20"/>
          <w:szCs w:val="20"/>
          <w:color w:val="auto"/>
        </w:rPr>
      </w:pPr>
      <w:r>
        <w:rPr>
          <w:rFonts w:ascii="Times New Roman" w:cs="Times New Roman" w:eastAsia="Times New Roman" w:hAnsi="Times New Roman"/>
          <w:sz w:val="18"/>
          <w:szCs w:val="18"/>
          <w:color w:val="auto"/>
        </w:rPr>
        <w:t>Amortization expense for intangible assets was $7.8 million, $2.7 million and $1.3 million for the years ended December 31, 2023, 2022 and 2021, respectively. The Company recorded an impairment charge of $6.1 million for the year ended December 31, 2023 related to intangible assets associated with certain product offerings that were sunset in December 2023, which is included in asset impairment charges in the consolidated statements of operations. No intangible asset impairment charges have been recorded for the years ended December 31, 2022 and 2021.</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as of December 31, 2023 is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1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37"/>
        </w:trPr>
        <w:tc>
          <w:tcPr>
            <w:tcW w:w="1300" w:type="dxa"/>
            <w:vAlign w:val="bottom"/>
          </w:tcPr>
          <w:p>
            <w:pPr>
              <w:spacing w:after="0"/>
              <w:rPr>
                <w:sz w:val="3"/>
                <w:szCs w:val="3"/>
                <w:color w:val="auto"/>
              </w:rPr>
            </w:pPr>
          </w:p>
        </w:tc>
        <w:tc>
          <w:tcPr>
            <w:tcW w:w="2980" w:type="dxa"/>
            <w:vAlign w:val="bottom"/>
            <w:tcBorders>
              <w:bottom w:val="single" w:sz="8" w:color="CCEEFF"/>
            </w:tcBorders>
          </w:tcPr>
          <w:p>
            <w:pPr>
              <w:spacing w:after="0"/>
              <w:rPr>
                <w:sz w:val="3"/>
                <w:szCs w:val="3"/>
                <w:color w:val="auto"/>
              </w:rPr>
            </w:pPr>
          </w:p>
        </w:tc>
        <w:tc>
          <w:tcPr>
            <w:tcW w:w="46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r>
      <w:tr>
        <w:trPr>
          <w:trHeight w:val="270"/>
        </w:trPr>
        <w:tc>
          <w:tcPr>
            <w:tcW w:w="1300" w:type="dxa"/>
            <w:vAlign w:val="bottom"/>
          </w:tcPr>
          <w:p>
            <w:pPr>
              <w:spacing w:after="0"/>
              <w:rPr>
                <w:sz w:val="23"/>
                <w:szCs w:val="23"/>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Years ended December 31,</w:t>
            </w:r>
          </w:p>
        </w:tc>
        <w:tc>
          <w:tcPr>
            <w:tcW w:w="46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243"/>
        </w:trPr>
        <w:tc>
          <w:tcPr>
            <w:tcW w:w="4280" w:type="dxa"/>
            <w:vAlign w:val="bottom"/>
            <w:gridSpan w:val="2"/>
          </w:tcPr>
          <w:p>
            <w:pPr>
              <w:jc w:val="right"/>
              <w:ind w:right="2530"/>
              <w:spacing w:after="0"/>
              <w:rPr>
                <w:sz w:val="20"/>
                <w:szCs w:val="20"/>
                <w:color w:val="auto"/>
              </w:rPr>
            </w:pPr>
            <w:r>
              <w:rPr>
                <w:rFonts w:ascii="Times New Roman" w:cs="Times New Roman" w:eastAsia="Times New Roman" w:hAnsi="Times New Roman"/>
                <w:sz w:val="18"/>
                <w:szCs w:val="18"/>
                <w:color w:val="auto"/>
              </w:rPr>
              <w:t>2024</w:t>
            </w:r>
          </w:p>
        </w:tc>
        <w:tc>
          <w:tcPr>
            <w:tcW w:w="4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280" w:type="dxa"/>
            <w:vAlign w:val="bottom"/>
            <w:gridSpan w:val="2"/>
          </w:tcPr>
          <w:p>
            <w:pPr>
              <w:spacing w:after="0"/>
              <w:rPr>
                <w:sz w:val="2"/>
                <w:szCs w:val="2"/>
                <w:color w:val="auto"/>
              </w:rPr>
            </w:pPr>
          </w:p>
        </w:tc>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jc w:val="right"/>
              <w:ind w:right="2530"/>
              <w:spacing w:after="0"/>
              <w:rPr>
                <w:sz w:val="20"/>
                <w:szCs w:val="20"/>
                <w:color w:val="auto"/>
              </w:rPr>
            </w:pPr>
            <w:r>
              <w:rPr>
                <w:rFonts w:ascii="Times New Roman" w:cs="Times New Roman" w:eastAsia="Times New Roman" w:hAnsi="Times New Roman"/>
                <w:sz w:val="18"/>
                <w:szCs w:val="18"/>
                <w:color w:val="auto"/>
                <w:w w:val="94"/>
              </w:rPr>
              <w:t>2025</w:t>
            </w:r>
          </w:p>
        </w:tc>
        <w:tc>
          <w:tcPr>
            <w:tcW w:w="4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4280" w:type="dxa"/>
            <w:vAlign w:val="bottom"/>
            <w:gridSpan w:val="2"/>
          </w:tcPr>
          <w:p>
            <w:pPr>
              <w:jc w:val="right"/>
              <w:ind w:right="2530"/>
              <w:spacing w:after="0"/>
              <w:rPr>
                <w:sz w:val="20"/>
                <w:szCs w:val="20"/>
                <w:color w:val="auto"/>
              </w:rPr>
            </w:pPr>
            <w:r>
              <w:rPr>
                <w:rFonts w:ascii="Times New Roman" w:cs="Times New Roman" w:eastAsia="Times New Roman" w:hAnsi="Times New Roman"/>
                <w:sz w:val="18"/>
                <w:szCs w:val="18"/>
                <w:color w:val="auto"/>
              </w:rPr>
              <w:t>2026</w:t>
            </w:r>
          </w:p>
        </w:tc>
        <w:tc>
          <w:tcPr>
            <w:tcW w:w="4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543</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280" w:type="dxa"/>
            <w:vAlign w:val="bottom"/>
            <w:gridSpan w:val="2"/>
          </w:tcPr>
          <w:p>
            <w:pPr>
              <w:spacing w:after="0"/>
              <w:rPr>
                <w:sz w:val="2"/>
                <w:szCs w:val="2"/>
                <w:color w:val="auto"/>
              </w:rPr>
            </w:pPr>
          </w:p>
        </w:tc>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jc w:val="right"/>
              <w:ind w:right="2530"/>
              <w:spacing w:after="0"/>
              <w:rPr>
                <w:sz w:val="20"/>
                <w:szCs w:val="20"/>
                <w:color w:val="auto"/>
              </w:rPr>
            </w:pPr>
            <w:r>
              <w:rPr>
                <w:rFonts w:ascii="Times New Roman" w:cs="Times New Roman" w:eastAsia="Times New Roman" w:hAnsi="Times New Roman"/>
                <w:sz w:val="18"/>
                <w:szCs w:val="18"/>
                <w:color w:val="auto"/>
                <w:w w:val="94"/>
              </w:rPr>
              <w:t>2027</w:t>
            </w:r>
          </w:p>
        </w:tc>
        <w:tc>
          <w:tcPr>
            <w:tcW w:w="4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505</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4280" w:type="dxa"/>
            <w:vAlign w:val="bottom"/>
            <w:gridSpan w:val="2"/>
          </w:tcPr>
          <w:p>
            <w:pPr>
              <w:jc w:val="right"/>
              <w:ind w:right="2530"/>
              <w:spacing w:after="0"/>
              <w:rPr>
                <w:sz w:val="20"/>
                <w:szCs w:val="20"/>
                <w:color w:val="auto"/>
              </w:rPr>
            </w:pPr>
            <w:r>
              <w:rPr>
                <w:rFonts w:ascii="Times New Roman" w:cs="Times New Roman" w:eastAsia="Times New Roman" w:hAnsi="Times New Roman"/>
                <w:sz w:val="18"/>
                <w:szCs w:val="18"/>
                <w:color w:val="auto"/>
              </w:rPr>
              <w:t>2028</w:t>
            </w:r>
          </w:p>
        </w:tc>
        <w:tc>
          <w:tcPr>
            <w:tcW w:w="4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1300" w:type="dxa"/>
            <w:vAlign w:val="bottom"/>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48"/>
        </w:trPr>
        <w:tc>
          <w:tcPr>
            <w:tcW w:w="1300" w:type="dxa"/>
            <w:vAlign w:val="bottom"/>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c>
          <w:tcPr>
            <w:tcW w:w="46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4760" w:type="dxa"/>
            <w:vAlign w:val="bottom"/>
            <w:gridSpan w:val="2"/>
          </w:tcPr>
          <w:p>
            <w:pPr>
              <w:spacing w:after="0"/>
              <w:rPr>
                <w:sz w:val="22"/>
                <w:szCs w:val="22"/>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2,507</w:t>
            </w: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79"/>
        </w:trPr>
        <w:tc>
          <w:tcPr>
            <w:tcW w:w="1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920" w:type="dxa"/>
            <w:vAlign w:val="bottom"/>
            <w:gridSpan w:val="3"/>
          </w:tcPr>
          <w:p>
            <w:pPr>
              <w:jc w:val="right"/>
              <w:ind w:right="3430"/>
              <w:spacing w:after="0"/>
              <w:rPr>
                <w:sz w:val="20"/>
                <w:szCs w:val="20"/>
                <w:color w:val="auto"/>
              </w:rPr>
            </w:pPr>
            <w:r>
              <w:rPr>
                <w:rFonts w:ascii="Times New Roman" w:cs="Times New Roman" w:eastAsia="Times New Roman" w:hAnsi="Times New Roman"/>
                <w:sz w:val="18"/>
                <w:szCs w:val="18"/>
                <w:color w:val="auto"/>
              </w:rPr>
              <w:t>F-59</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4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5560695</wp:posOffset>
            </wp:positionH>
            <wp:positionV relativeFrom="paragraph">
              <wp:posOffset>-1851025</wp:posOffset>
            </wp:positionV>
            <wp:extent cx="7747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020"/>
          </w:cols>
          <w:pgMar w:left="440" w:top="263" w:right="439" w:bottom="1095" w:gutter="0" w:footer="0" w:header="0"/>
        </w:sectPr>
      </w:pPr>
    </w:p>
    <w:bookmarkStart w:id="198" w:name="page199"/>
    <w:bookmarkEnd w:id="1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ind w:left="300" w:right="2179" w:firstLine="1832"/>
        <w:spacing w:after="0" w:line="260"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 10. Prepaid Expenses and Other Current Assets</w:t>
      </w:r>
    </w:p>
    <w:p>
      <w:pPr>
        <w:spacing w:after="0" w:line="7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as</w:t>
            </w:r>
          </w:p>
        </w:tc>
        <w:tc>
          <w:tcPr>
            <w:tcW w:w="35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of December 31, 2023 and 2022 consisted</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of the following</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22"/>
        </w:trPr>
        <w:tc>
          <w:tcPr>
            <w:tcW w:w="3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24"/>
                <w:szCs w:val="24"/>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50"/>
        </w:trPr>
        <w:tc>
          <w:tcPr>
            <w:tcW w:w="3580" w:type="dxa"/>
            <w:vAlign w:val="bottom"/>
            <w:tcBorders>
              <w:bottom w:val="single" w:sz="8" w:color="CCEEFF"/>
            </w:tcBorders>
          </w:tcPr>
          <w:p>
            <w:pPr>
              <w:spacing w:after="0"/>
              <w:rPr>
                <w:sz w:val="4"/>
                <w:szCs w:val="4"/>
                <w:color w:val="auto"/>
              </w:rPr>
            </w:pPr>
          </w:p>
        </w:tc>
        <w:tc>
          <w:tcPr>
            <w:tcW w:w="22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r>
      <w:tr>
        <w:trPr>
          <w:trHeight w:val="311"/>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3440" w:type="dxa"/>
            <w:vAlign w:val="bottom"/>
            <w:tcBorders>
              <w:bottom w:val="single" w:sz="8" w:color="CCEEFF"/>
            </w:tcBorders>
            <w:gridSpan w:val="4"/>
            <w:shd w:val="clear" w:color="auto" w:fill="CCEEFF"/>
          </w:tcPr>
          <w:p>
            <w:pPr>
              <w:jc w:val="center"/>
              <w:ind w:left="2210"/>
              <w:spacing w:after="0"/>
              <w:rPr>
                <w:sz w:val="20"/>
                <w:szCs w:val="20"/>
                <w:color w:val="auto"/>
              </w:rPr>
            </w:pPr>
            <w:r>
              <w:rPr>
                <w:rFonts w:ascii="Times New Roman" w:cs="Times New Roman" w:eastAsia="Times New Roman" w:hAnsi="Times New Roman"/>
                <w:sz w:val="18"/>
                <w:szCs w:val="18"/>
                <w:color w:val="auto"/>
              </w:rPr>
              <w:t>$1,530</w:t>
            </w:r>
          </w:p>
        </w:tc>
        <w:tc>
          <w:tcPr>
            <w:tcW w:w="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$2,869</w:t>
            </w:r>
          </w:p>
        </w:tc>
      </w:tr>
      <w:tr>
        <w:trPr>
          <w:trHeight w:val="27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Prepaid marketing</w:t>
            </w:r>
          </w:p>
        </w:tc>
        <w:tc>
          <w:tcPr>
            <w:tcW w:w="3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340" w:type="dxa"/>
            <w:vAlign w:val="bottom"/>
          </w:tcPr>
          <w:p>
            <w:pPr>
              <w:spacing w:after="0"/>
              <w:rPr>
                <w:sz w:val="23"/>
                <w:szCs w:val="23"/>
                <w:color w:val="auto"/>
              </w:rPr>
            </w:pPr>
          </w:p>
        </w:tc>
      </w:tr>
      <w:tr>
        <w:trPr>
          <w:trHeight w:val="54"/>
        </w:trPr>
        <w:tc>
          <w:tcPr>
            <w:tcW w:w="3580" w:type="dxa"/>
            <w:vAlign w:val="bottom"/>
          </w:tcPr>
          <w:p>
            <w:pPr>
              <w:spacing w:after="0"/>
              <w:rPr>
                <w:sz w:val="4"/>
                <w:szCs w:val="4"/>
                <w:color w:val="auto"/>
              </w:rPr>
            </w:pPr>
          </w:p>
        </w:tc>
        <w:tc>
          <w:tcPr>
            <w:tcW w:w="2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r>
      <w:tr>
        <w:trPr>
          <w:trHeight w:val="304"/>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w:t>
            </w:r>
          </w:p>
        </w:tc>
        <w:tc>
          <w:tcPr>
            <w:tcW w:w="3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3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340" w:type="dxa"/>
            <w:vAlign w:val="bottom"/>
            <w:tcBorders>
              <w:bottom w:val="single" w:sz="8" w:color="CCEEFF"/>
            </w:tcBorders>
            <w:shd w:val="clear" w:color="auto" w:fill="CCEEFF"/>
          </w:tcPr>
          <w:p>
            <w:pPr>
              <w:spacing w:after="0"/>
              <w:rPr>
                <w:sz w:val="24"/>
                <w:szCs w:val="24"/>
                <w:color w:val="auto"/>
              </w:rPr>
            </w:pPr>
          </w:p>
        </w:tc>
      </w:tr>
      <w:tr>
        <w:trPr>
          <w:trHeight w:val="257"/>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3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340" w:type="dxa"/>
            <w:vAlign w:val="bottom"/>
          </w:tcPr>
          <w:p>
            <w:pPr>
              <w:spacing w:after="0"/>
              <w:rPr>
                <w:sz w:val="22"/>
                <w:szCs w:val="22"/>
                <w:color w:val="auto"/>
              </w:rPr>
            </w:pPr>
          </w:p>
        </w:tc>
      </w:tr>
      <w:tr>
        <w:trPr>
          <w:trHeight w:val="61"/>
        </w:trPr>
        <w:tc>
          <w:tcPr>
            <w:tcW w:w="35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r>
      <w:tr>
        <w:trPr>
          <w:trHeight w:val="270"/>
        </w:trPr>
        <w:tc>
          <w:tcPr>
            <w:tcW w:w="3580" w:type="dxa"/>
            <w:vAlign w:val="bottom"/>
            <w:shd w:val="clear" w:color="auto" w:fill="CCEEFF"/>
          </w:tcPr>
          <w:p>
            <w:pPr>
              <w:spacing w:after="0"/>
              <w:rPr>
                <w:sz w:val="23"/>
                <w:szCs w:val="23"/>
                <w:color w:val="auto"/>
              </w:rPr>
            </w:pPr>
          </w:p>
        </w:tc>
        <w:tc>
          <w:tcPr>
            <w:tcW w:w="3440" w:type="dxa"/>
            <w:vAlign w:val="bottom"/>
            <w:gridSpan w:val="4"/>
            <w:shd w:val="clear" w:color="auto" w:fill="CCEEFF"/>
          </w:tcPr>
          <w:p>
            <w:pPr>
              <w:jc w:val="center"/>
              <w:ind w:left="221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5,978</w:t>
            </w:r>
          </w:p>
        </w:tc>
        <w:tc>
          <w:tcPr>
            <w:tcW w:w="60" w:type="dxa"/>
            <w:vAlign w:val="bottom"/>
            <w:shd w:val="clear" w:color="auto" w:fill="CCEEFF"/>
          </w:tcPr>
          <w:p>
            <w:pPr>
              <w:spacing w:after="0"/>
              <w:rPr>
                <w:sz w:val="23"/>
                <w:szCs w:val="23"/>
                <w:color w:val="auto"/>
              </w:rPr>
            </w:pPr>
          </w:p>
        </w:tc>
        <w:tc>
          <w:tcPr>
            <w:tcW w:w="134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8,962</w:t>
            </w:r>
          </w:p>
        </w:tc>
      </w:tr>
      <w:tr>
        <w:trPr>
          <w:trHeight w:val="48"/>
        </w:trPr>
        <w:tc>
          <w:tcPr>
            <w:tcW w:w="358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-1062355</wp:posOffset>
            </wp:positionV>
            <wp:extent cx="13716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-1062355</wp:posOffset>
            </wp:positionV>
            <wp:extent cx="6858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Company capitalizes implementation costs incurred in cloud computing arrangements that are service contracts if they meet certain requirements. Those requirements are similar to the requirements for capitalizing implementation costs incurred to develop internal-use software. Amortization is computed using the straight-line method over the term of the associated hosting arrangement. These implementation costs are classified on the balance sheet in prepaid and other current assets, and the related cash flows are presented as cash outflows from operations. Impairment is recognized and measured when it is no longer probable that the computer software project will be completed and placed in service.</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 impairment charge was recognized during the year ended December 31, 2023, related to certain capitalized implementation costs for a cloud computing arrangement that was abandoned. The Company recognized an impairment charge of $0.8 million during the year ended December 31, 2022, related to certain capitalized implementation costs for a cloud computing arrangement that was abandoned.</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11.  Accounts Payable and Accrued Expenses</w:t>
      </w:r>
    </w:p>
    <w:p>
      <w:pPr>
        <w:spacing w:after="0" w:line="13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Accounts payable and accrued liabilities as of December 31, 2023 and 2022 consisted of the following (in thousands):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3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50"/>
        </w:trPr>
        <w:tc>
          <w:tcPr>
            <w:tcW w:w="58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$ 7,323</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$ 9,561</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r>
      <w:tr>
        <w:trPr>
          <w:trHeight w:val="25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expenses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24,074</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61"/>
        </w:trPr>
        <w:tc>
          <w:tcPr>
            <w:tcW w:w="58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r>
      <w:tr>
        <w:trPr>
          <w:trHeight w:val="270"/>
        </w:trPr>
        <w:tc>
          <w:tcPr>
            <w:tcW w:w="5860" w:type="dxa"/>
            <w:vAlign w:val="bottom"/>
            <w:shd w:val="clear" w:color="auto" w:fill="CCEEFF"/>
          </w:tcPr>
          <w:p>
            <w:pPr>
              <w:spacing w:after="0"/>
              <w:rPr>
                <w:sz w:val="23"/>
                <w:szCs w:val="23"/>
                <w:color w:val="auto"/>
              </w:rPr>
            </w:pPr>
          </w:p>
        </w:tc>
        <w:tc>
          <w:tcPr>
            <w:tcW w:w="8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21,182</w:t>
            </w:r>
          </w:p>
        </w:tc>
        <w:tc>
          <w:tcPr>
            <w:tcW w:w="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33,635</w:t>
            </w:r>
          </w:p>
        </w:tc>
        <w:tc>
          <w:tcPr>
            <w:tcW w:w="280" w:type="dxa"/>
            <w:vAlign w:val="bottom"/>
            <w:shd w:val="clear" w:color="auto" w:fill="CCEEFF"/>
          </w:tcPr>
          <w:p>
            <w:pPr>
              <w:spacing w:after="0"/>
              <w:rPr>
                <w:sz w:val="23"/>
                <w:szCs w:val="23"/>
                <w:color w:val="auto"/>
              </w:rPr>
            </w:pPr>
          </w:p>
        </w:tc>
      </w:tr>
      <w:tr>
        <w:trPr>
          <w:trHeight w:val="48"/>
        </w:trPr>
        <w:tc>
          <w:tcPr>
            <w:tcW w:w="58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-650875</wp:posOffset>
            </wp:positionV>
            <wp:extent cx="13716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-650875</wp:posOffset>
            </wp:positionV>
            <wp:extent cx="6858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Accrued employee expenses include accrued bonuses of $2.6 million and $9.9 million as of December 31, 2023 and 2022, respectively, primarily related to certain employment agreements entered into in connection with prior acquisitions. The decrease in accrued employee expenses as of December 31, 2023 compared with December 31, 2022 is primarily due to a decline in bonuses accrual of $5.9 million related to certain employment agreements entered into in connection with prior acquisitions, payment of employee termination cost of $3.6 million and a decline in other employee bonuses of $0.6 million due to a decrease in employee headcount.</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12.  Warrant Liability</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At December 31, 2023, there were 12,499,973 Public Warrants outstanding and 7,000,000 Private Placement Warrants outstanding.</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7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9" w:name="page200"/>
    <w:bookmarkEnd w:id="1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8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Company may exercise its redemption right even if it is unable to register or qualify the underlying securities for sale under all applicable state securities laws.</w:t>
      </w:r>
    </w:p>
    <w:p>
      <w:pPr>
        <w:spacing w:after="0" w:line="5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The Company concluded the Public Warrants and Private Placement Warrants, or the Warrants, meet the definition of a derivative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 described in Note 2) and are recorded as liabilities. Upon the Closing, the fair value of the Warrants was recorded on the balance sheet. The fair value of the Warrants is remeasured as of each balance sheet date, which resulted in non-cash gain of $1.5 million, $25.4 million and $166.5 million in the consolidated statements of operations for the years ended December 31, 2023, 2022 and 2021, respectively. For additional information, see Note 6, “Fair Value Measurements.”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13.  Equity</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0" w:name="page201"/>
    <w:bookmarkEnd w:id="2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the Company’s board of directors.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the Company’s assets.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Issuance and Retirement of Class V Common Stock</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December 31, 2023, there were no shares of preferred stock issued or outstanding.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1" w:name="page202"/>
    <w:bookmarkEnd w:id="2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noncontrolling interest represents the Units held by holders other than the Company. As of December 31, 2023, the noncontrolling interests owned 37.2%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 Net income for the period prior to the Business Combination from January 1, 2021 to June 15, 2021 is allocated to net income attributable to noncontrolling interests on the consolidated statements of operations for the year ended December 31, 2021.</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WM Holding Company, LLC Equity Incentive Plan</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accounted for the issuance of Class A-3 and Class B Units issued under the WM Holding Company, LLC Equity Incentive Plan in accordance with ASC 718 - </w:t>
      </w:r>
      <w:r>
        <w:rPr>
          <w:rFonts w:ascii="Times New Roman" w:cs="Times New Roman" w:eastAsia="Times New Roman" w:hAnsi="Times New Roman"/>
          <w:sz w:val="18"/>
          <w:szCs w:val="18"/>
          <w:i w:val="1"/>
          <w:iCs w:val="1"/>
          <w:color w:val="auto"/>
        </w:rPr>
        <w:t>Stock Based Compensation</w:t>
      </w:r>
      <w:r>
        <w:rPr>
          <w:rFonts w:ascii="Times New Roman" w:cs="Times New Roman" w:eastAsia="Times New Roman" w:hAnsi="Times New Roman"/>
          <w:sz w:val="18"/>
          <w:szCs w:val="18"/>
          <w:color w:val="auto"/>
        </w:rPr>
        <w:t>. The Company considered the limitation on the exercisability of the Class A-3 and Class B Units to be a performance condition and recorded compensation cost when it became probable that the performance condition would be met.</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Class P Unit activity for the periods presented is as follows:</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 of Units</w:t>
            </w:r>
          </w:p>
        </w:tc>
      </w:tr>
      <w:tr>
        <w:trPr>
          <w:trHeight w:val="50"/>
        </w:trPr>
        <w:tc>
          <w:tcPr>
            <w:tcW w:w="73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311"/>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Class P Units, December 31, 2022</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15,125,429</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Cancellations</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(75,922)</w:t>
            </w:r>
          </w:p>
        </w:tc>
      </w:tr>
      <w:tr>
        <w:trPr>
          <w:trHeight w:val="54"/>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1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Exchanged for Class A Common Stock</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(245,000)</w:t>
            </w:r>
          </w:p>
        </w:tc>
      </w:tr>
      <w:tr>
        <w:trPr>
          <w:trHeight w:val="283"/>
        </w:trPr>
        <w:tc>
          <w:tcPr>
            <w:tcW w:w="73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Class P Units, December 31, 2023</w:t>
            </w:r>
          </w:p>
        </w:tc>
        <w:tc>
          <w:tcPr>
            <w:tcW w:w="120" w:type="dxa"/>
            <w:vAlign w:val="bottom"/>
            <w:tcBorders>
              <w:top w:val="single" w:sz="8" w:color="CCEEFF"/>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14,804,507</w:t>
            </w:r>
          </w:p>
        </w:tc>
        <w:tc>
          <w:tcPr>
            <w:tcW w:w="120" w:type="dxa"/>
            <w:vAlign w:val="bottom"/>
            <w:tcBorders>
              <w:top w:val="single" w:sz="8" w:color="CCEEFF"/>
            </w:tcBorders>
          </w:tcPr>
          <w:p>
            <w:pPr>
              <w:spacing w:after="0"/>
              <w:rPr>
                <w:sz w:val="24"/>
                <w:szCs w:val="24"/>
                <w:color w:val="auto"/>
              </w:rPr>
            </w:pPr>
          </w:p>
        </w:tc>
      </w:tr>
      <w:tr>
        <w:trPr>
          <w:trHeight w:val="48"/>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84"/>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December 31, 2023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14,723,936</w:t>
            </w:r>
          </w:p>
        </w:tc>
        <w:tc>
          <w:tcPr>
            <w:tcW w:w="120" w:type="dxa"/>
            <w:vAlign w:val="bottom"/>
            <w:shd w:val="clear" w:color="auto" w:fill="CCEEFF"/>
          </w:tcPr>
          <w:p>
            <w:pPr>
              <w:spacing w:after="0"/>
              <w:rPr>
                <w:sz w:val="24"/>
                <w:szCs w:val="24"/>
                <w:color w:val="auto"/>
              </w:rPr>
            </w:pPr>
          </w:p>
        </w:tc>
      </w:tr>
      <w:tr>
        <w:trPr>
          <w:trHeight w:val="34"/>
        </w:trPr>
        <w:tc>
          <w:tcPr>
            <w:tcW w:w="7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-1079500</wp:posOffset>
            </wp:positionV>
            <wp:extent cx="11176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of December 31, 2023, unrecognized stock-based compensation expense for non-vested Class P Units were $0.2 million, which is expected to be recognized over a weighted-average period of 0.9 years. For the years ended December 31, 2023, 2022 and 2021, the Company recorded stock-based compensation expense for the Class P Units of $0.5 million, $2.3 million and $20.9 million, respectively. Due to the Business Combination completed in the second quarter of 2021, certain limitations on exercisability related to the Company’s Class P equity awards issued to employees and consultants were removed and as a result the Company recognized the life-to-date expense on units vested through the Business Combination date on those equity awards. The stock-based compensation expense recognized during the year ended December 31, 2021 includes a one-time incremental expense of $4.1 million related to an award modification as a result of an advisory agreement entered into with a former executive.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2" w:name="page203"/>
    <w:bookmarkEnd w:id="2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WM Technology, Inc. Equity Incentive Plan</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December 31, 2023, 33,146,412 shares of Class A 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December 31, 2023, 19,530,046 shares of Class A Common Stock are available for future issuance.</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restricted stock unit (“RSU”) activity for the year ended December 31, 2023 is as follows:</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3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5940" w:type="dxa"/>
            <w:vAlign w:val="bottom"/>
          </w:tcPr>
          <w:p>
            <w:pPr>
              <w:spacing w:after="0"/>
              <w:rPr>
                <w:sz w:val="16"/>
                <w:szCs w:val="16"/>
                <w:color w:val="auto"/>
              </w:rPr>
            </w:pPr>
          </w:p>
        </w:tc>
        <w:tc>
          <w:tcPr>
            <w:tcW w:w="1360" w:type="dxa"/>
            <w:vAlign w:val="bottom"/>
            <w:gridSpan w:val="4"/>
            <w:vMerge w:val="continue"/>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50"/>
        </w:trPr>
        <w:tc>
          <w:tcPr>
            <w:tcW w:w="59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0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6,269,868</w:t>
            </w:r>
          </w:p>
        </w:tc>
        <w:tc>
          <w:tcPr>
            <w:tcW w:w="2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$7.07</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6,634,013</w:t>
            </w:r>
          </w:p>
        </w:tc>
        <w:tc>
          <w:tcPr>
            <w:tcW w:w="280" w:type="dxa"/>
            <w:vAlign w:val="bottom"/>
          </w:tcPr>
          <w:p>
            <w:pPr>
              <w:spacing w:after="0"/>
              <w:rPr>
                <w:sz w:val="23"/>
                <w:szCs w:val="23"/>
                <w:color w:val="auto"/>
              </w:rPr>
            </w:pPr>
          </w:p>
        </w:tc>
        <w:tc>
          <w:tcPr>
            <w:tcW w:w="1120" w:type="dxa"/>
            <w:vAlign w:val="bottom"/>
          </w:tcPr>
          <w:p>
            <w:pPr>
              <w:jc w:val="right"/>
              <w:ind w:right="278"/>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54"/>
        </w:trPr>
        <w:tc>
          <w:tcPr>
            <w:tcW w:w="5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(2,245,844)</w:t>
            </w:r>
          </w:p>
        </w:tc>
        <w:tc>
          <w:tcPr>
            <w:tcW w:w="2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5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Cancelled/Forfeited/Expired</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(2,974,439)</w:t>
            </w:r>
          </w:p>
        </w:tc>
        <w:tc>
          <w:tcPr>
            <w:tcW w:w="280" w:type="dxa"/>
            <w:vAlign w:val="bottom"/>
          </w:tcPr>
          <w:p>
            <w:pPr>
              <w:spacing w:after="0"/>
              <w:rPr>
                <w:sz w:val="22"/>
                <w:szCs w:val="22"/>
                <w:color w:val="auto"/>
              </w:rPr>
            </w:pPr>
          </w:p>
        </w:tc>
        <w:tc>
          <w:tcPr>
            <w:tcW w:w="1120" w:type="dxa"/>
            <w:vAlign w:val="bottom"/>
          </w:tcPr>
          <w:p>
            <w:pPr>
              <w:jc w:val="right"/>
              <w:ind w:right="278"/>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61"/>
        </w:trPr>
        <w:tc>
          <w:tcPr>
            <w:tcW w:w="5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7,683,598</w:t>
            </w: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$2.96</w:t>
            </w:r>
          </w:p>
        </w:tc>
        <w:tc>
          <w:tcPr>
            <w:tcW w:w="0" w:type="dxa"/>
            <w:vAlign w:val="bottom"/>
          </w:tcPr>
          <w:p>
            <w:pPr>
              <w:spacing w:after="0"/>
              <w:rPr>
                <w:sz w:val="1"/>
                <w:szCs w:val="1"/>
                <w:color w:val="auto"/>
              </w:rPr>
            </w:pPr>
          </w:p>
        </w:tc>
      </w:tr>
      <w:tr>
        <w:trPr>
          <w:trHeight w:val="48"/>
        </w:trPr>
        <w:tc>
          <w:tcPr>
            <w:tcW w:w="59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-1062355</wp:posOffset>
            </wp:positionV>
            <wp:extent cx="18859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-1062355</wp:posOffset>
            </wp:positionV>
            <wp:extent cx="10287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 of December 31, 2023, unrecognized stock-based compensation expense for non-vested RSUs was $20.6 million, which is expected to be recognized over a weighted-average period of 1.8 years. For the years ended December 31, 2023, 2022 and 2021, the Company recorded stock-based compensation expense for the RSUs of $13.1 million, $21.2 million and $8.0 million, respectively. Stock-based compensation recognized during the year ended December 31, 2022 included a $0.6 million expense related to an award modification as a result of the departure of the Company’s former chief executive officer.</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grants performance-based restricted stock units (“PRSUs”) with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PRSU activity for the year ended December 31, 2023 is as follows:</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3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PRSUs</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5900" w:type="dxa"/>
            <w:vAlign w:val="bottom"/>
          </w:tcPr>
          <w:p>
            <w:pPr>
              <w:spacing w:after="0"/>
              <w:rPr>
                <w:sz w:val="16"/>
                <w:szCs w:val="16"/>
                <w:color w:val="auto"/>
              </w:rPr>
            </w:pPr>
          </w:p>
        </w:tc>
        <w:tc>
          <w:tcPr>
            <w:tcW w:w="1380" w:type="dxa"/>
            <w:vAlign w:val="bottom"/>
            <w:gridSpan w:val="5"/>
            <w:vMerge w:val="continue"/>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50"/>
        </w:trPr>
        <w:tc>
          <w:tcPr>
            <w:tcW w:w="59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9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859,375</w:t>
            </w:r>
          </w:p>
        </w:tc>
        <w:tc>
          <w:tcPr>
            <w:tcW w:w="2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7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40" w:type="dxa"/>
            <w:vAlign w:val="bottom"/>
          </w:tcPr>
          <w:p>
            <w:pPr>
              <w:spacing w:after="0"/>
              <w:rPr>
                <w:sz w:val="23"/>
                <w:szCs w:val="23"/>
                <w:color w:val="auto"/>
              </w:rPr>
            </w:pPr>
          </w:p>
        </w:tc>
        <w:tc>
          <w:tcPr>
            <w:tcW w:w="114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Cancelled/Forfeited/Expired</w:t>
            </w: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(625,000)</w:t>
            </w:r>
          </w:p>
        </w:tc>
        <w:tc>
          <w:tcPr>
            <w:tcW w:w="240" w:type="dxa"/>
            <w:vAlign w:val="bottom"/>
          </w:tcPr>
          <w:p>
            <w:pPr>
              <w:spacing w:after="0"/>
              <w:rPr>
                <w:sz w:val="22"/>
                <w:szCs w:val="22"/>
                <w:color w:val="auto"/>
              </w:rPr>
            </w:pPr>
          </w:p>
        </w:tc>
        <w:tc>
          <w:tcPr>
            <w:tcW w:w="114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61"/>
        </w:trPr>
        <w:tc>
          <w:tcPr>
            <w:tcW w:w="5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234,375</w:t>
            </w:r>
          </w:p>
        </w:tc>
        <w:tc>
          <w:tcPr>
            <w:tcW w:w="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48"/>
        </w:trPr>
        <w:tc>
          <w:tcPr>
            <w:tcW w:w="59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4660265</wp:posOffset>
            </wp:positionH>
            <wp:positionV relativeFrom="paragraph">
              <wp:posOffset>-1062355</wp:posOffset>
            </wp:positionV>
            <wp:extent cx="15430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-1062355</wp:posOffset>
            </wp:positionV>
            <wp:extent cx="7683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Based on the probability of attainment as of December 31, 2023, the unrecognized stock-based compensation expense for non-vested PRSUs was nil. For the years ended December 31, 2023 and 2022, the Company recorded stock-based compensation credit of $0.1 million and less than $0.1 million, respectively, related to the PRSUs. For the year ended December 31, 2021, the Company recorded stock-based compensation expense of $0.4 million related to the PRSUs. Stock-based compensation expense related to these PRSUs decreased due to the reassessment of vesting probability and the forfeitures resulting from the executive departures.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3" w:name="page204"/>
    <w:bookmarkEnd w:id="2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cost related to the Class P Units, RSUs and PRSUs in the following expense categories on the consolidated statements of operations (in thousands):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2600" w:type="dxa"/>
            <w:vAlign w:val="bottom"/>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37"/>
        </w:trPr>
        <w:tc>
          <w:tcPr>
            <w:tcW w:w="58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13"/>
        </w:trPr>
        <w:tc>
          <w:tcPr>
            <w:tcW w:w="5820" w:type="dxa"/>
            <w:vAlign w:val="bottom"/>
          </w:tcPr>
          <w:p>
            <w:pPr>
              <w:spacing w:after="0"/>
              <w:rPr>
                <w:sz w:val="18"/>
                <w:szCs w:val="18"/>
                <w:color w:val="auto"/>
              </w:rPr>
            </w:pP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8"/>
                <w:szCs w:val="18"/>
                <w:color w:val="auto"/>
              </w:rPr>
            </w:pPr>
          </w:p>
        </w:tc>
      </w:tr>
      <w:tr>
        <w:trPr>
          <w:trHeight w:val="37"/>
        </w:trPr>
        <w:tc>
          <w:tcPr>
            <w:tcW w:w="582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70"/>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$ 2,706</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$ 6,358</w:t>
            </w:r>
          </w:p>
        </w:tc>
        <w:tc>
          <w:tcPr>
            <w:tcW w:w="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$ 6,021</w:t>
            </w:r>
          </w:p>
        </w:tc>
        <w:tc>
          <w:tcPr>
            <w:tcW w:w="40" w:type="dxa"/>
            <w:vAlign w:val="bottom"/>
            <w:tcBorders>
              <w:bottom w:val="single" w:sz="8" w:color="CCEEFF"/>
            </w:tcBorders>
            <w:shd w:val="clear" w:color="auto" w:fill="CCEEFF"/>
          </w:tcPr>
          <w:p>
            <w:pPr>
              <w:spacing w:after="0"/>
              <w:rPr>
                <w:sz w:val="23"/>
                <w:szCs w:val="23"/>
                <w:color w:val="auto"/>
              </w:rPr>
            </w:pPr>
          </w:p>
        </w:tc>
      </w:tr>
      <w:tr>
        <w:trPr>
          <w:trHeight w:val="24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4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4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40" w:type="dxa"/>
            <w:vAlign w:val="bottom"/>
            <w:shd w:val="clear" w:color="auto" w:fill="CCEEFF"/>
          </w:tcPr>
          <w:p>
            <w:pPr>
              <w:spacing w:after="0"/>
              <w:rPr>
                <w:sz w:val="24"/>
                <w:szCs w:val="24"/>
                <w:color w:val="auto"/>
              </w:rPr>
            </w:pPr>
          </w:p>
        </w:tc>
      </w:tr>
      <w:tr>
        <w:trPr>
          <w:trHeight w:val="270"/>
        </w:trPr>
        <w:tc>
          <w:tcPr>
            <w:tcW w:w="58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400" w:type="dxa"/>
            <w:vAlign w:val="bottom"/>
            <w:tcBorders>
              <w:top w:val="single" w:sz="8" w:color="CCEEFF"/>
            </w:tcBorders>
          </w:tcPr>
          <w:p>
            <w:pPr>
              <w:spacing w:after="0"/>
              <w:rPr>
                <w:sz w:val="23"/>
                <w:szCs w:val="2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23,493</w:t>
            </w:r>
          </w:p>
        </w:tc>
        <w:tc>
          <w:tcPr>
            <w:tcW w:w="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29,324</w:t>
            </w:r>
          </w:p>
        </w:tc>
        <w:tc>
          <w:tcPr>
            <w:tcW w:w="40" w:type="dxa"/>
            <w:vAlign w:val="bottom"/>
            <w:tcBorders>
              <w:top w:val="single" w:sz="8" w:color="CCEEFF"/>
            </w:tcBorders>
          </w:tcPr>
          <w:p>
            <w:pPr>
              <w:spacing w:after="0"/>
              <w:rPr>
                <w:sz w:val="23"/>
                <w:szCs w:val="23"/>
                <w:color w:val="auto"/>
              </w:rPr>
            </w:pPr>
          </w:p>
        </w:tc>
      </w:tr>
      <w:tr>
        <w:trPr>
          <w:trHeight w:val="27"/>
        </w:trPr>
        <w:tc>
          <w:tcPr>
            <w:tcW w:w="5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7"/>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capitalized to software development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4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40" w:type="dxa"/>
            <w:vAlign w:val="bottom"/>
            <w:tcBorders>
              <w:bottom w:val="single" w:sz="8" w:color="CCEEFF"/>
            </w:tcBorders>
            <w:shd w:val="clear" w:color="auto" w:fill="CCEEFF"/>
          </w:tcPr>
          <w:p>
            <w:pPr>
              <w:spacing w:after="0"/>
              <w:rPr>
                <w:sz w:val="24"/>
                <w:szCs w:val="24"/>
                <w:color w:val="auto"/>
              </w:rPr>
            </w:pPr>
          </w:p>
        </w:tc>
      </w:tr>
      <w:tr>
        <w:trPr>
          <w:trHeight w:val="257"/>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cost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14,901</w:t>
            </w:r>
          </w:p>
        </w:tc>
        <w:tc>
          <w:tcPr>
            <w:tcW w:w="4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25,160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30,423</w:t>
            </w:r>
          </w:p>
        </w:tc>
        <w:tc>
          <w:tcPr>
            <w:tcW w:w="40" w:type="dxa"/>
            <w:vAlign w:val="bottom"/>
          </w:tcPr>
          <w:p>
            <w:pPr>
              <w:spacing w:after="0"/>
              <w:rPr>
                <w:sz w:val="22"/>
                <w:szCs w:val="22"/>
                <w:color w:val="auto"/>
              </w:rPr>
            </w:pPr>
          </w:p>
        </w:tc>
      </w:tr>
      <w:tr>
        <w:trPr>
          <w:trHeight w:val="20"/>
        </w:trPr>
        <w:tc>
          <w:tcPr>
            <w:tcW w:w="5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-1104900</wp:posOffset>
            </wp:positionV>
            <wp:extent cx="25717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-1104900</wp:posOffset>
            </wp:positionV>
            <wp:extent cx="25717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-1104900</wp:posOffset>
            </wp:positionV>
            <wp:extent cx="12890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15.  Earnings Per Share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Prior to the Business Combination, the membership structure of WMH included units which had profit interests. The Company analyzed the calculation of net earnings (loss) per unit for periods prior to the Business Combination and determined that it resulted in values that would not be meaningful to the users of these consolidated financial statements. Therefore, net earnings per share information has not been presented for periods prior to the Business Combination on June 16, 2021. The basic and diluted income (loss) per share for the year ended December 31, 2021 represent the period from June 16, 2021 (Closing Date) to December 31, 2021.</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computation of (loss) income per share attributable to WM Technology, Inc. and weighted-average shares of the Company’s Class A Common Stock outstanding are as follows for the years ended December 31, 2023, 2022 and 2021 (amounts in thousands, except for share and per share amounts):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11"/>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37"/>
        </w:trPr>
        <w:tc>
          <w:tcPr>
            <w:tcW w:w="5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13"/>
        </w:trPr>
        <w:tc>
          <w:tcPr>
            <w:tcW w:w="5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8"/>
                <w:szCs w:val="18"/>
                <w:color w:val="auto"/>
              </w:rPr>
            </w:pPr>
          </w:p>
        </w:tc>
      </w:tr>
      <w:tr>
        <w:trPr>
          <w:trHeight w:val="37"/>
        </w:trPr>
        <w:tc>
          <w:tcPr>
            <w:tcW w:w="502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57"/>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24"/>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(15,727)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(82,651)</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152,218</w:t>
            </w:r>
          </w:p>
        </w:tc>
      </w:tr>
      <w:tr>
        <w:trPr>
          <w:trHeight w:val="33"/>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net income attributable to WMH prior to the Business Combination</w:t>
            </w: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15,078</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 after the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5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Business Combination</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(5,829)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76,757</w:t>
            </w:r>
          </w:p>
        </w:tc>
      </w:tr>
      <w:tr>
        <w:trPr>
          <w:trHeight w:val="37"/>
        </w:trPr>
        <w:tc>
          <w:tcPr>
            <w:tcW w:w="5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63"/>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WM Technology, Inc. - basic</w:t>
            </w:r>
          </w:p>
        </w:tc>
        <w:tc>
          <w:tcPr>
            <w:tcW w:w="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(9,898)</w:t>
            </w:r>
          </w:p>
        </w:tc>
        <w:tc>
          <w:tcPr>
            <w:tcW w:w="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(115,989)</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60,383</w:t>
            </w: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3"/>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Public and Private Placement Warrants, net of</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amounts attributable to noncontrolling interests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72,483</w:t>
            </w:r>
          </w:p>
        </w:tc>
      </w:tr>
      <w:tr>
        <w:trPr>
          <w:trHeight w:val="37"/>
        </w:trPr>
        <w:tc>
          <w:tcPr>
            <w:tcW w:w="502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4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r>
      <w:tr>
        <w:trPr>
          <w:trHeight w:val="253"/>
        </w:trPr>
        <w:tc>
          <w:tcPr>
            <w:tcW w:w="5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WM Technology, Inc. - diluted</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(9,898)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(115,989)</w:t>
            </w:r>
          </w:p>
        </w:tc>
        <w:tc>
          <w:tcPr>
            <w:tcW w:w="28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(12,100)</w:t>
            </w:r>
          </w:p>
        </w:tc>
      </w:tr>
      <w:tr>
        <w:trPr>
          <w:trHeight w:val="37"/>
        </w:trPr>
        <w:tc>
          <w:tcPr>
            <w:tcW w:w="5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64"/>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7"/>
              </w:rPr>
              <w:t>93,244,911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85,027,120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7"/>
              </w:rPr>
              <w:t>65,013,517</w:t>
            </w:r>
          </w:p>
        </w:tc>
      </w:tr>
      <w:tr>
        <w:trPr>
          <w:trHeight w:val="33"/>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6"/>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effect of dilutive securities:</w:t>
            </w: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24"/>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Public warrants¹</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1,153,782</w:t>
            </w:r>
          </w:p>
        </w:tc>
      </w:tr>
      <w:tr>
        <w:trPr>
          <w:trHeight w:val="33"/>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Private warrants¹</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646,118</w:t>
            </w:r>
          </w:p>
        </w:tc>
        <w:tc>
          <w:tcPr>
            <w:tcW w:w="60" w:type="dxa"/>
            <w:vAlign w:val="bottom"/>
            <w:shd w:val="clear" w:color="auto" w:fill="CCEEFF"/>
          </w:tcPr>
          <w:p>
            <w:pPr>
              <w:spacing w:after="0"/>
              <w:rPr>
                <w:sz w:val="19"/>
                <w:szCs w:val="19"/>
                <w:color w:val="auto"/>
              </w:rPr>
            </w:pPr>
          </w:p>
        </w:tc>
      </w:tr>
      <w:tr>
        <w:trPr>
          <w:trHeight w:val="37"/>
        </w:trPr>
        <w:tc>
          <w:tcPr>
            <w:tcW w:w="502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4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r>
      <w:tr>
        <w:trPr>
          <w:trHeight w:val="254"/>
        </w:trPr>
        <w:tc>
          <w:tcPr>
            <w:tcW w:w="5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7"/>
              </w:rPr>
              <w:t>93,244,911</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85,027,120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7"/>
              </w:rPr>
              <w:t>66,813,417</w:t>
            </w:r>
          </w:p>
        </w:tc>
      </w:tr>
      <w:tr>
        <w:trPr>
          <w:trHeight w:val="37"/>
        </w:trPr>
        <w:tc>
          <w:tcPr>
            <w:tcW w:w="5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64"/>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 per share of Class A Common Stock:</w:t>
            </w:r>
          </w:p>
        </w:tc>
        <w:tc>
          <w:tcPr>
            <w:tcW w:w="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26"/>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per Class A common share - basic</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(0.11)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(1.36)</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0.93</w:t>
            </w:r>
          </w:p>
        </w:tc>
      </w:tr>
      <w:tr>
        <w:trPr>
          <w:trHeight w:val="37"/>
        </w:trPr>
        <w:tc>
          <w:tcPr>
            <w:tcW w:w="5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5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per Class A common share - diluted</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(1.36)</w:t>
            </w:r>
          </w:p>
        </w:tc>
        <w:tc>
          <w:tcPr>
            <w:tcW w:w="28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r>
      <w:tr>
        <w:trPr>
          <w:trHeight w:val="37"/>
        </w:trPr>
        <w:tc>
          <w:tcPr>
            <w:tcW w:w="502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4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4814570</wp:posOffset>
            </wp:positionH>
            <wp:positionV relativeFrom="paragraph">
              <wp:posOffset>-3274060</wp:posOffset>
            </wp:positionV>
            <wp:extent cx="17145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-3274060</wp:posOffset>
            </wp:positionV>
            <wp:extent cx="17145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-3274060</wp:posOffset>
            </wp:positionV>
            <wp:extent cx="8572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27" w:lineRule="exact"/>
        <w:rPr>
          <w:sz w:val="20"/>
          <w:szCs w:val="20"/>
          <w:color w:val="auto"/>
        </w:rPr>
      </w:pPr>
    </w:p>
    <w:p>
      <w:pPr>
        <w:ind w:left="640" w:hanging="348"/>
        <w:spacing w:after="0"/>
        <w:tabs>
          <w:tab w:leader="none" w:pos="64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using the treasury stock method.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041" w:gutter="0" w:footer="0" w:header="0"/>
        </w:sectPr>
      </w:pPr>
    </w:p>
    <w:bookmarkStart w:id="204" w:name="page205"/>
    <w:bookmarkEnd w:id="2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 However, shares of the Class V Common Stock outstanding for the period are considered potentially dilutive shares of Class A common stock under application of the if-converted method and are included in the computation of diluted earnings (loss) per share, except when the effect would be anti-dilutive.</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securities from its computation of diluted shares outstanding, as their effect would have been anti-dilutive:</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58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37"/>
        </w:trPr>
        <w:tc>
          <w:tcPr>
            <w:tcW w:w="38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13"/>
        </w:trPr>
        <w:tc>
          <w:tcPr>
            <w:tcW w:w="3840" w:type="dxa"/>
            <w:vAlign w:val="bottom"/>
          </w:tcPr>
          <w:p>
            <w:pPr>
              <w:spacing w:after="0"/>
              <w:rPr>
                <w:sz w:val="18"/>
                <w:szCs w:val="18"/>
                <w:color w:val="auto"/>
              </w:rPr>
            </w:pPr>
          </w:p>
        </w:tc>
        <w:tc>
          <w:tcPr>
            <w:tcW w:w="2740" w:type="dxa"/>
            <w:vAlign w:val="bottom"/>
            <w:gridSpan w:val="2"/>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8"/>
                <w:szCs w:val="18"/>
                <w:color w:val="auto"/>
              </w:rPr>
            </w:pP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8"/>
                <w:szCs w:val="18"/>
                <w:color w:val="auto"/>
              </w:rPr>
            </w:pP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3840" w:type="dxa"/>
            <w:vAlign w:val="bottom"/>
            <w:tcBorders>
              <w:bottom w:val="single" w:sz="8" w:color="CCEEFF"/>
            </w:tcBorders>
          </w:tcPr>
          <w:p>
            <w:pPr>
              <w:spacing w:after="0"/>
              <w:rPr>
                <w:sz w:val="3"/>
                <w:szCs w:val="3"/>
                <w:color w:val="auto"/>
              </w:rPr>
            </w:pPr>
          </w:p>
        </w:tc>
        <w:tc>
          <w:tcPr>
            <w:tcW w:w="20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57"/>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V Shares</w:t>
            </w:r>
          </w:p>
        </w:tc>
        <w:tc>
          <w:tcPr>
            <w:tcW w:w="2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55,486,361</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55,486,361</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65,502,347</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Class P Units</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14,804,507</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15,125,429</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25,660,529</w:t>
            </w:r>
          </w:p>
        </w:tc>
      </w:tr>
      <w:tr>
        <w:trPr>
          <w:trHeight w:val="33"/>
        </w:trPr>
        <w:tc>
          <w:tcPr>
            <w:tcW w:w="3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6"/>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RSUs outstanding</w:t>
            </w:r>
          </w:p>
        </w:tc>
        <w:tc>
          <w:tcPr>
            <w:tcW w:w="2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7,683,598</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6,269,868</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6,398,707</w:t>
            </w:r>
          </w:p>
        </w:tc>
      </w:tr>
      <w:tr>
        <w:trPr>
          <w:trHeight w:val="224"/>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PRSUs outstanding</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234,375</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859,375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2,437,500</w:t>
            </w:r>
          </w:p>
        </w:tc>
      </w:tr>
      <w:tr>
        <w:trPr>
          <w:trHeight w:val="33"/>
        </w:trPr>
        <w:tc>
          <w:tcPr>
            <w:tcW w:w="3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Warrants</w:t>
            </w:r>
          </w:p>
        </w:tc>
        <w:tc>
          <w:tcPr>
            <w:tcW w:w="2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12,499,973</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12,499,973</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Private Placement Warrants</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7,000,000</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7,000,000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holdback shares</w:t>
            </w:r>
          </w:p>
        </w:tc>
        <w:tc>
          <w:tcPr>
            <w:tcW w:w="20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677,847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60"/>
        </w:trPr>
        <w:tc>
          <w:tcPr>
            <w:tcW w:w="3840" w:type="dxa"/>
            <w:vAlign w:val="bottom"/>
            <w:shd w:val="clear" w:color="auto" w:fill="CCEEFF"/>
          </w:tcPr>
          <w:p>
            <w:pPr>
              <w:spacing w:after="0"/>
              <w:rPr>
                <w:sz w:val="5"/>
                <w:szCs w:val="5"/>
                <w:color w:val="auto"/>
              </w:rPr>
            </w:pPr>
          </w:p>
        </w:tc>
        <w:tc>
          <w:tcPr>
            <w:tcW w:w="20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-1182370</wp:posOffset>
            </wp:positionV>
            <wp:extent cx="12001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-1182370</wp:posOffset>
            </wp:positionV>
            <wp:extent cx="12001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-1182370</wp:posOffset>
            </wp:positionV>
            <wp:extent cx="6858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prior to June 16, 2021, as this period was prior to the Business Combination.</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Following the Business Combination, any taxable income or loss generated by WMH LLC is passed through to and included in the taxable income or loss of its members, including WM Technology, Inc., on a pro rata basis, with the remainder reflected in the line item Income Taxed to Owners of Non-controlling Interests. WM Technology, Inc. is subject to U.S. federal income taxes, in addition to state and local income taxes with respect to its allocable share of any taxable income of WMH following the Business Combination. The owners of the non-controlling interests are taxed as a partnership, and therefore, no tax provision is allocated to non-controlling interests on the consolidated statements of operations. The Company is also subject to taxes in foreign jurisdictions.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components of income (loss) before taxes are as follows (in thousands):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580" w:type="dxa"/>
            <w:vAlign w:val="bottom"/>
            <w:gridSpan w:val="8"/>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37"/>
        </w:trPr>
        <w:tc>
          <w:tcPr>
            <w:tcW w:w="38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13"/>
        </w:trPr>
        <w:tc>
          <w:tcPr>
            <w:tcW w:w="3840" w:type="dxa"/>
            <w:vAlign w:val="bottom"/>
          </w:tcPr>
          <w:p>
            <w:pPr>
              <w:spacing w:after="0"/>
              <w:rPr>
                <w:sz w:val="18"/>
                <w:szCs w:val="18"/>
                <w:color w:val="auto"/>
              </w:rPr>
            </w:pPr>
          </w:p>
        </w:tc>
        <w:tc>
          <w:tcPr>
            <w:tcW w:w="25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8"/>
                <w:szCs w:val="18"/>
                <w:color w:val="auto"/>
              </w:rPr>
            </w:pPr>
          </w:p>
        </w:tc>
      </w:tr>
      <w:tr>
        <w:trPr>
          <w:trHeight w:val="37"/>
        </w:trPr>
        <w:tc>
          <w:tcPr>
            <w:tcW w:w="3840" w:type="dxa"/>
            <w:vAlign w:val="bottom"/>
            <w:tcBorders>
              <w:bottom w:val="single" w:sz="8" w:color="CCEEFF"/>
            </w:tcBorders>
          </w:tcPr>
          <w:p>
            <w:pPr>
              <w:spacing w:after="0"/>
              <w:rPr>
                <w:sz w:val="3"/>
                <w:szCs w:val="3"/>
                <w:color w:val="auto"/>
              </w:rPr>
            </w:pPr>
          </w:p>
        </w:tc>
        <w:tc>
          <w:tcPr>
            <w:tcW w:w="20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57"/>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Domestic</w:t>
            </w:r>
          </w:p>
        </w:tc>
        <w:tc>
          <w:tcPr>
            <w:tcW w:w="26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$(15,582)</w:t>
            </w:r>
          </w:p>
        </w:tc>
        <w:tc>
          <w:tcPr>
            <w:tcW w:w="3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$97,639</w:t>
            </w:r>
          </w:p>
        </w:tc>
        <w:tc>
          <w:tcPr>
            <w:tcW w:w="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$151,987</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Foreign</w:t>
            </w:r>
          </w:p>
        </w:tc>
        <w:tc>
          <w:tcPr>
            <w:tcW w:w="2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3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48"/>
        </w:trPr>
        <w:tc>
          <w:tcPr>
            <w:tcW w:w="38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4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(15,634)</w:t>
            </w:r>
          </w:p>
        </w:tc>
        <w:tc>
          <w:tcPr>
            <w:tcW w:w="3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96,426</w:t>
            </w:r>
          </w:p>
        </w:tc>
        <w:tc>
          <w:tcPr>
            <w:tcW w:w="6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151,617</w:t>
            </w:r>
          </w:p>
        </w:tc>
      </w:tr>
      <w:tr>
        <w:trPr>
          <w:trHeight w:val="48"/>
        </w:trPr>
        <w:tc>
          <w:tcPr>
            <w:tcW w:w="384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-565150</wp:posOffset>
            </wp:positionV>
            <wp:extent cx="22288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-565150</wp:posOffset>
            </wp:positionV>
            <wp:extent cx="22288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-565150</wp:posOffset>
            </wp:positionV>
            <wp:extent cx="11176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components of the provision for (benefit from) income taxes are as follows (in thousands):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80" w:type="dxa"/>
            <w:vAlign w:val="bottom"/>
            <w:gridSpan w:val="8"/>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7"/>
        </w:trPr>
        <w:tc>
          <w:tcPr>
            <w:tcW w:w="602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213"/>
        </w:trPr>
        <w:tc>
          <w:tcPr>
            <w:tcW w:w="6020" w:type="dxa"/>
            <w:vAlign w:val="bottom"/>
          </w:tcPr>
          <w:p>
            <w:pPr>
              <w:spacing w:after="0"/>
              <w:rPr>
                <w:sz w:val="18"/>
                <w:szCs w:val="18"/>
                <w:color w:val="auto"/>
              </w:rPr>
            </w:pP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8"/>
                <w:szCs w:val="18"/>
                <w:color w:val="auto"/>
              </w:rPr>
            </w:pPr>
          </w:p>
        </w:tc>
      </w:tr>
      <w:tr>
        <w:trPr>
          <w:trHeight w:val="37"/>
        </w:trPr>
        <w:tc>
          <w:tcPr>
            <w:tcW w:w="602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257"/>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r>
        <w:trPr>
          <w:trHeight w:val="223"/>
        </w:trPr>
        <w:tc>
          <w:tcPr>
            <w:tcW w:w="6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Federal</w:t>
            </w:r>
          </w:p>
        </w:tc>
        <w:tc>
          <w:tcPr>
            <w:tcW w:w="6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1"/>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6"/>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State</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93</w:t>
            </w: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w:t>
            </w:r>
          </w:p>
        </w:tc>
        <w:tc>
          <w:tcPr>
            <w:tcW w:w="6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(341)</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80" w:type="dxa"/>
            <w:vAlign w:val="bottom"/>
          </w:tcPr>
          <w:p>
            <w:pPr>
              <w:spacing w:after="0"/>
              <w:rPr>
                <w:sz w:val="18"/>
                <w:szCs w:val="18"/>
                <w:color w:val="auto"/>
              </w:rPr>
            </w:pPr>
          </w:p>
        </w:tc>
      </w:tr>
      <w:tr>
        <w:trPr>
          <w:trHeight w:val="48"/>
        </w:trPr>
        <w:tc>
          <w:tcPr>
            <w:tcW w:w="60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63"/>
        </w:trPr>
        <w:tc>
          <w:tcPr>
            <w:tcW w:w="60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93</w:t>
            </w: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(341)</w:t>
            </w: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24"/>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Deferred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3"/>
        </w:trPr>
        <w:tc>
          <w:tcPr>
            <w:tcW w:w="6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6"/>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Federal</w:t>
            </w: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131,766</w:t>
            </w: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2"/>
              </w:rPr>
              <w:t>(508)</w:t>
            </w:r>
          </w:p>
        </w:tc>
      </w:tr>
      <w:tr>
        <w:trPr>
          <w:trHeight w:val="224"/>
        </w:trPr>
        <w:tc>
          <w:tcPr>
            <w:tcW w:w="6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State</w:t>
            </w:r>
          </w:p>
        </w:tc>
        <w:tc>
          <w:tcPr>
            <w:tcW w:w="6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47,652</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2"/>
              </w:rPr>
              <w:t>(334)</w:t>
            </w:r>
          </w:p>
        </w:tc>
      </w:tr>
      <w:tr>
        <w:trPr>
          <w:trHeight w:val="33"/>
        </w:trPr>
        <w:tc>
          <w:tcPr>
            <w:tcW w:w="6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48"/>
        </w:trPr>
        <w:tc>
          <w:tcPr>
            <w:tcW w:w="6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43"/>
        </w:trPr>
        <w:tc>
          <w:tcPr>
            <w:tcW w:w="6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179,418</w:t>
            </w: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2"/>
              </w:rPr>
              <w:t>(842)</w:t>
            </w:r>
          </w:p>
        </w:tc>
      </w:tr>
      <w:tr>
        <w:trPr>
          <w:trHeight w:val="48"/>
        </w:trPr>
        <w:tc>
          <w:tcPr>
            <w:tcW w:w="60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4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93</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179,077</w:t>
            </w:r>
          </w:p>
        </w:tc>
        <w:tc>
          <w:tcPr>
            <w:tcW w:w="42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2"/>
              </w:rPr>
              <w:t>(601)</w:t>
            </w:r>
          </w:p>
        </w:tc>
      </w:tr>
      <w:tr>
        <w:trPr>
          <w:trHeight w:val="48"/>
        </w:trPr>
        <w:tc>
          <w:tcPr>
            <w:tcW w:w="6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-1936750</wp:posOffset>
            </wp:positionV>
            <wp:extent cx="27432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-1936750</wp:posOffset>
            </wp:positionV>
            <wp:extent cx="27432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-1936750</wp:posOffset>
            </wp:positionV>
            <wp:extent cx="13716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974" w:gutter="0" w:footer="0" w:header="0"/>
        </w:sectPr>
      </w:pPr>
    </w:p>
    <w:bookmarkStart w:id="205" w:name="page206"/>
    <w:bookmarkEnd w:id="2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change in the Company’s income tax provision/(benefit) from 2022 to 2023 is due to the continuation of recording a full valuation allowance on our deferred tax assets as of December 31, 2023, and continued remeasurement of the related TRA liability.</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change in the Company’s income tax provision/(benefit) from 2021 to 2022 is due to the recording of a full valuation allowance on our deferred tax assets as of December 31, 2022 and remeasurement of the related TRA liability. In previous periods, the provision/(benefit) was also impacted by the Business Combination and settlement of a foreign income tax examination.</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actual income tax expense differs from the expected amount computed by applying the federal statutory corporate tax rate of 21 percent as follows (in thousands):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5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27"/>
        </w:trPr>
        <w:tc>
          <w:tcPr>
            <w:tcW w:w="5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51"/>
        </w:trPr>
        <w:tc>
          <w:tcPr>
            <w:tcW w:w="53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r>
      <w:tr>
        <w:trPr>
          <w:trHeight w:val="311"/>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78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$ 20,249</w:t>
            </w: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$ 31,844</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State blended statutory rate</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23"/>
                <w:szCs w:val="23"/>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4"/>
        </w:trPr>
        <w:tc>
          <w:tcPr>
            <w:tcW w:w="5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taxed to owners of noncontrolling interests</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(11,285)</w:t>
            </w:r>
          </w:p>
        </w:tc>
        <w:tc>
          <w:tcPr>
            <w:tcW w:w="960" w:type="dxa"/>
            <w:vAlign w:val="bottom"/>
            <w:tcBorders>
              <w:bottom w:val="single" w:sz="8" w:color="CCEEFF"/>
            </w:tcBorders>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(21,762)</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Foreign tax impact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4"/>
        </w:trPr>
        <w:tc>
          <w:tcPr>
            <w:tcW w:w="5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(3,718)</w:t>
            </w:r>
          </w:p>
        </w:tc>
        <w:tc>
          <w:tcPr>
            <w:tcW w:w="960" w:type="dxa"/>
            <w:vAlign w:val="bottom"/>
            <w:tcBorders>
              <w:bottom w:val="single" w:sz="8" w:color="CCEEFF"/>
            </w:tcBorders>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(19,669)</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permanent items</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548</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3"/>
                <w:szCs w:val="23"/>
                <w:color w:val="auto"/>
              </w:rPr>
            </w:pPr>
          </w:p>
        </w:tc>
        <w:tc>
          <w:tcPr>
            <w:tcW w:w="10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(2,514)</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4"/>
        </w:trPr>
        <w:tc>
          <w:tcPr>
            <w:tcW w:w="5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to Provision</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Holdback Share Release</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186,954</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Tax receivable agreement revaluation</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3"/>
                <w:szCs w:val="23"/>
                <w:color w:val="auto"/>
              </w:rPr>
            </w:pPr>
          </w:p>
        </w:tc>
        <w:tc>
          <w:tcPr>
            <w:tcW w:w="10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(20,462)</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5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State Tax Rate</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22"/>
                <w:szCs w:val="22"/>
                <w:color w:val="auto"/>
              </w:rPr>
            </w:pP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53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179,077</w:t>
            </w:r>
          </w:p>
        </w:tc>
        <w:tc>
          <w:tcPr>
            <w:tcW w:w="160" w:type="dxa"/>
            <w:vAlign w:val="bottom"/>
          </w:tcPr>
          <w:p>
            <w:pPr>
              <w:spacing w:after="0"/>
              <w:rPr>
                <w:sz w:val="23"/>
                <w:szCs w:val="23"/>
                <w:color w:val="auto"/>
              </w:rPr>
            </w:pPr>
          </w:p>
        </w:tc>
        <w:tc>
          <w:tcPr>
            <w:tcW w:w="3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61"/>
        </w:trPr>
        <w:tc>
          <w:tcPr>
            <w:tcW w:w="5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318"/>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24"/>
                <w:szCs w:val="24"/>
                <w:color w:val="auto"/>
              </w:rPr>
            </w:pPr>
          </w:p>
        </w:tc>
      </w:tr>
      <w:tr>
        <w:trPr>
          <w:trHeight w:val="324"/>
        </w:trPr>
        <w:tc>
          <w:tcPr>
            <w:tcW w:w="53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 significant components of the net deferred tax assets are as follows:</w:t>
            </w: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422"/>
        </w:trPr>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8"/>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Pr>
          <w:p>
            <w:pPr>
              <w:spacing w:after="0"/>
              <w:rPr>
                <w:sz w:val="24"/>
                <w:szCs w:val="24"/>
                <w:color w:val="auto"/>
              </w:rPr>
            </w:pPr>
          </w:p>
        </w:tc>
        <w:tc>
          <w:tcPr>
            <w:tcW w:w="11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50"/>
        </w:trPr>
        <w:tc>
          <w:tcPr>
            <w:tcW w:w="53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311"/>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partnership</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$ 129,297</w:t>
            </w: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$ 133,569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4"/>
        </w:trPr>
        <w:tc>
          <w:tcPr>
            <w:tcW w:w="5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receivable agreement</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37,021</w:t>
            </w:r>
          </w:p>
        </w:tc>
        <w:tc>
          <w:tcPr>
            <w:tcW w:w="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carryovers</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12,453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4"/>
        </w:trPr>
        <w:tc>
          <w:tcPr>
            <w:tcW w:w="5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credit carryovers</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5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61"/>
        </w:trPr>
        <w:tc>
          <w:tcPr>
            <w:tcW w:w="5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318"/>
        </w:trPr>
        <w:tc>
          <w:tcPr>
            <w:tcW w:w="5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asset</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186,682</w:t>
            </w:r>
          </w:p>
        </w:tc>
        <w:tc>
          <w:tcPr>
            <w:tcW w:w="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187,066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5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7"/>
          </w:tcPr>
          <w:p>
            <w:pPr>
              <w:jc w:val="right"/>
              <w:ind w:right="70"/>
              <w:spacing w:after="0"/>
              <w:rPr>
                <w:sz w:val="20"/>
                <w:szCs w:val="20"/>
                <w:color w:val="auto"/>
              </w:rPr>
            </w:pPr>
            <w:r>
              <w:rPr>
                <w:rFonts w:ascii="Times New Roman" w:cs="Times New Roman" w:eastAsia="Times New Roman" w:hAnsi="Times New Roman"/>
                <w:sz w:val="18"/>
                <w:szCs w:val="18"/>
                <w:color w:val="auto"/>
              </w:rPr>
              <w:t>(186,682)</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(187,066)</w:t>
            </w:r>
          </w:p>
        </w:tc>
        <w:tc>
          <w:tcPr>
            <w:tcW w:w="120" w:type="dxa"/>
            <w:vAlign w:val="bottom"/>
          </w:tcPr>
          <w:p>
            <w:pPr>
              <w:spacing w:after="0"/>
              <w:rPr>
                <w:sz w:val="22"/>
                <w:szCs w:val="22"/>
                <w:color w:val="auto"/>
              </w:rPr>
            </w:pPr>
          </w:p>
        </w:tc>
      </w:tr>
      <w:tr>
        <w:trPr>
          <w:trHeight w:val="61"/>
        </w:trPr>
        <w:tc>
          <w:tcPr>
            <w:tcW w:w="5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7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82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48"/>
        </w:trPr>
        <w:tc>
          <w:tcPr>
            <w:tcW w:w="5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5466080</wp:posOffset>
            </wp:positionH>
            <wp:positionV relativeFrom="paragraph">
              <wp:posOffset>-5545455</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-5545455</wp:posOffset>
            </wp:positionV>
            <wp:extent cx="13716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-5545455</wp:posOffset>
            </wp:positionV>
            <wp:extent cx="13716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-5545455</wp:posOffset>
            </wp:positionV>
            <wp:extent cx="685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-1902460</wp:posOffset>
            </wp:positionV>
            <wp:extent cx="13716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-1902460</wp:posOffset>
            </wp:positionV>
            <wp:extent cx="685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valuation allowance decreased $0.4 million for the year ended December 31, 2023 and increased $187.0 million for the year ended December 31, 2022. Realization of deferred tax assets is dependent on future earning, if any, the timing of which are uncertain. Accordingly, the net deferred tax assets have been fully offset by a valuation allowance.</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federal and state net operating loss carry forwards of approximately $57.8 million and $51.1 million, respectively, available to reduce future taxable income, if any. The federal net operating loss carries forward indefinitely and most of the state net operating losses will expire beginning in 2041. The Company also has foreign net operating loss carry forwards of approximately $0.1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109" w:gutter="0" w:footer="0" w:header="0"/>
        </w:sectPr>
      </w:pPr>
    </w:p>
    <w:bookmarkStart w:id="206" w:name="page207"/>
    <w:bookmarkEnd w:id="2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federal and California research credit carryforwards of $3.9 million and $1.5 million, respectively, available to reduce future tax. Federal tax credits begin to expire in 2041 and California credits carry forward indefinitely.</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Utilization of the net operating loss and tax credit carryforwards may be subject to an annual limitation due to the ownership change limitations provided by the Internal Revenue Code of 1986, as amended and similar state provisions. An “ownership change” would occur for these purposes if one or more stockholders or groups of stockholders, who own at least 5% of the Company’s stock, increase their ownership by more than 50 percentage points over their lowest ownership percentage within a rolling three-year period. Utilization of federal net operating loss carryforwards is also limited to 80% of the Company’s taxable income in the year of deduction.</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Company’s deferred tax asset is primarily attributable to future tax amortization deductions of tax basis created from the Business Combination, subsequent redemptions and exchanges of WMH Units, and future TRA payments. These deferred tax assets generally amortize over 15 years beginning on the date the WMH Units are deemed to have been exchanged or redeemed, or TRA payments are made, as applicable. Tax amortization deductions in excess of taxable income from operations result in a net operating loss, which can be carried forward indefinitely for federal tax purposes.</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assesses whether it is “more-likely-than-not” that it will realize its deferred tax assets (“DTAs”). The Company establishes a valuation allowance when available evidence indicates that it is more-likely-than-not that the deferred tax asset will not be realized. In assessing the need for a valuation allowance, the Company considers the amounts and timing of expected future deductions or carryforwards and sources of taxable income that may enable utilization. This includes an analysis of the Company’s current financial position, results of operations for the current and prior years and all currently available information about future years. This assessment and estimates require significant management judgement. The Company maintains an existing valuation allowance until enough positive evidence exists to support its reversal. Change in the amount or timing of expected future deductions or taxable income may have a material impact on the level of income tax valuation allowances.</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Based on the weight of all available evidence, both positive and negative, the Company determined during the fourth quarter of 2022 that a full valuation allowance was required against its net DTAs. Management assessed the available positive and negative evidence to estimate whether sufficient future taxable income will be generated to permit use of the existing deferred tax assets. Significant pieces of negative evidence evaluated were the book operating loss incurred during the year ended December 31, 2022 and lowered forecasts at that time. For the period ending December 31, 2023, management conducted a similar analysis, and determined that a full valuation allowance was still required. Payment under the TRA liability was not probable, resulting from the full valuation allowance and accordingly, substantially all of the TRA liability was reversed. As of December 31, 2023 and 2022, the TRA liability was $1.8 million and $0.5 million, respectively.</w:t>
      </w:r>
    </w:p>
    <w:p>
      <w:pPr>
        <w:spacing w:after="0" w:line="78" w:lineRule="exact"/>
        <w:rPr>
          <w:sz w:val="20"/>
          <w:szCs w:val="20"/>
          <w:color w:val="auto"/>
        </w:rPr>
      </w:pPr>
    </w:p>
    <w:p>
      <w:pPr>
        <w:jc w:val="both"/>
        <w:ind w:left="300" w:right="319"/>
        <w:spacing w:after="0" w:line="267" w:lineRule="auto"/>
        <w:rPr>
          <w:sz w:val="20"/>
          <w:szCs w:val="20"/>
          <w:color w:val="auto"/>
        </w:rPr>
      </w:pPr>
      <w:r>
        <w:rPr>
          <w:rFonts w:ascii="Times New Roman" w:cs="Times New Roman" w:eastAsia="Times New Roman" w:hAnsi="Times New Roman"/>
          <w:sz w:val="18"/>
          <w:szCs w:val="18"/>
          <w:color w:val="auto"/>
        </w:rPr>
        <w:t xml:space="preserve">The Company follows the provisions of FASB ASC 740-10,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ASC 740-10 prescribes a comprehensive model for the recognition, measurement, presentation and disclosure in financial statements of any uncertain tax positions that have been taken or expected to be taken on a tax return.</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reflects changes in the unrecognized tax benefits (in thousands):</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50"/>
        </w:trPr>
        <w:tc>
          <w:tcPr>
            <w:tcW w:w="58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amount of unrecognized tax benefits as of the beginning of the period</w:t>
            </w: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3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$188</w:t>
            </w:r>
          </w:p>
        </w:tc>
      </w:tr>
      <w:tr>
        <w:trPr>
          <w:trHeight w:val="270"/>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Decreases related to prior year tax provisions</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318"/>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Increases related to current year tax provisions</w:t>
            </w:r>
          </w:p>
        </w:tc>
        <w:tc>
          <w:tcPr>
            <w:tcW w:w="3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400" w:type="dxa"/>
            <w:vAlign w:val="bottom"/>
            <w:tcBorders>
              <w:bottom w:val="single" w:sz="8" w:color="CCEEFF"/>
            </w:tcBorders>
            <w:shd w:val="clear" w:color="auto" w:fill="CCEEFF"/>
          </w:tcPr>
          <w:p>
            <w:pPr>
              <w:spacing w:after="0"/>
              <w:rPr>
                <w:sz w:val="24"/>
                <w:szCs w:val="24"/>
                <w:color w:val="auto"/>
              </w:rPr>
            </w:pPr>
          </w:p>
        </w:tc>
      </w:tr>
      <w:tr>
        <w:trPr>
          <w:trHeight w:val="28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Gross amount of unrecognized tax benefits as of the end of the period</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1,024</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920</w:t>
            </w:r>
          </w:p>
        </w:tc>
      </w:tr>
      <w:tr>
        <w:trPr>
          <w:trHeight w:val="20"/>
        </w:trPr>
        <w:tc>
          <w:tcPr>
            <w:tcW w:w="5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-831215</wp:posOffset>
            </wp:positionV>
            <wp:extent cx="13716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-831215</wp:posOffset>
            </wp:positionV>
            <wp:extent cx="6858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has unrecognized tax benefits of approximately $1.0 million, which would affect its effective tax rate if recognized, and without consideration of valuation allowance. It is unlikely that the amount of liability for unrecognized tax benefits will significantly change over the next 12 months. It is the Company’s policy to include penalties and interest expense related to income taxes as a component of other expense and interest expense, respectively, as necessary.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7" w:name="page208"/>
    <w:bookmarkEnd w:id="2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file income tax returns with the U.S. federal government, various U.S. states and several foreign jurisdictions. The Company’s U.S. federal and state tax returns remain open to examination for 2019 through 2023. In addition, tax returns remain open to examination in non-U.S. subsidiaries, including Canada.</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During the second quarter of 2022, the Company entered into a sublease agreement with an affiliate of the Chief Executive Officer.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$69,000. Rent receivable of $0.7 million is included in prepaid expenses and other current assets on the accompanying consolidated balance sheets as of December 31, 2023, and was subsequently collected in April 2024. As of December 31, 2022, $0.1 million of rent receivable was included in accounts receivable, net on the accompanying consolidated balance sheets. For the years ended December 31, 2023 and 2022, income on the sublease from the related party transactions were $0.7 million and $0.4 million, respectively. The income on sublease is netted with rent expense and included in general and administrative expenses on the consolidated statements of operations.</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the Company paid $1.1 million in certain transaction costs reimbursable by Silver Spike’s sponsor (“Silver Spike Sponsor”), an affiliate to a member of the board of directors. On March 16, 2023, Silver Spike Holdings, an affiliate of Silver Spike Sponsor, entered into a promissory note with the Company and agreed to pay the principal amount of $1.1 million in 12 equal quarterly installments commencing on March 31, 2023. The promissory note bears interest at a rate of 5% per annum commencing on March 31, 2023. In an event of default, the outstanding principal amount shall bear interest for the entire period during which the principal balance is unpaid at a rate which is equal to 10% per annum. As of December 31, 2023, the remaining balance of the promissory note receivable was $0.7 million of which, $0.4 million was included in prepaid expenses and other current assets and $0.3 million was included in other assets on the consolidated balance sheets. As of December 31, 2022, $1.1 million of related party note receivable was included in other assets on the accompanying consolidated balance sheets. For the year ended December 31, 2023, interest income on the promissory note was less than $0.1 million, which is included in other income (expense), net on the consolidated statement of operations.</w:t>
      </w:r>
    </w:p>
    <w:p>
      <w:pPr>
        <w:spacing w:after="0" w:line="82"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During the fourth quarter of 2023, the Company reimbursed $0.4 million in certain legal fee to Silver Spike Holdings, an affiliate to a member of the board of directors in connection with responding to the SEC investigation. See Part I. Item 3. “Legal Proceedings” for further discussion. The expense is included in general and administrative expenses on the consolidated statements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8" w:name="page209"/>
    <w:bookmarkEnd w:id="208"/>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171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170815</wp:posOffset>
            </wp:positionV>
            <wp:extent cx="52120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2588260</wp:posOffset>
            </wp:positionV>
            <wp:extent cx="4457700" cy="132016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4457700"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154305</wp:posOffset>
            </wp:positionV>
            <wp:extent cx="52120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214630</wp:posOffset>
            </wp:positionV>
            <wp:extent cx="5212080" cy="171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sectPr>
      <w:pgSz w:w="11900" w:h="16838" w:orient="portrait"/>
      <w:cols w:equalWidth="0" w:num="1">
        <w:col w:w="9019"/>
      </w:cols>
      <w:pgMar w:left="144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5014ACB"/>
    <w:multiLevelType w:val="hybridMultilevel"/>
    <w:lvl w:ilvl="0">
      <w:lvlJc w:val="left"/>
      <w:lvlText w:val="•"/>
      <w:numFmt w:val="bullet"/>
      <w:start w:val="1"/>
    </w:lvl>
  </w:abstractNum>
  <w:abstractNum w:abstractNumId="1">
    <w:nsid w:val="5F5E7FD0"/>
    <w:multiLevelType w:val="hybridMultilevel"/>
    <w:lvl w:ilvl="0">
      <w:lvlJc w:val="left"/>
      <w:lvlText w:val="•"/>
      <w:numFmt w:val="bullet"/>
      <w:start w:val="1"/>
    </w:lvl>
  </w:abstractNum>
  <w:abstractNum w:abstractNumId="2">
    <w:nsid w:val="98A3148"/>
    <w:multiLevelType w:val="hybridMultilevel"/>
    <w:lvl w:ilvl="0">
      <w:lvlJc w:val="left"/>
      <w:lvlText w:val="•"/>
      <w:numFmt w:val="bullet"/>
      <w:start w:val="1"/>
    </w:lvl>
  </w:abstractNum>
  <w:abstractNum w:abstractNumId="3">
    <w:nsid w:val="799D0247"/>
    <w:multiLevelType w:val="hybridMultilevel"/>
    <w:lvl w:ilvl="0">
      <w:lvlJc w:val="left"/>
      <w:lvlText w:val="•"/>
      <w:numFmt w:val="bullet"/>
      <w:start w:val="1"/>
    </w:lvl>
  </w:abstractNum>
  <w:abstractNum w:abstractNumId="4">
    <w:nsid w:val="6B94764"/>
    <w:multiLevelType w:val="hybridMultilevel"/>
    <w:lvl w:ilvl="0">
      <w:lvlJc w:val="left"/>
      <w:lvlText w:val="•"/>
      <w:numFmt w:val="bullet"/>
      <w:start w:val="1"/>
    </w:lvl>
  </w:abstractNum>
  <w:abstractNum w:abstractNumId="5">
    <w:nsid w:val="42C296BD"/>
    <w:multiLevelType w:val="hybridMultilevel"/>
    <w:lvl w:ilvl="0">
      <w:lvlJc w:val="left"/>
      <w:lvlText w:val="•"/>
      <w:numFmt w:val="bullet"/>
      <w:start w:val="1"/>
    </w:lvl>
  </w:abstractNum>
  <w:abstractNum w:abstractNumId="6">
    <w:nsid w:val="168E121F"/>
    <w:multiLevelType w:val="hybridMultilevel"/>
    <w:lvl w:ilvl="0">
      <w:lvlJc w:val="left"/>
      <w:lvlText w:val="•"/>
      <w:numFmt w:val="bullet"/>
      <w:start w:val="1"/>
    </w:lvl>
  </w:abstractNum>
  <w:abstractNum w:abstractNumId="7">
    <w:nsid w:val="1EBA5D23"/>
    <w:multiLevelType w:val="hybridMultilevel"/>
    <w:lvl w:ilvl="0">
      <w:lvlJc w:val="left"/>
      <w:lvlText w:val="•"/>
      <w:numFmt w:val="bullet"/>
      <w:start w:val="1"/>
    </w:lvl>
  </w:abstractNum>
  <w:abstractNum w:abstractNumId="8">
    <w:nsid w:val="661E3F1E"/>
    <w:multiLevelType w:val="hybridMultilevel"/>
    <w:lvl w:ilvl="0">
      <w:lvlJc w:val="left"/>
      <w:lvlText w:val="1"/>
      <w:numFmt w:val="bullet"/>
      <w:start w:val="1"/>
    </w:lvl>
  </w:abstractNum>
  <w:abstractNum w:abstractNumId="9">
    <w:nsid w:val="5DC79EA8"/>
    <w:multiLevelType w:val="hybridMultilevel"/>
    <w:lvl w:ilvl="0">
      <w:lvlJc w:val="left"/>
      <w:lvlText w:val="•"/>
      <w:numFmt w:val="bullet"/>
      <w:start w:val="1"/>
    </w:lvl>
  </w:abstractNum>
  <w:abstractNum w:abstractNumId="10">
    <w:nsid w:val="540A471C"/>
    <w:multiLevelType w:val="hybridMultilevel"/>
    <w:lvl w:ilvl="0">
      <w:lvlJc w:val="left"/>
      <w:lvlText w:val="•"/>
      <w:numFmt w:val="bullet"/>
      <w:start w:val="1"/>
    </w:lvl>
  </w:abstractNum>
  <w:abstractNum w:abstractNumId="11">
    <w:nsid w:val="7BD3EE7B"/>
    <w:multiLevelType w:val="hybridMultilevel"/>
    <w:lvl w:ilvl="0">
      <w:lvlJc w:val="left"/>
      <w:lvlText w:val="•"/>
      <w:numFmt w:val="bullet"/>
      <w:start w:val="1"/>
    </w:lvl>
  </w:abstractNum>
  <w:abstractNum w:abstractNumId="12">
    <w:nsid w:val="51D9C564"/>
    <w:multiLevelType w:val="hybridMultilevel"/>
    <w:lvl w:ilvl="0">
      <w:lvlJc w:val="left"/>
      <w:lvlText w:val="•"/>
      <w:numFmt w:val="bullet"/>
      <w:start w:val="1"/>
    </w:lvl>
  </w:abstractNum>
  <w:abstractNum w:abstractNumId="13">
    <w:nsid w:val="613EFDC5"/>
    <w:multiLevelType w:val="hybridMultilevel"/>
    <w:lvl w:ilvl="0">
      <w:lvlJc w:val="left"/>
      <w:lvlText w:val="•"/>
      <w:numFmt w:val="bullet"/>
      <w:start w:val="1"/>
    </w:lvl>
  </w:abstractNum>
  <w:abstractNum w:abstractNumId="14">
    <w:nsid w:val="BF72B14"/>
    <w:multiLevelType w:val="hybridMultilevel"/>
    <w:lvl w:ilvl="0">
      <w:lvlJc w:val="left"/>
      <w:lvlText w:val="•"/>
      <w:numFmt w:val="bullet"/>
      <w:start w:val="1"/>
    </w:lvl>
  </w:abstractNum>
  <w:abstractNum w:abstractNumId="15">
    <w:nsid w:val="11447B73"/>
    <w:multiLevelType w:val="hybridMultilevel"/>
    <w:lvl w:ilvl="0">
      <w:lvlJc w:val="left"/>
      <w:lvlText w:val="•"/>
      <w:numFmt w:val="bullet"/>
      <w:start w:val="1"/>
    </w:lvl>
  </w:abstractNum>
  <w:abstractNum w:abstractNumId="16">
    <w:nsid w:val="42963E5A"/>
    <w:multiLevelType w:val="hybridMultilevel"/>
    <w:lvl w:ilvl="0">
      <w:lvlJc w:val="left"/>
      <w:lvlText w:val="•"/>
      <w:numFmt w:val="bullet"/>
      <w:start w:val="1"/>
    </w:lvl>
  </w:abstractNum>
  <w:abstractNum w:abstractNumId="17">
    <w:nsid w:val="A0382C5"/>
    <w:multiLevelType w:val="hybridMultilevel"/>
    <w:lvl w:ilvl="0">
      <w:lvlJc w:val="left"/>
      <w:lvlText w:val="•"/>
      <w:numFmt w:val="bullet"/>
      <w:start w:val="1"/>
    </w:lvl>
  </w:abstractNum>
  <w:abstractNum w:abstractNumId="18">
    <w:nsid w:val="8F2B15E"/>
    <w:multiLevelType w:val="hybridMultilevel"/>
    <w:lvl w:ilvl="0">
      <w:lvlJc w:val="left"/>
      <w:lvlText w:val="•"/>
      <w:numFmt w:val="bullet"/>
      <w:start w:val="1"/>
    </w:lvl>
  </w:abstractNum>
  <w:abstractNum w:abstractNumId="19">
    <w:nsid w:val="1A32234B"/>
    <w:multiLevelType w:val="hybridMultilevel"/>
    <w:lvl w:ilvl="0">
      <w:lvlJc w:val="left"/>
      <w:lvlText w:val="•"/>
      <w:numFmt w:val="bullet"/>
      <w:start w:val="1"/>
    </w:lvl>
  </w:abstractNum>
  <w:abstractNum w:abstractNumId="20">
    <w:nsid w:val="3B0FD379"/>
    <w:multiLevelType w:val="hybridMultilevel"/>
    <w:lvl w:ilvl="0">
      <w:lvlJc w:val="left"/>
      <w:lvlText w:val="•"/>
      <w:numFmt w:val="bullet"/>
      <w:start w:val="1"/>
    </w:lvl>
  </w:abstractNum>
  <w:abstractNum w:abstractNumId="21">
    <w:nsid w:val="68EB2F63"/>
    <w:multiLevelType w:val="hybridMultilevel"/>
    <w:lvl w:ilvl="0">
      <w:lvlJc w:val="left"/>
      <w:lvlText w:val="•"/>
      <w:numFmt w:val="bullet"/>
      <w:start w:val="1"/>
    </w:lvl>
  </w:abstractNum>
  <w:abstractNum w:abstractNumId="22">
    <w:nsid w:val="4962813B"/>
    <w:multiLevelType w:val="hybridMultilevel"/>
    <w:lvl w:ilvl="0">
      <w:lvlJc w:val="left"/>
      <w:lvlText w:val="•"/>
      <w:numFmt w:val="bullet"/>
      <w:start w:val="1"/>
    </w:lvl>
  </w:abstractNum>
  <w:abstractNum w:abstractNumId="23">
    <w:nsid w:val="60B6DF70"/>
    <w:multiLevelType w:val="hybridMultilevel"/>
    <w:lvl w:ilvl="0">
      <w:lvlJc w:val="left"/>
      <w:lvlText w:val="(%1)"/>
      <w:numFmt w:val="decimal"/>
      <w:start w:val="1"/>
    </w:lvl>
  </w:abstractNum>
  <w:abstractNum w:abstractNumId="24">
    <w:nsid w:val="6A5EE64"/>
    <w:multiLevelType w:val="hybridMultilevel"/>
    <w:lvl w:ilvl="0">
      <w:lvlJc w:val="left"/>
      <w:lvlText w:val="(%1)"/>
      <w:numFmt w:val="decimal"/>
      <w:start w:val="1"/>
    </w:lvl>
  </w:abstractNum>
  <w:abstractNum w:abstractNumId="25">
    <w:nsid w:val="14330624"/>
    <w:multiLevelType w:val="hybridMultilevel"/>
    <w:lvl w:ilvl="0">
      <w:lvlJc w:val="left"/>
      <w:lvlText w:val="•"/>
      <w:numFmt w:val="bullet"/>
      <w:start w:val="1"/>
    </w:lvl>
  </w:abstractNum>
  <w:abstractNum w:abstractNumId="26">
    <w:nsid w:val="7FFFCA11"/>
    <w:multiLevelType w:val="hybridMultilevel"/>
    <w:lvl w:ilvl="0">
      <w:lvlJc w:val="left"/>
      <w:lvlText w:val="%1."/>
      <w:numFmt w:val="decimal"/>
      <w:start w:val="1"/>
    </w:lvl>
  </w:abstractNum>
  <w:abstractNum w:abstractNumId="27">
    <w:nsid w:val="1A27709E"/>
    <w:multiLevelType w:val="hybridMultilevel"/>
    <w:lvl w:ilvl="0">
      <w:lvlJc w:val="left"/>
      <w:lvlText w:val="%1."/>
      <w:numFmt w:val="decimal"/>
      <w:start w:val="1"/>
    </w:lvl>
  </w:abstractNum>
  <w:abstractNum w:abstractNumId="28">
    <w:nsid w:val="71EA1109"/>
    <w:multiLevelType w:val="hybridMultilevel"/>
    <w:lvl w:ilvl="0">
      <w:lvlJc w:val="left"/>
      <w:lvlText w:val="%1."/>
      <w:numFmt w:val="decimal"/>
      <w:start w:val="1"/>
    </w:lvl>
  </w:abstractNum>
  <w:abstractNum w:abstractNumId="29">
    <w:nsid w:val="100F59DC"/>
    <w:multiLevelType w:val="hybridMultilevel"/>
    <w:lvl w:ilvl="0">
      <w:lvlJc w:val="left"/>
      <w:lvlText w:val="%1."/>
      <w:numFmt w:val="decimal"/>
      <w:start w:val="1"/>
    </w:lvl>
  </w:abstractNum>
  <w:abstractNum w:abstractNumId="30">
    <w:nsid w:val="7FB7E0AA"/>
    <w:multiLevelType w:val="hybridMultilevel"/>
    <w:lvl w:ilvl="0">
      <w:lvlJc w:val="left"/>
      <w:lvlText w:val="%1."/>
      <w:numFmt w:val="decimal"/>
      <w:start w:val="1"/>
    </w:lvl>
  </w:abstractNum>
  <w:abstractNum w:abstractNumId="31">
    <w:nsid w:val="6EB5BD4"/>
    <w:multiLevelType w:val="hybridMultilevel"/>
    <w:lvl w:ilvl="0">
      <w:lvlJc w:val="left"/>
      <w:lvlText w:val="%1."/>
      <w:numFmt w:val="decimal"/>
      <w:start w:val="1"/>
    </w:lvl>
  </w:abstractNum>
  <w:abstractNum w:abstractNumId="32">
    <w:nsid w:val="6F6DD9AC"/>
    <w:multiLevelType w:val="hybridMultilevel"/>
    <w:lvl w:ilvl="0">
      <w:lvlJc w:val="left"/>
      <w:lvlText w:val="•"/>
      <w:numFmt w:val="bullet"/>
      <w:start w:val="1"/>
    </w:lvl>
  </w:abstractNum>
  <w:abstractNum w:abstractNumId="33">
    <w:nsid w:val="94211F2"/>
    <w:multiLevelType w:val="hybridMultilevel"/>
    <w:lvl w:ilvl="0">
      <w:lvlJc w:val="left"/>
      <w:lvlText w:val="2"/>
      <w:numFmt w:val="bullet"/>
      <w:start w:val="1"/>
    </w:lvl>
  </w:abstractNum>
  <w:abstractNum w:abstractNumId="34">
    <w:nsid w:val="885E1B"/>
    <w:multiLevelType w:val="hybridMultilevel"/>
    <w:lvl w:ilvl="0">
      <w:lvlJc w:val="left"/>
      <w:lvlText w:val="3"/>
      <w:numFmt w:val="bullet"/>
      <w:start w:val="1"/>
    </w:lvl>
  </w:abstractNum>
  <w:abstractNum w:abstractNumId="35">
    <w:nsid w:val="76272110"/>
    <w:multiLevelType w:val="hybridMultilevel"/>
    <w:lvl w:ilvl="0">
      <w:lvlJc w:val="left"/>
      <w:lvlText w:val="•"/>
      <w:numFmt w:val="bullet"/>
      <w:start w:val="1"/>
    </w:lvl>
  </w:abstractNum>
  <w:abstractNum w:abstractNumId="36">
    <w:nsid w:val="4C04A8AF"/>
    <w:multiLevelType w:val="hybridMultilevel"/>
    <w:lvl w:ilvl="0">
      <w:lvlJc w:val="left"/>
      <w:lvlText w:val="•"/>
      <w:numFmt w:val="bullet"/>
      <w:start w:val="1"/>
    </w:lvl>
  </w:abstractNum>
  <w:abstractNum w:abstractNumId="37">
    <w:nsid w:val="1716703B"/>
    <w:multiLevelType w:val="hybridMultilevel"/>
    <w:lvl w:ilvl="0">
      <w:lvlJc w:val="left"/>
      <w:lvlText w:val="•"/>
      <w:numFmt w:val="bullet"/>
      <w:start w:val="1"/>
    </w:lvl>
  </w:abstractNum>
  <w:abstractNum w:abstractNumId="38">
    <w:nsid w:val="14E17E33"/>
    <w:multiLevelType w:val="hybridMultilevel"/>
    <w:lvl w:ilvl="0">
      <w:lvlJc w:val="left"/>
      <w:lvlText w:val="•"/>
      <w:numFmt w:val="bullet"/>
      <w:start w:val="1"/>
    </w:lvl>
    <w:lvl w:ilvl="1">
      <w:lvlJc w:val="left"/>
      <w:lvlText w:val="○"/>
      <w:numFmt w:val="bullet"/>
      <w:start w:val="1"/>
    </w:lvl>
  </w:abstractNum>
  <w:abstractNum w:abstractNumId="39">
    <w:nsid w:val="3222E7CD"/>
    <w:multiLevelType w:val="hybridMultilevel"/>
    <w:lvl w:ilvl="0">
      <w:lvlJc w:val="left"/>
      <w:lvlText w:val="•"/>
      <w:numFmt w:val="bullet"/>
      <w:start w:val="1"/>
    </w:lvl>
  </w:abstractNum>
  <w:abstractNum w:abstractNumId="40">
    <w:nsid w:val="74DE0EE3"/>
    <w:multiLevelType w:val="hybridMultilevel"/>
    <w:lvl w:ilvl="0">
      <w:lvlJc w:val="left"/>
      <w:lvlText w:val="•"/>
      <w:numFmt w:val="bullet"/>
      <w:start w:val="1"/>
    </w:lvl>
  </w:abstractNum>
  <w:abstractNum w:abstractNumId="41">
    <w:nsid w:val="68EBC550"/>
    <w:multiLevelType w:val="hybridMultilevel"/>
    <w:lvl w:ilvl="0">
      <w:lvlJc w:val="left"/>
      <w:lvlText w:val="4"/>
      <w:numFmt w:val="bullet"/>
      <w:start w:val="1"/>
    </w:lvl>
  </w:abstractNum>
  <w:abstractNum w:abstractNumId="42">
    <w:nsid w:val="2DF6D648"/>
    <w:multiLevelType w:val="hybridMultilevel"/>
    <w:lvl w:ilvl="0">
      <w:lvlJc w:val="left"/>
      <w:lvlText w:val="5"/>
      <w:numFmt w:val="bullet"/>
      <w:start w:val="1"/>
    </w:lvl>
  </w:abstractNum>
  <w:abstractNum w:abstractNumId="43">
    <w:nsid w:val="46B7D447"/>
    <w:multiLevelType w:val="hybridMultilevel"/>
    <w:lvl w:ilvl="0">
      <w:lvlJc w:val="left"/>
      <w:lvlText w:val="•"/>
      <w:numFmt w:val="bullet"/>
      <w:start w:val="1"/>
    </w:lvl>
  </w:abstractNum>
  <w:abstractNum w:abstractNumId="44">
    <w:nsid w:val="4A2AC315"/>
    <w:multiLevelType w:val="hybridMultilevel"/>
    <w:lvl w:ilvl="0">
      <w:lvlJc w:val="left"/>
      <w:lvlText w:val="•"/>
      <w:numFmt w:val="bullet"/>
      <w:start w:val="1"/>
    </w:lvl>
  </w:abstractNum>
  <w:abstractNum w:abstractNumId="45">
    <w:nsid w:val="39EE015C"/>
    <w:multiLevelType w:val="hybridMultilevel"/>
    <w:lvl w:ilvl="0">
      <w:lvlJc w:val="left"/>
      <w:lvlText w:val="•"/>
      <w:numFmt w:val="bullet"/>
      <w:start w:val="1"/>
    </w:lvl>
  </w:abstractNum>
  <w:abstractNum w:abstractNumId="46">
    <w:nsid w:val="57FC4FBB"/>
    <w:multiLevelType w:val="hybridMultilevel"/>
    <w:lvl w:ilvl="0">
      <w:lvlJc w:val="left"/>
      <w:lvlText w:val="*"/>
      <w:numFmt w:val="bullet"/>
      <w:start w:val="1"/>
    </w:lvl>
  </w:abstractNum>
  <w:abstractNum w:abstractNumId="47">
    <w:nsid w:val="CC1016F"/>
    <w:multiLevelType w:val="hybridMultilevel"/>
    <w:lvl w:ilvl="0">
      <w:lvlJc w:val="left"/>
      <w:lvlText w:val="**"/>
      <w:numFmt w:val="bullet"/>
      <w:start w:val="1"/>
    </w:lvl>
  </w:abstractNum>
  <w:abstractNum w:abstractNumId="48">
    <w:nsid w:val="43F18422"/>
    <w:multiLevelType w:val="hybridMultilevel"/>
    <w:lvl w:ilvl="0">
      <w:lvlJc w:val="left"/>
      <w:lvlText w:val="***"/>
      <w:numFmt w:val="bullet"/>
      <w:start w:val="1"/>
    </w:lvl>
  </w:abstractNum>
  <w:abstractNum w:abstractNumId="49">
    <w:nsid w:val="60EF0119"/>
    <w:multiLevelType w:val="hybridMultilevel"/>
    <w:lvl w:ilvl="0">
      <w:lvlJc w:val="left"/>
      <w:lvlText w:val="•"/>
      <w:numFmt w:val="bullet"/>
      <w:start w:val="1"/>
    </w:lvl>
  </w:abstractNum>
  <w:abstractNum w:abstractNumId="50">
    <w:nsid w:val="26F324BA"/>
    <w:multiLevelType w:val="hybridMultilevel"/>
    <w:lvl w:ilvl="0">
      <w:lvlJc w:val="left"/>
      <w:lvlText w:val="•"/>
      <w:numFmt w:val="bullet"/>
      <w:start w:val="1"/>
    </w:lvl>
  </w:abstractNum>
  <w:abstractNum w:abstractNumId="51">
    <w:nsid w:val="7F01579B"/>
    <w:multiLevelType w:val="hybridMultilevel"/>
    <w:lvl w:ilvl="0">
      <w:lvlJc w:val="left"/>
      <w:lvlText w:val="•"/>
      <w:numFmt w:val="bullet"/>
      <w:start w:val="1"/>
    </w:lvl>
  </w:abstractNum>
  <w:abstractNum w:abstractNumId="52">
    <w:nsid w:val="49DA307D"/>
    <w:multiLevelType w:val="hybridMultilevel"/>
    <w:lvl w:ilvl="0">
      <w:lvlJc w:val="left"/>
      <w:lvlText w:val="•"/>
      <w:numFmt w:val="bullet"/>
      <w:start w:val="1"/>
    </w:lvl>
  </w:abstractNum>
  <w:abstractNum w:abstractNumId="53">
    <w:nsid w:val="7055A5F5"/>
    <w:multiLevelType w:val="hybridMultilevel"/>
    <w:lvl w:ilvl="0">
      <w:lvlJc w:val="left"/>
      <w:lvlText w:val="•"/>
      <w:numFmt w:val="bullet"/>
      <w:start w:val="1"/>
    </w:lvl>
  </w:abstractNum>
  <w:abstractNum w:abstractNumId="54">
    <w:nsid w:val="5FB8370B"/>
    <w:multiLevelType w:val="hybridMultilevel"/>
    <w:lvl w:ilvl="0">
      <w:lvlJc w:val="left"/>
      <w:lvlText w:val="•"/>
      <w:numFmt w:val="bullet"/>
      <w:start w:val="1"/>
    </w:lvl>
  </w:abstractNum>
  <w:abstractNum w:abstractNumId="55">
    <w:nsid w:val="50801EE1"/>
    <w:multiLevelType w:val="hybridMultilevel"/>
    <w:lvl w:ilvl="0">
      <w:lvlJc w:val="left"/>
      <w:lvlText w:val="(%1)"/>
      <w:numFmt w:val="decimal"/>
    </w:lvl>
    <w:lvl w:ilvl="1">
      <w:lvlJc w:val="left"/>
      <w:lvlText w:val="•"/>
      <w:numFmt w:val="bullet"/>
      <w:start w:val="1"/>
    </w:lvl>
  </w:abstractNum>
  <w:abstractNum w:abstractNumId="56">
    <w:nsid w:val="488AC1A"/>
    <w:multiLevelType w:val="hybridMultilevel"/>
    <w:lvl w:ilvl="0">
      <w:lvlJc w:val="left"/>
      <w:lvlText w:val="•"/>
      <w:numFmt w:val="bullet"/>
      <w:start w:val="1"/>
    </w:lvl>
  </w:abstractNum>
  <w:abstractNum w:abstractNumId="57">
    <w:nsid w:val="5FB8011C"/>
    <w:multiLevelType w:val="hybridMultilevel"/>
    <w:lvl w:ilvl="0">
      <w:lvlJc w:val="left"/>
      <w:lvlText w:val="•"/>
      <w:numFmt w:val="bullet"/>
      <w:start w:val="1"/>
    </w:lvl>
  </w:abstractNum>
  <w:abstractNum w:abstractNumId="58">
    <w:nsid w:val="6AA78F7F"/>
    <w:multiLevelType w:val="hybridMultilevel"/>
    <w:lvl w:ilvl="0">
      <w:lvlJc w:val="left"/>
      <w:lvlText w:val="•"/>
      <w:numFmt w:val="bullet"/>
      <w:start w:val="1"/>
    </w:lvl>
  </w:abstractNum>
  <w:abstractNum w:abstractNumId="59">
    <w:nsid w:val="7672BD23"/>
    <w:multiLevelType w:val="hybridMultilevel"/>
    <w:lvl w:ilvl="0">
      <w:lvlJc w:val="left"/>
      <w:lvlText w:val="•"/>
      <w:numFmt w:val="bullet"/>
      <w:start w:val="1"/>
    </w:lvl>
  </w:abstractNum>
  <w:abstractNum w:abstractNumId="60">
    <w:nsid w:val="6FC75AF8"/>
    <w:multiLevelType w:val="hybridMultilevel"/>
    <w:lvl w:ilvl="0">
      <w:lvlJc w:val="left"/>
      <w:lvlText w:val="•"/>
      <w:numFmt w:val="bullet"/>
      <w:start w:val="1"/>
    </w:lvl>
  </w:abstractNum>
  <w:abstractNum w:abstractNumId="61">
    <w:nsid w:val="6A5F7029"/>
    <w:multiLevelType w:val="hybridMultilevel"/>
    <w:lvl w:ilvl="0">
      <w:lvlJc w:val="left"/>
      <w:lvlText w:val="(%1)"/>
      <w:numFmt w:val="decimal"/>
      <w:start w:val="1"/>
    </w:lvl>
  </w:abstractNum>
  <w:abstractNum w:abstractNumId="62">
    <w:nsid w:val="7D5E18F8"/>
    <w:multiLevelType w:val="hybridMultilevel"/>
    <w:lvl w:ilvl="0">
      <w:lvlJc w:val="left"/>
      <w:lvlText w:val="(%1)"/>
      <w:numFmt w:val="decimal"/>
      <w:start w:val="1"/>
    </w:lvl>
  </w:abstractNum>
  <w:abstractNum w:abstractNumId="63">
    <w:nsid w:val="5F3534A4"/>
    <w:multiLevelType w:val="hybridMultilevel"/>
    <w:lvl w:ilvl="0">
      <w:lvlJc w:val="left"/>
      <w:lvlText w:val="(%1)"/>
      <w:numFmt w:val="decimal"/>
      <w:start w:val="1"/>
    </w:lvl>
  </w:abstractNum>
  <w:abstractNum w:abstractNumId="64">
    <w:nsid w:val="73A1821B"/>
    <w:multiLevelType w:val="hybridMultilevel"/>
    <w:lvl w:ilvl="0">
      <w:lvlJc w:val="left"/>
      <w:lvlText w:val="(%1)"/>
      <w:numFmt w:val="decimal"/>
    </w:lvl>
    <w:lvl w:ilvl="1">
      <w:lvlJc w:val="left"/>
      <w:lvlText w:val="•"/>
      <w:numFmt w:val="bullet"/>
      <w:start w:val="1"/>
    </w:lvl>
  </w:abstractNum>
  <w:abstractNum w:abstractNumId="65">
    <w:nsid w:val="7DE67713"/>
    <w:multiLevelType w:val="hybridMultilevel"/>
    <w:lvl w:ilvl="0">
      <w:lvlJc w:val="left"/>
      <w:lvlText w:val="(%1)"/>
      <w:numFmt w:val="decimal"/>
      <w:start w:val="1"/>
    </w:lvl>
    <w:lvl w:ilvl="1">
      <w:lvlJc w:val="left"/>
      <w:lvlText w:val="(%2)"/>
      <w:numFmt w:val="lowerRoman"/>
      <w:start w:val="2"/>
    </w:lvl>
  </w:abstractNum>
  <w:abstractNum w:abstractNumId="66">
    <w:nsid w:val="555C55B5"/>
    <w:multiLevelType w:val="hybridMultilevel"/>
    <w:lvl w:ilvl="0">
      <w:lvlJc w:val="left"/>
      <w:lvlText w:val="(%1)"/>
      <w:numFmt w:val="decimal"/>
      <w:start w:val="1"/>
    </w:lvl>
  </w:abstractNum>
  <w:abstractNum w:abstractNumId="67">
    <w:nsid w:val="3FA62ACA"/>
    <w:multiLevelType w:val="hybridMultilevel"/>
    <w:lvl w:ilvl="0">
      <w:lvlJc w:val="left"/>
      <w:lvlText w:val="(%1)"/>
      <w:numFmt w:val="lowerRoman"/>
      <w:start w:val="1"/>
    </w:lvl>
  </w:abstractNum>
  <w:abstractNum w:abstractNumId="68">
    <w:nsid w:val="14FCE74E"/>
    <w:multiLevelType w:val="hybridMultilevel"/>
    <w:lvl w:ilvl="0">
      <w:lvlJc w:val="left"/>
      <w:lvlText w:val="(%1)"/>
      <w:numFmt w:val="lowerRoman"/>
      <w:start w:val="4"/>
    </w:lvl>
  </w:abstractNum>
  <w:abstractNum w:abstractNumId="69">
    <w:nsid w:val="6A3DD3E8"/>
    <w:multiLevelType w:val="hybridMultilevel"/>
    <w:lvl w:ilvl="0">
      <w:lvlJc w:val="left"/>
      <w:lvlText w:val="(%1)"/>
      <w:numFmt w:val="decimal"/>
      <w:start w:val="1"/>
    </w:lvl>
  </w:abstractNum>
  <w:abstractNum w:abstractNumId="70">
    <w:nsid w:val="71C91298"/>
    <w:multiLevelType w:val="hybridMultilevel"/>
    <w:lvl w:ilvl="0">
      <w:lvlJc w:val="left"/>
      <w:lvlText w:val="(%1)"/>
      <w:numFmt w:val="decimal"/>
      <w:start w:val="1"/>
    </w:lvl>
  </w:abstractNum>
  <w:abstractNum w:abstractNumId="71">
    <w:nsid w:val="9DAF632"/>
    <w:multiLevelType w:val="hybridMultilevel"/>
    <w:lvl w:ilvl="0">
      <w:lvlJc w:val="left"/>
      <w:lvlText w:val="(%1)"/>
      <w:numFmt w:val="decimal"/>
      <w:start w:val="4"/>
    </w:lvl>
  </w:abstractNum>
  <w:abstractNum w:abstractNumId="72">
    <w:nsid w:val="53299938"/>
    <w:multiLevelType w:val="hybridMultilevel"/>
    <w:lvl w:ilvl="0">
      <w:lvlJc w:val="left"/>
      <w:lvlText w:val="(%1)"/>
      <w:numFmt w:val="decimal"/>
      <w:start w:val="1"/>
    </w:lvl>
  </w:abstractNum>
  <w:abstractNum w:abstractNumId="73">
    <w:nsid w:val="1FBFE8E0"/>
    <w:multiLevelType w:val="hybridMultilevel"/>
    <w:lvl w:ilvl="0">
      <w:lvlJc w:val="left"/>
      <w:lvlText w:val="(%1)"/>
      <w:numFmt w:val="decimal"/>
      <w:start w:val="1"/>
    </w:lvl>
  </w:abstractNum>
  <w:abstractNum w:abstractNumId="74">
    <w:nsid w:val="5092CA79"/>
    <w:multiLevelType w:val="hybridMultilevel"/>
    <w:lvl w:ilvl="0">
      <w:lvlJc w:val="left"/>
      <w:lvlText w:val="(%1)"/>
      <w:numFmt w:val="lowerRoman"/>
      <w:start w:val="1"/>
    </w:lvl>
  </w:abstractNum>
  <w:abstractNum w:abstractNumId="75">
    <w:nsid w:val="1D545C4D"/>
    <w:multiLevelType w:val="hybridMultilevel"/>
    <w:lvl w:ilvl="0">
      <w:lvlJc w:val="left"/>
      <w:lvlText w:val="•"/>
      <w:numFmt w:val="bullet"/>
      <w:start w:val="1"/>
    </w:lvl>
  </w:abstractNum>
  <w:abstractNum w:abstractNumId="76">
    <w:nsid w:val="59ADEA3D"/>
    <w:multiLevelType w:val="hybridMultilevel"/>
    <w:lvl w:ilvl="0">
      <w:lvlJc w:val="left"/>
      <w:lvlText w:val="•"/>
      <w:numFmt w:val="bullet"/>
      <w:start w:val="1"/>
    </w:lvl>
  </w:abstractNum>
  <w:abstractNum w:abstractNumId="77">
    <w:nsid w:val="288F1A34"/>
    <w:multiLevelType w:val="hybridMultilevel"/>
    <w:lvl w:ilvl="0">
      <w:lvlJc w:val="left"/>
      <w:lvlText w:val="*"/>
      <w:numFmt w:val="bullet"/>
      <w:start w:val="1"/>
    </w:lvl>
  </w:abstractNum>
  <w:abstractNum w:abstractNumId="78">
    <w:nsid w:val="2A155DBC"/>
    <w:multiLevelType w:val="hybridMultilevel"/>
    <w:lvl w:ilvl="0">
      <w:lvlJc w:val="left"/>
      <w:lvlText w:val="(%1)"/>
      <w:numFmt w:val="decimal"/>
      <w:start w:val="1"/>
    </w:lvl>
  </w:abstractNum>
  <w:abstractNum w:abstractNumId="79">
    <w:nsid w:val="1D9F6E5F"/>
    <w:multiLevelType w:val="hybridMultilevel"/>
    <w:lvl w:ilvl="0">
      <w:lvlJc w:val="left"/>
      <w:lvlText w:val="(%1)"/>
      <w:numFmt w:val="decimal"/>
      <w:start w:val="2"/>
    </w:lvl>
  </w:abstractNum>
  <w:abstractNum w:abstractNumId="80">
    <w:nsid w:val="97E1B4E"/>
    <w:multiLevelType w:val="hybridMultilevel"/>
    <w:lvl w:ilvl="0">
      <w:lvlJc w:val="left"/>
      <w:lvlText w:val="(%1)"/>
      <w:numFmt w:val="lowerRoman"/>
      <w:start w:val="2"/>
    </w:lvl>
  </w:abstractNum>
  <w:abstractNum w:abstractNumId="81">
    <w:nsid w:val="51088277"/>
    <w:multiLevelType w:val="hybridMultilevel"/>
    <w:lvl w:ilvl="0">
      <w:lvlJc w:val="left"/>
      <w:lvlText w:val="*"/>
      <w:numFmt w:val="bullet"/>
      <w:start w:val="1"/>
    </w:lvl>
  </w:abstractNum>
  <w:abstractNum w:abstractNumId="82">
    <w:nsid w:val="1CA0C5FA"/>
    <w:multiLevelType w:val="hybridMultilevel"/>
    <w:lvl w:ilvl="0">
      <w:lvlJc w:val="left"/>
      <w:lvlText w:val="(%1)"/>
      <w:numFmt w:val="decimal"/>
      <w:start w:val="1"/>
    </w:lvl>
  </w:abstractNum>
  <w:abstractNum w:abstractNumId="83">
    <w:nsid w:val="53584BCB"/>
    <w:multiLevelType w:val="hybridMultilevel"/>
    <w:lvl w:ilvl="0">
      <w:lvlJc w:val="left"/>
      <w:lvlText w:val="(%1)"/>
      <w:numFmt w:val="lowerRoman"/>
      <w:start w:val="10"/>
    </w:lvl>
  </w:abstractNum>
  <w:abstractNum w:abstractNumId="84">
    <w:nsid w:val="415E286C"/>
    <w:multiLevelType w:val="hybridMultilevel"/>
    <w:lvl w:ilvl="0">
      <w:lvlJc w:val="left"/>
      <w:lvlText w:val="•"/>
      <w:numFmt w:val="bullet"/>
      <w:start w:val="1"/>
    </w:lvl>
  </w:abstractNum>
  <w:abstractNum w:abstractNumId="85">
    <w:nsid w:val="7C58FD05"/>
    <w:multiLevelType w:val="hybridMultilevel"/>
    <w:lvl w:ilvl="0">
      <w:lvlJc w:val="left"/>
      <w:lvlText w:val="(%1)"/>
      <w:numFmt w:val="decimal"/>
      <w:start w:val="1"/>
    </w:lvl>
  </w:abstractNum>
  <w:abstractNum w:abstractNumId="86">
    <w:nsid w:val="23D86AAC"/>
    <w:multiLevelType w:val="hybridMultilevel"/>
    <w:lvl w:ilvl="0">
      <w:lvlJc w:val="left"/>
      <w:lvlText w:val="•"/>
      <w:numFmt w:val="bullet"/>
      <w:start w:val="1"/>
    </w:lvl>
  </w:abstractNum>
  <w:abstractNum w:abstractNumId="87">
    <w:nsid w:val="45E6D486"/>
    <w:multiLevelType w:val="hybridMultilevel"/>
    <w:lvl w:ilvl="0">
      <w:lvlJc w:val="left"/>
      <w:lvlText w:val="•"/>
      <w:numFmt w:val="bullet"/>
      <w:start w:val="1"/>
    </w:lvl>
  </w:abstractNum>
  <w:abstractNum w:abstractNumId="88">
    <w:nsid w:val="5C10FE21"/>
    <w:multiLevelType w:val="hybridMultilevel"/>
    <w:lvl w:ilvl="0">
      <w:lvlJc w:val="left"/>
      <w:lvlText w:val="•"/>
      <w:numFmt w:val="bullet"/>
      <w:start w:val="1"/>
    </w:lvl>
  </w:abstractNum>
  <w:abstractNum w:abstractNumId="89">
    <w:nsid w:val="E7FFA2B"/>
    <w:multiLevelType w:val="hybridMultilevel"/>
    <w:lvl w:ilvl="0">
      <w:lvlJc w:val="left"/>
      <w:lvlText w:val="•"/>
      <w:numFmt w:val="bullet"/>
      <w:start w:val="1"/>
    </w:lvl>
  </w:abstractNum>
  <w:abstractNum w:abstractNumId="90">
    <w:nsid w:val="3C5991AA"/>
    <w:multiLevelType w:val="hybridMultilevel"/>
    <w:lvl w:ilvl="0">
      <w:lvlJc w:val="left"/>
      <w:lvlText w:val="•"/>
      <w:numFmt w:val="bullet"/>
      <w:start w:val="1"/>
    </w:lvl>
  </w:abstractNum>
  <w:abstractNum w:abstractNumId="91">
    <w:nsid w:val="4BD8591A"/>
    <w:multiLevelType w:val="hybridMultilevel"/>
    <w:lvl w:ilvl="0">
      <w:lvlJc w:val="left"/>
      <w:lvlText w:val="(%1)"/>
      <w:numFmt w:val="decimal"/>
      <w:start w:val="2"/>
    </w:lvl>
  </w:abstractNum>
  <w:abstractNum w:abstractNumId="92">
    <w:nsid w:val="78DF6A55"/>
    <w:multiLevelType w:val="hybridMultilevel"/>
    <w:lvl w:ilvl="0">
      <w:lvlJc w:val="left"/>
      <w:lvlText w:val="•"/>
      <w:numFmt w:val="bullet"/>
      <w:start w:val="1"/>
    </w:lvl>
  </w:abstractNum>
  <w:abstractNum w:abstractNumId="93">
    <w:nsid w:val="39B7AAA2"/>
    <w:multiLevelType w:val="hybridMultilevel"/>
    <w:lvl w:ilvl="0">
      <w:lvlJc w:val="left"/>
      <w:lvlText w:val="%1."/>
      <w:numFmt w:val="decimal"/>
      <w:start w:val="1"/>
    </w:lvl>
  </w:abstractNum>
  <w:abstractNum w:abstractNumId="94">
    <w:nsid w:val="2B0D8DBE"/>
    <w:multiLevelType w:val="hybridMultilevel"/>
    <w:lvl w:ilvl="0">
      <w:lvlJc w:val="left"/>
      <w:lvlText w:val="%1."/>
      <w:numFmt w:val="decimal"/>
      <w:start w:val="1"/>
    </w:lvl>
  </w:abstractNum>
  <w:abstractNum w:abstractNumId="95">
    <w:nsid w:val="6C80EC70"/>
    <w:multiLevelType w:val="hybridMultilevel"/>
    <w:lvl w:ilvl="0">
      <w:lvlJc w:val="left"/>
      <w:lvlText w:val="%1."/>
      <w:numFmt w:val="decimal"/>
      <w:start w:val="1"/>
    </w:lvl>
  </w:abstractNum>
  <w:abstractNum w:abstractNumId="96">
    <w:nsid w:val="379E21B5"/>
    <w:multiLevelType w:val="hybridMultilevel"/>
    <w:lvl w:ilvl="0">
      <w:lvlJc w:val="left"/>
      <w:lvlText w:val="%1."/>
      <w:numFmt w:val="decimal"/>
      <w:start w:val="2"/>
    </w:lvl>
  </w:abstractNum>
  <w:abstractNum w:abstractNumId="97">
    <w:nsid w:val="69E373"/>
    <w:multiLevelType w:val="hybridMultilevel"/>
    <w:lvl w:ilvl="0">
      <w:lvlJc w:val="left"/>
      <w:lvlText w:val="1"/>
      <w:numFmt w:val="bullet"/>
      <w:start w:val="1"/>
    </w:lvl>
  </w:abstractNum>
  <w:abstractNum w:abstractNumId="98">
    <w:nsid w:val="2C27173B"/>
    <w:multiLevelType w:val="hybridMultilevel"/>
    <w:lvl w:ilvl="0">
      <w:lvlJc w:val="left"/>
      <w:lvlText w:val="%1."/>
      <w:numFmt w:val="decimal"/>
      <w:start w:val="3"/>
    </w:lvl>
  </w:abstractNum>
  <w:abstractNum w:abstractNumId="99">
    <w:nsid w:val="4C9B0904"/>
    <w:multiLevelType w:val="hybridMultilevel"/>
    <w:lvl w:ilvl="0">
      <w:lvlJc w:val="left"/>
      <w:lvlText w:val="•"/>
      <w:numFmt w:val="bullet"/>
      <w:start w:val="1"/>
    </w:lvl>
  </w:abstractNum>
  <w:abstractNum w:abstractNumId="100">
    <w:nsid w:val="6AA7B75C"/>
    <w:multiLevelType w:val="hybridMultilevel"/>
    <w:lvl w:ilvl="0">
      <w:lvlJc w:val="left"/>
      <w:lvlText w:val="•"/>
      <w:numFmt w:val="bullet"/>
      <w:start w:val="1"/>
    </w:lvl>
  </w:abstractNum>
  <w:abstractNum w:abstractNumId="101">
    <w:nsid w:val="1DF029D3"/>
    <w:multiLevelType w:val="hybridMultilevel"/>
    <w:lvl w:ilvl="0">
      <w:lvlJc w:val="left"/>
      <w:lvlText w:val="•"/>
      <w:numFmt w:val="bullet"/>
      <w:start w:val="1"/>
    </w:lvl>
    <w:lvl w:ilvl="1">
      <w:lvlJc w:val="left"/>
      <w:lvlText w:val="○"/>
      <w:numFmt w:val="bullet"/>
      <w:start w:val="1"/>
    </w:lvl>
  </w:abstractNum>
  <w:abstractNum w:abstractNumId="102">
    <w:nsid w:val="5675FF36"/>
    <w:multiLevelType w:val="hybridMultilevel"/>
    <w:lvl w:ilvl="0">
      <w:lvlJc w:val="left"/>
      <w:lvlText w:val="•"/>
      <w:numFmt w:val="bullet"/>
      <w:start w:val="1"/>
    </w:lvl>
  </w:abstractNum>
  <w:abstractNum w:abstractNumId="103">
    <w:nsid w:val="3DD15094"/>
    <w:multiLevelType w:val="hybridMultilevel"/>
    <w:lvl w:ilvl="0">
      <w:lvlJc w:val="left"/>
      <w:lvlText w:val="1"/>
      <w:numFmt w:val="bullet"/>
      <w:start w:val="1"/>
    </w:lvl>
  </w:abstractNum>
  <w:abstractNum w:abstractNumId="104">
    <w:nsid w:val="3DB012B3"/>
    <w:multiLevelType w:val="hybridMultilevel"/>
    <w:lvl w:ilvl="0">
      <w:lvlJc w:val="left"/>
      <w:lvlText w:val="2"/>
      <w:numFmt w:val="bullet"/>
      <w:start w:val="1"/>
    </w:lvl>
  </w:abstractNum>
  <w:abstractNum w:abstractNumId="105">
    <w:nsid w:val="2708C9AF"/>
    <w:multiLevelType w:val="hybridMultilevel"/>
    <w:lvl w:ilvl="0">
      <w:lvlJc w:val="left"/>
      <w:lvlText w:val="%1."/>
      <w:numFmt w:val="decimal"/>
      <w:start w:val="4"/>
    </w:lvl>
  </w:abstractNum>
  <w:abstractNum w:abstractNumId="106">
    <w:nsid w:val="5B25ACE2"/>
    <w:multiLevelType w:val="hybridMultilevel"/>
    <w:lvl w:ilvl="0">
      <w:lvlJc w:val="left"/>
      <w:lvlText w:val="%1."/>
      <w:numFmt w:val="decimal"/>
      <w:start w:val="5"/>
    </w:lvl>
  </w:abstractNum>
  <w:abstractNum w:abstractNumId="107">
    <w:nsid w:val="175DFCF0"/>
    <w:multiLevelType w:val="hybridMultilevel"/>
    <w:lvl w:ilvl="0">
      <w:lvlJc w:val="left"/>
      <w:lvlText w:val="•"/>
      <w:numFmt w:val="bullet"/>
      <w:start w:val="1"/>
    </w:lvl>
  </w:abstractNum>
  <w:abstractNum w:abstractNumId="108">
    <w:nsid w:val="4F97E3E4"/>
    <w:multiLevelType w:val="hybridMultilevel"/>
    <w:lvl w:ilvl="0">
      <w:lvlJc w:val="left"/>
      <w:lvlText w:val="%1."/>
      <w:numFmt w:val="decimal"/>
      <w:start w:val="6"/>
    </w:lvl>
  </w:abstractNum>
  <w:abstractNum w:abstractNumId="109">
    <w:nsid w:val="53B0A9E"/>
    <w:multiLevelType w:val="hybridMultilevel"/>
    <w:lvl w:ilvl="0">
      <w:lvlJc w:val="left"/>
      <w:lvlText w:val="%1."/>
      <w:numFmt w:val="decimal"/>
      <w:start w:val="7"/>
    </w:lvl>
  </w:abstractNum>
  <w:abstractNum w:abstractNumId="110">
    <w:nsid w:val="34FD6B4F"/>
    <w:multiLevelType w:val="hybridMultilevel"/>
    <w:lvl w:ilvl="0">
      <w:lvlJc w:val="left"/>
      <w:lvlText w:val="%1."/>
      <w:numFmt w:val="decimal"/>
      <w:start w:val="8"/>
    </w:lvl>
  </w:abstractNum>
  <w:abstractNum w:abstractNumId="111">
    <w:nsid w:val="5915FF32"/>
    <w:multiLevelType w:val="hybridMultilevel"/>
    <w:lvl w:ilvl="0">
      <w:lvlJc w:val="left"/>
      <w:lvlText w:val="%1."/>
      <w:numFmt w:val="decimal"/>
      <w:start w:val="9"/>
    </w:lvl>
  </w:abstractNum>
  <w:abstractNum w:abstractNumId="112">
    <w:nsid w:val="56438D15"/>
    <w:multiLevelType w:val="hybridMultilevel"/>
    <w:lvl w:ilvl="0">
      <w:lvlJc w:val="left"/>
      <w:lvlText w:val="1"/>
      <w:numFmt w:val="bullet"/>
      <w:start w:val="1"/>
    </w:lvl>
  </w:abstractNum>
  <w:abstractNum w:abstractNumId="113">
    <w:nsid w:val="519E3149"/>
    <w:multiLevelType w:val="hybridMultilevel"/>
    <w:lvl w:ilvl="0">
      <w:lvlJc w:val="left"/>
      <w:lvlText w:val="(%1)"/>
      <w:numFmt w:val="decimal"/>
      <w:start w:val="1"/>
    </w:lvl>
  </w:abstractNum>
  <w:abstractNum w:abstractNumId="114">
    <w:nsid w:val="2C6E4AFD"/>
    <w:multiLevelType w:val="hybridMultilevel"/>
    <w:lvl w:ilvl="0">
      <w:lvlJc w:val="left"/>
      <w:lvlText w:val="•"/>
      <w:numFmt w:val="bullet"/>
      <w:start w:val="1"/>
    </w:lvl>
  </w:abstractNum>
  <w:abstractNum w:abstractNumId="115">
    <w:nsid w:val="17A1B582"/>
    <w:multiLevelType w:val="hybridMultilevel"/>
    <w:lvl w:ilvl="0">
      <w:lvlJc w:val="left"/>
      <w:lvlText w:val="•"/>
      <w:numFmt w:val="bullet"/>
      <w:start w:val="1"/>
    </w:lvl>
  </w:abstractNum>
  <w:abstractNum w:abstractNumId="116">
    <w:nsid w:val="4DF72E4E"/>
    <w:multiLevelType w:val="hybridMultilevel"/>
    <w:lvl w:ilvl="0">
      <w:lvlJc w:val="left"/>
      <w:lvlText w:val="•"/>
      <w:numFmt w:val="bullet"/>
      <w:start w:val="1"/>
    </w:lvl>
  </w:abstractNum>
  <w:abstractNum w:abstractNumId="117">
    <w:nsid w:val="5046B5A9"/>
    <w:multiLevelType w:val="hybridMultilevel"/>
    <w:lvl w:ilvl="0">
      <w:lvlJc w:val="left"/>
      <w:lvlText w:val="•"/>
      <w:numFmt w:val="bullet"/>
      <w:start w:val="1"/>
    </w:lvl>
  </w:abstractNum>
  <w:abstractNum w:abstractNumId="118">
    <w:nsid w:val="5D888A08"/>
    <w:multiLevelType w:val="hybridMultilevel"/>
    <w:lvl w:ilvl="0">
      <w:lvlJc w:val="left"/>
      <w:lvlText w:val="%1."/>
      <w:numFmt w:val="decimal"/>
      <w:start w:val="1"/>
    </w:lvl>
  </w:abstractNum>
  <w:abstractNum w:abstractNumId="119">
    <w:nsid w:val="2A082C70"/>
    <w:multiLevelType w:val="hybridMultilevel"/>
    <w:lvl w:ilvl="0">
      <w:lvlJc w:val="left"/>
      <w:lvlText w:val="%1."/>
      <w:numFmt w:val="decimal"/>
      <w:start w:val="2"/>
    </w:lvl>
  </w:abstractNum>
  <w:abstractNum w:abstractNumId="120">
    <w:nsid w:val="5EC6AFD4"/>
    <w:multiLevelType w:val="hybridMultilevel"/>
    <w:lvl w:ilvl="0">
      <w:lvlJc w:val="left"/>
      <w:lvlText w:val="(%1)"/>
      <w:numFmt w:val="lowerRoman"/>
      <w:start w:val="2"/>
    </w:lvl>
  </w:abstractNum>
  <w:abstractNum w:abstractNumId="121">
    <w:nsid w:val="19E21BB2"/>
    <w:multiLevelType w:val="hybridMultilevel"/>
    <w:lvl w:ilvl="0">
      <w:lvlJc w:val="left"/>
      <w:lvlText w:val="%1."/>
      <w:numFmt w:val="decimal"/>
      <w:start w:val="3"/>
    </w:lvl>
  </w:abstractNum>
  <w:abstractNum w:abstractNumId="122">
    <w:nsid w:val="75E0858A"/>
    <w:multiLevelType w:val="hybridMultilevel"/>
    <w:lvl w:ilvl="0">
      <w:lvlJc w:val="left"/>
      <w:lvlText w:val="•"/>
      <w:numFmt w:val="bullet"/>
      <w:start w:val="1"/>
    </w:lvl>
  </w:abstractNum>
  <w:abstractNum w:abstractNumId="123">
    <w:nsid w:val="57A61A29"/>
    <w:multiLevelType w:val="hybridMultilevel"/>
    <w:lvl w:ilvl="0">
      <w:lvlJc w:val="left"/>
      <w:lvlText w:val="•"/>
      <w:numFmt w:val="bullet"/>
      <w:start w:val="1"/>
    </w:lvl>
    <w:lvl w:ilvl="1">
      <w:lvlJc w:val="left"/>
      <w:lvlText w:val="○"/>
      <w:numFmt w:val="bullet"/>
      <w:start w:val="1"/>
    </w:lvl>
  </w:abstractNum>
  <w:abstractNum w:abstractNumId="124">
    <w:nsid w:val="5399C654"/>
    <w:multiLevelType w:val="hybridMultilevel"/>
    <w:lvl w:ilvl="0">
      <w:lvlJc w:val="left"/>
      <w:lvlText w:val="1"/>
      <w:numFmt w:val="bullet"/>
      <w:start w:val="1"/>
    </w:lvl>
  </w:abstractNum>
  <w:abstractNum w:abstractNumId="125">
    <w:nsid w:val="20EE1348"/>
    <w:multiLevelType w:val="hybridMultilevel"/>
    <w:lvl w:ilvl="0">
      <w:lvlJc w:val="left"/>
      <w:lvlText w:val="%1."/>
      <w:numFmt w:val="decimal"/>
      <w:start w:val="4"/>
    </w:lvl>
  </w:abstractNum>
  <w:abstractNum w:abstractNumId="126">
    <w:nsid w:val="4427069A"/>
    <w:multiLevelType w:val="hybridMultilevel"/>
    <w:lvl w:ilvl="0">
      <w:lvlJc w:val="left"/>
      <w:lvlText w:val="%1."/>
      <w:numFmt w:val="decimal"/>
      <w:start w:val="5"/>
    </w:lvl>
  </w:abstractNum>
  <w:abstractNum w:abstractNumId="127">
    <w:nsid w:val="B37E80A"/>
    <w:multiLevelType w:val="hybridMultilevel"/>
    <w:lvl w:ilvl="0">
      <w:lvlJc w:val="left"/>
      <w:lvlText w:val="%1."/>
      <w:numFmt w:val="decimal"/>
      <w:start w:val="6"/>
    </w:lvl>
  </w:abstractNum>
  <w:abstractNum w:abstractNumId="128">
    <w:nsid w:val="2157F6BC"/>
    <w:multiLevelType w:val="hybridMultilevel"/>
    <w:lvl w:ilvl="0">
      <w:lvlJc w:val="left"/>
      <w:lvlText w:val="•"/>
      <w:numFmt w:val="bullet"/>
      <w:start w:val="1"/>
    </w:lvl>
  </w:abstractNum>
  <w:abstractNum w:abstractNumId="129">
    <w:nsid w:val="704E1DD5"/>
    <w:multiLevelType w:val="hybridMultilevel"/>
    <w:lvl w:ilvl="0">
      <w:lvlJc w:val="left"/>
      <w:lvlText w:val="%1."/>
      <w:numFmt w:val="decimal"/>
      <w:start w:val="7"/>
    </w:lvl>
  </w:abstractNum>
  <w:abstractNum w:abstractNumId="130">
    <w:nsid w:val="57D2F10E"/>
    <w:multiLevelType w:val="hybridMultilevel"/>
    <w:lvl w:ilvl="0">
      <w:lvlJc w:val="left"/>
      <w:lvlText w:val="•"/>
      <w:numFmt w:val="bullet"/>
      <w:start w:val="1"/>
    </w:lvl>
  </w:abstractNum>
  <w:abstractNum w:abstractNumId="131">
    <w:nsid w:val="BFFAE18"/>
    <w:multiLevelType w:val="hybridMultilevel"/>
    <w:lvl w:ilvl="0">
      <w:lvlJc w:val="left"/>
      <w:lvlText w:val="•"/>
      <w:numFmt w:val="bullet"/>
      <w:start w:val="1"/>
    </w:lvl>
  </w:abstractNum>
  <w:abstractNum w:abstractNumId="132">
    <w:nsid w:val="E3E47A8"/>
    <w:multiLevelType w:val="hybridMultilevel"/>
    <w:lvl w:ilvl="0">
      <w:lvlJc w:val="left"/>
      <w:lvlText w:val="%1."/>
      <w:numFmt w:val="decimal"/>
      <w:start w:val="8"/>
    </w:lvl>
  </w:abstractNum>
  <w:abstractNum w:abstractNumId="133">
    <w:nsid w:val="2E48F044"/>
    <w:multiLevelType w:val="hybridMultilevel"/>
    <w:lvl w:ilvl="0">
      <w:lvlJc w:val="left"/>
      <w:lvlText w:val="(%1)"/>
      <w:numFmt w:val="decimal"/>
      <w:start w:val="1"/>
    </w:lvl>
  </w:abstractNum>
  <w:abstractNum w:abstractNumId="134">
    <w:nsid w:val="49D0FEAC"/>
    <w:multiLevelType w:val="hybridMultilevel"/>
    <w:lvl w:ilvl="0">
      <w:lvlJc w:val="left"/>
      <w:lvlText w:val="(%1)"/>
      <w:numFmt w:val="decimal"/>
      <w:start w:val="1"/>
    </w:lvl>
  </w:abstractNum>
  <w:abstractNum w:abstractNumId="135">
    <w:nsid w:val="4BEE5A5B"/>
    <w:multiLevelType w:val="hybridMultilevel"/>
    <w:lvl w:ilvl="0">
      <w:lvlJc w:val="left"/>
      <w:lvlText w:val="(%1)"/>
      <w:numFmt w:val="decimal"/>
      <w:start w:val="1"/>
    </w:lvl>
  </w:abstractNum>
  <w:abstractNum w:abstractNumId="136">
    <w:nsid w:val="5551B9F3"/>
    <w:multiLevelType w:val="hybridMultilevel"/>
    <w:lvl w:ilvl="0">
      <w:lvlJc w:val="left"/>
      <w:lvlText w:val="%1."/>
      <w:numFmt w:val="decimal"/>
      <w:start w:val="9"/>
    </w:lvl>
  </w:abstractNum>
  <w:abstractNum w:abstractNumId="137">
    <w:nsid w:val="24F6AB8E"/>
    <w:multiLevelType w:val="hybridMultilevel"/>
    <w:lvl w:ilvl="0">
      <w:lvlJc w:val="left"/>
      <w:lvlText w:val="¹"/>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jpeg"/><Relationship Id="rId594" Type="http://schemas.openxmlformats.org/officeDocument/2006/relationships/image" Target="media/image587.png"/><Relationship Id="rId595" Type="http://schemas.openxmlformats.org/officeDocument/2006/relationships/image" Target="media/image5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2024-12-09T05:13:44Z</dcterms:created>
  <dcterms:modified xsi:type="dcterms:W3CDTF">2024-12-09T05:13:44Z</dcterms:modified>
</cp:coreProperties>
</file>