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-601980</wp:posOffset>
            </wp:positionV>
            <wp:extent cx="57150" cy="615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638810</wp:posOffset>
            </wp:positionV>
            <wp:extent cx="6998970" cy="8833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8833485"/>
                    </a:xfrm>
                    <a:prstGeom prst="rect">
                      <a:avLst/>
                    </a:prstGeom>
                    <a:noFill/>
                  </pic:spPr>
                </pic:pic>
              </a:graphicData>
            </a:graphic>
          </wp:anchor>
        </w:drawing>
      </w:r>
    </w:p>
    <w:p>
      <w:pPr>
        <w:spacing w:after="0" w:line="1077" w:lineRule="exact"/>
        <w:rPr>
          <w:sz w:val="24"/>
          <w:szCs w:val="24"/>
          <w:color w:val="auto"/>
        </w:rPr>
      </w:pPr>
    </w:p>
    <w:p>
      <w:pPr>
        <w:sectPr>
          <w:pgSz w:w="11900" w:h="16838" w:orient="portrait"/>
          <w:cols w:equalWidth="0" w:num="2">
            <w:col w:w="2300" w:space="40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Francis Douglas</w:t>
        </w:r>
      </w:hyperlink>
    </w:p>
    <w:p>
      <w:pPr>
        <w:spacing w:after="0" w:line="28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WM TECHNOLOGY,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jc w:val="center"/>
        <w:ind w:right="165"/>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WM TECHNOLOGY,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MAPS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11/07/2024</w:t>
      </w:r>
    </w:p>
    <w:p>
      <w:pPr>
        <w:spacing w:after="0" w:line="20" w:lineRule="exact"/>
        <w:rPr>
          <w:sz w:val="24"/>
          <w:szCs w:val="24"/>
          <w:color w:val="auto"/>
        </w:rPr>
      </w:pPr>
      <w:r>
        <w:rPr>
          <w:sz w:val="24"/>
          <w:szCs w:val="24"/>
          <w:color w:val="auto"/>
        </w:rPr>
        <w:br w:type="column"/>
      </w:r>
    </w:p>
    <w:p>
      <w:pPr>
        <w:ind w:left="-5" w:right="740" w:firstLine="5"/>
        <w:spacing w:after="0" w:line="280"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35"/>
        <w:spacing w:after="0"/>
        <w:tabs>
          <w:tab w:leader="none" w:pos="1725"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11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7"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815"/>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21" w:lineRule="exact"/>
        <w:rPr>
          <w:sz w:val="24"/>
          <w:szCs w:val="24"/>
          <w:color w:val="auto"/>
        </w:rPr>
      </w:pPr>
    </w:p>
    <w:p>
      <w:pPr>
        <w:sectPr>
          <w:pgSz w:w="11900" w:h="16838" w:orient="portrait"/>
          <w:cols w:equalWidth="0" w:num="3">
            <w:col w:w="3180" w:space="720"/>
            <w:col w:w="3105" w:space="720"/>
            <w:col w:w="3355"/>
          </w:cols>
          <w:pgMar w:left="460" w:top="213" w:right="359" w:bottom="0" w:gutter="0" w:footer="0" w:header="0"/>
          <w:type w:val="continuous"/>
        </w:sectPr>
      </w:pP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gridSpan w:val="9"/>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40" w:type="dxa"/>
            <w:vAlign w:val="bottom"/>
          </w:tcPr>
          <w:p>
            <w:pPr>
              <w:spacing w:after="0"/>
              <w:rPr>
                <w:sz w:val="14"/>
                <w:szCs w:val="14"/>
                <w:color w:val="auto"/>
              </w:rPr>
            </w:pPr>
          </w:p>
        </w:tc>
        <w:tc>
          <w:tcPr>
            <w:tcW w:w="3680" w:type="dxa"/>
            <w:vAlign w:val="bottom"/>
            <w:gridSpan w:val="9"/>
          </w:tcPr>
          <w:p>
            <w:pPr>
              <w:ind w:left="3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IRVINE</w:t>
            </w:r>
          </w:p>
        </w:tc>
        <w:tc>
          <w:tcPr>
            <w:tcW w:w="1740" w:type="dxa"/>
            <w:vAlign w:val="bottom"/>
            <w:gridSpan w:val="4"/>
          </w:tcPr>
          <w:p>
            <w:pPr>
              <w:ind w:left="56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92618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40" w:type="dxa"/>
            <w:vAlign w:val="bottom"/>
            <w:gridSpan w:val="7"/>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4"/>
          </w:tcPr>
          <w:p>
            <w:pPr>
              <w:ind w:left="560"/>
              <w:spacing w:after="0"/>
              <w:rPr>
                <w:sz w:val="20"/>
                <w:szCs w:val="20"/>
                <w:color w:val="auto"/>
              </w:rPr>
            </w:pPr>
            <w:r>
              <w:rPr>
                <w:rFonts w:ascii="Arial" w:cs="Arial" w:eastAsia="Arial" w:hAnsi="Arial"/>
                <w:sz w:val="12"/>
                <w:szCs w:val="12"/>
                <w:color w:val="auto"/>
              </w:rPr>
              <w:t>(State)</w:t>
            </w: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7"/>
          </w:tcPr>
          <w:p>
            <w:pPr>
              <w:ind w:left="2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6"/>
          </w:tcPr>
          <w:p>
            <w:pPr>
              <w:ind w:left="84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6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60" w:type="dxa"/>
            <w:vAlign w:val="bottom"/>
            <w:gridSpan w:val="6"/>
          </w:tcPr>
          <w:p>
            <w:pPr>
              <w:ind w:left="840"/>
              <w:spacing w:after="0" w:line="124"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0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4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tcBorders>
              <w:bottom w:val="single" w:sz="8" w:color="2C2C2C"/>
            </w:tcBorders>
            <w:gridSpan w:val="4"/>
          </w:tcPr>
          <w:p>
            <w:pPr>
              <w:ind w:left="940"/>
              <w:spacing w:after="0"/>
              <w:rPr>
                <w:sz w:val="20"/>
                <w:szCs w:val="20"/>
                <w:color w:val="auto"/>
              </w:rPr>
            </w:pPr>
            <w:r>
              <w:rPr>
                <w:rFonts w:ascii="Times New Roman" w:cs="Times New Roman" w:eastAsia="Times New Roman" w:hAnsi="Times New Roman"/>
                <w:sz w:val="16"/>
                <w:szCs w:val="16"/>
                <w:color w:val="0000FF"/>
              </w:rPr>
              <w:t>11/07/2024</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9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6"/>
                <w:szCs w:val="16"/>
                <w:color w:val="0000FF"/>
              </w:rPr>
              <w:t>4,342,391</w:t>
            </w:r>
            <w:r>
              <w:rPr>
                <w:rFonts w:ascii="Times New Roman" w:cs="Times New Roman" w:eastAsia="Times New Roman" w:hAnsi="Times New Roman"/>
                <w:sz w:val="20"/>
                <w:szCs w:val="20"/>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4"/>
              <w:spacing w:after="0"/>
              <w:rPr>
                <w:sz w:val="20"/>
                <w:szCs w:val="20"/>
                <w:color w:val="auto"/>
              </w:rPr>
            </w:pPr>
            <w:r>
              <w:rPr>
                <w:rFonts w:ascii="Times New Roman" w:cs="Times New Roman" w:eastAsia="Times New Roman" w:hAnsi="Times New Roman"/>
                <w:sz w:val="16"/>
                <w:szCs w:val="16"/>
                <w:color w:val="0000FF"/>
                <w:w w:val="99"/>
              </w:rPr>
              <w:t>9,134,738</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V Common Stock</w:t>
            </w:r>
            <w:r>
              <w:rPr>
                <w:rFonts w:ascii="Times New Roman" w:cs="Times New Roman" w:eastAsia="Times New Roman" w:hAnsi="Times New Roman"/>
                <w:sz w:val="20"/>
                <w:szCs w:val="20"/>
                <w:color w:val="008000"/>
                <w:vertAlign w:val="superscript"/>
              </w:rPr>
              <w:t>(2)(3)</w:t>
            </w: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4"/>
              <w:spacing w:after="0"/>
              <w:rPr>
                <w:sz w:val="20"/>
                <w:szCs w:val="20"/>
                <w:color w:val="auto"/>
              </w:rPr>
            </w:pPr>
            <w:r>
              <w:rPr>
                <w:rFonts w:ascii="Times New Roman" w:cs="Times New Roman" w:eastAsia="Times New Roman" w:hAnsi="Times New Roman"/>
                <w:sz w:val="16"/>
                <w:szCs w:val="16"/>
                <w:color w:val="0000FF"/>
                <w:w w:val="99"/>
              </w:rPr>
              <w:t>12,431,818</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50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V Common Stock</w:t>
            </w:r>
            <w:r>
              <w:rPr>
                <w:rFonts w:ascii="Times New Roman" w:cs="Times New Roman" w:eastAsia="Times New Roman" w:hAnsi="Times New Roman"/>
                <w:sz w:val="20"/>
                <w:szCs w:val="20"/>
                <w:color w:val="008000"/>
                <w:vertAlign w:val="superscript"/>
              </w:rPr>
              <w:t>(2)(3)</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w w:val="99"/>
              </w:rPr>
              <w:t>8,469,191</w:t>
            </w:r>
          </w:p>
        </w:tc>
        <w:tc>
          <w:tcPr>
            <w:tcW w:w="32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7"/>
            <w:vMerge w:val="continue"/>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50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V Common Stock</w:t>
            </w:r>
            <w:r>
              <w:rPr>
                <w:rFonts w:ascii="Times New Roman" w:cs="Times New Roman" w:eastAsia="Times New Roman" w:hAnsi="Times New Roman"/>
                <w:sz w:val="20"/>
                <w:szCs w:val="20"/>
                <w:color w:val="008000"/>
                <w:vertAlign w:val="superscript"/>
              </w:rPr>
              <w:t>(2)(3)</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w w:val="99"/>
              </w:rPr>
              <w:t>1,468,555</w:t>
            </w:r>
          </w:p>
        </w:tc>
        <w:tc>
          <w:tcPr>
            <w:tcW w:w="32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7"/>
            <w:vMerge w:val="continue"/>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50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V Common Stock</w:t>
            </w:r>
            <w:r>
              <w:rPr>
                <w:rFonts w:ascii="Times New Roman" w:cs="Times New Roman" w:eastAsia="Times New Roman" w:hAnsi="Times New Roman"/>
                <w:sz w:val="20"/>
                <w:szCs w:val="20"/>
                <w:color w:val="008000"/>
                <w:vertAlign w:val="superscript"/>
              </w:rPr>
              <w:t>(2)(3)</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w w:val="99"/>
              </w:rPr>
              <w:t>600,618</w:t>
            </w:r>
          </w:p>
        </w:tc>
        <w:tc>
          <w:tcPr>
            <w:tcW w:w="32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7"/>
            <w:vMerge w:val="continue"/>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300" w:type="dxa"/>
            <w:vAlign w:val="bottom"/>
            <w:gridSpan w:val="16"/>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2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6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Based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(7)</w:t>
            </w:r>
          </w:p>
        </w:tc>
        <w:tc>
          <w:tcPr>
            <w:tcW w:w="6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4,342,391</w:t>
            </w: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restart"/>
          </w:tcPr>
          <w:p>
            <w:pPr>
              <w:ind w:left="280"/>
              <w:spacing w:after="0" w:line="137" w:lineRule="exact"/>
              <w:rPr>
                <w:sz w:val="20"/>
                <w:szCs w:val="20"/>
                <w:color w:val="auto"/>
              </w:rPr>
            </w:pPr>
            <w:r>
              <w:rPr>
                <w:rFonts w:ascii="Times New Roman" w:cs="Times New Roman" w:eastAsia="Times New Roman" w:hAnsi="Times New Roman"/>
                <w:sz w:val="12"/>
                <w:szCs w:val="12"/>
                <w:color w:val="0000FF"/>
              </w:rPr>
              <w:t>11/07/2024</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3"/>
            <w:vMerge w:val="restart"/>
          </w:tcPr>
          <w:p>
            <w:pPr>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4,342,391</w:t>
            </w: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restart"/>
          </w:tcPr>
          <w:p>
            <w:pPr>
              <w:ind w:left="20"/>
              <w:spacing w:after="0" w:line="137" w:lineRule="exact"/>
              <w:rPr>
                <w:sz w:val="20"/>
                <w:szCs w:val="20"/>
                <w:color w:val="auto"/>
              </w:rPr>
            </w:pPr>
            <w:r>
              <w:rPr>
                <w:rFonts w:ascii="Times New Roman" w:cs="Times New Roman" w:eastAsia="Times New Roman" w:hAnsi="Times New Roman"/>
                <w:sz w:val="12"/>
                <w:szCs w:val="12"/>
                <w:color w:val="0000FF"/>
              </w:rPr>
              <w:t>12/31/2027</w:t>
            </w: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22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ind w:left="140"/>
              <w:spacing w:after="0" w:line="137" w:lineRule="exact"/>
              <w:rPr>
                <w:sz w:val="20"/>
                <w:szCs w:val="20"/>
                <w:color w:val="auto"/>
              </w:rPr>
            </w:pPr>
            <w:r>
              <w:rPr>
                <w:rFonts w:ascii="Times New Roman" w:cs="Times New Roman" w:eastAsia="Times New Roman" w:hAnsi="Times New Roman"/>
                <w:sz w:val="12"/>
                <w:szCs w:val="12"/>
                <w:color w:val="0000FF"/>
              </w:rPr>
              <w:t>4,342,391</w:t>
            </w:r>
          </w:p>
        </w:tc>
        <w:tc>
          <w:tcPr>
            <w:tcW w:w="6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ind w:left="20"/>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Francis Douglas</w:t>
              </w:r>
            </w:hyperlink>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120" w:type="dxa"/>
            <w:vAlign w:val="bottom"/>
            <w:gridSpan w:val="2"/>
          </w:tcPr>
          <w:p>
            <w:pPr>
              <w:ind w:left="38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WM TECHNOLOGY, INC.</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41 DISCOVERY</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IRVINE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92618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120" w:type="dxa"/>
            <w:vAlign w:val="bottom"/>
            <w:gridSpan w:val="2"/>
          </w:tcPr>
          <w:p>
            <w:pPr>
              <w:ind w:left="38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tcPr>
          <w:p>
            <w:pPr>
              <w:ind w:left="20"/>
              <w:spacing w:after="0" w:line="211"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Ghost Media Group, LLC</w:t>
              </w:r>
            </w:hyperlink>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120" w:type="dxa"/>
            <w:vAlign w:val="bottom"/>
            <w:gridSpan w:val="2"/>
          </w:tcPr>
          <w:p>
            <w:pPr>
              <w:ind w:left="38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-3968115</wp:posOffset>
            </wp:positionV>
            <wp:extent cx="28575" cy="1708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575" cy="170815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WM TECHNOLOGY, INC.</w:t>
      </w:r>
    </w:p>
    <w:p>
      <w:pPr>
        <w:spacing w:after="0" w:line="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41 DISCOVERY</w:t>
      </w:r>
    </w:p>
    <w:p>
      <w:pPr>
        <w:spacing w:after="0" w:line="274"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3" w:right="359" w:bottom="0" w:gutter="0" w:footer="0" w:header="0"/>
          <w:type w:val="continuous"/>
        </w:sectPr>
      </w:pPr>
    </w:p>
    <w:p>
      <w:pPr>
        <w:spacing w:after="0" w:line="35" w:lineRule="exact"/>
        <w:rPr>
          <w:sz w:val="20"/>
          <w:szCs w:val="20"/>
          <w:color w:val="auto"/>
        </w:rPr>
      </w:pPr>
    </w:p>
    <w:p>
      <w:pPr>
        <w:ind w:left="120"/>
        <w:spacing w:after="0"/>
        <w:tabs>
          <w:tab w:leader="none" w:pos="1480" w:val="left"/>
          <w:tab w:leader="none" w:pos="2880" w:val="left"/>
        </w:tabs>
        <w:rPr>
          <w:sz w:val="20"/>
          <w:szCs w:val="20"/>
          <w:color w:val="auto"/>
        </w:rPr>
      </w:pPr>
      <w:r>
        <w:rPr>
          <w:rFonts w:ascii="Times New Roman" w:cs="Times New Roman" w:eastAsia="Times New Roman" w:hAnsi="Times New Roman"/>
          <w:sz w:val="16"/>
          <w:szCs w:val="16"/>
          <w:color w:val="0000FF"/>
        </w:rPr>
        <w:t>IRVINE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92618</w:t>
      </w:r>
    </w:p>
    <w:p>
      <w:pPr>
        <w:sectPr>
          <w:pgSz w:w="11900" w:h="16838" w:orient="portrait"/>
          <w:cols w:equalWidth="0" w:num="1">
            <w:col w:w="11080"/>
          </w:cols>
          <w:pgMar w:left="460" w:top="213"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3"/>
        </w:trPr>
        <w:tc>
          <w:tcPr>
            <w:tcW w:w="8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340" w:type="dxa"/>
            <w:vAlign w:val="bottom"/>
            <w:gridSpan w:val="3"/>
          </w:tcPr>
          <w:p>
            <w:pPr>
              <w:ind w:left="14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6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600" w:type="dxa"/>
            <w:vAlign w:val="bottom"/>
            <w:gridSpan w:val="5"/>
          </w:tcPr>
          <w:p>
            <w:pPr>
              <w:ind w:left="20"/>
              <w:spacing w:after="0" w:line="211"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WM Founders Legacy I, LLC</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340" w:type="dxa"/>
            <w:vAlign w:val="bottom"/>
            <w:gridSpan w:val="3"/>
          </w:tcPr>
          <w:p>
            <w:pPr>
              <w:ind w:left="140"/>
              <w:spacing w:after="0"/>
              <w:rPr>
                <w:sz w:val="20"/>
                <w:szCs w:val="20"/>
                <w:color w:val="auto"/>
              </w:rPr>
            </w:pPr>
            <w:r>
              <w:rPr>
                <w:rFonts w:ascii="Arial" w:cs="Arial" w:eastAsia="Arial" w:hAnsi="Arial"/>
                <w:sz w:val="12"/>
                <w:szCs w:val="12"/>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WM TECHNOLOGY, INC.</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41 DISCOVERY</w:t>
            </w: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0"/>
        </w:trPr>
        <w:tc>
          <w:tcPr>
            <w:tcW w:w="13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IRVINE</w:t>
            </w: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0000FF"/>
              </w:rPr>
              <w:t>CA</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92618</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340" w:type="dxa"/>
            <w:vAlign w:val="bottom"/>
            <w:gridSpan w:val="3"/>
          </w:tcPr>
          <w:p>
            <w:pPr>
              <w:ind w:left="14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6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600" w:type="dxa"/>
            <w:vAlign w:val="bottom"/>
            <w:gridSpan w:val="5"/>
          </w:tcPr>
          <w:p>
            <w:pPr>
              <w:ind w:left="20"/>
              <w:spacing w:after="0" w:line="211"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Genco Incentives, LLC</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340" w:type="dxa"/>
            <w:vAlign w:val="bottom"/>
            <w:gridSpan w:val="3"/>
          </w:tcPr>
          <w:p>
            <w:pPr>
              <w:ind w:left="140"/>
              <w:spacing w:after="0"/>
              <w:rPr>
                <w:sz w:val="20"/>
                <w:szCs w:val="20"/>
                <w:color w:val="auto"/>
              </w:rPr>
            </w:pPr>
            <w:r>
              <w:rPr>
                <w:rFonts w:ascii="Arial" w:cs="Arial" w:eastAsia="Arial" w:hAnsi="Arial"/>
                <w:sz w:val="12"/>
                <w:szCs w:val="12"/>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WM TECHNOLOGY, INC.</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41 DISCOVERY</w:t>
            </w: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0"/>
        </w:trPr>
        <w:tc>
          <w:tcPr>
            <w:tcW w:w="13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IRVINE</w:t>
            </w: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0000FF"/>
              </w:rPr>
              <w:t>CA</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92618</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340" w:type="dxa"/>
            <w:vAlign w:val="bottom"/>
            <w:gridSpan w:val="3"/>
          </w:tcPr>
          <w:p>
            <w:pPr>
              <w:ind w:left="14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-3413125</wp:posOffset>
            </wp:positionV>
            <wp:extent cx="2808605" cy="34874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808605" cy="3487420"/>
                    </a:xfrm>
                    <a:prstGeom prst="rect">
                      <a:avLst/>
                    </a:prstGeom>
                    <a:noFill/>
                  </pic:spPr>
                </pic:pic>
              </a:graphicData>
            </a:graphic>
          </wp:anchor>
        </w:drawing>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20" w:right="80" w:hanging="4"/>
        <w:spacing w:after="0" w:line="256"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number of shares of Class A Common Stock underlying restricted stock units ("RSUs"). Each RSU represents the contingent right to receive one share of the Issuer's Class A Common Stock. 1/12th of the RSUs shall vest on each Quarterly Date following November 16, 2024 (the "Vesting Commencement Date"), subject to the Reporting Person's Continuous Service (as defined in the Issuer's 2021 Equity Incentive Plan) through each such date. "Quarterly Date" means each of February 15, May 15, August 15 and November 15.</w:t>
      </w:r>
    </w:p>
    <w:p>
      <w:pPr>
        <w:spacing w:after="0" w:line="16" w:lineRule="exact"/>
        <w:rPr>
          <w:rFonts w:ascii="Times New Roman" w:cs="Times New Roman" w:eastAsia="Times New Roman" w:hAnsi="Times New Roman"/>
          <w:sz w:val="12"/>
          <w:szCs w:val="12"/>
          <w:color w:val="008000"/>
        </w:rPr>
      </w:pPr>
    </w:p>
    <w:p>
      <w:pPr>
        <w:ind w:left="20" w:right="20" w:hanging="4"/>
        <w:spacing w:after="0" w:line="256"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in footnote 3 below) held by such Class V Common Stockholder at the time of such vote.</w:t>
      </w:r>
    </w:p>
    <w:p>
      <w:pPr>
        <w:spacing w:after="0" w:line="16" w:lineRule="exact"/>
        <w:rPr>
          <w:rFonts w:ascii="Times New Roman" w:cs="Times New Roman" w:eastAsia="Times New Roman" w:hAnsi="Times New Roman"/>
          <w:sz w:val="12"/>
          <w:szCs w:val="12"/>
          <w:color w:val="008000"/>
        </w:rPr>
      </w:pPr>
    </w:p>
    <w:p>
      <w:pPr>
        <w:ind w:left="20" w:right="12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Post-Merger Class A Units represent non-voting limited liability company interests of WM Holding Company, LLC. Pursuant to the terms of an exchange agreement, these Class A units and an equivalent number of shares of Class V Common Stock are exchangeable on a one-for-one basis for shares of Class A Common Stock. These exchange rights do not expire.</w:t>
      </w:r>
    </w:p>
    <w:p>
      <w:pPr>
        <w:spacing w:after="0" w:line="5"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directly by Ghost Media Group, LLC ("Ghost Media") which is controlled by Mr. Francis. Accordingly, Mr. Francis may be deemed to be a beneficial owner of the shares held by Ghost Media.</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directly by WM Founders Legacy I, LLC ("WM Founders") which is controlled by Mr. Francis. Accordingly, Mr. Francis may be deemed to be a beneficial owner of the shares held by WM Founders.</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directly by Genco Incentives, LLC ("Genco") which is controlled by Mr. Francis. Accordingly, Mr. Francis may be deemed to be a beneficial owner of the shares held by Genco.</w:t>
      </w:r>
    </w:p>
    <w:p>
      <w:pPr>
        <w:spacing w:after="0" w:line="47" w:lineRule="exact"/>
        <w:rPr>
          <w:rFonts w:ascii="Times New Roman" w:cs="Times New Roman" w:eastAsia="Times New Roman" w:hAnsi="Times New Roman"/>
          <w:sz w:val="12"/>
          <w:szCs w:val="12"/>
          <w:color w:val="008000"/>
        </w:rPr>
      </w:pPr>
    </w:p>
    <w:p>
      <w:pPr>
        <w:ind w:left="20" w:hanging="4"/>
        <w:spacing w:after="0" w:line="256"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number of shares of Class A Common Stock underlying performance-based restricted stock units ("PRSUs"). One half of the PRSUs will vest if the volume weighted average price ("VWAP") of Issuer's Common Stock during any period of 30 trading days during the Performance Period equals or exceeds $3.25, and one half of the PRSUs will vest if the VWAP of Issuer's Common Stock during any period of 30 trading days during the Performance Period equals or exceeds $5.00, subject to the Reporting Person's Continuous Service (as defined in the Issuer's 2021 Equity Incentive Plan) through each such date.</w:t>
      </w:r>
    </w:p>
    <w:p>
      <w:pPr>
        <w:sectPr>
          <w:pgSz w:w="11900" w:h="16838" w:orient="portrait"/>
          <w:cols w:equalWidth="0" w:num="1">
            <w:col w:w="10900"/>
          </w:cols>
          <w:pgMar w:left="480" w:top="128" w:right="519" w:bottom="1440" w:gutter="0" w:footer="0" w:header="0"/>
        </w:sectPr>
      </w:pPr>
    </w:p>
    <w:p>
      <w:pPr>
        <w:spacing w:after="0" w:line="4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Douglas Francis,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-5715</wp:posOffset>
            </wp:positionV>
            <wp:extent cx="12630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-13335</wp:posOffset>
            </wp:positionV>
            <wp:extent cx="10744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74420"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Ghost Media Group,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-5715</wp:posOffset>
            </wp:positionV>
            <wp:extent cx="12147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1475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Douglas Francis,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-13335</wp:posOffset>
            </wp:positionV>
            <wp:extent cx="135255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5255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Ron A. Metzger,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-13335</wp:posOffset>
            </wp:positionV>
            <wp:extent cx="12192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1920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-13335</wp:posOffset>
            </wp:positionV>
            <wp:extent cx="1758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75895"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WM Founders Legacy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-5715</wp:posOffset>
            </wp:positionV>
            <wp:extent cx="124904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Douglas Francis,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-13335</wp:posOffset>
            </wp:positionV>
            <wp:extent cx="135826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5826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 Ron A. Metzger,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-13335</wp:posOffset>
            </wp:positionV>
            <wp:extent cx="13411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4112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-13335</wp:posOffset>
            </wp:positionV>
            <wp:extent cx="1758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75895"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Genco Incentives,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-5715</wp:posOffset>
            </wp:positionV>
            <wp:extent cx="110934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0934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Douglas Francis,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-13335</wp:posOffset>
            </wp:positionV>
            <wp:extent cx="13525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5255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Ron A. Metzger,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-13335</wp:posOffset>
            </wp:positionV>
            <wp:extent cx="12192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21920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-13335</wp:posOffset>
            </wp:positionV>
            <wp:extent cx="1758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758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16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61645" cy="762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164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4616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164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4616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164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461645" cy="7620"/>
                    </a:xfrm>
                    <a:prstGeom prst="rect">
                      <a:avLst/>
                    </a:prstGeom>
                    <a:noFill/>
                  </pic:spPr>
                </pic:pic>
              </a:graphicData>
            </a:graphic>
          </wp:anchor>
        </w:drawing>
      </w:r>
    </w:p>
    <w:p>
      <w:pPr>
        <w:spacing w:after="0" w:line="372" w:lineRule="exact"/>
        <w:rPr>
          <w:sz w:val="20"/>
          <w:szCs w:val="20"/>
          <w:color w:val="auto"/>
        </w:rPr>
      </w:pPr>
    </w:p>
    <w:p>
      <w:pPr>
        <w:sectPr>
          <w:pgSz w:w="11900" w:h="16838" w:orient="portrait"/>
          <w:cols w:equalWidth="0" w:num="2">
            <w:col w:w="8720" w:space="60"/>
            <w:col w:w="2120"/>
          </w:cols>
          <w:pgMar w:left="480" w:top="128" w:right="51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40" w:hanging="4"/>
        <w:spacing w:after="0" w:line="323"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8"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13" Type="http://schemas.openxmlformats.org/officeDocument/2006/relationships/hyperlink" Target="http://www.sec.gov/cgi-bin/browse-edgar?action=getcompany&amp;CIK=0001519966" TargetMode="External"/><Relationship Id="rId14" Type="http://schemas.openxmlformats.org/officeDocument/2006/relationships/hyperlink" Target="http://www.sec.gov/cgi-bin/browse-edgar?action=getcompany&amp;CIK=0001779474" TargetMode="External"/><Relationship Id="rId16" Type="http://schemas.openxmlformats.org/officeDocument/2006/relationships/hyperlink" Target="http://www.sec.gov/cgi-bin/browse-edgar?action=getcompany&amp;CIK=0001859722" TargetMode="External"/><Relationship Id="rId18" Type="http://schemas.openxmlformats.org/officeDocument/2006/relationships/hyperlink" Target="http://www.sec.gov/cgi-bin/browse-edgar?action=getcompany&amp;CIK=0001859724" TargetMode="External"/><Relationship Id="rId19" Type="http://schemas.openxmlformats.org/officeDocument/2006/relationships/hyperlink" Target="http://www.sec.gov/cgi-bin/browse-edgar?action=getcompany&amp;CIK=00018597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2024-11-12T17:14:10Z</dcterms:created>
  <dcterms:modified xsi:type="dcterms:W3CDTF">2024-11-12T17:14:10Z</dcterms:modified>
</cp:coreProperties>
</file>