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SCHEDULE 13G/A</w:t>
      </w:r>
    </w:p>
    <w:p>
      <w:pPr>
        <w:spacing w:after="0" w:line="24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2)*</w:t>
      </w:r>
    </w:p>
    <w:p>
      <w:pPr>
        <w:spacing w:after="0" w:line="22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0"/>
          <w:szCs w:val="20"/>
          <w:color w:val="auto"/>
        </w:rPr>
        <w:t>Silver Spike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13970</wp:posOffset>
            </wp:positionV>
            <wp:extent cx="56407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0"/>
          <w:szCs w:val="20"/>
          <w:color w:val="auto"/>
        </w:rPr>
        <w:t>(Name of Issuer)</w:t>
      </w:r>
    </w:p>
    <w:p>
      <w:pPr>
        <w:spacing w:after="0" w:line="227"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0"/>
          <w:szCs w:val="20"/>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13970</wp:posOffset>
            </wp:positionV>
            <wp:extent cx="5640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8"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color w:val="auto"/>
        </w:rPr>
        <w:t>G8136L106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13970</wp:posOffset>
            </wp:positionV>
            <wp:extent cx="56407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8"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0"/>
          <w:szCs w:val="20"/>
          <w:color w:val="auto"/>
        </w:rPr>
        <w:t>(CUSIP Number)</w:t>
      </w:r>
    </w:p>
    <w:p>
      <w:pPr>
        <w:spacing w:after="0" w:line="22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0"/>
          <w:szCs w:val="20"/>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13970</wp:posOffset>
            </wp:positionV>
            <wp:extent cx="5640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0705" cy="8255"/>
                    </a:xfrm>
                    <a:prstGeom prst="rect">
                      <a:avLst/>
                    </a:prstGeom>
                    <a:noFill/>
                  </pic:spPr>
                </pic:pic>
              </a:graphicData>
            </a:graphic>
          </wp:anchor>
        </w:drawing>
      </w:r>
    </w:p>
    <w:p>
      <w:pPr>
        <w:spacing w:after="0" w:line="8"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43" w:lineRule="exact"/>
        <w:rPr>
          <w:sz w:val="24"/>
          <w:szCs w:val="24"/>
          <w:color w:val="auto"/>
        </w:rPr>
      </w:pPr>
    </w:p>
    <w:p>
      <w:pPr>
        <w:jc w:val="both"/>
        <w:ind w:left="620" w:right="8840"/>
        <w:spacing w:after="0" w:line="268" w:lineRule="exact"/>
        <w:tabs>
          <w:tab w:leader="none" w:pos="1016"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 xml:space="preserve"> Rule 13d-1(c)</w:t>
      </w:r>
    </w:p>
    <w:p>
      <w:pPr>
        <w:ind w:left="1020" w:hanging="400"/>
        <w:spacing w:after="0"/>
        <w:tabs>
          <w:tab w:leader="none" w:pos="10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color w:val="auto"/>
        </w:rPr>
        <w:t>Rule 13d-1(d)</w:t>
      </w:r>
    </w:p>
    <w:p>
      <w:pPr>
        <w:spacing w:after="0" w:line="24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13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4"/>
          <w:szCs w:val="24"/>
          <w:color w:val="auto"/>
        </w:rPr>
      </w:pPr>
    </w:p>
    <w:p>
      <w:pPr>
        <w:jc w:val="both"/>
        <w:ind w:right="100"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980"/>
          </w:cols>
          <w:pgMar w:left="320" w:top="468" w:right="5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G8136L106</w:t>
            </w:r>
          </w:p>
        </w:tc>
        <w:tc>
          <w:tcPr>
            <w:tcW w:w="6740" w:type="dxa"/>
            <w:vAlign w:val="bottom"/>
          </w:tcPr>
          <w:p>
            <w:pPr>
              <w:ind w:left="2440"/>
              <w:spacing w:after="0"/>
              <w:rPr>
                <w:sz w:val="20"/>
                <w:szCs w:val="20"/>
                <w:color w:val="auto"/>
              </w:rPr>
            </w:pPr>
            <w:r>
              <w:rPr>
                <w:rFonts w:ascii="Times New Roman" w:cs="Times New Roman" w:eastAsia="Times New Roman" w:hAnsi="Times New Roman"/>
                <w:sz w:val="18"/>
                <w:szCs w:val="18"/>
                <w:b w:val="1"/>
                <w:bCs w:val="1"/>
                <w:color w:val="auto"/>
              </w:rPr>
              <w:t>13G/A</w:t>
            </w:r>
          </w:p>
        </w:tc>
        <w:tc>
          <w:tcPr>
            <w:tcW w:w="1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6"/>
              </w:rPr>
              <w:t>Page 2 of 13 Pages</w:t>
            </w:r>
          </w:p>
        </w:tc>
        <w:tc>
          <w:tcPr>
            <w:tcW w:w="0" w:type="dxa"/>
            <w:vAlign w:val="bottom"/>
          </w:tcPr>
          <w:p>
            <w:pPr>
              <w:spacing w:after="0"/>
              <w:rPr>
                <w:sz w:val="1"/>
                <w:szCs w:val="1"/>
                <w:color w:val="auto"/>
              </w:rPr>
            </w:pPr>
          </w:p>
        </w:tc>
      </w:tr>
      <w:tr>
        <w:trPr>
          <w:trHeight w:val="351"/>
        </w:trPr>
        <w:tc>
          <w:tcPr>
            <w:tcW w:w="16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8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60" w:type="dxa"/>
            <w:vAlign w:val="bottom"/>
            <w:tcBorders>
              <w:left w:val="single" w:sz="8" w:color="auto"/>
              <w:bottom w:val="single" w:sz="8" w:color="auto"/>
              <w:right w:val="single" w:sz="8" w:color="auto"/>
            </w:tcBorders>
          </w:tcPr>
          <w:p>
            <w:pPr>
              <w:spacing w:after="0"/>
              <w:rPr>
                <w:sz w:val="22"/>
                <w:szCs w:val="22"/>
                <w:color w:val="auto"/>
              </w:rPr>
            </w:pPr>
          </w:p>
        </w:tc>
        <w:tc>
          <w:tcPr>
            <w:tcW w:w="80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M. H. Davidson &amp; Co.</w:t>
            </w:r>
          </w:p>
        </w:tc>
        <w:tc>
          <w:tcPr>
            <w:tcW w:w="15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8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1560" w:type="dxa"/>
            <w:vAlign w:val="bottom"/>
            <w:tcBorders>
              <w:right w:val="single" w:sz="8" w:color="auto"/>
            </w:tcBorders>
          </w:tcPr>
          <w:p>
            <w:pPr>
              <w:jc w:val="center"/>
              <w:spacing w:after="0" w:line="320" w:lineRule="exact"/>
              <w:rPr>
                <w:sz w:val="20"/>
                <w:szCs w:val="20"/>
                <w:color w:val="auto"/>
              </w:rPr>
            </w:pPr>
            <w:r>
              <w:rPr>
                <w:rFonts w:ascii="Times New Roman" w:cs="Times New Roman" w:eastAsia="Times New Roman" w:hAnsi="Times New Roman"/>
                <w:sz w:val="20"/>
                <w:szCs w:val="20"/>
                <w:color w:val="auto"/>
                <w:w w:val="97"/>
              </w:rPr>
              <w:t xml:space="preserve">(a) </w:t>
            </w:r>
            <w:r>
              <w:rPr>
                <w:rFonts w:ascii="MS PGothic" w:cs="MS PGothic" w:eastAsia="MS PGothic" w:hAnsi="MS PGothic"/>
                <w:sz w:val="28"/>
                <w:szCs w:val="28"/>
                <w:color w:val="auto"/>
                <w:w w:val="97"/>
              </w:rPr>
              <w:t>☐</w:t>
            </w:r>
          </w:p>
        </w:tc>
        <w:tc>
          <w:tcPr>
            <w:tcW w:w="0" w:type="dxa"/>
            <w:vAlign w:val="bottom"/>
          </w:tcPr>
          <w:p>
            <w:pPr>
              <w:spacing w:after="0"/>
              <w:rPr>
                <w:sz w:val="1"/>
                <w:szCs w:val="1"/>
                <w:color w:val="auto"/>
              </w:rPr>
            </w:pPr>
          </w:p>
        </w:tc>
      </w:tr>
      <w:tr>
        <w:trPr>
          <w:trHeight w:val="403"/>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jc w:val="center"/>
              <w:spacing w:after="0" w:line="322" w:lineRule="exact"/>
              <w:rPr>
                <w:sz w:val="20"/>
                <w:szCs w:val="20"/>
                <w:color w:val="auto"/>
              </w:rPr>
            </w:pPr>
            <w:r>
              <w:rPr>
                <w:rFonts w:ascii="Times New Roman" w:cs="Times New Roman" w:eastAsia="Times New Roman" w:hAnsi="Times New Roman"/>
                <w:sz w:val="20"/>
                <w:szCs w:val="20"/>
                <w:color w:val="auto"/>
                <w:w w:val="95"/>
              </w:rPr>
              <w:t xml:space="preserve">(b) </w:t>
            </w:r>
            <w:r>
              <w:rPr>
                <w:rFonts w:ascii="MS PGothic" w:cs="MS PGothic" w:eastAsia="MS PGothic" w:hAnsi="MS PGothic"/>
                <w:sz w:val="28"/>
                <w:szCs w:val="28"/>
                <w:color w:val="auto"/>
                <w:w w:val="95"/>
              </w:rPr>
              <w:t>☒</w:t>
            </w:r>
          </w:p>
        </w:tc>
        <w:tc>
          <w:tcPr>
            <w:tcW w:w="0" w:type="dxa"/>
            <w:vAlign w:val="bottom"/>
          </w:tcPr>
          <w:p>
            <w:pPr>
              <w:spacing w:after="0"/>
              <w:rPr>
                <w:sz w:val="1"/>
                <w:szCs w:val="1"/>
                <w:color w:val="auto"/>
              </w:rPr>
            </w:pPr>
          </w:p>
        </w:tc>
      </w:tr>
      <w:tr>
        <w:trPr>
          <w:trHeight w:val="29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8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020" w:type="dxa"/>
            <w:vAlign w:val="bottom"/>
            <w:tcBorders>
              <w:bottom w:val="single" w:sz="8" w:color="auto"/>
            </w:tcBorders>
            <w:gridSpan w:val="3"/>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8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New York</w:t>
            </w:r>
          </w:p>
        </w:tc>
        <w:tc>
          <w:tcPr>
            <w:tcW w:w="674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auto"/>
              </w:rPr>
              <w:t>5</w:t>
            </w:r>
          </w:p>
        </w:tc>
        <w:tc>
          <w:tcPr>
            <w:tcW w:w="60" w:type="dxa"/>
            <w:vAlign w:val="bottom"/>
          </w:tcPr>
          <w:p>
            <w:pPr>
              <w:spacing w:after="0"/>
              <w:rPr>
                <w:sz w:val="22"/>
                <w:szCs w:val="22"/>
                <w:color w:val="auto"/>
              </w:rPr>
            </w:pPr>
          </w:p>
        </w:tc>
        <w:tc>
          <w:tcPr>
            <w:tcW w:w="6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SOLE VOTING POWER</w:t>
            </w: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12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660" w:type="dxa"/>
            <w:vAlign w:val="bottom"/>
            <w:tcBorders>
              <w:left w:val="single" w:sz="8" w:color="auto"/>
              <w:right w:val="single" w:sz="8" w:color="auto"/>
            </w:tcBorders>
            <w:vMerge w:val="continue"/>
          </w:tcPr>
          <w:p>
            <w:pPr>
              <w:spacing w:after="0"/>
              <w:rPr>
                <w:sz w:val="4"/>
                <w:szCs w:val="4"/>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6</w:t>
            </w:r>
          </w:p>
        </w:tc>
        <w:tc>
          <w:tcPr>
            <w:tcW w:w="60" w:type="dxa"/>
            <w:vAlign w:val="bottom"/>
          </w:tcPr>
          <w:p>
            <w:pPr>
              <w:spacing w:after="0"/>
              <w:rPr>
                <w:sz w:val="4"/>
                <w:szCs w:val="4"/>
                <w:color w:val="auto"/>
              </w:rPr>
            </w:pPr>
          </w:p>
        </w:tc>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SHARED VOTING POWER</w:t>
            </w:r>
          </w:p>
        </w:tc>
        <w:tc>
          <w:tcPr>
            <w:tcW w:w="15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122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6740" w:type="dxa"/>
            <w:vAlign w:val="bottom"/>
            <w:vMerge w:val="continue"/>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12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1,684</w:t>
            </w: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122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740" w:type="dxa"/>
            <w:vAlign w:val="bottom"/>
            <w:tcBorders>
              <w:bottom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7</w:t>
            </w:r>
          </w:p>
        </w:tc>
        <w:tc>
          <w:tcPr>
            <w:tcW w:w="60" w:type="dxa"/>
            <w:vAlign w:val="bottom"/>
          </w:tcPr>
          <w:p>
            <w:pPr>
              <w:spacing w:after="0"/>
              <w:rPr>
                <w:sz w:val="9"/>
                <w:szCs w:val="9"/>
                <w:color w:val="auto"/>
              </w:rPr>
            </w:pPr>
          </w:p>
        </w:tc>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SOLE DISPOSITIVE POWER</w:t>
            </w:r>
          </w:p>
        </w:tc>
        <w:tc>
          <w:tcPr>
            <w:tcW w:w="1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122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740" w:type="dxa"/>
            <w:vAlign w:val="bottom"/>
            <w:vMerge w:val="continue"/>
          </w:tcPr>
          <w:p>
            <w:pPr>
              <w:spacing w:after="0"/>
              <w:rPr>
                <w:sz w:val="12"/>
                <w:szCs w:val="12"/>
                <w:color w:val="auto"/>
              </w:rPr>
            </w:pPr>
          </w:p>
        </w:tc>
        <w:tc>
          <w:tcPr>
            <w:tcW w:w="1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7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1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12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740" w:type="dxa"/>
            <w:vAlign w:val="bottom"/>
            <w:vMerge w:val="continue"/>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660" w:type="dxa"/>
            <w:vAlign w:val="bottom"/>
            <w:tcBorders>
              <w:left w:val="single" w:sz="8" w:color="auto"/>
              <w:right w:val="single" w:sz="8" w:color="auto"/>
            </w:tcBorders>
            <w:vMerge w:val="continue"/>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74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PERSON WITH</w:t>
            </w:r>
          </w:p>
        </w:tc>
        <w:tc>
          <w:tcPr>
            <w:tcW w:w="12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7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8</w:t>
            </w:r>
          </w:p>
        </w:tc>
        <w:tc>
          <w:tcPr>
            <w:tcW w:w="60" w:type="dxa"/>
            <w:vAlign w:val="bottom"/>
          </w:tcPr>
          <w:p>
            <w:pPr>
              <w:spacing w:after="0"/>
              <w:rPr>
                <w:sz w:val="16"/>
                <w:szCs w:val="16"/>
                <w:color w:val="auto"/>
              </w:rPr>
            </w:pPr>
          </w:p>
        </w:tc>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6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6740" w:type="dxa"/>
            <w:vAlign w:val="bottom"/>
            <w:vMerge w:val="continue"/>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1,684</w:t>
            </w: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6800" w:type="dxa"/>
            <w:vAlign w:val="bottom"/>
            <w:tcBorders>
              <w:bottom w:val="single" w:sz="8" w:color="auto"/>
            </w:tcBorders>
            <w:gridSpan w:val="2"/>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8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1,684</w:t>
            </w:r>
          </w:p>
        </w:tc>
        <w:tc>
          <w:tcPr>
            <w:tcW w:w="6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800" w:type="dxa"/>
            <w:vAlign w:val="bottom"/>
            <w:tcBorders>
              <w:bottom w:val="single" w:sz="8" w:color="auto"/>
            </w:tcBorders>
            <w:gridSpan w:val="2"/>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8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9"/>
              </w:rPr>
              <w:t>CHECK BOX IF THE AGGREGATE AMOUNT IN ROW (9) EXCLUDES CERTAIN SHARES</w:t>
            </w:r>
          </w:p>
        </w:tc>
        <w:tc>
          <w:tcPr>
            <w:tcW w:w="1560" w:type="dxa"/>
            <w:vAlign w:val="bottom"/>
            <w:tcBorders>
              <w:right w:val="single" w:sz="8" w:color="auto"/>
            </w:tcBorders>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c>
          <w:tcPr>
            <w:tcW w:w="15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89"/>
              </w:rPr>
              <w:t>11</w:t>
            </w:r>
          </w:p>
        </w:tc>
        <w:tc>
          <w:tcPr>
            <w:tcW w:w="8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0.01%</w:t>
            </w:r>
          </w:p>
        </w:tc>
        <w:tc>
          <w:tcPr>
            <w:tcW w:w="6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800" w:type="dxa"/>
            <w:vAlign w:val="bottom"/>
            <w:tcBorders>
              <w:bottom w:val="single" w:sz="8" w:color="auto"/>
            </w:tcBorders>
            <w:gridSpan w:val="2"/>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8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PN</w:t>
            </w:r>
          </w:p>
        </w:tc>
        <w:tc>
          <w:tcPr>
            <w:tcW w:w="6740" w:type="dxa"/>
            <w:vAlign w:val="bottom"/>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G8136L106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13 Pages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82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3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60" w:type="dxa"/>
            <w:vAlign w:val="bottom"/>
            <w:tcBorders>
              <w:left w:val="single" w:sz="8" w:color="auto"/>
              <w:bottom w:val="single" w:sz="8" w:color="auto"/>
              <w:right w:val="single" w:sz="8" w:color="auto"/>
            </w:tcBorders>
          </w:tcPr>
          <w:p>
            <w:pPr>
              <w:spacing w:after="0"/>
              <w:rPr>
                <w:sz w:val="22"/>
                <w:szCs w:val="22"/>
                <w:color w:val="auto"/>
              </w:rPr>
            </w:pPr>
          </w:p>
        </w:tc>
        <w:tc>
          <w:tcPr>
            <w:tcW w:w="8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Davidson Kempner Partners</w:t>
            </w: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82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1360" w:type="dxa"/>
            <w:vAlign w:val="bottom"/>
            <w:tcBorders>
              <w:right w:val="single" w:sz="8" w:color="auto"/>
            </w:tcBorders>
          </w:tcPr>
          <w:p>
            <w:pPr>
              <w:jc w:val="center"/>
              <w:ind w:right="26"/>
              <w:spacing w:after="0" w:line="320" w:lineRule="exact"/>
              <w:rPr>
                <w:sz w:val="20"/>
                <w:szCs w:val="20"/>
                <w:color w:val="auto"/>
              </w:rPr>
            </w:pPr>
            <w:r>
              <w:rPr>
                <w:rFonts w:ascii="Times New Roman" w:cs="Times New Roman" w:eastAsia="Times New Roman" w:hAnsi="Times New Roman"/>
                <w:sz w:val="20"/>
                <w:szCs w:val="20"/>
                <w:color w:val="auto"/>
                <w:w w:val="97"/>
              </w:rPr>
              <w:t xml:space="preserve">(a) </w:t>
            </w:r>
            <w:r>
              <w:rPr>
                <w:rFonts w:ascii="MS PGothic" w:cs="MS PGothic" w:eastAsia="MS PGothic" w:hAnsi="MS PGothic"/>
                <w:sz w:val="28"/>
                <w:szCs w:val="28"/>
                <w:color w:val="auto"/>
                <w:w w:val="97"/>
              </w:rPr>
              <w:t>☐</w:t>
            </w:r>
          </w:p>
        </w:tc>
        <w:tc>
          <w:tcPr>
            <w:tcW w:w="0" w:type="dxa"/>
            <w:vAlign w:val="bottom"/>
          </w:tcPr>
          <w:p>
            <w:pPr>
              <w:spacing w:after="0"/>
              <w:rPr>
                <w:sz w:val="1"/>
                <w:szCs w:val="1"/>
                <w:color w:val="auto"/>
              </w:rPr>
            </w:pPr>
          </w:p>
        </w:tc>
      </w:tr>
      <w:tr>
        <w:trPr>
          <w:trHeight w:val="403"/>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jc w:val="center"/>
              <w:ind w:right="26"/>
              <w:spacing w:after="0" w:line="322" w:lineRule="exact"/>
              <w:rPr>
                <w:sz w:val="20"/>
                <w:szCs w:val="20"/>
                <w:color w:val="auto"/>
              </w:rPr>
            </w:pPr>
            <w:r>
              <w:rPr>
                <w:rFonts w:ascii="Times New Roman" w:cs="Times New Roman" w:eastAsia="Times New Roman" w:hAnsi="Times New Roman"/>
                <w:sz w:val="20"/>
                <w:szCs w:val="20"/>
                <w:color w:val="auto"/>
                <w:w w:val="95"/>
              </w:rPr>
              <w:t xml:space="preserve">(b) </w:t>
            </w:r>
            <w:r>
              <w:rPr>
                <w:rFonts w:ascii="MS PGothic" w:cs="MS PGothic" w:eastAsia="MS PGothic" w:hAnsi="MS PGothic"/>
                <w:sz w:val="28"/>
                <w:szCs w:val="28"/>
                <w:color w:val="auto"/>
                <w:w w:val="95"/>
              </w:rPr>
              <w:t>☒</w:t>
            </w:r>
          </w:p>
        </w:tc>
        <w:tc>
          <w:tcPr>
            <w:tcW w:w="0" w:type="dxa"/>
            <w:vAlign w:val="bottom"/>
          </w:tcPr>
          <w:p>
            <w:pPr>
              <w:spacing w:after="0"/>
              <w:rPr>
                <w:sz w:val="1"/>
                <w:szCs w:val="1"/>
                <w:color w:val="auto"/>
              </w:rPr>
            </w:pPr>
          </w:p>
        </w:tc>
      </w:tr>
      <w:tr>
        <w:trPr>
          <w:trHeight w:val="29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82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220" w:type="dxa"/>
            <w:vAlign w:val="bottom"/>
            <w:tcBorders>
              <w:bottom w:val="single" w:sz="8" w:color="auto"/>
            </w:tcBorders>
            <w:gridSpan w:val="3"/>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82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New York</w:t>
            </w:r>
          </w:p>
        </w:tc>
        <w:tc>
          <w:tcPr>
            <w:tcW w:w="694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auto"/>
              </w:rPr>
              <w:t>5</w:t>
            </w:r>
          </w:p>
        </w:tc>
        <w:tc>
          <w:tcPr>
            <w:tcW w:w="60" w:type="dxa"/>
            <w:vAlign w:val="bottom"/>
          </w:tcPr>
          <w:p>
            <w:pPr>
              <w:spacing w:after="0"/>
              <w:rPr>
                <w:sz w:val="22"/>
                <w:szCs w:val="22"/>
                <w:color w:val="auto"/>
              </w:rPr>
            </w:pPr>
          </w:p>
        </w:tc>
        <w:tc>
          <w:tcPr>
            <w:tcW w:w="6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SOLE VOTING POWER</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12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9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660" w:type="dxa"/>
            <w:vAlign w:val="bottom"/>
            <w:tcBorders>
              <w:left w:val="single" w:sz="8" w:color="auto"/>
              <w:right w:val="single" w:sz="8" w:color="auto"/>
            </w:tcBorders>
            <w:vMerge w:val="continue"/>
          </w:tcPr>
          <w:p>
            <w:pPr>
              <w:spacing w:after="0"/>
              <w:rPr>
                <w:sz w:val="4"/>
                <w:szCs w:val="4"/>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6</w:t>
            </w:r>
          </w:p>
        </w:tc>
        <w:tc>
          <w:tcPr>
            <w:tcW w:w="60" w:type="dxa"/>
            <w:vAlign w:val="bottom"/>
          </w:tcPr>
          <w:p>
            <w:pPr>
              <w:spacing w:after="0"/>
              <w:rPr>
                <w:sz w:val="4"/>
                <w:szCs w:val="4"/>
                <w:color w:val="auto"/>
              </w:rPr>
            </w:pPr>
          </w:p>
        </w:tc>
        <w:tc>
          <w:tcPr>
            <w:tcW w:w="6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SHARED VOTING POWER</w:t>
            </w:r>
          </w:p>
        </w:tc>
        <w:tc>
          <w:tcPr>
            <w:tcW w:w="1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122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6940" w:type="dxa"/>
            <w:vAlign w:val="bottom"/>
            <w:vMerge w:val="continue"/>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12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9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63,735</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122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94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7</w:t>
            </w:r>
          </w:p>
        </w:tc>
        <w:tc>
          <w:tcPr>
            <w:tcW w:w="60" w:type="dxa"/>
            <w:vAlign w:val="bottom"/>
          </w:tcPr>
          <w:p>
            <w:pPr>
              <w:spacing w:after="0"/>
              <w:rPr>
                <w:sz w:val="9"/>
                <w:szCs w:val="9"/>
                <w:color w:val="auto"/>
              </w:rPr>
            </w:pPr>
          </w:p>
        </w:tc>
        <w:tc>
          <w:tcPr>
            <w:tcW w:w="6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SOLE DISPOSITIVE POWER</w:t>
            </w: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122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940" w:type="dxa"/>
            <w:vAlign w:val="bottom"/>
            <w:vMerge w:val="continue"/>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9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12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940" w:type="dxa"/>
            <w:vAlign w:val="bottom"/>
            <w:vMerge w:val="continue"/>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660" w:type="dxa"/>
            <w:vAlign w:val="bottom"/>
            <w:tcBorders>
              <w:left w:val="single" w:sz="8" w:color="auto"/>
              <w:right w:val="single" w:sz="8" w:color="auto"/>
            </w:tcBorders>
            <w:vMerge w:val="continue"/>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940" w:type="dxa"/>
            <w:vAlign w:val="bottom"/>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PERSON WITH</w:t>
            </w:r>
          </w:p>
        </w:tc>
        <w:tc>
          <w:tcPr>
            <w:tcW w:w="12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8</w:t>
            </w:r>
          </w:p>
        </w:tc>
        <w:tc>
          <w:tcPr>
            <w:tcW w:w="60" w:type="dxa"/>
            <w:vAlign w:val="bottom"/>
          </w:tcPr>
          <w:p>
            <w:pPr>
              <w:spacing w:after="0"/>
              <w:rPr>
                <w:sz w:val="16"/>
                <w:szCs w:val="16"/>
                <w:color w:val="auto"/>
              </w:rPr>
            </w:pPr>
          </w:p>
        </w:tc>
        <w:tc>
          <w:tcPr>
            <w:tcW w:w="6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6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6940" w:type="dxa"/>
            <w:vAlign w:val="bottom"/>
            <w:vMerge w:val="continue"/>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9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63,735</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gridSpan w:val="2"/>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82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63,735</w:t>
            </w:r>
          </w:p>
        </w:tc>
        <w:tc>
          <w:tcPr>
            <w:tcW w:w="6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gridSpan w:val="2"/>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82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CHECK BOX IF THE AGGREGATE AMOUNT IN ROW (9) EXCLUDES CERTAIN SHARES</w:t>
            </w:r>
          </w:p>
        </w:tc>
        <w:tc>
          <w:tcPr>
            <w:tcW w:w="1360" w:type="dxa"/>
            <w:vAlign w:val="bottom"/>
            <w:tcBorders>
              <w:right w:val="single" w:sz="8" w:color="auto"/>
            </w:tcBorders>
            <w:vMerge w:val="restart"/>
          </w:tcPr>
          <w:p>
            <w:pPr>
              <w:jc w:val="center"/>
              <w:ind w:right="6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89"/>
              </w:rPr>
              <w:t>11</w:t>
            </w:r>
          </w:p>
        </w:tc>
        <w:tc>
          <w:tcPr>
            <w:tcW w:w="82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0.25%</w:t>
            </w:r>
          </w:p>
        </w:tc>
        <w:tc>
          <w:tcPr>
            <w:tcW w:w="6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gridSpan w:val="2"/>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82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PN</w:t>
            </w:r>
          </w:p>
        </w:tc>
        <w:tc>
          <w:tcPr>
            <w:tcW w:w="694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G8136L106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13 Pages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82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3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60" w:type="dxa"/>
            <w:vAlign w:val="bottom"/>
            <w:tcBorders>
              <w:left w:val="single" w:sz="8" w:color="auto"/>
              <w:bottom w:val="single" w:sz="8" w:color="auto"/>
              <w:right w:val="single" w:sz="8" w:color="auto"/>
            </w:tcBorders>
          </w:tcPr>
          <w:p>
            <w:pPr>
              <w:spacing w:after="0"/>
              <w:rPr>
                <w:sz w:val="22"/>
                <w:szCs w:val="22"/>
                <w:color w:val="auto"/>
              </w:rPr>
            </w:pPr>
          </w:p>
        </w:tc>
        <w:tc>
          <w:tcPr>
            <w:tcW w:w="8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Davidson Kempner Institutional Partners, L.P.</w:t>
            </w: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1360" w:type="dxa"/>
            <w:vAlign w:val="bottom"/>
            <w:tcBorders>
              <w:right w:val="single" w:sz="8" w:color="auto"/>
            </w:tcBorders>
          </w:tcPr>
          <w:p>
            <w:pPr>
              <w:jc w:val="center"/>
              <w:ind w:right="26"/>
              <w:spacing w:after="0" w:line="320" w:lineRule="exact"/>
              <w:rPr>
                <w:sz w:val="20"/>
                <w:szCs w:val="20"/>
                <w:color w:val="auto"/>
              </w:rPr>
            </w:pPr>
            <w:r>
              <w:rPr>
                <w:rFonts w:ascii="Times New Roman" w:cs="Times New Roman" w:eastAsia="Times New Roman" w:hAnsi="Times New Roman"/>
                <w:sz w:val="20"/>
                <w:szCs w:val="20"/>
                <w:color w:val="auto"/>
                <w:w w:val="97"/>
              </w:rPr>
              <w:t xml:space="preserve">(a) </w:t>
            </w:r>
            <w:r>
              <w:rPr>
                <w:rFonts w:ascii="MS PGothic" w:cs="MS PGothic" w:eastAsia="MS PGothic" w:hAnsi="MS PGothic"/>
                <w:sz w:val="28"/>
                <w:szCs w:val="28"/>
                <w:color w:val="auto"/>
                <w:w w:val="97"/>
              </w:rPr>
              <w:t>☐</w:t>
            </w:r>
          </w:p>
        </w:tc>
        <w:tc>
          <w:tcPr>
            <w:tcW w:w="0" w:type="dxa"/>
            <w:vAlign w:val="bottom"/>
          </w:tcPr>
          <w:p>
            <w:pPr>
              <w:spacing w:after="0"/>
              <w:rPr>
                <w:sz w:val="1"/>
                <w:szCs w:val="1"/>
                <w:color w:val="auto"/>
              </w:rPr>
            </w:pPr>
          </w:p>
        </w:tc>
      </w:tr>
      <w:tr>
        <w:trPr>
          <w:trHeight w:val="403"/>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jc w:val="center"/>
              <w:ind w:right="26"/>
              <w:spacing w:after="0" w:line="322" w:lineRule="exact"/>
              <w:rPr>
                <w:sz w:val="20"/>
                <w:szCs w:val="20"/>
                <w:color w:val="auto"/>
              </w:rPr>
            </w:pPr>
            <w:r>
              <w:rPr>
                <w:rFonts w:ascii="Times New Roman" w:cs="Times New Roman" w:eastAsia="Times New Roman" w:hAnsi="Times New Roman"/>
                <w:sz w:val="20"/>
                <w:szCs w:val="20"/>
                <w:color w:val="auto"/>
                <w:w w:val="95"/>
              </w:rPr>
              <w:t xml:space="preserve">(b) </w:t>
            </w:r>
            <w:r>
              <w:rPr>
                <w:rFonts w:ascii="MS PGothic" w:cs="MS PGothic" w:eastAsia="MS PGothic" w:hAnsi="MS PGothic"/>
                <w:sz w:val="28"/>
                <w:szCs w:val="28"/>
                <w:color w:val="auto"/>
                <w:w w:val="95"/>
              </w:rPr>
              <w:t>☒</w:t>
            </w:r>
          </w:p>
        </w:tc>
        <w:tc>
          <w:tcPr>
            <w:tcW w:w="0" w:type="dxa"/>
            <w:vAlign w:val="bottom"/>
          </w:tcPr>
          <w:p>
            <w:pPr>
              <w:spacing w:after="0"/>
              <w:rPr>
                <w:sz w:val="1"/>
                <w:szCs w:val="1"/>
                <w:color w:val="auto"/>
              </w:rPr>
            </w:pPr>
          </w:p>
        </w:tc>
      </w:tr>
      <w:tr>
        <w:trPr>
          <w:trHeight w:val="29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220" w:type="dxa"/>
            <w:vAlign w:val="bottom"/>
            <w:tcBorders>
              <w:bottom w:val="single" w:sz="8" w:color="auto"/>
            </w:tcBorders>
            <w:gridSpan w:val="2"/>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Delaware</w:t>
            </w:r>
          </w:p>
        </w:tc>
        <w:tc>
          <w:tcPr>
            <w:tcW w:w="700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auto"/>
              </w:rPr>
              <w:t>5</w:t>
            </w:r>
          </w:p>
        </w:tc>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VOTING POWER</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1220" w:type="dxa"/>
            <w:vAlign w:val="bottom"/>
            <w:tcBorders>
              <w:right w:val="single" w:sz="8" w:color="auto"/>
            </w:tcBorders>
          </w:tcPr>
          <w:p>
            <w:pPr>
              <w:spacing w:after="0"/>
              <w:rPr>
                <w:sz w:val="22"/>
                <w:szCs w:val="22"/>
                <w:color w:val="auto"/>
              </w:rPr>
            </w:pPr>
          </w:p>
        </w:tc>
        <w:tc>
          <w:tcPr>
            <w:tcW w:w="7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660" w:type="dxa"/>
            <w:vAlign w:val="bottom"/>
            <w:tcBorders>
              <w:left w:val="single" w:sz="8" w:color="auto"/>
              <w:right w:val="single" w:sz="8" w:color="auto"/>
            </w:tcBorders>
            <w:vMerge w:val="continue"/>
          </w:tcPr>
          <w:p>
            <w:pPr>
              <w:spacing w:after="0"/>
              <w:rPr>
                <w:sz w:val="4"/>
                <w:szCs w:val="4"/>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6</w:t>
            </w:r>
          </w:p>
        </w:tc>
        <w:tc>
          <w:tcPr>
            <w:tcW w:w="70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VOTING POWER</w:t>
            </w:r>
          </w:p>
        </w:tc>
        <w:tc>
          <w:tcPr>
            <w:tcW w:w="1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1220" w:type="dxa"/>
            <w:vAlign w:val="bottom"/>
            <w:tcBorders>
              <w:right w:val="single" w:sz="8" w:color="auto"/>
            </w:tcBorders>
            <w:vMerge w:val="continue"/>
          </w:tcPr>
          <w:p>
            <w:pPr>
              <w:spacing w:after="0"/>
              <w:rPr>
                <w:sz w:val="17"/>
                <w:szCs w:val="17"/>
                <w:color w:val="auto"/>
              </w:rPr>
            </w:pPr>
          </w:p>
        </w:tc>
        <w:tc>
          <w:tcPr>
            <w:tcW w:w="7000" w:type="dxa"/>
            <w:vAlign w:val="bottom"/>
            <w:vMerge w:val="continue"/>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1220" w:type="dxa"/>
            <w:vAlign w:val="bottom"/>
            <w:tcBorders>
              <w:right w:val="single" w:sz="8" w:color="auto"/>
            </w:tcBorders>
          </w:tcPr>
          <w:p>
            <w:pPr>
              <w:spacing w:after="0"/>
              <w:rPr>
                <w:sz w:val="22"/>
                <w:szCs w:val="22"/>
                <w:color w:val="auto"/>
              </w:rPr>
            </w:pPr>
          </w:p>
        </w:tc>
        <w:tc>
          <w:tcPr>
            <w:tcW w:w="7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133,282</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12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7</w:t>
            </w:r>
          </w:p>
        </w:tc>
        <w:tc>
          <w:tcPr>
            <w:tcW w:w="70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 DISPOSITIVE POWER</w:t>
            </w: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1220" w:type="dxa"/>
            <w:vAlign w:val="bottom"/>
            <w:tcBorders>
              <w:right w:val="single" w:sz="8" w:color="auto"/>
            </w:tcBorders>
            <w:vMerge w:val="continue"/>
          </w:tcPr>
          <w:p>
            <w:pPr>
              <w:spacing w:after="0"/>
              <w:rPr>
                <w:sz w:val="12"/>
                <w:szCs w:val="12"/>
                <w:color w:val="auto"/>
              </w:rPr>
            </w:pPr>
          </w:p>
        </w:tc>
        <w:tc>
          <w:tcPr>
            <w:tcW w:w="7000" w:type="dxa"/>
            <w:vAlign w:val="bottom"/>
            <w:vMerge w:val="continue"/>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70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1220" w:type="dxa"/>
            <w:vAlign w:val="bottom"/>
            <w:tcBorders>
              <w:right w:val="single" w:sz="8" w:color="auto"/>
            </w:tcBorders>
          </w:tcPr>
          <w:p>
            <w:pPr>
              <w:spacing w:after="0"/>
              <w:rPr>
                <w:sz w:val="15"/>
                <w:szCs w:val="15"/>
                <w:color w:val="auto"/>
              </w:rPr>
            </w:pPr>
          </w:p>
        </w:tc>
        <w:tc>
          <w:tcPr>
            <w:tcW w:w="7000" w:type="dxa"/>
            <w:vAlign w:val="bottom"/>
            <w:vMerge w:val="continue"/>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660" w:type="dxa"/>
            <w:vAlign w:val="bottom"/>
            <w:tcBorders>
              <w:left w:val="single" w:sz="8" w:color="auto"/>
              <w:right w:val="single" w:sz="8" w:color="auto"/>
            </w:tcBorders>
            <w:vMerge w:val="continue"/>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7000" w:type="dxa"/>
            <w:vAlign w:val="bottom"/>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PERSON WITH</w:t>
            </w:r>
          </w:p>
        </w:tc>
        <w:tc>
          <w:tcPr>
            <w:tcW w:w="1220" w:type="dxa"/>
            <w:vAlign w:val="bottom"/>
            <w:tcBorders>
              <w:bottom w:val="single" w:sz="8" w:color="auto"/>
              <w:right w:val="single" w:sz="8" w:color="auto"/>
            </w:tcBorders>
          </w:tcPr>
          <w:p>
            <w:pPr>
              <w:spacing w:after="0"/>
              <w:rPr>
                <w:sz w:val="4"/>
                <w:szCs w:val="4"/>
                <w:color w:val="auto"/>
              </w:rPr>
            </w:pPr>
          </w:p>
        </w:tc>
        <w:tc>
          <w:tcPr>
            <w:tcW w:w="700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8</w:t>
            </w:r>
          </w:p>
        </w:tc>
        <w:tc>
          <w:tcPr>
            <w:tcW w:w="70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6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7000" w:type="dxa"/>
            <w:vAlign w:val="bottom"/>
            <w:vMerge w:val="continue"/>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7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133,282</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133,282</w:t>
            </w:r>
          </w:p>
        </w:tc>
        <w:tc>
          <w:tcPr>
            <w:tcW w:w="700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BOX IF THE AGGREGATE AMOUNT IN ROW (9) EXCLUDES CERTAIN SHARES</w:t>
            </w:r>
          </w:p>
        </w:tc>
        <w:tc>
          <w:tcPr>
            <w:tcW w:w="1360" w:type="dxa"/>
            <w:vAlign w:val="bottom"/>
            <w:tcBorders>
              <w:right w:val="single" w:sz="8" w:color="auto"/>
            </w:tcBorders>
            <w:vMerge w:val="restart"/>
          </w:tcPr>
          <w:p>
            <w:pPr>
              <w:jc w:val="center"/>
              <w:ind w:right="6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89"/>
              </w:rPr>
              <w:t>11</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0.53%</w:t>
            </w:r>
          </w:p>
        </w:tc>
        <w:tc>
          <w:tcPr>
            <w:tcW w:w="700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PN</w:t>
            </w:r>
          </w:p>
        </w:tc>
        <w:tc>
          <w:tcPr>
            <w:tcW w:w="700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4" w:name="page5"/>
    <w:bookmarkEnd w:id="4"/>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G8136L106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13 Pages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82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3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60" w:type="dxa"/>
            <w:vAlign w:val="bottom"/>
            <w:tcBorders>
              <w:left w:val="single" w:sz="8" w:color="auto"/>
              <w:bottom w:val="single" w:sz="8" w:color="auto"/>
              <w:right w:val="single" w:sz="8" w:color="auto"/>
            </w:tcBorders>
          </w:tcPr>
          <w:p>
            <w:pPr>
              <w:spacing w:after="0"/>
              <w:rPr>
                <w:sz w:val="22"/>
                <w:szCs w:val="22"/>
                <w:color w:val="auto"/>
              </w:rPr>
            </w:pPr>
          </w:p>
        </w:tc>
        <w:tc>
          <w:tcPr>
            <w:tcW w:w="8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Davidson Kempner International, Ltd.</w:t>
            </w: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1360" w:type="dxa"/>
            <w:vAlign w:val="bottom"/>
            <w:tcBorders>
              <w:right w:val="single" w:sz="8" w:color="auto"/>
            </w:tcBorders>
          </w:tcPr>
          <w:p>
            <w:pPr>
              <w:jc w:val="center"/>
              <w:ind w:right="26"/>
              <w:spacing w:after="0" w:line="320" w:lineRule="exact"/>
              <w:rPr>
                <w:sz w:val="20"/>
                <w:szCs w:val="20"/>
                <w:color w:val="auto"/>
              </w:rPr>
            </w:pPr>
            <w:r>
              <w:rPr>
                <w:rFonts w:ascii="Times New Roman" w:cs="Times New Roman" w:eastAsia="Times New Roman" w:hAnsi="Times New Roman"/>
                <w:sz w:val="20"/>
                <w:szCs w:val="20"/>
                <w:color w:val="auto"/>
                <w:w w:val="97"/>
              </w:rPr>
              <w:t xml:space="preserve">(a) </w:t>
            </w:r>
            <w:r>
              <w:rPr>
                <w:rFonts w:ascii="MS PGothic" w:cs="MS PGothic" w:eastAsia="MS PGothic" w:hAnsi="MS PGothic"/>
                <w:sz w:val="28"/>
                <w:szCs w:val="28"/>
                <w:color w:val="auto"/>
                <w:w w:val="97"/>
              </w:rPr>
              <w:t>☐</w:t>
            </w:r>
          </w:p>
        </w:tc>
        <w:tc>
          <w:tcPr>
            <w:tcW w:w="0" w:type="dxa"/>
            <w:vAlign w:val="bottom"/>
          </w:tcPr>
          <w:p>
            <w:pPr>
              <w:spacing w:after="0"/>
              <w:rPr>
                <w:sz w:val="1"/>
                <w:szCs w:val="1"/>
                <w:color w:val="auto"/>
              </w:rPr>
            </w:pPr>
          </w:p>
        </w:tc>
      </w:tr>
      <w:tr>
        <w:trPr>
          <w:trHeight w:val="403"/>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jc w:val="center"/>
              <w:ind w:right="26"/>
              <w:spacing w:after="0" w:line="322" w:lineRule="exact"/>
              <w:rPr>
                <w:sz w:val="20"/>
                <w:szCs w:val="20"/>
                <w:color w:val="auto"/>
              </w:rPr>
            </w:pPr>
            <w:r>
              <w:rPr>
                <w:rFonts w:ascii="Times New Roman" w:cs="Times New Roman" w:eastAsia="Times New Roman" w:hAnsi="Times New Roman"/>
                <w:sz w:val="20"/>
                <w:szCs w:val="20"/>
                <w:color w:val="auto"/>
                <w:w w:val="95"/>
              </w:rPr>
              <w:t xml:space="preserve">(b) </w:t>
            </w:r>
            <w:r>
              <w:rPr>
                <w:rFonts w:ascii="MS PGothic" w:cs="MS PGothic" w:eastAsia="MS PGothic" w:hAnsi="MS PGothic"/>
                <w:sz w:val="28"/>
                <w:szCs w:val="28"/>
                <w:color w:val="auto"/>
                <w:w w:val="95"/>
              </w:rPr>
              <w:t>☒</w:t>
            </w:r>
          </w:p>
        </w:tc>
        <w:tc>
          <w:tcPr>
            <w:tcW w:w="0" w:type="dxa"/>
            <w:vAlign w:val="bottom"/>
          </w:tcPr>
          <w:p>
            <w:pPr>
              <w:spacing w:after="0"/>
              <w:rPr>
                <w:sz w:val="1"/>
                <w:szCs w:val="1"/>
                <w:color w:val="auto"/>
              </w:rPr>
            </w:pPr>
          </w:p>
        </w:tc>
      </w:tr>
      <w:tr>
        <w:trPr>
          <w:trHeight w:val="29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220" w:type="dxa"/>
            <w:vAlign w:val="bottom"/>
            <w:tcBorders>
              <w:bottom w:val="single" w:sz="8" w:color="auto"/>
            </w:tcBorders>
            <w:gridSpan w:val="2"/>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British Virgin Islands</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auto"/>
              </w:rPr>
              <w:t>5</w:t>
            </w:r>
          </w:p>
        </w:tc>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VOTING POWER</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1220" w:type="dxa"/>
            <w:vAlign w:val="bottom"/>
            <w:tcBorders>
              <w:right w:val="single" w:sz="8" w:color="auto"/>
            </w:tcBorders>
          </w:tcPr>
          <w:p>
            <w:pPr>
              <w:spacing w:after="0"/>
              <w:rPr>
                <w:sz w:val="22"/>
                <w:szCs w:val="22"/>
                <w:color w:val="auto"/>
              </w:rPr>
            </w:pPr>
          </w:p>
        </w:tc>
        <w:tc>
          <w:tcPr>
            <w:tcW w:w="7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660" w:type="dxa"/>
            <w:vAlign w:val="bottom"/>
            <w:tcBorders>
              <w:left w:val="single" w:sz="8" w:color="auto"/>
              <w:right w:val="single" w:sz="8" w:color="auto"/>
            </w:tcBorders>
            <w:vMerge w:val="continue"/>
          </w:tcPr>
          <w:p>
            <w:pPr>
              <w:spacing w:after="0"/>
              <w:rPr>
                <w:sz w:val="4"/>
                <w:szCs w:val="4"/>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6</w:t>
            </w:r>
          </w:p>
        </w:tc>
        <w:tc>
          <w:tcPr>
            <w:tcW w:w="70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VOTING POWER</w:t>
            </w:r>
          </w:p>
        </w:tc>
        <w:tc>
          <w:tcPr>
            <w:tcW w:w="1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1220" w:type="dxa"/>
            <w:vAlign w:val="bottom"/>
            <w:tcBorders>
              <w:right w:val="single" w:sz="8" w:color="auto"/>
            </w:tcBorders>
            <w:vMerge w:val="continue"/>
          </w:tcPr>
          <w:p>
            <w:pPr>
              <w:spacing w:after="0"/>
              <w:rPr>
                <w:sz w:val="17"/>
                <w:szCs w:val="17"/>
                <w:color w:val="auto"/>
              </w:rPr>
            </w:pPr>
          </w:p>
        </w:tc>
        <w:tc>
          <w:tcPr>
            <w:tcW w:w="7000" w:type="dxa"/>
            <w:vAlign w:val="bottom"/>
            <w:vMerge w:val="continue"/>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1220" w:type="dxa"/>
            <w:vAlign w:val="bottom"/>
            <w:tcBorders>
              <w:right w:val="single" w:sz="8" w:color="auto"/>
            </w:tcBorders>
          </w:tcPr>
          <w:p>
            <w:pPr>
              <w:spacing w:after="0"/>
              <w:rPr>
                <w:sz w:val="22"/>
                <w:szCs w:val="22"/>
                <w:color w:val="auto"/>
              </w:rPr>
            </w:pPr>
          </w:p>
        </w:tc>
        <w:tc>
          <w:tcPr>
            <w:tcW w:w="7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142,374</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12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7</w:t>
            </w:r>
          </w:p>
        </w:tc>
        <w:tc>
          <w:tcPr>
            <w:tcW w:w="70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 DISPOSITIVE POWER</w:t>
            </w: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1220" w:type="dxa"/>
            <w:vAlign w:val="bottom"/>
            <w:tcBorders>
              <w:right w:val="single" w:sz="8" w:color="auto"/>
            </w:tcBorders>
            <w:vMerge w:val="continue"/>
          </w:tcPr>
          <w:p>
            <w:pPr>
              <w:spacing w:after="0"/>
              <w:rPr>
                <w:sz w:val="12"/>
                <w:szCs w:val="12"/>
                <w:color w:val="auto"/>
              </w:rPr>
            </w:pPr>
          </w:p>
        </w:tc>
        <w:tc>
          <w:tcPr>
            <w:tcW w:w="7000" w:type="dxa"/>
            <w:vAlign w:val="bottom"/>
            <w:vMerge w:val="continue"/>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70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1220" w:type="dxa"/>
            <w:vAlign w:val="bottom"/>
            <w:tcBorders>
              <w:right w:val="single" w:sz="8" w:color="auto"/>
            </w:tcBorders>
          </w:tcPr>
          <w:p>
            <w:pPr>
              <w:spacing w:after="0"/>
              <w:rPr>
                <w:sz w:val="15"/>
                <w:szCs w:val="15"/>
                <w:color w:val="auto"/>
              </w:rPr>
            </w:pPr>
          </w:p>
        </w:tc>
        <w:tc>
          <w:tcPr>
            <w:tcW w:w="7000" w:type="dxa"/>
            <w:vAlign w:val="bottom"/>
            <w:vMerge w:val="continue"/>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660" w:type="dxa"/>
            <w:vAlign w:val="bottom"/>
            <w:tcBorders>
              <w:left w:val="single" w:sz="8" w:color="auto"/>
              <w:right w:val="single" w:sz="8" w:color="auto"/>
            </w:tcBorders>
            <w:vMerge w:val="continue"/>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7000" w:type="dxa"/>
            <w:vAlign w:val="bottom"/>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PERSON WITH</w:t>
            </w:r>
          </w:p>
        </w:tc>
        <w:tc>
          <w:tcPr>
            <w:tcW w:w="1220" w:type="dxa"/>
            <w:vAlign w:val="bottom"/>
            <w:tcBorders>
              <w:bottom w:val="single" w:sz="8" w:color="auto"/>
              <w:right w:val="single" w:sz="8" w:color="auto"/>
            </w:tcBorders>
          </w:tcPr>
          <w:p>
            <w:pPr>
              <w:spacing w:after="0"/>
              <w:rPr>
                <w:sz w:val="4"/>
                <w:szCs w:val="4"/>
                <w:color w:val="auto"/>
              </w:rPr>
            </w:pPr>
          </w:p>
        </w:tc>
        <w:tc>
          <w:tcPr>
            <w:tcW w:w="700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8</w:t>
            </w:r>
          </w:p>
        </w:tc>
        <w:tc>
          <w:tcPr>
            <w:tcW w:w="70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6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7000" w:type="dxa"/>
            <w:vAlign w:val="bottom"/>
            <w:vMerge w:val="continue"/>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7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142,374</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142,374</w:t>
            </w:r>
          </w:p>
        </w:tc>
        <w:tc>
          <w:tcPr>
            <w:tcW w:w="700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BOX IF THE AGGREGATE AMOUNT IN ROW (9) EXCLUDES CERTAIN SHARES</w:t>
            </w:r>
          </w:p>
        </w:tc>
        <w:tc>
          <w:tcPr>
            <w:tcW w:w="1360" w:type="dxa"/>
            <w:vAlign w:val="bottom"/>
            <w:tcBorders>
              <w:right w:val="single" w:sz="8" w:color="auto"/>
            </w:tcBorders>
            <w:vMerge w:val="restart"/>
          </w:tcPr>
          <w:p>
            <w:pPr>
              <w:jc w:val="center"/>
              <w:ind w:right="6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89"/>
              </w:rPr>
              <w:t>11</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0.57%</w:t>
            </w:r>
          </w:p>
        </w:tc>
        <w:tc>
          <w:tcPr>
            <w:tcW w:w="700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w:t>
            </w:r>
          </w:p>
        </w:tc>
        <w:tc>
          <w:tcPr>
            <w:tcW w:w="700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5" w:name="page6"/>
    <w:bookmarkEnd w:id="5"/>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G8136L106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13 Pages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82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3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Davidson Kempner Capital Management LP</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220" w:type="dxa"/>
            <w:vAlign w:val="bottom"/>
            <w:tcBorders>
              <w:bottom w:val="single" w:sz="8" w:color="auto"/>
            </w:tcBorders>
            <w:gridSpan w:val="2"/>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1360" w:type="dxa"/>
            <w:vAlign w:val="bottom"/>
            <w:tcBorders>
              <w:right w:val="single" w:sz="8" w:color="auto"/>
            </w:tcBorders>
          </w:tcPr>
          <w:p>
            <w:pPr>
              <w:jc w:val="center"/>
              <w:ind w:right="26"/>
              <w:spacing w:after="0" w:line="320" w:lineRule="exact"/>
              <w:rPr>
                <w:sz w:val="20"/>
                <w:szCs w:val="20"/>
                <w:color w:val="auto"/>
              </w:rPr>
            </w:pPr>
            <w:r>
              <w:rPr>
                <w:rFonts w:ascii="Times New Roman" w:cs="Times New Roman" w:eastAsia="Times New Roman" w:hAnsi="Times New Roman"/>
                <w:sz w:val="20"/>
                <w:szCs w:val="20"/>
                <w:color w:val="auto"/>
                <w:w w:val="97"/>
              </w:rPr>
              <w:t xml:space="preserve">(a) </w:t>
            </w:r>
            <w:r>
              <w:rPr>
                <w:rFonts w:ascii="MS PGothic" w:cs="MS PGothic" w:eastAsia="MS PGothic" w:hAnsi="MS PGothic"/>
                <w:sz w:val="28"/>
                <w:szCs w:val="28"/>
                <w:color w:val="auto"/>
                <w:w w:val="97"/>
              </w:rPr>
              <w:t>☐</w:t>
            </w:r>
          </w:p>
        </w:tc>
        <w:tc>
          <w:tcPr>
            <w:tcW w:w="0" w:type="dxa"/>
            <w:vAlign w:val="bottom"/>
          </w:tcPr>
          <w:p>
            <w:pPr>
              <w:spacing w:after="0"/>
              <w:rPr>
                <w:sz w:val="1"/>
                <w:szCs w:val="1"/>
                <w:color w:val="auto"/>
              </w:rPr>
            </w:pPr>
          </w:p>
        </w:tc>
      </w:tr>
      <w:tr>
        <w:trPr>
          <w:trHeight w:val="403"/>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jc w:val="center"/>
              <w:ind w:right="26"/>
              <w:spacing w:after="0" w:line="322" w:lineRule="exact"/>
              <w:rPr>
                <w:sz w:val="20"/>
                <w:szCs w:val="20"/>
                <w:color w:val="auto"/>
              </w:rPr>
            </w:pPr>
            <w:r>
              <w:rPr>
                <w:rFonts w:ascii="Times New Roman" w:cs="Times New Roman" w:eastAsia="Times New Roman" w:hAnsi="Times New Roman"/>
                <w:sz w:val="20"/>
                <w:szCs w:val="20"/>
                <w:color w:val="auto"/>
                <w:w w:val="95"/>
              </w:rPr>
              <w:t xml:space="preserve">(b) </w:t>
            </w:r>
            <w:r>
              <w:rPr>
                <w:rFonts w:ascii="MS PGothic" w:cs="MS PGothic" w:eastAsia="MS PGothic" w:hAnsi="MS PGothic"/>
                <w:sz w:val="28"/>
                <w:szCs w:val="28"/>
                <w:color w:val="auto"/>
                <w:w w:val="95"/>
              </w:rPr>
              <w:t>☒</w:t>
            </w:r>
          </w:p>
        </w:tc>
        <w:tc>
          <w:tcPr>
            <w:tcW w:w="0" w:type="dxa"/>
            <w:vAlign w:val="bottom"/>
          </w:tcPr>
          <w:p>
            <w:pPr>
              <w:spacing w:after="0"/>
              <w:rPr>
                <w:sz w:val="1"/>
                <w:szCs w:val="1"/>
                <w:color w:val="auto"/>
              </w:rPr>
            </w:pPr>
          </w:p>
        </w:tc>
      </w:tr>
      <w:tr>
        <w:trPr>
          <w:trHeight w:val="29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220" w:type="dxa"/>
            <w:vAlign w:val="bottom"/>
            <w:tcBorders>
              <w:bottom w:val="single" w:sz="8" w:color="auto"/>
            </w:tcBorders>
            <w:gridSpan w:val="2"/>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9"/>
              </w:rPr>
              <w:t>Delaware</w:t>
            </w:r>
          </w:p>
        </w:tc>
        <w:tc>
          <w:tcPr>
            <w:tcW w:w="700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auto"/>
              </w:rPr>
              <w:t>5</w:t>
            </w:r>
          </w:p>
        </w:tc>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VOTING POWER</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1220" w:type="dxa"/>
            <w:vAlign w:val="bottom"/>
            <w:tcBorders>
              <w:right w:val="single" w:sz="8" w:color="auto"/>
            </w:tcBorders>
          </w:tcPr>
          <w:p>
            <w:pPr>
              <w:spacing w:after="0"/>
              <w:rPr>
                <w:sz w:val="22"/>
                <w:szCs w:val="22"/>
                <w:color w:val="auto"/>
              </w:rPr>
            </w:pPr>
          </w:p>
        </w:tc>
        <w:tc>
          <w:tcPr>
            <w:tcW w:w="7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SHARES</w:t>
            </w:r>
          </w:p>
        </w:tc>
        <w:tc>
          <w:tcPr>
            <w:tcW w:w="12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auto"/>
              </w:rPr>
              <w:t>6</w:t>
            </w:r>
          </w:p>
        </w:tc>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SHARED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60" w:type="dxa"/>
            <w:vAlign w:val="bottom"/>
            <w:tcBorders>
              <w:left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BENEFICIALLY</w:t>
            </w:r>
          </w:p>
        </w:tc>
        <w:tc>
          <w:tcPr>
            <w:tcW w:w="1220" w:type="dxa"/>
            <w:vAlign w:val="bottom"/>
            <w:tcBorders>
              <w:right w:val="single" w:sz="8" w:color="auto"/>
            </w:tcBorders>
          </w:tcPr>
          <w:p>
            <w:pPr>
              <w:spacing w:after="0"/>
              <w:rPr>
                <w:sz w:val="19"/>
                <w:szCs w:val="19"/>
                <w:color w:val="auto"/>
              </w:rPr>
            </w:pPr>
          </w:p>
        </w:tc>
        <w:tc>
          <w:tcPr>
            <w:tcW w:w="7000" w:type="dxa"/>
            <w:vAlign w:val="bottom"/>
          </w:tcPr>
          <w:p>
            <w:pPr>
              <w:ind w:left="420"/>
              <w:spacing w:after="0" w:line="220" w:lineRule="exact"/>
              <w:rPr>
                <w:sz w:val="20"/>
                <w:szCs w:val="20"/>
                <w:color w:val="auto"/>
              </w:rPr>
            </w:pPr>
            <w:r>
              <w:rPr>
                <w:rFonts w:ascii="Times New Roman" w:cs="Times New Roman" w:eastAsia="Times New Roman" w:hAnsi="Times New Roman"/>
                <w:sz w:val="20"/>
                <w:szCs w:val="20"/>
                <w:color w:val="auto"/>
              </w:rPr>
              <w:t>341,075</w:t>
            </w: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1220" w:type="dxa"/>
            <w:vAlign w:val="bottom"/>
            <w:tcBorders>
              <w:bottom w:val="single" w:sz="8" w:color="auto"/>
              <w:right w:val="single" w:sz="8" w:color="auto"/>
            </w:tcBorders>
          </w:tcPr>
          <w:p>
            <w:pPr>
              <w:spacing w:after="0"/>
              <w:rPr>
                <w:sz w:val="4"/>
                <w:szCs w:val="4"/>
                <w:color w:val="auto"/>
              </w:rPr>
            </w:pPr>
          </w:p>
        </w:tc>
        <w:tc>
          <w:tcPr>
            <w:tcW w:w="700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660" w:type="dxa"/>
            <w:vAlign w:val="bottom"/>
            <w:tcBorders>
              <w:left w:val="single" w:sz="8" w:color="auto"/>
              <w:right w:val="single" w:sz="8" w:color="auto"/>
            </w:tcBorders>
            <w:vMerge w:val="continue"/>
          </w:tcPr>
          <w:p>
            <w:pPr>
              <w:spacing w:after="0"/>
              <w:rPr>
                <w:sz w:val="13"/>
                <w:szCs w:val="13"/>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7</w:t>
            </w:r>
          </w:p>
        </w:tc>
        <w:tc>
          <w:tcPr>
            <w:tcW w:w="70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 DISPOSITIVE POWER</w:t>
            </w: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12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60" w:type="dxa"/>
            <w:vAlign w:val="bottom"/>
            <w:tcBorders>
              <w:left w:val="single" w:sz="8" w:color="auto"/>
              <w:right w:val="single" w:sz="8" w:color="auto"/>
            </w:tcBorders>
            <w:vMerge w:val="continue"/>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70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660" w:type="dxa"/>
            <w:vAlign w:val="bottom"/>
            <w:tcBorders>
              <w:left w:val="single" w:sz="8" w:color="auto"/>
              <w:right w:val="single" w:sz="8" w:color="auto"/>
            </w:tcBorders>
            <w:vMerge w:val="restart"/>
          </w:tcPr>
          <w:p>
            <w:pPr>
              <w:jc w:val="center"/>
              <w:spacing w:after="0" w:line="226" w:lineRule="exact"/>
              <w:rPr>
                <w:sz w:val="20"/>
                <w:szCs w:val="20"/>
                <w:color w:val="auto"/>
              </w:rPr>
            </w:pPr>
            <w:r>
              <w:rPr>
                <w:rFonts w:ascii="Times New Roman" w:cs="Times New Roman" w:eastAsia="Times New Roman" w:hAnsi="Times New Roman"/>
                <w:sz w:val="20"/>
                <w:szCs w:val="20"/>
                <w:color w:val="auto"/>
                <w:w w:val="97"/>
              </w:rPr>
              <w:t>REPORTING</w:t>
            </w:r>
          </w:p>
        </w:tc>
        <w:tc>
          <w:tcPr>
            <w:tcW w:w="1220" w:type="dxa"/>
            <w:vAlign w:val="bottom"/>
            <w:tcBorders>
              <w:right w:val="single" w:sz="8" w:color="auto"/>
            </w:tcBorders>
          </w:tcPr>
          <w:p>
            <w:pPr>
              <w:spacing w:after="0"/>
              <w:rPr>
                <w:sz w:val="10"/>
                <w:szCs w:val="10"/>
                <w:color w:val="auto"/>
              </w:rPr>
            </w:pPr>
          </w:p>
        </w:tc>
        <w:tc>
          <w:tcPr>
            <w:tcW w:w="7000" w:type="dxa"/>
            <w:vAlign w:val="bottom"/>
            <w:vMerge w:val="continue"/>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PERSON WITH</w:t>
            </w:r>
          </w:p>
        </w:tc>
        <w:tc>
          <w:tcPr>
            <w:tcW w:w="12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auto"/>
              </w:rPr>
              <w:t>8</w:t>
            </w:r>
          </w:p>
        </w:tc>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7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341,075</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341,075</w:t>
            </w:r>
          </w:p>
        </w:tc>
        <w:tc>
          <w:tcPr>
            <w:tcW w:w="700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BOX IF THE AGGREGATE AMOUNT IN ROW (9) EXCLUDES CERTAIN SHARES</w:t>
            </w:r>
          </w:p>
        </w:tc>
        <w:tc>
          <w:tcPr>
            <w:tcW w:w="1360" w:type="dxa"/>
            <w:vAlign w:val="bottom"/>
            <w:tcBorders>
              <w:right w:val="single" w:sz="8" w:color="auto"/>
            </w:tcBorders>
            <w:vMerge w:val="restart"/>
          </w:tcPr>
          <w:p>
            <w:pPr>
              <w:jc w:val="center"/>
              <w:ind w:right="6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89"/>
              </w:rPr>
              <w:t>11</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1.36%</w:t>
            </w:r>
          </w:p>
        </w:tc>
        <w:tc>
          <w:tcPr>
            <w:tcW w:w="700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PN</w:t>
            </w:r>
          </w:p>
        </w:tc>
        <w:tc>
          <w:tcPr>
            <w:tcW w:w="700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6" w:name="page7"/>
    <w:bookmarkEnd w:id="6"/>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G8136L106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13 Pages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82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3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Anthony A. Yoseloff</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220" w:type="dxa"/>
            <w:vAlign w:val="bottom"/>
            <w:tcBorders>
              <w:bottom w:val="single" w:sz="8" w:color="auto"/>
            </w:tcBorders>
            <w:gridSpan w:val="2"/>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1360" w:type="dxa"/>
            <w:vAlign w:val="bottom"/>
            <w:tcBorders>
              <w:right w:val="single" w:sz="8" w:color="auto"/>
            </w:tcBorders>
          </w:tcPr>
          <w:p>
            <w:pPr>
              <w:jc w:val="center"/>
              <w:ind w:right="26"/>
              <w:spacing w:after="0" w:line="320" w:lineRule="exact"/>
              <w:rPr>
                <w:sz w:val="20"/>
                <w:szCs w:val="20"/>
                <w:color w:val="auto"/>
              </w:rPr>
            </w:pPr>
            <w:r>
              <w:rPr>
                <w:rFonts w:ascii="Times New Roman" w:cs="Times New Roman" w:eastAsia="Times New Roman" w:hAnsi="Times New Roman"/>
                <w:sz w:val="20"/>
                <w:szCs w:val="20"/>
                <w:color w:val="auto"/>
                <w:w w:val="97"/>
              </w:rPr>
              <w:t xml:space="preserve">(a) </w:t>
            </w:r>
            <w:r>
              <w:rPr>
                <w:rFonts w:ascii="MS PGothic" w:cs="MS PGothic" w:eastAsia="MS PGothic" w:hAnsi="MS PGothic"/>
                <w:sz w:val="28"/>
                <w:szCs w:val="28"/>
                <w:color w:val="auto"/>
                <w:w w:val="97"/>
              </w:rPr>
              <w:t>☐</w:t>
            </w:r>
          </w:p>
        </w:tc>
        <w:tc>
          <w:tcPr>
            <w:tcW w:w="0" w:type="dxa"/>
            <w:vAlign w:val="bottom"/>
          </w:tcPr>
          <w:p>
            <w:pPr>
              <w:spacing w:after="0"/>
              <w:rPr>
                <w:sz w:val="1"/>
                <w:szCs w:val="1"/>
                <w:color w:val="auto"/>
              </w:rPr>
            </w:pPr>
          </w:p>
        </w:tc>
      </w:tr>
      <w:tr>
        <w:trPr>
          <w:trHeight w:val="403"/>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jc w:val="center"/>
              <w:ind w:right="26"/>
              <w:spacing w:after="0" w:line="322" w:lineRule="exact"/>
              <w:rPr>
                <w:sz w:val="20"/>
                <w:szCs w:val="20"/>
                <w:color w:val="auto"/>
              </w:rPr>
            </w:pPr>
            <w:r>
              <w:rPr>
                <w:rFonts w:ascii="Times New Roman" w:cs="Times New Roman" w:eastAsia="Times New Roman" w:hAnsi="Times New Roman"/>
                <w:sz w:val="20"/>
                <w:szCs w:val="20"/>
                <w:color w:val="auto"/>
                <w:w w:val="95"/>
              </w:rPr>
              <w:t xml:space="preserve">(b) </w:t>
            </w:r>
            <w:r>
              <w:rPr>
                <w:rFonts w:ascii="MS PGothic" w:cs="MS PGothic" w:eastAsia="MS PGothic" w:hAnsi="MS PGothic"/>
                <w:sz w:val="28"/>
                <w:szCs w:val="28"/>
                <w:color w:val="auto"/>
                <w:w w:val="95"/>
              </w:rPr>
              <w:t>☒</w:t>
            </w:r>
          </w:p>
        </w:tc>
        <w:tc>
          <w:tcPr>
            <w:tcW w:w="0" w:type="dxa"/>
            <w:vAlign w:val="bottom"/>
          </w:tcPr>
          <w:p>
            <w:pPr>
              <w:spacing w:after="0"/>
              <w:rPr>
                <w:sz w:val="1"/>
                <w:szCs w:val="1"/>
                <w:color w:val="auto"/>
              </w:rPr>
            </w:pPr>
          </w:p>
        </w:tc>
      </w:tr>
      <w:tr>
        <w:trPr>
          <w:trHeight w:val="29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220" w:type="dxa"/>
            <w:vAlign w:val="bottom"/>
            <w:tcBorders>
              <w:bottom w:val="single" w:sz="8" w:color="auto"/>
            </w:tcBorders>
            <w:gridSpan w:val="2"/>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United States</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auto"/>
              </w:rPr>
              <w:t>5</w:t>
            </w:r>
          </w:p>
        </w:tc>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VOTING POWER</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1220" w:type="dxa"/>
            <w:vAlign w:val="bottom"/>
            <w:tcBorders>
              <w:right w:val="single" w:sz="8" w:color="auto"/>
            </w:tcBorders>
          </w:tcPr>
          <w:p>
            <w:pPr>
              <w:spacing w:after="0"/>
              <w:rPr>
                <w:sz w:val="22"/>
                <w:szCs w:val="22"/>
                <w:color w:val="auto"/>
              </w:rPr>
            </w:pPr>
          </w:p>
        </w:tc>
        <w:tc>
          <w:tcPr>
            <w:tcW w:w="7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SHARES</w:t>
            </w:r>
          </w:p>
        </w:tc>
        <w:tc>
          <w:tcPr>
            <w:tcW w:w="12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auto"/>
              </w:rPr>
              <w:t>6</w:t>
            </w:r>
          </w:p>
        </w:tc>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SHARED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60" w:type="dxa"/>
            <w:vAlign w:val="bottom"/>
            <w:tcBorders>
              <w:left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BENEFICIALLY</w:t>
            </w:r>
          </w:p>
        </w:tc>
        <w:tc>
          <w:tcPr>
            <w:tcW w:w="1220" w:type="dxa"/>
            <w:vAlign w:val="bottom"/>
            <w:tcBorders>
              <w:right w:val="single" w:sz="8" w:color="auto"/>
            </w:tcBorders>
          </w:tcPr>
          <w:p>
            <w:pPr>
              <w:spacing w:after="0"/>
              <w:rPr>
                <w:sz w:val="19"/>
                <w:szCs w:val="19"/>
                <w:color w:val="auto"/>
              </w:rPr>
            </w:pPr>
          </w:p>
        </w:tc>
        <w:tc>
          <w:tcPr>
            <w:tcW w:w="7000" w:type="dxa"/>
            <w:vAlign w:val="bottom"/>
          </w:tcPr>
          <w:p>
            <w:pPr>
              <w:ind w:left="420"/>
              <w:spacing w:after="0" w:line="220" w:lineRule="exact"/>
              <w:rPr>
                <w:sz w:val="20"/>
                <w:szCs w:val="20"/>
                <w:color w:val="auto"/>
              </w:rPr>
            </w:pPr>
            <w:r>
              <w:rPr>
                <w:rFonts w:ascii="Times New Roman" w:cs="Times New Roman" w:eastAsia="Times New Roman" w:hAnsi="Times New Roman"/>
                <w:sz w:val="20"/>
                <w:szCs w:val="20"/>
                <w:color w:val="auto"/>
              </w:rPr>
              <w:t>341,075</w:t>
            </w:r>
          </w:p>
        </w:tc>
        <w:tc>
          <w:tcPr>
            <w:tcW w:w="1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1220" w:type="dxa"/>
            <w:vAlign w:val="bottom"/>
            <w:tcBorders>
              <w:bottom w:val="single" w:sz="8" w:color="auto"/>
              <w:right w:val="single" w:sz="8" w:color="auto"/>
            </w:tcBorders>
          </w:tcPr>
          <w:p>
            <w:pPr>
              <w:spacing w:after="0"/>
              <w:rPr>
                <w:sz w:val="4"/>
                <w:szCs w:val="4"/>
                <w:color w:val="auto"/>
              </w:rPr>
            </w:pPr>
          </w:p>
        </w:tc>
        <w:tc>
          <w:tcPr>
            <w:tcW w:w="700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660" w:type="dxa"/>
            <w:vAlign w:val="bottom"/>
            <w:tcBorders>
              <w:left w:val="single" w:sz="8" w:color="auto"/>
              <w:right w:val="single" w:sz="8" w:color="auto"/>
            </w:tcBorders>
            <w:vMerge w:val="continue"/>
          </w:tcPr>
          <w:p>
            <w:pPr>
              <w:spacing w:after="0"/>
              <w:rPr>
                <w:sz w:val="13"/>
                <w:szCs w:val="13"/>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20"/>
                <w:szCs w:val="20"/>
                <w:b w:val="1"/>
                <w:bCs w:val="1"/>
                <w:color w:val="auto"/>
              </w:rPr>
              <w:t>7</w:t>
            </w:r>
          </w:p>
        </w:tc>
        <w:tc>
          <w:tcPr>
            <w:tcW w:w="70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 DISPOSITIVE POWER</w:t>
            </w: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12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60" w:type="dxa"/>
            <w:vAlign w:val="bottom"/>
            <w:tcBorders>
              <w:left w:val="single" w:sz="8" w:color="auto"/>
              <w:right w:val="single" w:sz="8" w:color="auto"/>
            </w:tcBorders>
            <w:vMerge w:val="continue"/>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70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660" w:type="dxa"/>
            <w:vAlign w:val="bottom"/>
            <w:tcBorders>
              <w:left w:val="single" w:sz="8" w:color="auto"/>
              <w:right w:val="single" w:sz="8" w:color="auto"/>
            </w:tcBorders>
            <w:vMerge w:val="restart"/>
          </w:tcPr>
          <w:p>
            <w:pPr>
              <w:jc w:val="center"/>
              <w:spacing w:after="0" w:line="226" w:lineRule="exact"/>
              <w:rPr>
                <w:sz w:val="20"/>
                <w:szCs w:val="20"/>
                <w:color w:val="auto"/>
              </w:rPr>
            </w:pPr>
            <w:r>
              <w:rPr>
                <w:rFonts w:ascii="Times New Roman" w:cs="Times New Roman" w:eastAsia="Times New Roman" w:hAnsi="Times New Roman"/>
                <w:sz w:val="20"/>
                <w:szCs w:val="20"/>
                <w:color w:val="auto"/>
                <w:w w:val="97"/>
              </w:rPr>
              <w:t>REPORTING</w:t>
            </w:r>
          </w:p>
        </w:tc>
        <w:tc>
          <w:tcPr>
            <w:tcW w:w="1220" w:type="dxa"/>
            <w:vAlign w:val="bottom"/>
            <w:tcBorders>
              <w:right w:val="single" w:sz="8" w:color="auto"/>
            </w:tcBorders>
          </w:tcPr>
          <w:p>
            <w:pPr>
              <w:spacing w:after="0"/>
              <w:rPr>
                <w:sz w:val="10"/>
                <w:szCs w:val="10"/>
                <w:color w:val="auto"/>
              </w:rPr>
            </w:pPr>
          </w:p>
        </w:tc>
        <w:tc>
          <w:tcPr>
            <w:tcW w:w="7000" w:type="dxa"/>
            <w:vAlign w:val="bottom"/>
            <w:vMerge w:val="continue"/>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PERSON WITH</w:t>
            </w:r>
          </w:p>
        </w:tc>
        <w:tc>
          <w:tcPr>
            <w:tcW w:w="12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auto"/>
              </w:rPr>
              <w:t>8</w:t>
            </w:r>
          </w:p>
        </w:tc>
        <w:tc>
          <w:tcPr>
            <w:tcW w:w="7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70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341,075</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341,075</w:t>
            </w:r>
          </w:p>
        </w:tc>
        <w:tc>
          <w:tcPr>
            <w:tcW w:w="700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CHECK BOX IF THE AGGREGATE AMOUNT IN ROW (9) EXCLUDES CERTAIN SHARES</w:t>
            </w:r>
          </w:p>
        </w:tc>
        <w:tc>
          <w:tcPr>
            <w:tcW w:w="1360" w:type="dxa"/>
            <w:vAlign w:val="bottom"/>
            <w:tcBorders>
              <w:right w:val="single" w:sz="8" w:color="auto"/>
            </w:tcBorders>
            <w:vMerge w:val="restart"/>
          </w:tcPr>
          <w:p>
            <w:pPr>
              <w:jc w:val="center"/>
              <w:ind w:right="6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89"/>
              </w:rPr>
              <w:t>11</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1.36%</w:t>
            </w:r>
          </w:p>
        </w:tc>
        <w:tc>
          <w:tcPr>
            <w:tcW w:w="700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8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w:t>
            </w:r>
          </w:p>
        </w:tc>
        <w:tc>
          <w:tcPr>
            <w:tcW w:w="700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7" w:name="page8"/>
    <w:bookmarkEnd w:id="7"/>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G8136L106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8 of 13 Pages</w:t>
      </w:r>
    </w:p>
    <w:p>
      <w:pPr>
        <w:sectPr>
          <w:pgSz w:w="11900" w:h="16838" w:orient="portrait"/>
          <w:cols w:equalWidth="0" w:num="1">
            <w:col w:w="11240"/>
          </w:cols>
          <w:pgMar w:left="320" w:top="225" w:right="339" w:bottom="1440" w:gutter="0" w:footer="0" w:header="0"/>
        </w:sectPr>
      </w:pPr>
    </w:p>
    <w:p>
      <w:pPr>
        <w:spacing w:after="0" w:line="356"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 (a).</w:t>
      </w:r>
      <w:r>
        <w:rPr>
          <w:sz w:val="20"/>
          <w:szCs w:val="20"/>
          <w:color w:val="auto"/>
        </w:rPr>
        <w:tab/>
      </w:r>
      <w:r>
        <w:rPr>
          <w:rFonts w:ascii="Times New Roman" w:cs="Times New Roman" w:eastAsia="Times New Roman" w:hAnsi="Times New Roman"/>
          <w:sz w:val="19"/>
          <w:szCs w:val="19"/>
          <w:b w:val="1"/>
          <w:bCs w:val="1"/>
          <w:color w:val="auto"/>
        </w:rPr>
        <w:t>NAME OF ISSUER</w:t>
      </w:r>
    </w:p>
    <w:p>
      <w:pPr>
        <w:spacing w:after="0" w:line="247" w:lineRule="exact"/>
        <w:rPr>
          <w:sz w:val="20"/>
          <w:szCs w:val="20"/>
          <w:color w:val="auto"/>
        </w:rPr>
      </w:pPr>
    </w:p>
    <w:p>
      <w:pPr>
        <w:jc w:val="center"/>
        <w:ind w:right="4020"/>
        <w:spacing w:after="0"/>
        <w:rPr>
          <w:sz w:val="20"/>
          <w:szCs w:val="20"/>
          <w:color w:val="auto"/>
        </w:rPr>
      </w:pPr>
      <w:r>
        <w:rPr>
          <w:rFonts w:ascii="Times New Roman" w:cs="Times New Roman" w:eastAsia="Times New Roman" w:hAnsi="Times New Roman"/>
          <w:sz w:val="20"/>
          <w:szCs w:val="20"/>
          <w:color w:val="auto"/>
        </w:rPr>
        <w:t>Silver Spike Acquisition Corp. (the “</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w:t>
      </w:r>
    </w:p>
    <w:p>
      <w:pPr>
        <w:spacing w:after="0" w:line="25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ADDRESS OF ISSUER’S PRINCIPAL EXECUTIVE OFFICES</w:t>
      </w:r>
    </w:p>
    <w:p>
      <w:pPr>
        <w:spacing w:after="0" w:line="2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660 Madison Avenue, Suite 1600, New York, New York 10065.</w:t>
      </w:r>
    </w:p>
    <w:p>
      <w:pPr>
        <w:spacing w:after="0" w:line="25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47" w:lineRule="exact"/>
        <w:rPr>
          <w:sz w:val="20"/>
          <w:szCs w:val="20"/>
          <w:color w:val="auto"/>
        </w:rPr>
      </w:pPr>
    </w:p>
    <w:p>
      <w:pPr>
        <w:ind w:left="1800" w:right="200"/>
        <w:spacing w:after="0" w:line="269" w:lineRule="auto"/>
        <w:rPr>
          <w:sz w:val="20"/>
          <w:szCs w:val="20"/>
          <w:color w:val="auto"/>
        </w:rPr>
      </w:pPr>
      <w:r>
        <w:rPr>
          <w:rFonts w:ascii="Times New Roman" w:cs="Times New Roman" w:eastAsia="Times New Roman" w:hAnsi="Times New Roman"/>
          <w:sz w:val="20"/>
          <w:szCs w:val="20"/>
          <w:color w:val="auto"/>
        </w:rPr>
        <w:t>This Statement is filed by each of the entities and persons listed below, all of whom together are referred to herein as the “</w:t>
      </w:r>
      <w:r>
        <w:rPr>
          <w:rFonts w:ascii="Times New Roman" w:cs="Times New Roman" w:eastAsia="Times New Roman" w:hAnsi="Times New Roman"/>
          <w:sz w:val="20"/>
          <w:szCs w:val="20"/>
          <w:u w:val="single" w:color="auto"/>
          <w:color w:val="auto"/>
        </w:rPr>
        <w:t>Reporting Persons</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2600" w:right="200" w:hanging="801"/>
        <w:spacing w:after="0" w:line="254" w:lineRule="auto"/>
        <w:tabs>
          <w:tab w:leader="none" w:pos="26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 H. Davidson &amp; Co., a New York limited partnership (“</w:t>
      </w:r>
      <w:r>
        <w:rPr>
          <w:rFonts w:ascii="Times New Roman" w:cs="Times New Roman" w:eastAsia="Times New Roman" w:hAnsi="Times New Roman"/>
          <w:sz w:val="20"/>
          <w:szCs w:val="20"/>
          <w:u w:val="single" w:color="auto"/>
          <w:color w:val="auto"/>
        </w:rPr>
        <w:t>CO</w:t>
      </w:r>
      <w:r>
        <w:rPr>
          <w:rFonts w:ascii="Times New Roman" w:cs="Times New Roman" w:eastAsia="Times New Roman" w:hAnsi="Times New Roman"/>
          <w:sz w:val="20"/>
          <w:szCs w:val="20"/>
          <w:color w:val="auto"/>
        </w:rPr>
        <w:t>”). M.H. Davidson &amp; Co. GP, L.L.C., a Delaware limited liability company, is the general partner of CO. DKCM (as defined below) is responsible for the voting and investment decisions of CO;</w:t>
      </w:r>
    </w:p>
    <w:p>
      <w:pPr>
        <w:spacing w:after="0" w:line="201" w:lineRule="exact"/>
        <w:rPr>
          <w:rFonts w:ascii="Times New Roman" w:cs="Times New Roman" w:eastAsia="Times New Roman" w:hAnsi="Times New Roman"/>
          <w:sz w:val="20"/>
          <w:szCs w:val="20"/>
          <w:color w:val="auto"/>
        </w:rPr>
      </w:pPr>
    </w:p>
    <w:p>
      <w:pPr>
        <w:ind w:left="2600" w:right="120" w:hanging="801"/>
        <w:spacing w:after="0" w:line="249" w:lineRule="auto"/>
        <w:tabs>
          <w:tab w:leader="none" w:pos="26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Davidson Kempner Partners, a New York limited partnership (“</w:t>
      </w:r>
      <w:r>
        <w:rPr>
          <w:rFonts w:ascii="Times New Roman" w:cs="Times New Roman" w:eastAsia="Times New Roman" w:hAnsi="Times New Roman"/>
          <w:sz w:val="20"/>
          <w:szCs w:val="20"/>
          <w:u w:val="single" w:color="auto"/>
          <w:color w:val="auto"/>
        </w:rPr>
        <w:t>DKP</w:t>
      </w:r>
      <w:r>
        <w:rPr>
          <w:rFonts w:ascii="Times New Roman" w:cs="Times New Roman" w:eastAsia="Times New Roman" w:hAnsi="Times New Roman"/>
          <w:sz w:val="20"/>
          <w:szCs w:val="20"/>
          <w:color w:val="auto"/>
        </w:rPr>
        <w:t>”). MHD Management Co., a New York limited partnership (“</w:t>
      </w:r>
      <w:r>
        <w:rPr>
          <w:rFonts w:ascii="Times New Roman" w:cs="Times New Roman" w:eastAsia="Times New Roman" w:hAnsi="Times New Roman"/>
          <w:sz w:val="20"/>
          <w:szCs w:val="20"/>
          <w:u w:val="single" w:color="auto"/>
          <w:color w:val="auto"/>
        </w:rPr>
        <w:t>MHD</w:t>
      </w:r>
      <w:r>
        <w:rPr>
          <w:rFonts w:ascii="Times New Roman" w:cs="Times New Roman" w:eastAsia="Times New Roman" w:hAnsi="Times New Roman"/>
          <w:sz w:val="20"/>
          <w:szCs w:val="20"/>
          <w:color w:val="auto"/>
        </w:rPr>
        <w:t>”), is the general partner of DKP and MHD Management Co. GP, L.L.C., a Delaware limited liability company, is the general partner of MHD. DKCM is responsible for the voting and investment decisions of DKP;</w:t>
      </w:r>
    </w:p>
    <w:p>
      <w:pPr>
        <w:spacing w:after="0" w:line="206" w:lineRule="exact"/>
        <w:rPr>
          <w:rFonts w:ascii="Times New Roman" w:cs="Times New Roman" w:eastAsia="Times New Roman" w:hAnsi="Times New Roman"/>
          <w:sz w:val="20"/>
          <w:szCs w:val="20"/>
          <w:color w:val="auto"/>
        </w:rPr>
      </w:pPr>
    </w:p>
    <w:p>
      <w:pPr>
        <w:ind w:left="2600" w:right="220" w:hanging="801"/>
        <w:spacing w:after="0" w:line="254" w:lineRule="auto"/>
        <w:tabs>
          <w:tab w:leader="none" w:pos="26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Davidson Kempner Institutional Partners, L.P., a Delaware limited partnership (“</w:t>
      </w:r>
      <w:r>
        <w:rPr>
          <w:rFonts w:ascii="Times New Roman" w:cs="Times New Roman" w:eastAsia="Times New Roman" w:hAnsi="Times New Roman"/>
          <w:sz w:val="20"/>
          <w:szCs w:val="20"/>
          <w:u w:val="single" w:color="auto"/>
          <w:color w:val="auto"/>
        </w:rPr>
        <w:t>DKIP</w:t>
      </w:r>
      <w:r>
        <w:rPr>
          <w:rFonts w:ascii="Times New Roman" w:cs="Times New Roman" w:eastAsia="Times New Roman" w:hAnsi="Times New Roman"/>
          <w:sz w:val="20"/>
          <w:szCs w:val="20"/>
          <w:color w:val="auto"/>
        </w:rPr>
        <w:t>”). Davidson Kempner Advisers Inc., a New York corporation, is the general partner of DKIP. DKCM is responsible for the voting and investment decisions of DKIP;</w:t>
      </w:r>
    </w:p>
    <w:p>
      <w:pPr>
        <w:spacing w:after="0" w:line="201" w:lineRule="exact"/>
        <w:rPr>
          <w:rFonts w:ascii="Times New Roman" w:cs="Times New Roman" w:eastAsia="Times New Roman" w:hAnsi="Times New Roman"/>
          <w:sz w:val="20"/>
          <w:szCs w:val="20"/>
          <w:color w:val="auto"/>
        </w:rPr>
      </w:pPr>
    </w:p>
    <w:p>
      <w:pPr>
        <w:ind w:left="2600" w:right="140" w:hanging="801"/>
        <w:spacing w:after="0" w:line="269" w:lineRule="auto"/>
        <w:tabs>
          <w:tab w:leader="none" w:pos="26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Davidson Kempner International, Ltd., a British Virgin Islands business company (“</w:t>
      </w:r>
      <w:r>
        <w:rPr>
          <w:rFonts w:ascii="Times New Roman" w:cs="Times New Roman" w:eastAsia="Times New Roman" w:hAnsi="Times New Roman"/>
          <w:sz w:val="20"/>
          <w:szCs w:val="20"/>
          <w:u w:val="single" w:color="auto"/>
          <w:color w:val="auto"/>
        </w:rPr>
        <w:t>DKIL</w:t>
      </w:r>
      <w:r>
        <w:rPr>
          <w:rFonts w:ascii="Times New Roman" w:cs="Times New Roman" w:eastAsia="Times New Roman" w:hAnsi="Times New Roman"/>
          <w:sz w:val="20"/>
          <w:szCs w:val="20"/>
          <w:color w:val="auto"/>
        </w:rPr>
        <w:t>”). DKCM is the investment manager of DKIL and is responsible for the voting and investment decisions of DKIL;</w:t>
      </w:r>
    </w:p>
    <w:p>
      <w:pPr>
        <w:spacing w:after="0" w:line="186" w:lineRule="exact"/>
        <w:rPr>
          <w:rFonts w:ascii="Times New Roman" w:cs="Times New Roman" w:eastAsia="Times New Roman" w:hAnsi="Times New Roman"/>
          <w:sz w:val="20"/>
          <w:szCs w:val="20"/>
          <w:color w:val="auto"/>
        </w:rPr>
      </w:pPr>
    </w:p>
    <w:p>
      <w:pPr>
        <w:ind w:left="2600" w:right="220" w:hanging="801"/>
        <w:spacing w:after="0" w:line="244" w:lineRule="auto"/>
        <w:tabs>
          <w:tab w:leader="none" w:pos="26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Davidson Kempner Capital Management LP, a Delaware limited partnership and a registered investment adviser with the U.S. Securities and Exchange Commission, acts as investment manager to each of CO, DKP, DKIP and DKIL (“</w:t>
      </w:r>
      <w:r>
        <w:rPr>
          <w:rFonts w:ascii="Times New Roman" w:cs="Times New Roman" w:eastAsia="Times New Roman" w:hAnsi="Times New Roman"/>
          <w:sz w:val="20"/>
          <w:szCs w:val="20"/>
          <w:u w:val="single" w:color="auto"/>
          <w:color w:val="auto"/>
        </w:rPr>
        <w:t>DKCM</w:t>
      </w:r>
      <w:r>
        <w:rPr>
          <w:rFonts w:ascii="Times New Roman" w:cs="Times New Roman" w:eastAsia="Times New Roman" w:hAnsi="Times New Roman"/>
          <w:sz w:val="20"/>
          <w:szCs w:val="20"/>
          <w:color w:val="auto"/>
        </w:rPr>
        <w:t>”) either directly or by virtue of a sub-advisory agreement with the investment manager of the relevant fund. DKCM GP LLC, a Delaware limited liability company, is the general partner of DKCM. The managing members of DKCM are Anthony A. Yoseloff, Eric P. Epstein, Conor Bastable, Shulamit Leviant, Morgan P. Blackwell, Patrick W. Dennis, Gabriel T. Schwartz, Zachary Z. Altschuler, Joshua D. Morris and Suzanne K. Gibbons; and</w:t>
      </w:r>
    </w:p>
    <w:p>
      <w:pPr>
        <w:spacing w:after="0" w:line="212" w:lineRule="exact"/>
        <w:rPr>
          <w:rFonts w:ascii="Times New Roman" w:cs="Times New Roman" w:eastAsia="Times New Roman" w:hAnsi="Times New Roman"/>
          <w:sz w:val="20"/>
          <w:szCs w:val="20"/>
          <w:color w:val="auto"/>
        </w:rPr>
      </w:pPr>
    </w:p>
    <w:p>
      <w:pPr>
        <w:ind w:left="2600" w:right="160" w:hanging="801"/>
        <w:spacing w:after="0" w:line="269" w:lineRule="auto"/>
        <w:tabs>
          <w:tab w:leader="none" w:pos="26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Anthony A. Yoseloff through DKCM, is responsible for the voting and investment decisions relating to the securities held by CO, DKP, DKIP and DKIL reported herein.</w:t>
      </w:r>
    </w:p>
    <w:p>
      <w:pPr>
        <w:sectPr>
          <w:pgSz w:w="11900" w:h="16838" w:orient="portrait"/>
          <w:cols w:equalWidth="0" w:num="1">
            <w:col w:w="11240"/>
          </w:cols>
          <w:pgMar w:left="320" w:top="225" w:right="339" w:bottom="1440" w:gutter="0" w:footer="0" w:header="0"/>
          <w:type w:val="continuous"/>
        </w:sectPr>
      </w:pPr>
    </w:p>
    <w:bookmarkStart w:id="8" w:name="page9"/>
    <w:bookmarkEnd w:id="8"/>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G8136L106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9 of 13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12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444"/>
        </w:trPr>
        <w:tc>
          <w:tcPr>
            <w:tcW w:w="1260" w:type="dxa"/>
            <w:vAlign w:val="bottom"/>
          </w:tcPr>
          <w:p>
            <w:pPr>
              <w:spacing w:after="0"/>
              <w:rPr>
                <w:sz w:val="24"/>
                <w:szCs w:val="24"/>
                <w:color w:val="auto"/>
              </w:rPr>
            </w:pP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color w:val="auto"/>
              </w:rPr>
              <w:t>The address of the principal business office of each of the Reporting Persons is c/o Davidson Kempner Capital</w:t>
            </w:r>
          </w:p>
        </w:tc>
      </w:tr>
      <w:tr>
        <w:trPr>
          <w:trHeight w:val="258"/>
        </w:trPr>
        <w:tc>
          <w:tcPr>
            <w:tcW w:w="1260" w:type="dxa"/>
            <w:vAlign w:val="bottom"/>
          </w:tcPr>
          <w:p>
            <w:pPr>
              <w:spacing w:after="0"/>
              <w:rPr>
                <w:sz w:val="22"/>
                <w:szCs w:val="22"/>
                <w:color w:val="auto"/>
              </w:rPr>
            </w:pP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color w:val="auto"/>
              </w:rPr>
              <w:t>Management LP, 520 Madison Avenue, 30th Floor, New York, New York 10022.</w:t>
            </w:r>
          </w:p>
        </w:tc>
      </w:tr>
      <w:tr>
        <w:trPr>
          <w:trHeight w:val="473"/>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73"/>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88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CO – a New York limited partnership</w:t>
            </w:r>
          </w:p>
        </w:tc>
      </w:tr>
      <w:tr>
        <w:trPr>
          <w:trHeight w:val="486"/>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w:t>
            </w:r>
          </w:p>
        </w:tc>
        <w:tc>
          <w:tcPr>
            <w:tcW w:w="88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DKP – a New York limited partnership</w:t>
            </w:r>
          </w:p>
        </w:tc>
      </w:tr>
      <w:tr>
        <w:trPr>
          <w:trHeight w:val="486"/>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(iii)</w:t>
            </w:r>
          </w:p>
        </w:tc>
        <w:tc>
          <w:tcPr>
            <w:tcW w:w="88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DKIP – a Delaware limited partnership</w:t>
            </w:r>
          </w:p>
        </w:tc>
      </w:tr>
      <w:tr>
        <w:trPr>
          <w:trHeight w:val="486"/>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(iv)</w:t>
            </w:r>
          </w:p>
        </w:tc>
        <w:tc>
          <w:tcPr>
            <w:tcW w:w="88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DKIL – a British Virgin Islands business company</w:t>
            </w:r>
          </w:p>
        </w:tc>
      </w:tr>
      <w:tr>
        <w:trPr>
          <w:trHeight w:val="486"/>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(v)</w:t>
            </w:r>
          </w:p>
        </w:tc>
        <w:tc>
          <w:tcPr>
            <w:tcW w:w="88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DKCM – a Delaware limited partnership</w:t>
            </w:r>
          </w:p>
        </w:tc>
      </w:tr>
      <w:tr>
        <w:trPr>
          <w:trHeight w:val="486"/>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(vi)</w:t>
            </w:r>
          </w:p>
        </w:tc>
        <w:tc>
          <w:tcPr>
            <w:tcW w:w="886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Mr. Anthony A. Yoseloff – United States</w:t>
            </w:r>
          </w:p>
        </w:tc>
      </w:tr>
      <w:tr>
        <w:trPr>
          <w:trHeight w:val="486"/>
        </w:trPr>
        <w:tc>
          <w:tcPr>
            <w:tcW w:w="12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26"/>
        </w:trPr>
        <w:tc>
          <w:tcPr>
            <w:tcW w:w="1260" w:type="dxa"/>
            <w:vAlign w:val="bottom"/>
          </w:tcPr>
          <w:p>
            <w:pPr>
              <w:spacing w:after="0"/>
              <w:rPr>
                <w:sz w:val="24"/>
                <w:szCs w:val="24"/>
                <w:color w:val="auto"/>
              </w:rPr>
            </w:pP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color w:val="auto"/>
              </w:rPr>
              <w:t>Class A Ordinary Shares, par value $0.0001 per share (the “Class A Ordinary Shares”)</w:t>
            </w:r>
          </w:p>
        </w:tc>
      </w:tr>
      <w:tr>
        <w:trPr>
          <w:trHeight w:val="513"/>
        </w:trPr>
        <w:tc>
          <w:tcPr>
            <w:tcW w:w="12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5180" w:type="dxa"/>
            <w:vAlign w:val="bottom"/>
            <w:gridSpan w:val="3"/>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196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r>
      <w:tr>
        <w:trPr>
          <w:trHeight w:val="473"/>
        </w:trPr>
        <w:tc>
          <w:tcPr>
            <w:tcW w:w="1260" w:type="dxa"/>
            <w:vAlign w:val="bottom"/>
          </w:tcPr>
          <w:p>
            <w:pPr>
              <w:spacing w:after="0"/>
              <w:rPr>
                <w:sz w:val="24"/>
                <w:szCs w:val="24"/>
                <w:color w:val="auto"/>
              </w:rPr>
            </w:pP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G8136L106</w:t>
            </w:r>
          </w:p>
        </w:tc>
        <w:tc>
          <w:tcPr>
            <w:tcW w:w="3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53"/>
        </w:trPr>
        <w:tc>
          <w:tcPr>
            <w:tcW w:w="12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IF  THIS  STATEMENT  IS  FILED  PURSUANT  TO  RULES  13d-1(b),  OR  13d-2(b)  OR  (c),  CHECK</w:t>
            </w:r>
          </w:p>
        </w:tc>
      </w:tr>
      <w:tr>
        <w:trPr>
          <w:trHeight w:val="262"/>
        </w:trPr>
        <w:tc>
          <w:tcPr>
            <w:tcW w:w="1260" w:type="dxa"/>
            <w:vAlign w:val="bottom"/>
          </w:tcPr>
          <w:p>
            <w:pPr>
              <w:spacing w:after="0"/>
              <w:rPr>
                <w:sz w:val="22"/>
                <w:szCs w:val="22"/>
                <w:color w:val="auto"/>
              </w:rPr>
            </w:pP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WHETHER THE PERSON FILING IS A:</w:t>
            </w:r>
          </w:p>
        </w:tc>
      </w:tr>
      <w:tr>
        <w:trPr>
          <w:trHeight w:val="528"/>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w:t>
            </w:r>
          </w:p>
        </w:tc>
        <w:tc>
          <w:tcPr>
            <w:tcW w:w="56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83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Broker or dealer registered under Section 15 of the Act;</w:t>
            </w:r>
          </w:p>
        </w:tc>
      </w:tr>
      <w:tr>
        <w:trPr>
          <w:trHeight w:val="472"/>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(b)</w:t>
            </w:r>
          </w:p>
        </w:tc>
        <w:tc>
          <w:tcPr>
            <w:tcW w:w="56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83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Bank as defined in Section 3(a)(6) of the Act;</w:t>
            </w:r>
          </w:p>
        </w:tc>
      </w:tr>
      <w:tr>
        <w:trPr>
          <w:trHeight w:val="473"/>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w:t>
            </w:r>
          </w:p>
        </w:tc>
        <w:tc>
          <w:tcPr>
            <w:tcW w:w="56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83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Insurance company as defined in Section 3(a)(19) of the Act;</w:t>
            </w:r>
          </w:p>
        </w:tc>
      </w:tr>
      <w:tr>
        <w:trPr>
          <w:trHeight w:val="473"/>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w:t>
            </w:r>
          </w:p>
        </w:tc>
        <w:tc>
          <w:tcPr>
            <w:tcW w:w="56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83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Investment company registered under Section 8 of the Investment Company Act of 1940;</w:t>
            </w:r>
          </w:p>
        </w:tc>
      </w:tr>
      <w:tr>
        <w:trPr>
          <w:trHeight w:val="473"/>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w:t>
            </w:r>
          </w:p>
        </w:tc>
        <w:tc>
          <w:tcPr>
            <w:tcW w:w="56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83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An investment adviser in accordance with Rule 13d-1(b)(1)(ii)(E);</w:t>
            </w:r>
          </w:p>
        </w:tc>
      </w:tr>
      <w:tr>
        <w:trPr>
          <w:trHeight w:val="473"/>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(f)</w:t>
            </w:r>
          </w:p>
        </w:tc>
        <w:tc>
          <w:tcPr>
            <w:tcW w:w="56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83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An employee benefit plan or endowment fund in accordance with Rule 13d-1(b)(1)(ii)(F);</w:t>
            </w:r>
          </w:p>
        </w:tc>
      </w:tr>
      <w:tr>
        <w:trPr>
          <w:trHeight w:val="473"/>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(g)</w:t>
            </w:r>
          </w:p>
        </w:tc>
        <w:tc>
          <w:tcPr>
            <w:tcW w:w="56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83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A parent holding company or control person in accordance with Rule 13d-1(b)(1)(ii)(G);</w:t>
            </w:r>
          </w:p>
        </w:tc>
      </w:tr>
      <w:tr>
        <w:trPr>
          <w:trHeight w:val="473"/>
        </w:trPr>
        <w:tc>
          <w:tcPr>
            <w:tcW w:w="126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(h)</w:t>
            </w:r>
          </w:p>
        </w:tc>
        <w:tc>
          <w:tcPr>
            <w:tcW w:w="56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83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A savings association as defined in Section 3(b) of the Federal Deposit Insurance Act;</w:t>
            </w:r>
          </w:p>
        </w:tc>
      </w:tr>
    </w:tbl>
    <w:p>
      <w:pPr>
        <w:sectPr>
          <w:pgSz w:w="11900" w:h="16838" w:orient="portrait"/>
          <w:cols w:equalWidth="0" w:num="1">
            <w:col w:w="11240"/>
          </w:cols>
          <w:pgMar w:left="320" w:top="225" w:right="339" w:bottom="1440" w:gutter="0" w:footer="0" w:header="0"/>
          <w:type w:val="continuous"/>
        </w:sectPr>
      </w:pPr>
    </w:p>
    <w:bookmarkStart w:id="9" w:name="page10"/>
    <w:bookmarkEnd w:id="9"/>
    <w:p>
      <w:pPr>
        <w:spacing w:after="0"/>
        <w:tabs>
          <w:tab w:leader="none" w:pos="5360" w:val="left"/>
          <w:tab w:leader="none" w:pos="9720" w:val="left"/>
        </w:tabs>
        <w:rPr>
          <w:sz w:val="20"/>
          <w:szCs w:val="20"/>
          <w:color w:val="auto"/>
        </w:rPr>
      </w:pPr>
      <w:r>
        <w:rPr>
          <w:rFonts w:ascii="Times New Roman" w:cs="Times New Roman" w:eastAsia="Times New Roman" w:hAnsi="Times New Roman"/>
          <w:sz w:val="18"/>
          <w:szCs w:val="18"/>
          <w:b w:val="1"/>
          <w:bCs w:val="1"/>
          <w:color w:val="auto"/>
        </w:rPr>
        <w:t>CUSIP No. G8136L106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10 of 13 Pages</w:t>
      </w:r>
    </w:p>
    <w:p>
      <w:pPr>
        <w:sectPr>
          <w:pgSz w:w="11900" w:h="16838" w:orient="portrait"/>
          <w:cols w:equalWidth="0" w:num="1">
            <w:col w:w="11240"/>
          </w:cols>
          <w:pgMar w:left="320" w:top="225" w:right="339" w:bottom="1440" w:gutter="0" w:footer="0" w:header="0"/>
        </w:sectPr>
      </w:pPr>
    </w:p>
    <w:p>
      <w:pPr>
        <w:spacing w:after="0" w:line="334" w:lineRule="exact"/>
        <w:rPr>
          <w:sz w:val="20"/>
          <w:szCs w:val="20"/>
          <w:color w:val="auto"/>
        </w:rPr>
      </w:pPr>
    </w:p>
    <w:tbl>
      <w:tblPr>
        <w:tblLayout w:type="fixed"/>
        <w:tblInd w:w="1800" w:type="dxa"/>
        <w:tblCellMar>
          <w:top w:w="0" w:type="dxa"/>
          <w:left w:w="0" w:type="dxa"/>
          <w:bottom w:w="0" w:type="dxa"/>
          <w:right w:w="0" w:type="dxa"/>
        </w:tblCellMar>
      </w:tblPr>
      <w:tr>
        <w:trPr>
          <w:trHeight w:val="255"/>
        </w:trPr>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5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828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A church plan that is excluded from the definition of an investment company under Section 3(c)(14) of</w:t>
            </w:r>
          </w:p>
        </w:tc>
      </w:tr>
      <w:tr>
        <w:trPr>
          <w:trHeight w:val="258"/>
        </w:trPr>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 Investment Company Act;</w:t>
            </w:r>
          </w:p>
        </w:tc>
      </w:tr>
      <w:tr>
        <w:trPr>
          <w:trHeight w:val="528"/>
        </w:trPr>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(j)</w:t>
            </w:r>
          </w:p>
        </w:tc>
        <w:tc>
          <w:tcPr>
            <w:tcW w:w="5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8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 non-U.S. institution in accordance with Rule 13d-1(b)(1)(ii)(J);</w:t>
            </w:r>
          </w:p>
        </w:tc>
      </w:tr>
      <w:tr>
        <w:trPr>
          <w:trHeight w:val="473"/>
        </w:trPr>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(k)</w:t>
            </w:r>
          </w:p>
        </w:tc>
        <w:tc>
          <w:tcPr>
            <w:tcW w:w="54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8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Group, in accordance with Rule 13d-1(b)(1)(ii)(K).</w:t>
            </w:r>
          </w:p>
        </w:tc>
      </w:tr>
    </w:tbl>
    <w:p>
      <w:pPr>
        <w:spacing w:after="0" w:line="200" w:lineRule="exact"/>
        <w:rPr>
          <w:sz w:val="20"/>
          <w:szCs w:val="20"/>
          <w:color w:val="auto"/>
        </w:rPr>
      </w:pPr>
    </w:p>
    <w:p>
      <w:pPr>
        <w:spacing w:after="0" w:line="202"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institution:________________________________</w:t>
      </w:r>
    </w:p>
    <w:p>
      <w:pPr>
        <w:spacing w:after="0" w:line="18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ind w:left="1800" w:right="54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 Person hereto and is incorporated herein by reference for each such Reporting Person.</w:t>
      </w:r>
    </w:p>
    <w:p>
      <w:pPr>
        <w:spacing w:after="0" w:line="186" w:lineRule="exact"/>
        <w:rPr>
          <w:sz w:val="20"/>
          <w:szCs w:val="20"/>
          <w:color w:val="auto"/>
        </w:rPr>
      </w:pPr>
    </w:p>
    <w:p>
      <w:pPr>
        <w:ind w:left="1800" w:right="320"/>
        <w:spacing w:after="0" w:line="254" w:lineRule="auto"/>
        <w:rPr>
          <w:sz w:val="20"/>
          <w:szCs w:val="20"/>
          <w:color w:val="auto"/>
        </w:rPr>
      </w:pPr>
      <w:r>
        <w:rPr>
          <w:rFonts w:ascii="Times New Roman" w:cs="Times New Roman" w:eastAsia="Times New Roman" w:hAnsi="Times New Roman"/>
          <w:sz w:val="20"/>
          <w:szCs w:val="20"/>
          <w:color w:val="auto"/>
        </w:rPr>
        <w:t>The percentages used in this Schedule 13G/A are calculated based upon 25,000,000 Class A Ordinary Shares outstanding as of December 18, 2020, as reported in the Issuer’s Definitive Proxy Statement on Schedule 14A filed with the Securities and Exchange Commission on December 21, 2020.</w:t>
      </w:r>
    </w:p>
    <w:p>
      <w:pPr>
        <w:spacing w:after="0" w:line="197"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47" w:lineRule="exact"/>
        <w:rPr>
          <w:sz w:val="20"/>
          <w:szCs w:val="20"/>
          <w:color w:val="auto"/>
        </w:rPr>
      </w:pPr>
    </w:p>
    <w:p>
      <w:pPr>
        <w:ind w:left="1800" w:right="200"/>
        <w:spacing w:after="0" w:line="272" w:lineRule="exact"/>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Persons have ceased to be the beneficial owner of more than 5 percent of the class of securities, check the following:</w:t>
      </w:r>
      <w:r>
        <w:rPr>
          <w:rFonts w:ascii="MS PGothic" w:cs="MS PGothic" w:eastAsia="MS PGothic" w:hAnsi="MS PGothic"/>
          <w:sz w:val="21"/>
          <w:szCs w:val="21"/>
          <w:color w:val="auto"/>
        </w:rPr>
        <w:t>☒</w:t>
      </w:r>
    </w:p>
    <w:p>
      <w:pPr>
        <w:spacing w:after="0" w:line="183"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52" w:lineRule="exact"/>
        <w:rPr>
          <w:sz w:val="20"/>
          <w:szCs w:val="20"/>
          <w:color w:val="auto"/>
        </w:rPr>
      </w:pPr>
    </w:p>
    <w:p>
      <w:pPr>
        <w:ind w:left="1800" w:right="100" w:hanging="1686"/>
        <w:spacing w:after="0" w:line="300"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IDENTIFICATION AND CLASSIFICATION OF THE SUBSIDIARY WHICH ACQUIRED THE SECURITY BEING REPORTED ON BY THE PARENT HOLDING COMPANY OR CONTROL PERSON.</w:t>
      </w:r>
    </w:p>
    <w:p>
      <w:pPr>
        <w:spacing w:after="0" w:line="16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5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5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225" w:right="339" w:bottom="1440" w:gutter="0" w:footer="0" w:header="0"/>
          <w:type w:val="continuous"/>
        </w:sectPr>
      </w:pPr>
    </w:p>
    <w:bookmarkStart w:id="10" w:name="page11"/>
    <w:bookmarkEnd w:id="10"/>
    <w:p>
      <w:pPr>
        <w:spacing w:after="0"/>
        <w:tabs>
          <w:tab w:leader="none" w:pos="5360" w:val="left"/>
          <w:tab w:leader="none" w:pos="9740" w:val="left"/>
        </w:tabs>
        <w:rPr>
          <w:sz w:val="20"/>
          <w:szCs w:val="20"/>
          <w:color w:val="auto"/>
        </w:rPr>
      </w:pPr>
      <w:r>
        <w:rPr>
          <w:rFonts w:ascii="Times New Roman" w:cs="Times New Roman" w:eastAsia="Times New Roman" w:hAnsi="Times New Roman"/>
          <w:sz w:val="18"/>
          <w:szCs w:val="18"/>
          <w:b w:val="1"/>
          <w:bCs w:val="1"/>
          <w:color w:val="auto"/>
        </w:rPr>
        <w:t>CUSIP No. G8136L106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11 of 13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4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56" w:lineRule="exact"/>
        <w:rPr>
          <w:sz w:val="20"/>
          <w:szCs w:val="20"/>
          <w:color w:val="auto"/>
        </w:rPr>
      </w:pPr>
    </w:p>
    <w:p>
      <w:pPr>
        <w:ind w:left="1800" w:right="16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11" w:name="page12"/>
    <w:bookmarkEnd w:id="11"/>
    <w:p>
      <w:pPr>
        <w:spacing w:after="0"/>
        <w:tabs>
          <w:tab w:leader="none" w:pos="5360" w:val="left"/>
          <w:tab w:leader="none" w:pos="9720" w:val="left"/>
        </w:tabs>
        <w:rPr>
          <w:sz w:val="20"/>
          <w:szCs w:val="20"/>
          <w:color w:val="auto"/>
        </w:rPr>
      </w:pPr>
      <w:r>
        <w:rPr>
          <w:rFonts w:ascii="Times New Roman" w:cs="Times New Roman" w:eastAsia="Times New Roman" w:hAnsi="Times New Roman"/>
          <w:sz w:val="18"/>
          <w:szCs w:val="18"/>
          <w:b w:val="1"/>
          <w:bCs w:val="1"/>
          <w:color w:val="auto"/>
        </w:rPr>
        <w:t>CUSIP No. G8136L106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12 of 13 Pages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certifies that the information set forth in this statement is true, complete and correct.</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11, 2021</w:t>
            </w: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Anthony A. Yoseloff</w:t>
            </w:r>
          </w:p>
        </w:tc>
      </w:tr>
      <w:tr>
        <w:trPr>
          <w:trHeight w:val="20"/>
        </w:trPr>
        <w:tc>
          <w:tcPr>
            <w:tcW w:w="54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27"/>
        </w:trPr>
        <w:tc>
          <w:tcPr>
            <w:tcW w:w="5400" w:type="dxa"/>
            <w:vAlign w:val="bottom"/>
          </w:tcPr>
          <w:p>
            <w:pPr>
              <w:spacing w:after="0"/>
              <w:rPr>
                <w:sz w:val="19"/>
                <w:szCs w:val="19"/>
                <w:color w:val="auto"/>
              </w:rPr>
            </w:pPr>
          </w:p>
        </w:tc>
        <w:tc>
          <w:tcPr>
            <w:tcW w:w="558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ANTHONY A. YOSELOFF, (i) individually, (ii) as Executive</w:t>
            </w:r>
          </w:p>
        </w:tc>
      </w:tr>
      <w:tr>
        <w:trPr>
          <w:trHeight w:val="230"/>
        </w:trPr>
        <w:tc>
          <w:tcPr>
            <w:tcW w:w="54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Managing Member of: (a) Davidson Kempner Capital Management</w:t>
            </w:r>
          </w:p>
        </w:tc>
      </w:tr>
      <w:tr>
        <w:trPr>
          <w:trHeight w:val="229"/>
        </w:trPr>
        <w:tc>
          <w:tcPr>
            <w:tcW w:w="54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LP, (x) for itself and (y) as Investment Manager of Davidson Kempner</w:t>
            </w:r>
          </w:p>
        </w:tc>
      </w:tr>
      <w:tr>
        <w:trPr>
          <w:trHeight w:val="229"/>
        </w:trPr>
        <w:tc>
          <w:tcPr>
            <w:tcW w:w="54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International, Ltd., (b) M.H. Davidson &amp; Co. GP, L.L.C., as General</w:t>
            </w:r>
          </w:p>
        </w:tc>
      </w:tr>
      <w:tr>
        <w:trPr>
          <w:trHeight w:val="230"/>
        </w:trPr>
        <w:tc>
          <w:tcPr>
            <w:tcW w:w="54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Partner of M.H. Davidson &amp; Co. and (c) MHD Management Co. GP,</w:t>
            </w:r>
          </w:p>
        </w:tc>
      </w:tr>
      <w:tr>
        <w:trPr>
          <w:trHeight w:val="229"/>
        </w:trPr>
        <w:tc>
          <w:tcPr>
            <w:tcW w:w="54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L.L.C., as General Partner of MHD Management Co. as General</w:t>
            </w:r>
          </w:p>
        </w:tc>
      </w:tr>
      <w:tr>
        <w:trPr>
          <w:trHeight w:val="230"/>
        </w:trPr>
        <w:tc>
          <w:tcPr>
            <w:tcW w:w="54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Partner of Davidson Kempner Partners and (iii) as Director of</w:t>
            </w:r>
          </w:p>
        </w:tc>
      </w:tr>
      <w:tr>
        <w:trPr>
          <w:trHeight w:val="229"/>
        </w:trPr>
        <w:tc>
          <w:tcPr>
            <w:tcW w:w="54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Davidson Kempner Advisers Inc. as General Partner of Davidson</w:t>
            </w:r>
          </w:p>
        </w:tc>
      </w:tr>
      <w:tr>
        <w:trPr>
          <w:trHeight w:val="258"/>
        </w:trPr>
        <w:tc>
          <w:tcPr>
            <w:tcW w:w="5400" w:type="dxa"/>
            <w:vAlign w:val="bottom"/>
          </w:tcPr>
          <w:p>
            <w:pPr>
              <w:spacing w:after="0"/>
              <w:rPr>
                <w:sz w:val="22"/>
                <w:szCs w:val="22"/>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Kempner Institutional Partners, L.P.</w:t>
            </w:r>
          </w:p>
        </w:tc>
      </w:tr>
    </w:tbl>
    <w:p>
      <w:pPr>
        <w:sectPr>
          <w:pgSz w:w="11900" w:h="16838" w:orient="portrait"/>
          <w:cols w:equalWidth="0" w:num="1">
            <w:col w:w="11240"/>
          </w:cols>
          <w:pgMar w:left="320" w:top="225" w:right="339" w:bottom="1440" w:gutter="0" w:footer="0" w:header="0"/>
        </w:sectPr>
      </w:pPr>
    </w:p>
    <w:bookmarkStart w:id="12" w:name="page13"/>
    <w:bookmarkEnd w:id="12"/>
    <w:p>
      <w:pPr>
        <w:spacing w:after="0"/>
        <w:tabs>
          <w:tab w:leader="none" w:pos="5360" w:val="left"/>
          <w:tab w:leader="none" w:pos="9720" w:val="left"/>
        </w:tabs>
        <w:rPr>
          <w:sz w:val="20"/>
          <w:szCs w:val="20"/>
          <w:color w:val="auto"/>
        </w:rPr>
      </w:pPr>
      <w:r>
        <w:rPr>
          <w:rFonts w:ascii="Times New Roman" w:cs="Times New Roman" w:eastAsia="Times New Roman" w:hAnsi="Times New Roman"/>
          <w:sz w:val="18"/>
          <w:szCs w:val="18"/>
          <w:b w:val="1"/>
          <w:bCs w:val="1"/>
          <w:color w:val="auto"/>
        </w:rPr>
        <w:t>CUSIP No. G8136L106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13 of 13 Pages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1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11, 2021</w:t>
            </w: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Anthony A. Yoseloff</w:t>
            </w:r>
          </w:p>
        </w:tc>
      </w:tr>
      <w:tr>
        <w:trPr>
          <w:trHeight w:val="20"/>
        </w:trPr>
        <w:tc>
          <w:tcPr>
            <w:tcW w:w="54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27"/>
        </w:trPr>
        <w:tc>
          <w:tcPr>
            <w:tcW w:w="5400" w:type="dxa"/>
            <w:vAlign w:val="bottom"/>
          </w:tcPr>
          <w:p>
            <w:pPr>
              <w:spacing w:after="0"/>
              <w:rPr>
                <w:sz w:val="19"/>
                <w:szCs w:val="19"/>
                <w:color w:val="auto"/>
              </w:rPr>
            </w:pPr>
          </w:p>
        </w:tc>
        <w:tc>
          <w:tcPr>
            <w:tcW w:w="558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ANTHONY A. YOSELOFF, (i) individually, (ii) as Executive</w:t>
            </w:r>
          </w:p>
        </w:tc>
      </w:tr>
      <w:tr>
        <w:trPr>
          <w:trHeight w:val="230"/>
        </w:trPr>
        <w:tc>
          <w:tcPr>
            <w:tcW w:w="54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Managing Member of: (a) Davidson Kempner Capital Management</w:t>
            </w:r>
          </w:p>
        </w:tc>
      </w:tr>
      <w:tr>
        <w:trPr>
          <w:trHeight w:val="229"/>
        </w:trPr>
        <w:tc>
          <w:tcPr>
            <w:tcW w:w="54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LP, (x) for itself and (y) as Investment Manager of Davidson Kempner</w:t>
            </w:r>
          </w:p>
        </w:tc>
      </w:tr>
      <w:tr>
        <w:trPr>
          <w:trHeight w:val="229"/>
        </w:trPr>
        <w:tc>
          <w:tcPr>
            <w:tcW w:w="54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International, Ltd., (b) M.H. Davidson &amp; Co. GP, L.L.C., as General</w:t>
            </w:r>
          </w:p>
        </w:tc>
      </w:tr>
      <w:tr>
        <w:trPr>
          <w:trHeight w:val="230"/>
        </w:trPr>
        <w:tc>
          <w:tcPr>
            <w:tcW w:w="54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Partner of M.H. Davidson &amp; Co. and (c) MHD Management Co. GP,</w:t>
            </w:r>
          </w:p>
        </w:tc>
      </w:tr>
      <w:tr>
        <w:trPr>
          <w:trHeight w:val="229"/>
        </w:trPr>
        <w:tc>
          <w:tcPr>
            <w:tcW w:w="54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L.L.C., as General Partner of MHD Management Co. as General</w:t>
            </w:r>
          </w:p>
        </w:tc>
      </w:tr>
      <w:tr>
        <w:trPr>
          <w:trHeight w:val="229"/>
        </w:trPr>
        <w:tc>
          <w:tcPr>
            <w:tcW w:w="54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Partner of Davidson Kempner Partners and (iii) as Director of</w:t>
            </w:r>
          </w:p>
        </w:tc>
      </w:tr>
      <w:tr>
        <w:trPr>
          <w:trHeight w:val="230"/>
        </w:trPr>
        <w:tc>
          <w:tcPr>
            <w:tcW w:w="54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Davidson Kempner Advisers Inc. as General Partner of Davidson</w:t>
            </w:r>
          </w:p>
        </w:tc>
      </w:tr>
      <w:tr>
        <w:trPr>
          <w:trHeight w:val="258"/>
        </w:trPr>
        <w:tc>
          <w:tcPr>
            <w:tcW w:w="5400" w:type="dxa"/>
            <w:vAlign w:val="bottom"/>
          </w:tcPr>
          <w:p>
            <w:pPr>
              <w:spacing w:after="0"/>
              <w:rPr>
                <w:sz w:val="22"/>
                <w:szCs w:val="22"/>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Kempner Institutional Partners, L.P.</w:t>
            </w:r>
          </w:p>
        </w:tc>
      </w:tr>
    </w:tbl>
    <w:p>
      <w:pPr>
        <w:spacing w:after="0" w:line="1" w:lineRule="exact"/>
        <w:rPr>
          <w:sz w:val="20"/>
          <w:szCs w:val="20"/>
          <w:color w:val="auto"/>
        </w:rPr>
      </w:pP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2021-02-11T09:16:12Z</dcterms:created>
  <dcterms:modified xsi:type="dcterms:W3CDTF">2021-02-11T09:16:12Z</dcterms:modified>
</cp:coreProperties>
</file>