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May 3, 2021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SILVER SPIKE ACQUISITION CORP.</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001-39021</w:t>
      </w:r>
    </w:p>
    <w:p>
      <w:pPr>
        <w:sectPr>
          <w:pgSz w:w="11900" w:h="16838" w:orient="portrait"/>
          <w:cols w:equalWidth="0" w:num="1">
            <w:col w:w="11220"/>
          </w:cols>
          <w:pgMar w:left="320" w:top="463" w:right="359" w:bottom="1440" w:gutter="0" w:footer="0" w:header="0"/>
        </w:sectPr>
      </w:pPr>
    </w:p>
    <w:p>
      <w:pPr>
        <w:spacing w:after="0" w:line="225" w:lineRule="exact"/>
        <w:rPr>
          <w:sz w:val="24"/>
          <w:szCs w:val="24"/>
          <w:color w:val="auto"/>
        </w:rPr>
      </w:pPr>
    </w:p>
    <w:p>
      <w:pPr>
        <w:jc w:val="center"/>
        <w:ind w:right="390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386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386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7480" w:space="720"/>
            <w:col w:w="3020"/>
          </w:cols>
          <w:pgMar w:left="320" w:top="463" w:right="359" w:bottom="144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660 Madison Avenue, Suite 1600, New York, New York 10065</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(212) 905-4923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40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2800"/>
        <w:spacing w:after="0" w:line="225"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140.13e-4(c))</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8"/>
        </w:trPr>
        <w:tc>
          <w:tcPr>
            <w:tcW w:w="318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8"/>
              </w:rPr>
              <w:t>Title of each class</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3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0"/>
        </w:trPr>
        <w:tc>
          <w:tcPr>
            <w:tcW w:w="6020" w:type="dxa"/>
            <w:vAlign w:val="bottom"/>
            <w:gridSpan w:val="3"/>
          </w:tcPr>
          <w:p>
            <w:pPr>
              <w:ind w:left="60"/>
              <w:spacing w:after="0"/>
              <w:rPr>
                <w:sz w:val="20"/>
                <w:szCs w:val="20"/>
                <w:color w:val="auto"/>
              </w:rPr>
            </w:pPr>
            <w:r>
              <w:rPr>
                <w:rFonts w:ascii="Arial" w:cs="Arial" w:eastAsia="Arial" w:hAnsi="Arial"/>
                <w:sz w:val="18"/>
                <w:szCs w:val="18"/>
                <w:color w:val="auto"/>
              </w:rPr>
              <w:t>Class A ordinary shares, par value $0.0001 per share</w:t>
            </w:r>
          </w:p>
        </w:tc>
        <w:tc>
          <w:tcPr>
            <w:tcW w:w="22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SSPK</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56"/>
        </w:trPr>
        <w:tc>
          <w:tcPr>
            <w:tcW w:w="6020" w:type="dxa"/>
            <w:vAlign w:val="bottom"/>
            <w:gridSpan w:val="3"/>
          </w:tcPr>
          <w:p>
            <w:pPr>
              <w:ind w:left="40"/>
              <w:spacing w:after="0"/>
              <w:rPr>
                <w:sz w:val="20"/>
                <w:szCs w:val="20"/>
                <w:color w:val="auto"/>
              </w:rPr>
            </w:pPr>
            <w:r>
              <w:rPr>
                <w:rFonts w:ascii="Arial" w:cs="Arial" w:eastAsia="Arial" w:hAnsi="Arial"/>
                <w:sz w:val="18"/>
                <w:szCs w:val="18"/>
                <w:color w:val="auto"/>
                <w:w w:val="93"/>
              </w:rPr>
              <w:t>Redeemable warrants, each whole warrant exercisable for one Class A ordinary</w:t>
            </w:r>
          </w:p>
        </w:tc>
        <w:tc>
          <w:tcPr>
            <w:tcW w:w="22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SSPKW</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30"/>
        </w:trPr>
        <w:tc>
          <w:tcPr>
            <w:tcW w:w="6020" w:type="dxa"/>
            <w:vAlign w:val="bottom"/>
            <w:gridSpan w:val="3"/>
          </w:tcPr>
          <w:p>
            <w:pPr>
              <w:ind w:left="220"/>
              <w:spacing w:after="0"/>
              <w:rPr>
                <w:sz w:val="20"/>
                <w:szCs w:val="20"/>
                <w:color w:val="auto"/>
              </w:rPr>
            </w:pPr>
            <w:r>
              <w:rPr>
                <w:rFonts w:ascii="Arial" w:cs="Arial" w:eastAsia="Arial" w:hAnsi="Arial"/>
                <w:sz w:val="18"/>
                <w:szCs w:val="18"/>
                <w:color w:val="auto"/>
              </w:rPr>
              <w:t>share at an exercise price of $11.50</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56"/>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Units, each consisting of one Class A ordinary share and one-half of one</w:t>
            </w:r>
          </w:p>
        </w:tc>
        <w:tc>
          <w:tcPr>
            <w:tcW w:w="22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SSPKU</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30"/>
        </w:trPr>
        <w:tc>
          <w:tcPr>
            <w:tcW w:w="6020" w:type="dxa"/>
            <w:vAlign w:val="bottom"/>
            <w:gridSpan w:val="3"/>
          </w:tcPr>
          <w:p>
            <w:pPr>
              <w:ind w:left="220"/>
              <w:spacing w:after="0"/>
              <w:rPr>
                <w:sz w:val="20"/>
                <w:szCs w:val="20"/>
                <w:color w:val="auto"/>
              </w:rPr>
            </w:pPr>
            <w:r>
              <w:rPr>
                <w:rFonts w:ascii="Arial" w:cs="Arial" w:eastAsia="Arial" w:hAnsi="Arial"/>
                <w:sz w:val="18"/>
                <w:szCs w:val="18"/>
                <w:color w:val="auto"/>
              </w:rPr>
              <w:t>redeemable warrant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2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4.02</w:t>
      </w:r>
      <w:r>
        <w:rPr>
          <w:sz w:val="20"/>
          <w:szCs w:val="20"/>
          <w:color w:val="auto"/>
        </w:rPr>
        <w:tab/>
      </w:r>
      <w:r>
        <w:rPr>
          <w:rFonts w:ascii="Arial" w:cs="Arial" w:eastAsia="Arial" w:hAnsi="Arial"/>
          <w:sz w:val="16"/>
          <w:szCs w:val="16"/>
          <w:b w:val="1"/>
          <w:bCs w:val="1"/>
          <w:color w:val="auto"/>
        </w:rPr>
        <w:t>Non-Reliance on Previously Issued Financial Statements or a Related Audit Report or Completed Interim Review.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Securities and Exchange Commission (“SEC”) together issued a statement entitled “Staff Statement on Accounting and Reporting Considerations for Warrants Issued by Special Purpose Acquisition Companies (“SPACs”)” (the “SEC Staff Statement”). The SEC Staff Statement, among other things, discussed potential accounting implications of certain terms that are common in warrants issued in connection with the initial public offerings of special purpose acquisition companies, and similar to terms contained in the Warrant Agreement, dated August 7, 2019 (the “Warrant Agreement”), between Silver Spike Acquisition Corp. (the “Company”) and Continental Stock Transfer &amp; Trust Company, as warrant agent.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 SEC Staff Statement, the Company reevaluated the accounting treatment of (i) the 12,500,000 redeemable warrants (the “Public Warrants”) that were included as part of the units issued by the Company in its initial public offering (the “IPO”) and (ii) the 7,000,000 private placement warrants (the “Private Placement Warrants” and, together with the Public Warrants, the “Warrants”) that were issued to the Company’s sponsor in a private placement that closed concurrently with the IPO, and determined to classify the Warrants as derivative liabilities measured at fair value, with changes in fair value each period being reported in earnings. While the Company has not generated any operating revenues to date and does not expect to generate any operating revenues until after completion of its initial business combination, the change in fair value of the Warrants is a non-cash charge and will be reflected in the Company’s statement of operations.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30, 2021, the Company’s management and the Audit Committee of the Company’s board of directors (the “Audit Committee”), after consultation with management and a discussion with Marcum LLP, the Company’s independent registered public accounting firm (the “Independent Accounting Firm”), concluded that it is appropriate to restate certain items in (i) the Company’s previously issued audited balance sheet dated as of August 12, 2019, which was related to the Company’s IPO, and (ii) the Company’s previously issued audited financial statements as of December 31, 2019 and December 31, 2020 and for the period from July 7, 2019 (inception) through December 31, 2019 and for the period from January 1, 2020 to December 31, 2020 (the “Relevant Periods”). Considering such restatement, such audited financial statements should no longer be relied upon. The Company will file an amendment to its Annual Report on Form 10-K for the fiscal year ended December 31, 2020, which will include the restated audited financial statements for the Relevant Periods as well as the interim quarterly periods.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Going forward, unless the Company amends the terms of the Warrants, the Company expects to continue to classify the Warrants as liabilities, which would require the Company to incur the cost of measuring the fair value of the warrant liabilities.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and the Audit Committee have discussed the matters disclosed in this Current Report on Form 8-K pursuant to this Item 4.02 with the Independent Accounting Firm.</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announced today that it still expects to close its previously announced business combination with WM Holding Company, LLC, a Delaware limited liability company (“WMH”), before the end of the second calendar quarter of this year. The delay in closing was driven by the need to amend the Company’s Annual Report on Form 10-K as a result of the changes to the accounting treatment for warrants issued by special purpose acquisition companies due to the Securities and Exchange Commission’s staff statement on the same topic issued on April 12, 2021.</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the Company announced that it received an update from WMH that WMH does not intend to update its financial projections for the years ended December 31, 2021, 2022 and 2023 from its financial projections included in the investor presentation (the “Presentation”) that was filed as Exhibit 99.2 to the Company’s Current Report on Form 8-K filed on December 10, 2020, as WMH’s management believes these projections still represent the current forward outlook of WMH. This preliminary projected financial information was prepared by, and is the responsibility of, WMH’s management and remains subject to the disclaimers set forth in the Presentation. The assumptions and estimates underlying such projected financial information are inherently uncertain and are subject to a wide variety of significant business, economic, competitive and other risks and uncertainties that could cause actual results to differ materially from those contained in the projected financial information. See “—Forward Looking Statements” below. Neither our independent registered public accounting firm nor any other independent registered public accounting firm has audited, reviewed or compiled, examined or performed any procedures with respect to these preliminary results, nor have they expressed any opinion or any other form of assurance on these preliminary financial results. These preliminary estimates reflect WMH’s management’s estimates based solely upon information available as of the date of this Current Report on Form 8-K and are not a comprehensive statement of WMH’s projected financial results. The information presented herein should not be considered a substitute for the financial statements for any period covered by the projected financial statements once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information in this Current Report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Current Report,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the equityholders of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2020 and Quarterly Report on Form 10-Q for the quarter ended September 30, 2020, and the Registration Statement, in each case, under the heading “Risk Factors,” and other documents of Silver Spike filed, or to be filed, with the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Current Report.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Current Report.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proposed business combination will be submitted to shareholders of Silver Spike for their consideration. Silver Spike has filed a registration statement on Form S-4 (the “Registration Statement”) with the SEC which includes a preliminary proxy statement and will include a definitive proxy statement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equityholders in connection with the completion of the proposed business combination. After the Registration Statement has been declared effective, Silver Spike will mail a definitive proxy statement and other relevant documents to its shareholders as of the record date established for voting on the proposed business combination. Silver Spike's shareholders and other interested persons are advised to read 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proxy statement, as well as other documents filed with the SEC regarding the proposed business combination and other documents filed with the SEC by Silver Spike, without charge, at the SEC's website located at www.sec.gov or by directing a request to 660 Madison Ave Suite 1600, New York, NY 10065 or </w:t>
      </w:r>
      <w:r>
        <w:rPr>
          <w:rFonts w:ascii="Arial" w:cs="Arial" w:eastAsia="Arial" w:hAnsi="Arial"/>
          <w:sz w:val="16"/>
          <w:szCs w:val="16"/>
          <w:u w:val="single" w:color="auto"/>
          <w:color w:val="0000FF"/>
        </w:rPr>
        <w:t>notices@silverspikecap.com</w:t>
      </w:r>
      <w:r>
        <w:rPr>
          <w:rFonts w:ascii="Arial" w:cs="Arial" w:eastAsia="Arial" w:hAnsi="Arial"/>
          <w:sz w:val="16"/>
          <w:szCs w:val="16"/>
          <w:color w:val="auto"/>
        </w:rPr>
        <w:t>.</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is set forth in the Registration Statement. You can find more information about Silver Spike’s directors and executive officers in Silver Spike’s final prospectus dated August 7, 2019 and filed with the SEC on August 9, 2019. Additional information regarding the participants is in Silver Spike’s Extension Proxy Statement and also will be included in the proxy solicitation and a description of their direct and indirect interests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3,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00"/>
      </w:cols>
      <w:pgMar w:left="320" w:top="54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2021-05-03T15:29:16Z</dcterms:created>
  <dcterms:modified xsi:type="dcterms:W3CDTF">2021-05-03T15:29:16Z</dcterms:modified>
</cp:coreProperties>
</file>