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36" w:lineRule="exact"/>
        <w:rPr>
          <w:sz w:val="24"/>
          <w:szCs w:val="24"/>
          <w:color w:val="auto"/>
        </w:rPr>
      </w:pPr>
    </w:p>
    <w:p>
      <w:pPr>
        <w:spacing w:after="0"/>
        <w:rPr>
          <w:sz w:val="20"/>
          <w:szCs w:val="20"/>
          <w:color w:val="auto"/>
        </w:rPr>
      </w:pPr>
      <w:r>
        <w:rPr>
          <w:rFonts w:ascii="Arial" w:cs="Arial" w:eastAsia="Arial" w:hAnsi="Arial"/>
          <w:sz w:val="22"/>
          <w:szCs w:val="22"/>
          <w:color w:val="auto"/>
        </w:rPr>
        <w:t>For the fiscal year ended 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9" w:lineRule="exact"/>
        <w:rPr>
          <w:sz w:val="24"/>
          <w:szCs w:val="24"/>
          <w:color w:val="auto"/>
        </w:rPr>
      </w:pPr>
    </w:p>
    <w:p>
      <w:pPr>
        <w:spacing w:after="0"/>
        <w:tabs>
          <w:tab w:leader="none" w:pos="3580" w:val="left"/>
          <w:tab w:leader="none" w:pos="4720" w:val="left"/>
        </w:tabs>
        <w:rPr>
          <w:sz w:val="20"/>
          <w:szCs w:val="20"/>
          <w:color w:val="auto"/>
        </w:rPr>
      </w:pPr>
      <w:r>
        <w:rPr>
          <w:rFonts w:ascii="Arial" w:cs="Arial" w:eastAsia="Arial" w:hAnsi="Arial"/>
          <w:sz w:val="22"/>
          <w:szCs w:val="22"/>
          <w:color w:val="auto"/>
        </w:rPr>
        <w:t>For the transition period from</w:t>
      </w:r>
      <w:r>
        <w:rPr>
          <w:sz w:val="20"/>
          <w:szCs w:val="20"/>
          <w:color w:val="auto"/>
        </w:rPr>
        <w:tab/>
      </w:r>
      <w:r>
        <w:rPr>
          <w:rFonts w:ascii="Arial" w:cs="Arial" w:eastAsia="Arial" w:hAnsi="Arial"/>
          <w:sz w:val="22"/>
          <w:szCs w:val="22"/>
          <w:color w:val="auto"/>
        </w:rPr>
        <w:t>to</w:t>
      </w:r>
      <w:r>
        <w:rPr>
          <w:sz w:val="20"/>
          <w:szCs w:val="20"/>
          <w:color w:val="auto"/>
        </w:rPr>
        <w:tab/>
      </w:r>
      <w:r>
        <w:rPr>
          <w:rFonts w:ascii="Arial" w:cs="Arial" w:eastAsia="Arial" w:hAnsi="Arial"/>
          <w:sz w:val="21"/>
          <w:szCs w:val="21"/>
          <w:color w:val="auto"/>
        </w:rPr>
        <w:t>.</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001-39021</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SILVER SPIKE ACQUISITION 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18"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55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0"/>
              </w:rPr>
              <w:t>Cayman Islands</w:t>
            </w:r>
          </w:p>
        </w:tc>
        <w:tc>
          <w:tcPr>
            <w:tcW w:w="3720" w:type="dxa"/>
            <w:vAlign w:val="bottom"/>
          </w:tcPr>
          <w:p>
            <w:pPr>
              <w:ind w:left="2180"/>
              <w:spacing w:after="0"/>
              <w:rPr>
                <w:sz w:val="20"/>
                <w:szCs w:val="20"/>
                <w:color w:val="auto"/>
              </w:rPr>
            </w:pPr>
            <w:r>
              <w:rPr>
                <w:rFonts w:ascii="Arial" w:cs="Arial" w:eastAsia="Arial" w:hAnsi="Arial"/>
                <w:sz w:val="18"/>
                <w:szCs w:val="18"/>
                <w:b w:val="1"/>
                <w:bCs w:val="1"/>
                <w:color w:val="auto"/>
              </w:rPr>
              <w:t>N/A</w:t>
            </w:r>
          </w:p>
        </w:tc>
      </w:tr>
      <w:tr>
        <w:trPr>
          <w:trHeight w:val="230"/>
        </w:trPr>
        <w:tc>
          <w:tcPr>
            <w:tcW w:w="55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5520" w:type="dxa"/>
            <w:vAlign w:val="bottom"/>
          </w:tcPr>
          <w:p>
            <w:pPr>
              <w:jc w:val="center"/>
              <w:ind w:right="1030"/>
              <w:spacing w:after="0"/>
              <w:rPr>
                <w:sz w:val="20"/>
                <w:szCs w:val="20"/>
                <w:color w:val="auto"/>
              </w:rPr>
            </w:pPr>
            <w:r>
              <w:rPr>
                <w:rFonts w:ascii="Arial" w:cs="Arial" w:eastAsia="Arial" w:hAnsi="Arial"/>
                <w:sz w:val="18"/>
                <w:szCs w:val="18"/>
                <w:b w:val="1"/>
                <w:bCs w:val="1"/>
                <w:color w:val="auto"/>
                <w:w w:val="89"/>
              </w:rPr>
              <w:t>660 Madison Ave., Suite 1600</w:t>
            </w:r>
          </w:p>
        </w:tc>
        <w:tc>
          <w:tcPr>
            <w:tcW w:w="3720" w:type="dxa"/>
            <w:vAlign w:val="bottom"/>
          </w:tcPr>
          <w:p>
            <w:pPr>
              <w:spacing w:after="0"/>
              <w:rPr>
                <w:sz w:val="24"/>
                <w:szCs w:val="24"/>
                <w:color w:val="auto"/>
              </w:rPr>
            </w:pPr>
          </w:p>
        </w:tc>
      </w:tr>
      <w:tr>
        <w:trPr>
          <w:trHeight w:val="220"/>
        </w:trPr>
        <w:tc>
          <w:tcPr>
            <w:tcW w:w="55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5"/>
              </w:rPr>
              <w:t>New York, NY</w:t>
            </w:r>
          </w:p>
        </w:tc>
        <w:tc>
          <w:tcPr>
            <w:tcW w:w="3720" w:type="dxa"/>
            <w:vAlign w:val="bottom"/>
          </w:tcPr>
          <w:p>
            <w:pPr>
              <w:jc w:val="center"/>
              <w:ind w:left="1010"/>
              <w:spacing w:after="0"/>
              <w:rPr>
                <w:sz w:val="20"/>
                <w:szCs w:val="20"/>
                <w:color w:val="auto"/>
              </w:rPr>
            </w:pPr>
            <w:r>
              <w:rPr>
                <w:rFonts w:ascii="Arial" w:cs="Arial" w:eastAsia="Arial" w:hAnsi="Arial"/>
                <w:sz w:val="18"/>
                <w:szCs w:val="18"/>
                <w:b w:val="1"/>
                <w:bCs w:val="1"/>
                <w:color w:val="auto"/>
                <w:w w:val="91"/>
              </w:rPr>
              <w:t>10065</w:t>
            </w:r>
          </w:p>
        </w:tc>
      </w:tr>
      <w:tr>
        <w:trPr>
          <w:trHeight w:val="230"/>
        </w:trPr>
        <w:tc>
          <w:tcPr>
            <w:tcW w:w="55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left="1030"/>
              <w:spacing w:after="0"/>
              <w:rPr>
                <w:sz w:val="20"/>
                <w:szCs w:val="20"/>
                <w:color w:val="auto"/>
              </w:rPr>
            </w:pPr>
            <w:r>
              <w:rPr>
                <w:rFonts w:ascii="Arial" w:cs="Arial" w:eastAsia="Arial" w:hAnsi="Arial"/>
                <w:sz w:val="18"/>
                <w:szCs w:val="18"/>
                <w:color w:val="auto"/>
                <w:w w:val="93"/>
              </w:rPr>
              <w:t>Zip Code</w:t>
            </w: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 +1 212-905-4923</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00" w:lineRule="exact"/>
        <w:rPr>
          <w:sz w:val="24"/>
          <w:szCs w:val="24"/>
          <w:color w:val="auto"/>
        </w:rPr>
      </w:pP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Title of Each Class</w:t>
            </w:r>
          </w:p>
        </w:tc>
        <w:tc>
          <w:tcPr>
            <w:tcW w:w="2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Class A ordinary shares, par value $0.0001 per share</w:t>
            </w:r>
          </w:p>
        </w:tc>
        <w:tc>
          <w:tcPr>
            <w:tcW w:w="220" w:type="dxa"/>
            <w:vAlign w:val="bottom"/>
          </w:tcPr>
          <w:p>
            <w:pPr>
              <w:spacing w:after="0"/>
              <w:rPr>
                <w:sz w:val="17"/>
                <w:szCs w:val="17"/>
                <w:color w:val="auto"/>
              </w:rPr>
            </w:pPr>
          </w:p>
        </w:tc>
        <w:tc>
          <w:tcPr>
            <w:tcW w:w="27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SSPK</w:t>
            </w:r>
          </w:p>
        </w:tc>
        <w:tc>
          <w:tcPr>
            <w:tcW w:w="220" w:type="dxa"/>
            <w:vAlign w:val="bottom"/>
          </w:tcPr>
          <w:p>
            <w:pPr>
              <w:spacing w:after="0"/>
              <w:rPr>
                <w:sz w:val="17"/>
                <w:szCs w:val="17"/>
                <w:color w:val="auto"/>
              </w:rPr>
            </w:pPr>
          </w:p>
        </w:tc>
        <w:tc>
          <w:tcPr>
            <w:tcW w:w="37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45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Redeemable warrants, each warrant exercisable for one</w:t>
            </w:r>
          </w:p>
        </w:tc>
        <w:tc>
          <w:tcPr>
            <w:tcW w:w="29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SSPKW</w:t>
            </w:r>
          </w:p>
        </w:tc>
        <w:tc>
          <w:tcPr>
            <w:tcW w:w="37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Class A ordinary share at an exercise price of $11.50</w:t>
            </w: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Units, each consisting of one Class A ordinary share and</w:t>
            </w:r>
          </w:p>
        </w:tc>
        <w:tc>
          <w:tcPr>
            <w:tcW w:w="29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SSPKU</w:t>
            </w:r>
          </w:p>
        </w:tc>
        <w:tc>
          <w:tcPr>
            <w:tcW w:w="37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5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one-half of one redeemable warrant</w:t>
            </w:r>
          </w:p>
        </w:tc>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60" w:type="dxa"/>
            <w:vAlign w:val="bottom"/>
          </w:tcPr>
          <w:p>
            <w:pPr>
              <w:spacing w:after="0"/>
              <w:rPr>
                <w:sz w:val="20"/>
                <w:szCs w:val="20"/>
                <w:color w:val="auto"/>
              </w:rPr>
            </w:pP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12(g) of the Act:</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None</w:t>
      </w:r>
    </w:p>
    <w:p>
      <w:pPr>
        <w:spacing w:after="0" w:line="213" w:lineRule="exact"/>
        <w:rPr>
          <w:sz w:val="24"/>
          <w:szCs w:val="24"/>
          <w:color w:val="auto"/>
        </w:rPr>
      </w:pPr>
    </w:p>
    <w:p>
      <w:pPr>
        <w:ind w:right="100"/>
        <w:spacing w:after="0" w:line="298" w:lineRule="exact"/>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62"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not required to file reports pursuant to Section 13 or 15(d) of the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308" w:lineRule="exact"/>
        <w:rPr>
          <w:sz w:val="24"/>
          <w:szCs w:val="24"/>
          <w:color w:val="auto"/>
        </w:rPr>
      </w:pPr>
    </w:p>
    <w:p>
      <w:pPr>
        <w:jc w:val="both"/>
        <w:ind w:right="20"/>
        <w:spacing w:after="0" w:line="250"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w:t>
      </w:r>
    </w:p>
    <w:p>
      <w:pPr>
        <w:spacing w:after="0" w:line="202" w:lineRule="exact"/>
        <w:rPr>
          <w:sz w:val="24"/>
          <w:szCs w:val="24"/>
          <w:color w:val="auto"/>
        </w:rPr>
      </w:pPr>
    </w:p>
    <w:p>
      <w:pPr>
        <w:ind w:right="40"/>
        <w:spacing w:after="0" w:line="278" w:lineRule="exact"/>
        <w:rPr>
          <w:sz w:val="20"/>
          <w:szCs w:val="20"/>
          <w:color w:val="auto"/>
        </w:rPr>
      </w:pPr>
      <w:r>
        <w:rPr>
          <w:rFonts w:ascii="Arial" w:cs="Arial" w:eastAsia="Arial" w:hAnsi="Arial"/>
          <w:sz w:val="22"/>
          <w:szCs w:val="22"/>
          <w:color w:val="auto"/>
        </w:rPr>
        <w:t xml:space="preserve">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8" w:lineRule="exact"/>
        <w:rPr>
          <w:sz w:val="24"/>
          <w:szCs w:val="24"/>
          <w:color w:val="auto"/>
        </w:rPr>
      </w:pPr>
    </w:p>
    <w:p>
      <w:pPr>
        <w:ind w:right="200"/>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ind w:right="140"/>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82" w:right="339" w:bottom="0" w:gutter="0" w:footer="0" w:header="0"/>
        </w:sectPr>
      </w:pPr>
    </w:p>
    <w:p>
      <w:pPr>
        <w:spacing w:after="0" w:line="20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620" w:space="680"/>
            <w:col w:w="4900" w:space="720"/>
            <w:col w:w="1960" w:space="280"/>
            <w:col w:w="1080"/>
          </w:cols>
          <w:pgMar w:left="320" w:top="582" w:right="339" w:bottom="0" w:gutter="0" w:footer="0" w:header="0"/>
          <w:type w:val="continuous"/>
        </w:sectPr>
      </w:pPr>
    </w:p>
    <w:bookmarkStart w:id="1" w:name="page2"/>
    <w:bookmarkEnd w:id="1"/>
    <w:p>
      <w:pPr>
        <w:ind w:left="7920"/>
        <w:spacing w:after="0" w:line="207" w:lineRule="exact"/>
        <w:tabs>
          <w:tab w:leader="none" w:pos="10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79" w:lineRule="exact"/>
        <w:rPr>
          <w:sz w:val="20"/>
          <w:szCs w:val="20"/>
          <w:color w:val="auto"/>
        </w:rPr>
      </w:pPr>
    </w:p>
    <w:p>
      <w:pPr>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0"/>
          <w:szCs w:val="20"/>
          <w:color w:val="auto"/>
        </w:rPr>
      </w:pPr>
    </w:p>
    <w:p>
      <w:pPr>
        <w:spacing w:after="0" w:line="242" w:lineRule="exact"/>
        <w:rPr>
          <w:sz w:val="20"/>
          <w:szCs w:val="20"/>
          <w:color w:val="auto"/>
        </w:rPr>
      </w:pPr>
      <w:r>
        <w:rPr>
          <w:rFonts w:ascii="Arial" w:cs="Arial" w:eastAsia="Arial" w:hAnsi="Arial"/>
          <w:sz w:val="21"/>
          <w:szCs w:val="21"/>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285"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As of June 30, 2020 (the last business day of the registrant’s second fiscal quarter), the aggregate market value of the Class A ordinary shares outstanding, other than shares held by persons who may be deemed affiliates of the registrant, computed by reference to the closing sales price for the Class A ordinary shares on June 30, 2020, as reported on the Nasdaq, was $253,250,000.</w:t>
      </w:r>
    </w:p>
    <w:p>
      <w:pPr>
        <w:spacing w:after="0" w:line="212"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As of March 6, 2021, 24,998,575 Class A ordinary shares, par value $0.0001 per share, and 6,250,000 Class B ordinary shares, par value $0.0001 per share, were issued and outstanding, respectively.</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DOCUMENTS INCORPORATED BY REFERENCE</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1" w:right="47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REPORT ON FORM 10-K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0" w:type="dxa"/>
            <w:vAlign w:val="bottom"/>
            <w:gridSpan w:val="3"/>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CAUTIONARY NOTE REGARDING FORWARD-LOOKING STATEMENTS AND RISK FACTOR SUMMARY</w:t>
              </w:r>
            </w:hyperlink>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tc>
        <w:tc>
          <w:tcPr>
            <w:tcW w:w="30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93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9300" w:type="dxa"/>
            <w:vAlign w:val="bottom"/>
            <w:gridSpan w:val="2"/>
            <w:shd w:val="clear" w:color="auto" w:fill="CCEEFF"/>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1A. </w:t>
            </w:r>
            <w:hyperlink w:anchor="page18">
              <w:r>
                <w:rPr>
                  <w:rFonts w:ascii="Arial" w:cs="Arial" w:eastAsia="Arial" w:hAnsi="Arial"/>
                  <w:sz w:val="18"/>
                  <w:szCs w:val="18"/>
                  <w:u w:val="single" w:color="auto"/>
                  <w:color w:val="0000EE"/>
                </w:rPr>
                <w:t>Risk Factors</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1B.</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Unresolved Staff Comments</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Properties</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Legal Proceedings</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Mine Safety Disclosures</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PART II</w:t>
              </w:r>
            </w:hyperlink>
          </w:p>
        </w:tc>
        <w:tc>
          <w:tcPr>
            <w:tcW w:w="30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Selected Financial Data</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Management’s Discussion and Analysis of Financial Condition and Results of Operations</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93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9300" w:type="dxa"/>
            <w:vAlign w:val="bottom"/>
            <w:gridSpan w:val="2"/>
            <w:shd w:val="clear" w:color="auto" w:fill="CCEEFF"/>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7A. </w:t>
            </w:r>
            <w:hyperlink w:anchor="page65">
              <w:r>
                <w:rPr>
                  <w:rFonts w:ascii="Arial" w:cs="Arial" w:eastAsia="Arial" w:hAnsi="Arial"/>
                  <w:sz w:val="18"/>
                  <w:szCs w:val="18"/>
                  <w:u w:val="single" w:color="auto"/>
                  <w:color w:val="0000EE"/>
                </w:rPr>
                <w:t>Quantitative and Qualitative Disclosures about Market Risk</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Financial Statements and Supplementary Data</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Changes in and Disagreements with Accountants on Accounting and Financial Disclosure</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93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9300" w:type="dxa"/>
            <w:vAlign w:val="bottom"/>
            <w:gridSpan w:val="2"/>
            <w:shd w:val="clear" w:color="auto" w:fill="CCEEFF"/>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9A. </w:t>
            </w:r>
            <w:hyperlink w:anchor="page65">
              <w:r>
                <w:rPr>
                  <w:rFonts w:ascii="Arial" w:cs="Arial" w:eastAsia="Arial" w:hAnsi="Arial"/>
                  <w:sz w:val="18"/>
                  <w:szCs w:val="18"/>
                  <w:u w:val="single" w:color="auto"/>
                  <w:color w:val="0000EE"/>
                </w:rPr>
                <w:t>Controls and Procedures.</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9B.</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Other Information.</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rFonts w:ascii="Arial" w:cs="Arial" w:eastAsia="Arial" w:hAnsi="Arial"/>
                <w:sz w:val="18"/>
                <w:szCs w:val="18"/>
                <w:u w:val="single" w:color="auto"/>
                <w:color w:val="0000EE"/>
                <w:w w:val="94"/>
              </w:rPr>
            </w:pPr>
            <w:hyperlink w:anchor="page66">
              <w:r>
                <w:rPr>
                  <w:rFonts w:ascii="Arial" w:cs="Arial" w:eastAsia="Arial" w:hAnsi="Arial"/>
                  <w:sz w:val="18"/>
                  <w:szCs w:val="18"/>
                  <w:u w:val="single" w:color="auto"/>
                  <w:color w:val="0000EE"/>
                  <w:w w:val="94"/>
                </w:rPr>
                <w:t>PART III</w:t>
              </w:r>
            </w:hyperlink>
          </w:p>
        </w:tc>
        <w:tc>
          <w:tcPr>
            <w:tcW w:w="30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Directors, Executive Officers and Corporate Governance</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Executive Compensation.</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Security Ownership of Certain Beneficial Owners and Management and Related Stockholder Matters</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Certain Relationships and Related Transactions, and Director Independence</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Principal Accountant Fees and Services.</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rFonts w:ascii="Arial" w:cs="Arial" w:eastAsia="Arial" w:hAnsi="Arial"/>
                <w:sz w:val="18"/>
                <w:szCs w:val="18"/>
                <w:u w:val="single" w:color="auto"/>
                <w:color w:val="0000EE"/>
                <w:w w:val="94"/>
              </w:rPr>
            </w:pPr>
            <w:hyperlink w:anchor="page82">
              <w:r>
                <w:rPr>
                  <w:rFonts w:ascii="Arial" w:cs="Arial" w:eastAsia="Arial" w:hAnsi="Arial"/>
                  <w:sz w:val="18"/>
                  <w:szCs w:val="18"/>
                  <w:u w:val="single" w:color="auto"/>
                  <w:color w:val="0000EE"/>
                  <w:w w:val="94"/>
                </w:rPr>
                <w:t>PART IV</w:t>
              </w:r>
            </w:hyperlink>
          </w:p>
        </w:tc>
        <w:tc>
          <w:tcPr>
            <w:tcW w:w="30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Exhibits, Financial Statement Schedules</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w:t>
            </w:r>
          </w:p>
        </w:tc>
        <w:tc>
          <w:tcPr>
            <w:tcW w:w="9000" w:type="dxa"/>
            <w:vAlign w:val="bottom"/>
            <w:shd w:val="clear" w:color="auto" w:fill="CCEEFF"/>
          </w:tcPr>
          <w:p>
            <w:pPr>
              <w:ind w:left="2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Form 10-K Summary</w:t>
              </w:r>
            </w:hyperlink>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3"/>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3"/>
            <w:shd w:val="clear" w:color="auto" w:fill="CCEEFF"/>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INDEX TO CONSOLIDATED FINANCIAL STATEMENTS</w:t>
              </w:r>
            </w:hyperlink>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CERTAIN TERMS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Unless otherwise stated in this Annual Report on Form 10-K (this “Annual Report”), references to:</w:t>
      </w:r>
    </w:p>
    <w:p>
      <w:pPr>
        <w:spacing w:after="0" w:line="233" w:lineRule="exact"/>
        <w:rPr>
          <w:sz w:val="20"/>
          <w:szCs w:val="20"/>
          <w:color w:val="auto"/>
        </w:rPr>
      </w:pPr>
    </w:p>
    <w:p>
      <w:pPr>
        <w:ind w:right="840" w:firstLine="324"/>
        <w:spacing w:after="0" w:line="250" w:lineRule="auto"/>
        <w:rPr>
          <w:sz w:val="20"/>
          <w:szCs w:val="20"/>
          <w:color w:val="auto"/>
        </w:rPr>
      </w:pPr>
      <w:r>
        <w:rPr>
          <w:rFonts w:ascii="Arial" w:cs="Arial" w:eastAsia="Arial" w:hAnsi="Arial"/>
          <w:sz w:val="22"/>
          <w:szCs w:val="22"/>
          <w:color w:val="auto"/>
        </w:rPr>
        <w:t>“we,” “us,” “our,” “company” or “our company” are to Silver Spike Acquisition Corp., a Cayman Islands exempted company;</w:t>
      </w:r>
    </w:p>
    <w:p>
      <w:pPr>
        <w:spacing w:after="0" w:line="202" w:lineRule="exact"/>
        <w:rPr>
          <w:sz w:val="20"/>
          <w:szCs w:val="20"/>
          <w:color w:val="auto"/>
        </w:rPr>
      </w:pPr>
    </w:p>
    <w:p>
      <w:pPr>
        <w:ind w:right="660" w:firstLine="324"/>
        <w:spacing w:after="0" w:line="250" w:lineRule="auto"/>
        <w:rPr>
          <w:sz w:val="20"/>
          <w:szCs w:val="20"/>
          <w:color w:val="auto"/>
        </w:rPr>
      </w:pPr>
      <w:r>
        <w:rPr>
          <w:rFonts w:ascii="Arial" w:cs="Arial" w:eastAsia="Arial" w:hAnsi="Arial"/>
          <w:sz w:val="22"/>
          <w:szCs w:val="22"/>
          <w:color w:val="auto"/>
        </w:rPr>
        <w:t>“amended and restated memorandum and articles of association” are to our Amended and Restated Memorandum and Articles of Association;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“Class A ordinary shares” are to our Class A ordinary shares, par value $0.0001 per share;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“Class B ordinary shares” are to our Class B ordinary shares, par value $0.0001 per share;</w:t>
      </w:r>
    </w:p>
    <w:p>
      <w:pPr>
        <w:spacing w:after="0" w:line="233" w:lineRule="exact"/>
        <w:rPr>
          <w:sz w:val="20"/>
          <w:szCs w:val="20"/>
          <w:color w:val="auto"/>
        </w:rPr>
      </w:pPr>
    </w:p>
    <w:p>
      <w:pPr>
        <w:ind w:right="140" w:firstLine="324"/>
        <w:spacing w:after="0" w:line="250" w:lineRule="auto"/>
        <w:rPr>
          <w:sz w:val="20"/>
          <w:szCs w:val="20"/>
          <w:color w:val="auto"/>
        </w:rPr>
      </w:pPr>
      <w:r>
        <w:rPr>
          <w:rFonts w:ascii="Arial" w:cs="Arial" w:eastAsia="Arial" w:hAnsi="Arial"/>
          <w:sz w:val="22"/>
          <w:szCs w:val="22"/>
          <w:color w:val="auto"/>
        </w:rPr>
        <w:t>“Companies Act” are to the Companies Act (2020 Revision) of the Cayman Islands as the same may be amended from time to time;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“directors” are to our current directors</w:t>
      </w:r>
    </w:p>
    <w:p>
      <w:pPr>
        <w:spacing w:after="0" w:line="233" w:lineRule="exact"/>
        <w:rPr>
          <w:sz w:val="20"/>
          <w:szCs w:val="20"/>
          <w:color w:val="auto"/>
        </w:rPr>
      </w:pPr>
    </w:p>
    <w:p>
      <w:pPr>
        <w:ind w:right="140" w:firstLine="324"/>
        <w:spacing w:after="0" w:line="238" w:lineRule="auto"/>
        <w:rPr>
          <w:sz w:val="20"/>
          <w:szCs w:val="20"/>
          <w:color w:val="auto"/>
        </w:rPr>
      </w:pPr>
      <w:r>
        <w:rPr>
          <w:rFonts w:ascii="Arial" w:cs="Arial" w:eastAsia="Arial" w:hAnsi="Arial"/>
          <w:sz w:val="22"/>
          <w:szCs w:val="22"/>
          <w:color w:val="auto"/>
        </w:rPr>
        <w:t>“founders shares” are to our Class B ordinary shares initially purchased by our sponsor in a private placement prior to our initial public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“initial shareholders” are to our sponsor and other holders of our founders shares prior to our initial public offering;</w:t>
      </w:r>
    </w:p>
    <w:p>
      <w:pPr>
        <w:spacing w:after="0" w:line="245"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“letter agreement” refers to the letter agreement entered into between us and our initial shareholders, directors and officers on August 7, 2019;</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“management” or our “management team” are to our officers and directors;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“ordinary shares” are to our Class A ordinary shares and our Class B ordinary shares;</w:t>
      </w:r>
    </w:p>
    <w:p>
      <w:pPr>
        <w:spacing w:after="0" w:line="233"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“private placement warrants” are to the warrants issued to our sponsor in a private placement simultaneously with the closing of our initial public offering;</w:t>
      </w:r>
    </w:p>
    <w:p>
      <w:pPr>
        <w:spacing w:after="0" w:line="202" w:lineRule="exact"/>
        <w:rPr>
          <w:sz w:val="20"/>
          <w:szCs w:val="20"/>
          <w:color w:val="auto"/>
        </w:rPr>
      </w:pPr>
    </w:p>
    <w:p>
      <w:pPr>
        <w:ind w:right="280" w:firstLine="324"/>
        <w:spacing w:after="0" w:line="250" w:lineRule="auto"/>
        <w:rPr>
          <w:sz w:val="20"/>
          <w:szCs w:val="20"/>
          <w:color w:val="auto"/>
        </w:rPr>
      </w:pPr>
      <w:r>
        <w:rPr>
          <w:rFonts w:ascii="Arial" w:cs="Arial" w:eastAsia="Arial" w:hAnsi="Arial"/>
          <w:sz w:val="22"/>
          <w:szCs w:val="22"/>
          <w:color w:val="auto"/>
        </w:rPr>
        <w:t>“public shares” are to our Class A ordinary shares sold as part of the units in our initial public offering (whether they were purchased in our initial public offering or thereafter in the open market);</w:t>
      </w:r>
    </w:p>
    <w:p>
      <w:pPr>
        <w:spacing w:after="0" w:line="202" w:lineRule="exact"/>
        <w:rPr>
          <w:sz w:val="20"/>
          <w:szCs w:val="20"/>
          <w:color w:val="auto"/>
        </w:rPr>
      </w:pPr>
    </w:p>
    <w:p>
      <w:pPr>
        <w:ind w:right="120" w:firstLine="324"/>
        <w:spacing w:after="0"/>
        <w:rPr>
          <w:sz w:val="20"/>
          <w:szCs w:val="20"/>
          <w:color w:val="auto"/>
        </w:rPr>
      </w:pPr>
      <w:r>
        <w:rPr>
          <w:rFonts w:ascii="Arial" w:cs="Arial" w:eastAsia="Arial" w:hAnsi="Arial"/>
          <w:sz w:val="22"/>
          <w:szCs w:val="22"/>
          <w:color w:val="auto"/>
        </w:rPr>
        <w:t>“public shareholders” are to the holders of our public shares, including our sponsor, officers and directors to the extent our sponsor, officers or directors purchase public shares, provided their status as a “public shareholder” shall only exist with respect to such public shares;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“Silver Spike Capital” are to Silver Spike Capital, LLC, a Delaware limited liability company;</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“sponsor” are to Silver Spike Sponsor, LLC, a Delaware limited liability company;</w:t>
      </w:r>
    </w:p>
    <w:p>
      <w:pPr>
        <w:spacing w:after="0" w:line="233" w:lineRule="exact"/>
        <w:rPr>
          <w:sz w:val="20"/>
          <w:szCs w:val="20"/>
          <w:color w:val="auto"/>
        </w:rPr>
      </w:pPr>
    </w:p>
    <w:p>
      <w:pPr>
        <w:ind w:firstLine="324"/>
        <w:spacing w:after="0" w:line="274" w:lineRule="auto"/>
        <w:rPr>
          <w:sz w:val="20"/>
          <w:szCs w:val="20"/>
          <w:color w:val="auto"/>
        </w:rPr>
      </w:pPr>
      <w:r>
        <w:rPr>
          <w:rFonts w:ascii="Arial" w:cs="Arial" w:eastAsia="Arial" w:hAnsi="Arial"/>
          <w:sz w:val="21"/>
          <w:szCs w:val="21"/>
          <w:color w:val="auto"/>
        </w:rPr>
        <w:t>“warrants” are to our redeemable warrants sold as part of the units in our initial public offering (whether they were purchased in the initial public offering or thereafter in the open market) and the private placement warrants; and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“US$” and “U.S. dollar” each refer to the United States dollar.</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CAUTIONARY NOTE REGARDING FORWARD-LOOKING STATEMENTS AND RISK FACTOR SUMMARY</w:t>
      </w:r>
    </w:p>
    <w:p>
      <w:pPr>
        <w:spacing w:after="0" w:line="239"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color w:val="auto"/>
        </w:rPr>
        <w:t>Some statements contained in this Annual Report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Annual Report may include, for example, statements about (1) the occurrence of any event, change or other circumstances that could result in the failure to consummate the business combination; (2) the outcome of any legal proceedings that may be instituted against Silver Spike, Merger Sub and WM regarding the business combination; (3) the inability to complete the business combination due to the failure to obtain approval of the stockholders of Silver Spike, to obtain financing to complete the business combination or to satisfy other conditions to closing in the definitive agreements with respect to the business combination; (4) changes to the proposed structure of the business combination that may be required or appropriate as a result of applicable laws or regulations or as a condition to obtaining regulatory approval of the business combination; (5) the ability to meet and maintain Nasdaq’s listing standards following the consummation of the business combination; (6) the risk that the business combination disrupts current plans and operations of WMH as a result of the announcement and consummation of the business combination; (7) costs related to the business combination; (8) changes in applicable laws or regulations; (9) the possibility that WMH or New WMH may be adversely affected by other economic, business, and/or competitive factors; (10) the risk that we may not be able to raise financing in the future; (11) the risk that we may not be able to retain or recruit necessary officers, key employees or directors following the business combination; (12) the risk that our public securities will be illiquid; (13) the risk that we will not be able to obtain the required approval for domestication; (14) the risks related to the changes in shareholders’ rights as a result of domestication; (15) the risk that shareholders may experience adverse tax consequences with respect to their shares at the effective time of domestication; (16) the risk that operating under the laws of the State of Delaware will affect the conduct of our business; and</w:t>
      </w:r>
    </w:p>
    <w:p>
      <w:pPr>
        <w:spacing w:after="0" w:line="219" w:lineRule="exact"/>
        <w:rPr>
          <w:sz w:val="20"/>
          <w:szCs w:val="20"/>
          <w:color w:val="auto"/>
        </w:rPr>
      </w:pPr>
    </w:p>
    <w:p>
      <w:pPr>
        <w:ind w:right="20" w:firstLine="8"/>
        <w:spacing w:after="0" w:line="271" w:lineRule="auto"/>
        <w:tabs>
          <w:tab w:leader="none" w:pos="414" w:val="left"/>
        </w:tabs>
        <w:numPr>
          <w:ilvl w:val="0"/>
          <w:numId w:val="3"/>
        </w:numPr>
        <w:rPr>
          <w:rFonts w:ascii="Arial" w:cs="Arial" w:eastAsia="Arial" w:hAnsi="Arial"/>
          <w:sz w:val="19"/>
          <w:szCs w:val="19"/>
          <w:color w:val="auto"/>
        </w:rPr>
      </w:pPr>
      <w:r>
        <w:rPr>
          <w:rFonts w:ascii="Arial" w:cs="Arial" w:eastAsia="Arial" w:hAnsi="Arial"/>
          <w:sz w:val="19"/>
          <w:szCs w:val="19"/>
          <w:color w:val="auto"/>
        </w:rPr>
        <w:t>other risks and uncertainties indicated from time to time in filings made with the SEC, including those risk factors described in this Annual Report on Form 10-K for the fiscal year ended December 31, 2020. 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4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Introduction</w:t>
      </w:r>
    </w:p>
    <w:p>
      <w:pPr>
        <w:spacing w:after="0" w:line="233" w:lineRule="exact"/>
        <w:rPr>
          <w:sz w:val="20"/>
          <w:szCs w:val="20"/>
          <w:color w:val="auto"/>
        </w:rPr>
      </w:pPr>
    </w:p>
    <w:p>
      <w:pPr>
        <w:ind w:right="60" w:firstLine="324"/>
        <w:spacing w:after="0" w:line="297" w:lineRule="auto"/>
        <w:rPr>
          <w:sz w:val="20"/>
          <w:szCs w:val="20"/>
          <w:color w:val="auto"/>
        </w:rPr>
      </w:pPr>
      <w:r>
        <w:rPr>
          <w:rFonts w:ascii="Arial" w:cs="Arial" w:eastAsia="Arial" w:hAnsi="Arial"/>
          <w:sz w:val="19"/>
          <w:szCs w:val="19"/>
          <w:color w:val="auto"/>
        </w:rPr>
        <w:t>We are a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Annual Report as our initial business combination.</w:t>
      </w:r>
    </w:p>
    <w:p>
      <w:pPr>
        <w:spacing w:after="0" w:line="161" w:lineRule="exact"/>
        <w:rPr>
          <w:sz w:val="20"/>
          <w:szCs w:val="20"/>
          <w:color w:val="auto"/>
        </w:rPr>
      </w:pPr>
    </w:p>
    <w:p>
      <w:pPr>
        <w:ind w:right="220" w:firstLine="324"/>
        <w:spacing w:after="0" w:line="282" w:lineRule="auto"/>
        <w:rPr>
          <w:sz w:val="20"/>
          <w:szCs w:val="20"/>
          <w:color w:val="auto"/>
        </w:rPr>
      </w:pPr>
      <w:r>
        <w:rPr>
          <w:rFonts w:ascii="Arial" w:cs="Arial" w:eastAsia="Arial" w:hAnsi="Arial"/>
          <w:sz w:val="19"/>
          <w:szCs w:val="19"/>
          <w:color w:val="auto"/>
        </w:rPr>
        <w:t>Our sponsor is an affiliate of Silver Spike Capital. Silver Spike Capital is an asset management firm focused on the burgeoning cannabis and related health &amp; wellness industries. Silver Spike Capital was formed in 2019 with an executive team consisting of seasoned investment professionals, many of whom have extensive experience in emerging and frontier markets as well as cannabis industry investors and entrepreneurs with proven track records. With this team, Silver Spike Capital is positioning to become the leading institutional-quality asset manager in this nascent, fragmented sector.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Company History</w:t>
      </w:r>
    </w:p>
    <w:p>
      <w:pPr>
        <w:spacing w:after="0" w:line="233"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In June 2019, our sponsor purchased an aggregate of 7,187,500 Class B ordinary shares (our “founder shares”) for an aggregate purchase price of $25,000, or approximately $0.0001 per share. Our Class B ordinary shares will automatically convert into Class A ordinary shares, on a one-for-one basis, upon the completion of a business combination. The number of founder shares issued was determined based on the expectation that the founder shares would represent 20% of the issued and outstanding ordinary shares upon completion of the initial public offering (the “IPO”).</w:t>
      </w:r>
    </w:p>
    <w:p>
      <w:pPr>
        <w:spacing w:after="0" w:line="174" w:lineRule="exact"/>
        <w:rPr>
          <w:sz w:val="20"/>
          <w:szCs w:val="20"/>
          <w:color w:val="auto"/>
        </w:rPr>
      </w:pPr>
    </w:p>
    <w:p>
      <w:pPr>
        <w:ind w:right="160" w:firstLine="324"/>
        <w:spacing w:after="0" w:line="252" w:lineRule="auto"/>
        <w:rPr>
          <w:sz w:val="20"/>
          <w:szCs w:val="20"/>
          <w:color w:val="auto"/>
        </w:rPr>
      </w:pPr>
      <w:r>
        <w:rPr>
          <w:rFonts w:ascii="Arial" w:cs="Arial" w:eastAsia="Arial" w:hAnsi="Arial"/>
          <w:sz w:val="21"/>
          <w:szCs w:val="21"/>
          <w:color w:val="auto"/>
        </w:rPr>
        <w:t>On August 12, 2019, we completed our IPO of 25,000,000 units at a price of $10.00 per unit (the “units”), generating gross proceeds of $250,000,000. Each unit consists of one of the Company’s shares of Class A ordinary shares, par value $0.0001 per share, and one-half of one redeemable warrant. Each whole warrant entitles the holder thereof to purchase one Class A ordinary share at a price of $11.50 per share, subject to certain adjustments.</w:t>
      </w:r>
    </w:p>
    <w:p>
      <w:pPr>
        <w:spacing w:after="0" w:line="201" w:lineRule="exact"/>
        <w:rPr>
          <w:sz w:val="20"/>
          <w:szCs w:val="20"/>
          <w:color w:val="auto"/>
        </w:rPr>
      </w:pPr>
    </w:p>
    <w:p>
      <w:pPr>
        <w:ind w:right="40" w:firstLine="324"/>
        <w:spacing w:after="0" w:line="282" w:lineRule="auto"/>
        <w:rPr>
          <w:sz w:val="20"/>
          <w:szCs w:val="20"/>
          <w:color w:val="auto"/>
        </w:rPr>
      </w:pPr>
      <w:r>
        <w:rPr>
          <w:rFonts w:ascii="Arial" w:cs="Arial" w:eastAsia="Arial" w:hAnsi="Arial"/>
          <w:sz w:val="19"/>
          <w:szCs w:val="19"/>
          <w:color w:val="auto"/>
        </w:rPr>
        <w:t>Substantially concurrently with the completion of the IPO, our sponsor purchased an aggregate of 7,000,000 warrants (the “private placement warrants”) at a price of $1.00 per warrant, or $7,000,000 in the aggregate. A total of $250,000,000, comprised of $245,000,000 of the proceeds from the IPO, including $8,750,000 of the underwriters’ deferred discount, and $5,000,000 of the proceeds of the sale of the Private Placement Warrants, was placed in a U.S.-based trust account at J.P. Morgan Chase Bank, N.A., maintained by Continental Stock Transfer &amp; Trust Company, acting as trustee.</w:t>
      </w:r>
    </w:p>
    <w:p>
      <w:pPr>
        <w:spacing w:after="0" w:line="174" w:lineRule="exact"/>
        <w:rPr>
          <w:sz w:val="20"/>
          <w:szCs w:val="20"/>
          <w:color w:val="auto"/>
        </w:rPr>
      </w:pPr>
    </w:p>
    <w:p>
      <w:pPr>
        <w:jc w:val="both"/>
        <w:ind w:right="240" w:firstLine="324"/>
        <w:spacing w:after="0" w:line="238" w:lineRule="auto"/>
        <w:rPr>
          <w:sz w:val="20"/>
          <w:szCs w:val="20"/>
          <w:color w:val="auto"/>
        </w:rPr>
      </w:pPr>
      <w:r>
        <w:rPr>
          <w:rFonts w:ascii="Arial" w:cs="Arial" w:eastAsia="Arial" w:hAnsi="Arial"/>
          <w:sz w:val="22"/>
          <w:szCs w:val="22"/>
          <w:color w:val="auto"/>
        </w:rPr>
        <w:t>On September 25, 2019, we announced that, commencing September 30, 2019, holders of the 25,000,000 units sold in the IPO may elect to separately trade the Class A ordinary shares and the warrants included in the units. Those units not separated continued to trade on the Nasdaq under the symbol “SSPKU” and the Class A ordinary shares and warrants that were separated trade under the symbols “SSPK” and “SSPKW,” respectively.</w:t>
      </w:r>
    </w:p>
    <w:p>
      <w:pPr>
        <w:spacing w:after="0" w:line="212"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color w:val="auto"/>
        </w:rPr>
        <w:t>On January 13, 2021, we held an Extraordinary General Meeting in Lieu of an Annual General Meeting (the “Extraordinary General Meeting”) at which holders of 20,374,378 Class A ordinary shares and Class B ordinary shares, or 65% of the ordinary shares outstanding and entitled to vote as of the record date of December 18, 2020, were represented in person or by proxy. At the Extraordinary General Meeting, (1) the shareholders approved an amendment to the Amended and Restated Memorandum and Articles of Association to extend the date by which, if we have not consummated a merger, amalgamation, share exchange, asset acquisition, share purchase, reorganization or similar business combination with one or more businesses, the we must (i) cease all operations except for the purpose of winding up, (ii) redeem all of the Class A ordinary shares included as part of the units sold in the IPO that was consummated on August 19, 2019 and (iii) liquidate and dissolve, from February 12, 2021 to July 10, 2021 and</w:t>
      </w:r>
    </w:p>
    <w:p>
      <w:pPr>
        <w:spacing w:after="0" w:line="3" w:lineRule="exact"/>
        <w:rPr>
          <w:sz w:val="20"/>
          <w:szCs w:val="20"/>
          <w:color w:val="auto"/>
        </w:rPr>
      </w:pPr>
    </w:p>
    <w:p>
      <w:pPr>
        <w:ind w:right="180" w:firstLine="8"/>
        <w:spacing w:after="0" w:line="234" w:lineRule="auto"/>
        <w:tabs>
          <w:tab w:leader="none" w:pos="306"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holders of Class B ordinary shares approved the re-appointment of Scott Gordon and William Healy as Class 1 directors, with each such director to serve until the second annual general meeting following the Extraordinary General Meeting and, in each case, until his successor is appointed and qualified.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Combination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Merger Agreement</w:t>
      </w:r>
    </w:p>
    <w:p>
      <w:pPr>
        <w:spacing w:after="0" w:line="233" w:lineRule="exact"/>
        <w:rPr>
          <w:sz w:val="20"/>
          <w:szCs w:val="20"/>
          <w:color w:val="auto"/>
        </w:rPr>
      </w:pPr>
    </w:p>
    <w:p>
      <w:pPr>
        <w:ind w:right="20" w:firstLine="324"/>
        <w:spacing w:after="0" w:line="234" w:lineRule="auto"/>
        <w:rPr>
          <w:sz w:val="20"/>
          <w:szCs w:val="20"/>
          <w:color w:val="auto"/>
        </w:rPr>
      </w:pPr>
      <w:r>
        <w:rPr>
          <w:rFonts w:ascii="Arial" w:cs="Arial" w:eastAsia="Arial" w:hAnsi="Arial"/>
          <w:sz w:val="22"/>
          <w:szCs w:val="22"/>
          <w:color w:val="auto"/>
        </w:rPr>
        <w:t>On December 10, 2020, we entered into an agreement and plan of merger, dated as of December 10, 2020 (as amended or modified from time to time, the “Merger Agreement”), by and among Silver Spike, Silver Spike Merger Sub LLC, a Delaware limited liability company and a wholly owned direct subsidiary of Silver Spike (“Merger Sub”), WM Holding Company, LLC, a Delaware limited liability company (“WMH”), and Ghost Media Group, LLC, a Nevada limited liability company, solely in its capacity as the initial holder representative (the “holder representative”), pursuant to which Merger Sub will be merged with and into WMH, whereupon the separate limited liability company existence of Merger Sub will cease and WMH will be the surviving company and continue in existence as a subsidiary of Silver Spike (“New WMH”), on the terms and subject to the conditions set forth therein.</w:t>
      </w:r>
    </w:p>
    <w:p>
      <w:pPr>
        <w:spacing w:after="0" w:line="214" w:lineRule="exact"/>
        <w:rPr>
          <w:sz w:val="20"/>
          <w:szCs w:val="20"/>
          <w:color w:val="auto"/>
        </w:rPr>
      </w:pPr>
    </w:p>
    <w:p>
      <w:pPr>
        <w:ind w:right="200" w:firstLine="324"/>
        <w:spacing w:after="0" w:line="250" w:lineRule="auto"/>
        <w:rPr>
          <w:sz w:val="20"/>
          <w:szCs w:val="20"/>
          <w:color w:val="auto"/>
        </w:rPr>
      </w:pPr>
      <w:r>
        <w:rPr>
          <w:rFonts w:ascii="Arial" w:cs="Arial" w:eastAsia="Arial" w:hAnsi="Arial"/>
          <w:sz w:val="22"/>
          <w:szCs w:val="22"/>
          <w:color w:val="auto"/>
        </w:rPr>
        <w:t>WMH operates the leading listings marketplace and most comprehensive software-as-a-service subscription offering sold to retailers and brands in the U.S. state legal and Canadian cannabis markets.</w:t>
      </w:r>
    </w:p>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21"/>
          <w:szCs w:val="21"/>
          <w:color w:val="auto"/>
        </w:rPr>
        <w:t>The merger consideration (the “merger consideration”) received by holders of the limited liability company interests of WMH (each, a “WMH Equity Holder”) at the closing of the business combination (the “Closing”) pursuant to the Merger Agreement will have a value of $1,310,000,000 and will be paid in a mix of cash and equity consideration.</w:t>
      </w:r>
    </w:p>
    <w:p>
      <w:pPr>
        <w:spacing w:after="0" w:line="196"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Financing for the business combination and for related transaction expenses will consist of (i) $250,000,000 of proceeds from our IPO and certain related transactions on deposit in the trust account (plus interest income accrued thereon since the IPO), net of any redemptions of Silver Spike’s Class A ordinary shares in connection with the shareholder votes to be held at the extraordinary general meeting of Silver Spike shareholders to be held in connection with the business combination and held at the Extraordinary General Meeting on January 13, 2021 in connection with a proposal to amend Silver Spike’s existing organizational documents and (ii) $325,000,000 of proceeds from the purchase by certain accredited investors, pursuant to subscription agreements entered into in connection with the entry into the Merger Agreement (the “subscription agreements”), of an aggregate of 32,500,000 shares of Class A common stock of New WMH for a purchase price of $10.00 per share of Class A common stock of New WMH in a private placement to close immediately prior to the Closing.</w:t>
      </w:r>
    </w:p>
    <w:p>
      <w:pPr>
        <w:spacing w:after="0" w:line="185" w:lineRule="exact"/>
        <w:rPr>
          <w:sz w:val="20"/>
          <w:szCs w:val="20"/>
          <w:color w:val="auto"/>
        </w:rPr>
      </w:pPr>
    </w:p>
    <w:p>
      <w:pPr>
        <w:ind w:right="140" w:firstLine="324"/>
        <w:spacing w:after="0" w:line="246" w:lineRule="auto"/>
        <w:rPr>
          <w:sz w:val="20"/>
          <w:szCs w:val="20"/>
          <w:color w:val="auto"/>
        </w:rPr>
      </w:pPr>
      <w:r>
        <w:rPr>
          <w:rFonts w:ascii="Arial" w:cs="Arial" w:eastAsia="Arial" w:hAnsi="Arial"/>
          <w:sz w:val="21"/>
          <w:szCs w:val="21"/>
          <w:color w:val="auto"/>
        </w:rPr>
        <w:t>The Closing is subject to certain customary closing conditions, including the listing of the shares of Class A common stock on Nasdaq, the expiration or termination of the applicable waiting periods under the Hart-Scott-Rodino Antitrust Improvements Act of 1976, as amended, the approval by our shareholders, the approval obtained by the WMH Equity Holders, the registration statement becoming effective in accordance with the Securities Act and no stop order having been issued or threatened by the SEC, the accuracy of the parties’ respective representations and warranties and compliance with the parties’ respective covenant obligations (each to certain specified materiality standards), and the absence of a “Material Adverse Effect” on WMH and its subsidiaries.</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The Merger Agreement contains customary termination rights, including (i) by mutual written consent of the parties; (ii) by either party if (a) the Closing has not occurred on or prior to June 10, 2021, unless such party’s failure to comply in all material respects with the covenants and agreements contained in the Merger Agreement causes the failure of the business combination to be consummated by such time, (b) the consummation of the business combination is permanently enjoined or prohibited by the terms of a final, non-appealable governmental order, (c) the representations, warranties or covenants of the other party are breached such that there is a failure of the related closing condition (subject to a 30-day cure period) or (d) Nasdaq rejects the listing of the Class A common stock; and (e) if the approval of Silver Spike’s shareholders is not obtained upon a vote duly taken.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Voting Agreement</w:t>
      </w:r>
    </w:p>
    <w:p>
      <w:pPr>
        <w:spacing w:after="0" w:line="23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On December 10, 2020, in connection with the execution of the Merger Agreement, the Company, WM Holding Company, LLC and certain WMH Equity Holders entered into a voting and support agreement (the “Voting and Support Agreement”), pursuant to which the WMH Equity Holders agreed to vote all of their limited liability company interests of WMH (“the WMH Equity Interests”) in favor of the Merger Agreement and related transactions and to take certain other actions in support of the Merger Agreement and related transactions.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The Voting and Support Agreement prevents the WMH Voting Members from transferring their voting rights with respect to their WMH Equity Interests or otherwise transferring their WMH Equity Interests prior to the meeting of WMH’s members to approve the Merger Agreement and related transactions, except for certain customary permitted transfers. The WMH Voting Members also each agreed, with certain exceptions, to a lock-up for a period of 180 days after the Closing with respect to any securities of Silver Spike or WMH that they receive as consideration under the Merger Agreement. The Voting and Support Agreement will automatically terminate upon the first to occur of (i) the termination of the Merger Agreement, (ii) the mutual written consent of the Company, New WMH, and the equityholder and (iii) the time of any modification, amendment or waiver of the Merger Agreement without equityholder’s prior written consent in certain circumstances.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Sponsor Letter Agreement</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On December 10, 2020, concurrently with the execution of the Merger Agreement, the Sponsor entered into a letter agreement with Silver Spike and WMH (the “Sponsor Letter Agreement”) pursuant to which the Sponsor agreed to vote all of its Class B ordinary shares in favor of the business combination and related transactions and to take certain other actions in support of the Merger Agreement and related transactions.</w:t>
      </w:r>
    </w:p>
    <w:p>
      <w:pPr>
        <w:spacing w:after="0" w:line="212"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2"/>
          <w:szCs w:val="22"/>
          <w:color w:val="auto"/>
        </w:rPr>
        <w:t>The sponsor also agreed that, in the event that the sum of (i) the amount of cash available to be released from the trust account of Silver Spike and (ii) the net amount of proceeds actually received by Silver Spike pursuant to the Equity Financing (as defined in the Merger Agreement) is less than $350,000,000, then 15% of the Sponsor Shares will be deemed to be “Deferred Sponsor Shares,” and a corresponding number of Surviving Company Membership Units (as defined in the Merger Agreement) held by Silver Spike will be deemed to be “Deferred Company Units.” The sponsor agreed that it will not transfer and, subject to the achievement of certain milestones, may be required to forfeit, any such Deferred Sponsor Shares (in which case a corresponding number of Deferred Company Units will be forfeited), subject to the terms of the Sponsor Letter Agreement. The sponsor also waived certain anti-dilution protection to which it would otherwise be entitled in connection with the Equity Financing.</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Working Capital Promissory Note</w:t>
      </w:r>
    </w:p>
    <w:p>
      <w:pPr>
        <w:spacing w:after="0" w:line="23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On February 18, 2021, we issued a $750,000 Global Promissory Note (the “Working Capital Promissory Note”) to its sponsor in exchange for $750,000 of financing to be used for the payment of working capital expenses, including expenses incurred in connection with the business combination. The note is non-interest bearing, unsecured and due on the earliest of (i) June 10, 2021 and (ii) the consummation of our initial business combination.</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PIPE Subscription Agreements</w:t>
      </w:r>
    </w:p>
    <w:p>
      <w:pPr>
        <w:spacing w:after="0" w:line="233" w:lineRule="exact"/>
        <w:rPr>
          <w:sz w:val="20"/>
          <w:szCs w:val="20"/>
          <w:color w:val="auto"/>
        </w:rPr>
      </w:pPr>
    </w:p>
    <w:p>
      <w:pPr>
        <w:ind w:right="40" w:firstLine="324"/>
        <w:spacing w:after="0" w:line="279" w:lineRule="auto"/>
        <w:rPr>
          <w:sz w:val="20"/>
          <w:szCs w:val="20"/>
          <w:color w:val="auto"/>
        </w:rPr>
      </w:pPr>
      <w:r>
        <w:rPr>
          <w:rFonts w:ascii="Arial" w:cs="Arial" w:eastAsia="Arial" w:hAnsi="Arial"/>
          <w:sz w:val="19"/>
          <w:szCs w:val="19"/>
          <w:color w:val="auto"/>
        </w:rPr>
        <w:t>In connection with the execution of the Merger Agreement, we entered into subscription agreements with certain subscription investors pursuant to which we have agreed to issue and sell to the subscription investors, in the aggregate, $325,000,000 of Silver Spike’s Class A ordinary shares (or shares of Class A common stock of New WMH into which such shares will convert in connection with the domestication) at a purchase price of $10.00 per share. The closing of the PIPE subscription financing will occur immediately prior to the Closing, and is subject to customary closing conditions, including the satisfaction or waiver of the conditions set forth in the Merger Agreement. Such subscription investors were granted registration rights.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Initial Business Combination</w:t>
      </w:r>
    </w:p>
    <w:p>
      <w:pPr>
        <w:spacing w:after="0" w:line="233"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We do not currently intend to purchase multiple businesses in unrelated industries in conjunction with our initial business combination, although there is no restriction on our doing so.</w:t>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24"/>
        <w:spacing w:after="0" w:line="270" w:lineRule="auto"/>
        <w:rPr>
          <w:sz w:val="20"/>
          <w:szCs w:val="20"/>
          <w:color w:val="auto"/>
        </w:rPr>
      </w:pPr>
      <w:r>
        <w:rPr>
          <w:rFonts w:ascii="Arial" w:cs="Arial" w:eastAsia="Arial" w:hAnsi="Arial"/>
          <w:sz w:val="19"/>
          <w:szCs w:val="19"/>
          <w:color w:val="auto"/>
        </w:rPr>
        <w:t>We may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Emerging Growth Company Status and Other Corporate Information</w:t>
      </w:r>
    </w:p>
    <w:p>
      <w:pPr>
        <w:spacing w:after="0" w:line="233"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11" w:lineRule="exact"/>
        <w:rPr>
          <w:sz w:val="20"/>
          <w:szCs w:val="20"/>
          <w:color w:val="auto"/>
        </w:rPr>
      </w:pPr>
    </w:p>
    <w:p>
      <w:pPr>
        <w:ind w:right="400" w:firstLine="324"/>
        <w:spacing w:after="0" w:line="236" w:lineRule="auto"/>
        <w:rPr>
          <w:sz w:val="20"/>
          <w:szCs w:val="20"/>
          <w:color w:val="auto"/>
        </w:rPr>
      </w:pPr>
      <w:r>
        <w:rPr>
          <w:rFonts w:ascii="Arial" w:cs="Arial" w:eastAsia="Arial" w:hAnsi="Arial"/>
          <w:sz w:val="22"/>
          <w:szCs w:val="22"/>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214" w:lineRule="exact"/>
        <w:rPr>
          <w:sz w:val="20"/>
          <w:szCs w:val="20"/>
          <w:color w:val="auto"/>
        </w:rPr>
      </w:pPr>
    </w:p>
    <w:p>
      <w:pPr>
        <w:ind w:right="400" w:firstLine="324"/>
        <w:spacing w:after="0" w:line="279" w:lineRule="auto"/>
        <w:rPr>
          <w:sz w:val="20"/>
          <w:szCs w:val="20"/>
          <w:color w:val="auto"/>
        </w:rPr>
      </w:pPr>
      <w:r>
        <w:rPr>
          <w:rFonts w:ascii="Arial" w:cs="Arial" w:eastAsia="Arial" w:hAnsi="Arial"/>
          <w:sz w:val="19"/>
          <w:szCs w:val="19"/>
          <w:color w:val="auto"/>
        </w:rPr>
        <w:t>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177"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Exempted companies are Cayman Islands companies wishing to conduct business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Law (2020 Revision) of the Cayman Islands, for a period of 30 years from 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We are a Cayman Islands exempted company incorporated on June 7, 2019. Our executive offices are located at 660 Madison Ave, Suite 1600, New York, New York 10065 and our telephone number is (212) 905-4923.</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Effecting Our Initial Business Combination</w:t>
      </w:r>
    </w:p>
    <w:p>
      <w:pPr>
        <w:spacing w:after="0" w:line="233" w:lineRule="exact"/>
        <w:rPr>
          <w:sz w:val="20"/>
          <w:szCs w:val="20"/>
          <w:color w:val="auto"/>
        </w:rPr>
      </w:pPr>
    </w:p>
    <w:p>
      <w:pPr>
        <w:ind w:right="40" w:firstLine="324"/>
        <w:spacing w:after="0" w:line="282" w:lineRule="auto"/>
        <w:rPr>
          <w:sz w:val="20"/>
          <w:szCs w:val="20"/>
          <w:color w:val="auto"/>
        </w:rPr>
      </w:pPr>
      <w:r>
        <w:rPr>
          <w:rFonts w:ascii="Arial" w:cs="Arial" w:eastAsia="Arial" w:hAnsi="Arial"/>
          <w:sz w:val="19"/>
          <w:szCs w:val="19"/>
          <w:color w:val="auto"/>
        </w:rPr>
        <w:t>We are not presently engaged in, and we will not engage in, any operations for an indefinite period of time following our IPO until the Closing of the initial business combination. We intend to effectuate our initial business combination using cash held in the trust account, our shares,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74"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Selection of a target business and structuring of our initial business combination</w:t>
      </w:r>
    </w:p>
    <w:p>
      <w:pPr>
        <w:spacing w:after="0" w:line="233"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spacing w:after="0" w:line="182" w:lineRule="exact"/>
        <w:rPr>
          <w:sz w:val="20"/>
          <w:szCs w:val="20"/>
          <w:color w:val="auto"/>
        </w:rPr>
      </w:pPr>
    </w:p>
    <w:p>
      <w:pPr>
        <w:ind w:right="40" w:firstLine="324"/>
        <w:spacing w:after="0" w:line="271" w:lineRule="auto"/>
        <w:rPr>
          <w:sz w:val="20"/>
          <w:szCs w:val="20"/>
          <w:color w:val="auto"/>
        </w:rPr>
      </w:pPr>
      <w:r>
        <w:rPr>
          <w:rFonts w:ascii="Arial" w:cs="Arial" w:eastAsia="Arial" w:hAnsi="Arial"/>
          <w:sz w:val="19"/>
          <w:szCs w:val="19"/>
          <w:color w:val="auto"/>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cannabidiol (“CBD”) businesses that are compliant with the U.S. Agricultural Improvement Act of 2018 (the “Farm Bill Act”), which would include targets engaged in cultivation, manufacturing, processing, branding, transportation, distribution, storage or sale of hemp-derived CBD. We may also consider companies pursuing an U.S. Food and Drug Administration (“FDA”) track (or its equivalent in the relevant jurisdiction)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and Uruguay, as well as jurisdictions under which medical use is legal, such as Colombia and Germany. Globally, more than 50 countries have legalized some form of medical cannabis and we believe that legislative trends in certain jurisdictions will continue to broaden our opportunity set for eligible acquisitions.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The transition of cannabis and its related industries to a regulated and legal marketplace has been happening at a rapid pace over recent years. Many countries have or are contemplating some form of legalized use, including Canada and the United States. For example, the Marijuana Freedom and Opportunity Act was introduced in the United States House of Representatives in June 2018,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 business focus. Many of these businesses have valuations in excess of a billion dollars. However, the cannabis industry is still in its infancy. In order to succeed under the new legislative and regulatory frameworks, we believe that businesses will need strong management teams with deep operational expertise and financial acumen.</w:t>
      </w:r>
    </w:p>
    <w:p>
      <w:pPr>
        <w:spacing w:after="0" w:line="188" w:lineRule="exact"/>
        <w:rPr>
          <w:sz w:val="20"/>
          <w:szCs w:val="20"/>
          <w:color w:val="auto"/>
        </w:rPr>
      </w:pPr>
    </w:p>
    <w:p>
      <w:pPr>
        <w:ind w:right="800" w:firstLine="324"/>
        <w:spacing w:after="0" w:line="250" w:lineRule="auto"/>
        <w:rPr>
          <w:sz w:val="20"/>
          <w:szCs w:val="20"/>
          <w:color w:val="auto"/>
        </w:rPr>
      </w:pPr>
      <w:r>
        <w:rPr>
          <w:rFonts w:ascii="Arial" w:cs="Arial" w:eastAsia="Arial" w:hAnsi="Arial"/>
          <w:sz w:val="22"/>
          <w:szCs w:val="22"/>
          <w:color w:val="auto"/>
        </w:rPr>
        <w:t>In order to succeed under the new legislative and regulatory frameworks, we believe that businesses will need strong management teams with deep operational expertise and financial acumen.</w:t>
      </w:r>
    </w:p>
    <w:p>
      <w:pPr>
        <w:spacing w:after="0" w:line="202" w:lineRule="exact"/>
        <w:rPr>
          <w:sz w:val="20"/>
          <w:szCs w:val="20"/>
          <w:color w:val="auto"/>
        </w:rPr>
      </w:pPr>
    </w:p>
    <w:p>
      <w:pPr>
        <w:ind w:right="240" w:firstLine="324"/>
        <w:spacing w:after="0" w:line="279" w:lineRule="auto"/>
        <w:rPr>
          <w:sz w:val="20"/>
          <w:szCs w:val="20"/>
          <w:color w:val="auto"/>
        </w:rPr>
      </w:pPr>
      <w:r>
        <w:rPr>
          <w:rFonts w:ascii="Arial" w:cs="Arial" w:eastAsia="Arial" w:hAnsi="Arial"/>
          <w:sz w:val="19"/>
          <w:szCs w:val="19"/>
          <w:color w:val="auto"/>
        </w:rPr>
        <w:t>As this industry evolves,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spacing w:after="0" w:line="177" w:lineRule="exact"/>
        <w:rPr>
          <w:sz w:val="20"/>
          <w:szCs w:val="20"/>
          <w:color w:val="auto"/>
        </w:rPr>
      </w:pPr>
    </w:p>
    <w:p>
      <w:pPr>
        <w:ind w:right="180" w:firstLine="324"/>
        <w:spacing w:after="0" w:line="246" w:lineRule="auto"/>
        <w:rPr>
          <w:sz w:val="20"/>
          <w:szCs w:val="20"/>
          <w:color w:val="auto"/>
        </w:rPr>
      </w:pPr>
      <w:r>
        <w:rPr>
          <w:rFonts w:ascii="Arial" w:cs="Arial" w:eastAsia="Arial" w:hAnsi="Arial"/>
          <w:sz w:val="21"/>
          <w:szCs w:val="21"/>
          <w:color w:val="auto"/>
        </w:rPr>
        <w:t>We believe that globally the cannabis industry will continue to grow at a rapid pace in the coming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spacing w:after="0" w:line="211" w:lineRule="exact"/>
        <w:rPr>
          <w:sz w:val="20"/>
          <w:szCs w:val="20"/>
          <w:color w:val="auto"/>
        </w:rPr>
      </w:pPr>
    </w:p>
    <w:p>
      <w:pPr>
        <w:ind w:right="20" w:firstLine="324"/>
        <w:spacing w:after="0" w:line="244" w:lineRule="auto"/>
        <w:rPr>
          <w:sz w:val="20"/>
          <w:szCs w:val="20"/>
          <w:color w:val="auto"/>
        </w:rPr>
      </w:pPr>
      <w:r>
        <w:rPr>
          <w:rFonts w:ascii="Arial" w:cs="Arial" w:eastAsia="Arial" w:hAnsi="Arial"/>
          <w:sz w:val="21"/>
          <w:szCs w:val="21"/>
          <w:color w:val="auto"/>
        </w:rPr>
        <w:t>Scott Gordon is the founder and Chief Executive Officer of Silver Spike Capital, an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spacing w:after="0" w:line="215" w:lineRule="exact"/>
        <w:rPr>
          <w:sz w:val="20"/>
          <w:szCs w:val="20"/>
          <w:color w:val="auto"/>
        </w:rPr>
      </w:pPr>
    </w:p>
    <w:p>
      <w:pPr>
        <w:ind w:right="40" w:firstLine="324"/>
        <w:spacing w:after="0"/>
        <w:rPr>
          <w:sz w:val="20"/>
          <w:szCs w:val="20"/>
          <w:color w:val="auto"/>
        </w:rPr>
      </w:pPr>
      <w:r>
        <w:rPr>
          <w:rFonts w:ascii="Arial" w:cs="Arial" w:eastAsia="Arial" w:hAnsi="Arial"/>
          <w:sz w:val="22"/>
          <w:szCs w:val="22"/>
          <w:color w:val="auto"/>
        </w:rPr>
        <w:t>Mr. Gordon is joined at Silver Spike by a number of investment professionals who have experience spanning cannabis, consumer products, medical and scientific research and investment management. See “Item 10. Directors, Executive Officers and Corporate Governance” for additional information about our management team.</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rights for public shareholders upon completion of our initial business combination</w:t>
      </w:r>
    </w:p>
    <w:p>
      <w:pPr>
        <w:spacing w:after="0" w:line="239"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as of two business days prior to the consummation of the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per-share amount we will distribute to investors who properly redeem their shares will not be reduced by the deferred underwriting commissions we will pay to the underwriters.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ectPr>
          <w:pgSz w:w="11900" w:h="16838" w:orient="portrait"/>
          <w:cols w:equalWidth="0" w:num="1">
            <w:col w:w="11220"/>
          </w:cols>
          <w:pgMar w:left="320" w:top="122" w:right="359" w:bottom="4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413"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Manner of Conducting Redemptions</w:t>
      </w:r>
    </w:p>
    <w:p>
      <w:pPr>
        <w:spacing w:after="0" w:line="239"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We will provide our public shareholders with the opportunity to redeem all or a portion of their public shares upon the completion of our initial business combination either (1) in connection with a shareholder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amalgamations pursuant to a scheme of arrangement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pacing w:after="0" w:line="213" w:lineRule="exact"/>
        <w:rPr>
          <w:sz w:val="20"/>
          <w:szCs w:val="20"/>
          <w:color w:val="auto"/>
        </w:rPr>
      </w:pPr>
    </w:p>
    <w:p>
      <w:pPr>
        <w:ind w:right="300" w:firstLine="324"/>
        <w:spacing w:after="0" w:line="250" w:lineRule="auto"/>
        <w:rPr>
          <w:sz w:val="20"/>
          <w:szCs w:val="20"/>
          <w:color w:val="auto"/>
        </w:rPr>
      </w:pPr>
      <w:r>
        <w:rPr>
          <w:rFonts w:ascii="Arial" w:cs="Arial" w:eastAsia="Arial" w:hAnsi="Arial"/>
          <w:sz w:val="22"/>
          <w:szCs w:val="22"/>
          <w:color w:val="auto"/>
        </w:rPr>
        <w:t>If a shareholder vote is not required and we do not decide to hold a shareholder vote for business or other reasons, we will, pursuant to our amended and restated memorandum and articles of association:</w:t>
      </w:r>
    </w:p>
    <w:p>
      <w:pPr>
        <w:spacing w:after="0" w:line="2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52"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203" w:lineRule="exact"/>
        <w:rPr>
          <w:sz w:val="20"/>
          <w:szCs w:val="20"/>
          <w:color w:val="auto"/>
        </w:rPr>
      </w:pPr>
    </w:p>
    <w:p>
      <w:pPr>
        <w:ind w:right="120" w:firstLine="324"/>
        <w:spacing w:after="0" w:line="257" w:lineRule="auto"/>
        <w:rPr>
          <w:sz w:val="20"/>
          <w:szCs w:val="20"/>
          <w:color w:val="auto"/>
        </w:rPr>
      </w:pPr>
      <w:r>
        <w:rPr>
          <w:rFonts w:ascii="Arial" w:cs="Arial" w:eastAsia="Arial" w:hAnsi="Arial"/>
          <w:sz w:val="21"/>
          <w:szCs w:val="21"/>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196"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185" w:lineRule="exact"/>
        <w:rPr>
          <w:sz w:val="20"/>
          <w:szCs w:val="20"/>
          <w:color w:val="auto"/>
        </w:rPr>
      </w:pPr>
    </w:p>
    <w:p>
      <w:pPr>
        <w:ind w:right="300" w:firstLine="324"/>
        <w:spacing w:after="0"/>
        <w:rPr>
          <w:sz w:val="20"/>
          <w:szCs w:val="20"/>
          <w:color w:val="auto"/>
        </w:rPr>
      </w:pPr>
      <w:r>
        <w:rPr>
          <w:rFonts w:ascii="Arial" w:cs="Arial" w:eastAsia="Arial" w:hAnsi="Arial"/>
          <w:sz w:val="22"/>
          <w:szCs w:val="22"/>
          <w:color w:val="auto"/>
        </w:rPr>
        <w:t>If, however, shareholder approval of the transaction is required by applicable law or stock exchange listing requirement, or we decide to obtain shareholder approval for business or other reasons, we will, pursuant to our amended and restated memorandum and articles of association:</w:t>
      </w:r>
    </w:p>
    <w:p>
      <w:pPr>
        <w:spacing w:after="0" w:line="220" w:lineRule="exact"/>
        <w:rPr>
          <w:sz w:val="20"/>
          <w:szCs w:val="20"/>
          <w:color w:val="auto"/>
        </w:rPr>
      </w:pPr>
    </w:p>
    <w:p>
      <w:pPr>
        <w:ind w:left="660" w:right="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60" w:firstLine="324"/>
        <w:spacing w:after="0" w:line="282" w:lineRule="auto"/>
        <w:rPr>
          <w:sz w:val="20"/>
          <w:szCs w:val="20"/>
          <w:color w:val="auto"/>
        </w:rPr>
      </w:pPr>
      <w:r>
        <w:rPr>
          <w:rFonts w:ascii="Arial" w:cs="Arial" w:eastAsia="Arial" w:hAnsi="Arial"/>
          <w:sz w:val="19"/>
          <w:szCs w:val="19"/>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174" w:lineRule="exact"/>
        <w:rPr>
          <w:sz w:val="20"/>
          <w:szCs w:val="20"/>
          <w:color w:val="auto"/>
        </w:rPr>
      </w:pPr>
    </w:p>
    <w:p>
      <w:pPr>
        <w:jc w:val="both"/>
        <w:ind w:right="120" w:firstLine="324"/>
        <w:spacing w:after="0"/>
        <w:rPr>
          <w:sz w:val="20"/>
          <w:szCs w:val="20"/>
          <w:color w:val="auto"/>
        </w:rPr>
      </w:pPr>
      <w:r>
        <w:rPr>
          <w:rFonts w:ascii="Arial" w:cs="Arial" w:eastAsia="Arial" w:hAnsi="Arial"/>
          <w:sz w:val="22"/>
          <w:szCs w:val="22"/>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213" w:lineRule="exact"/>
        <w:rPr>
          <w:sz w:val="20"/>
          <w:szCs w:val="20"/>
          <w:color w:val="auto"/>
        </w:rPr>
      </w:pPr>
    </w:p>
    <w:p>
      <w:pPr>
        <w:ind w:right="60" w:firstLine="324"/>
        <w:spacing w:after="0" w:line="272" w:lineRule="auto"/>
        <w:rPr>
          <w:sz w:val="20"/>
          <w:szCs w:val="20"/>
          <w:color w:val="auto"/>
        </w:rPr>
      </w:pPr>
      <w:r>
        <w:rPr>
          <w:rFonts w:ascii="Arial" w:cs="Arial" w:eastAsia="Arial" w:hAnsi="Arial"/>
          <w:sz w:val="19"/>
          <w:szCs w:val="19"/>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In such case, pursuant to the terms of a letter agreement entered into with us, our initial shareholders have agreed (and their permitted transferees will agree) to vote their founder shares and any public shares held by them in favor of our initial business combination. Our directors and officers also have agreed to vote in favor of our initial business combination with respect to public shares acquired by them, if any. We expect that at the time of any shareholder vote relating to our initial business combination, our initial shareholders and their permitted transferees will own at least 20% of our issued and outstanding ordinary shares entitled to vote thereon. Each public shareholder may elect to redeem their public shares without voting and, if they do vote, irrespective of whether they vote for or against the proposed business combination. In addition, our initial shareholders have entered into a letter agreement with us, pursuant to which they have agreed to waive their redemption rights with respect to their founder shares and any public shares held by them in connection with the completion of a business combination. Our directors and officers have also entered into the letter agreement, imposing similar obligations on them with respect to public shares acquired by them, if any.</w:t>
      </w:r>
    </w:p>
    <w:p>
      <w:pPr>
        <w:spacing w:after="0" w:line="183"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Our amended and restated memorandum and articles of association provides that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 combination or redeem any shares in connection therewith, and all public shares submitted for redemption will be returned to the holders thereof.</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Limitation on redemption upon completion of our initial business combination if we seek shareholder approval</w:t>
      </w:r>
    </w:p>
    <w:p>
      <w:pPr>
        <w:spacing w:after="0" w:line="251"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sponsor or its affiliates to purchase their shares at a significant premium to the then-current market price or on other undesirable terms. Absent this provision, a public shareholder holding more than an aggregate of 15% of the shares sold in our IPO could threaten to exercise its redemption rights if such holder’s shares are not purchased by us or our sponsor or its affiliates at a premium to the then-current market price or on other undesirable terms. By limiting our shareholders’ ability to redeem to no more than 15% of the shares sold in our IPO,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Tendering share certificates in connection with a tender offer or redemption rights</w:t>
      </w:r>
    </w:p>
    <w:p>
      <w:pPr>
        <w:spacing w:after="0" w:line="239" w:lineRule="exact"/>
        <w:rPr>
          <w:sz w:val="20"/>
          <w:szCs w:val="20"/>
          <w:color w:val="auto"/>
        </w:rPr>
      </w:pPr>
    </w:p>
    <w:p>
      <w:pPr>
        <w:ind w:right="60" w:firstLine="324"/>
        <w:spacing w:after="0" w:line="271" w:lineRule="auto"/>
        <w:rPr>
          <w:sz w:val="20"/>
          <w:szCs w:val="20"/>
          <w:color w:val="auto"/>
        </w:rPr>
      </w:pPr>
      <w:r>
        <w:rPr>
          <w:rFonts w:ascii="Arial" w:cs="Arial" w:eastAsia="Arial" w:hAnsi="Arial"/>
          <w:sz w:val="19"/>
          <w:szCs w:val="19"/>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shareholder vote,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Given the relatively short exercise period, it is advisable for shareholders to use electronic delivery of their public shares.</w:t>
      </w:r>
    </w:p>
    <w:p>
      <w:pPr>
        <w:spacing w:after="0" w:line="187" w:lineRule="exact"/>
        <w:rPr>
          <w:sz w:val="20"/>
          <w:szCs w:val="20"/>
          <w:color w:val="auto"/>
        </w:rPr>
      </w:pPr>
    </w:p>
    <w:p>
      <w:pPr>
        <w:ind w:right="100" w:firstLine="324"/>
        <w:spacing w:after="0" w:line="282" w:lineRule="auto"/>
        <w:rPr>
          <w:sz w:val="20"/>
          <w:szCs w:val="20"/>
          <w:color w:val="auto"/>
        </w:rPr>
      </w:pPr>
      <w:r>
        <w:rPr>
          <w:rFonts w:ascii="Arial" w:cs="Arial" w:eastAsia="Arial" w:hAnsi="Arial"/>
          <w:sz w:val="19"/>
          <w:szCs w:val="19"/>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74"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our initial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our initial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213" w:lineRule="exact"/>
        <w:rPr>
          <w:sz w:val="20"/>
          <w:szCs w:val="20"/>
          <w:color w:val="auto"/>
        </w:rPr>
      </w:pPr>
    </w:p>
    <w:p>
      <w:pPr>
        <w:ind w:right="240" w:firstLine="324"/>
        <w:spacing w:after="0" w:line="279" w:lineRule="auto"/>
        <w:rPr>
          <w:sz w:val="20"/>
          <w:szCs w:val="20"/>
          <w:color w:val="auto"/>
        </w:rPr>
      </w:pPr>
      <w:r>
        <w:rPr>
          <w:rFonts w:ascii="Arial" w:cs="Arial" w:eastAsia="Arial" w:hAnsi="Arial"/>
          <w:sz w:val="19"/>
          <w:szCs w:val="19"/>
          <w:color w:val="auto"/>
        </w:rPr>
        <w:t>Any request to redeem such shares, once made, may be withdrawn at any time up to the date set forth in the tender offer materials or the date of the shareholder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77" w:lineRule="exact"/>
        <w:rPr>
          <w:sz w:val="20"/>
          <w:szCs w:val="20"/>
          <w:color w:val="auto"/>
        </w:rPr>
      </w:pPr>
    </w:p>
    <w:p>
      <w:pPr>
        <w:ind w:right="40" w:firstLine="324"/>
        <w:spacing w:after="0" w:line="297" w:lineRule="auto"/>
        <w:rPr>
          <w:sz w:val="20"/>
          <w:szCs w:val="20"/>
          <w:color w:val="auto"/>
        </w:rPr>
      </w:pPr>
      <w:r>
        <w:rPr>
          <w:rFonts w:ascii="Arial" w:cs="Arial" w:eastAsia="Arial" w:hAnsi="Arial"/>
          <w:sz w:val="19"/>
          <w:szCs w:val="19"/>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380" w:firstLine="324"/>
        <w:spacing w:after="0" w:line="250" w:lineRule="auto"/>
        <w:rPr>
          <w:sz w:val="20"/>
          <w:szCs w:val="20"/>
          <w:color w:val="auto"/>
        </w:rPr>
      </w:pPr>
      <w:r>
        <w:rPr>
          <w:rFonts w:ascii="Arial" w:cs="Arial" w:eastAsia="Arial" w:hAnsi="Arial"/>
          <w:sz w:val="22"/>
          <w:szCs w:val="22"/>
          <w:color w:val="auto"/>
        </w:rPr>
        <w:t>If our initial proposed business combination is not completed, we may continue to try to complete a business combination with a different target until July 10, 2021.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of public shares and liquidation if no initial business combination</w:t>
      </w:r>
    </w:p>
    <w:p>
      <w:pPr>
        <w:spacing w:after="0" w:line="239"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We have only until July 10, 2021 to complete our initial business combination. If we are unable to complete our initial business combination within such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182" w:lineRule="exact"/>
        <w:rPr>
          <w:sz w:val="20"/>
          <w:szCs w:val="20"/>
          <w:color w:val="auto"/>
        </w:rPr>
      </w:pPr>
    </w:p>
    <w:p>
      <w:pPr>
        <w:jc w:val="both"/>
        <w:ind w:right="520" w:firstLine="324"/>
        <w:spacing w:after="0" w:line="236" w:lineRule="auto"/>
        <w:rPr>
          <w:sz w:val="20"/>
          <w:szCs w:val="20"/>
          <w:color w:val="auto"/>
        </w:rPr>
      </w:pPr>
      <w:r>
        <w:rPr>
          <w:rFonts w:ascii="Arial" w:cs="Arial" w:eastAsia="Arial" w:hAnsi="Arial"/>
          <w:sz w:val="22"/>
          <w:szCs w:val="22"/>
          <w:color w:val="auto"/>
        </w:rPr>
        <w:t>Our initial shareholders have entered into a letter agreement with us, pursuant to which they have waived their rights to liquidating distributions from the trust account with respect to their founder shares if we fail to complete our initial business combination by July 10, 2021. However, if our initial shareholders acquire public shares, they will be entitled to liquidating distributions from the trust account with respect to such public shares if we fail to complete our initial business combination within the allotted time frame.</w:t>
      </w:r>
    </w:p>
    <w:p>
      <w:pPr>
        <w:spacing w:after="0" w:line="214" w:lineRule="exact"/>
        <w:rPr>
          <w:sz w:val="20"/>
          <w:szCs w:val="20"/>
          <w:color w:val="auto"/>
        </w:rPr>
      </w:pPr>
    </w:p>
    <w:p>
      <w:pPr>
        <w:ind w:right="80" w:firstLine="324"/>
        <w:spacing w:after="0" w:line="245" w:lineRule="auto"/>
        <w:rPr>
          <w:sz w:val="20"/>
          <w:szCs w:val="20"/>
          <w:color w:val="auto"/>
        </w:rPr>
      </w:pPr>
      <w:r>
        <w:rPr>
          <w:rFonts w:ascii="Arial" w:cs="Arial" w:eastAsia="Arial" w:hAnsi="Arial"/>
          <w:sz w:val="21"/>
          <w:szCs w:val="21"/>
          <w:color w:val="auto"/>
        </w:rPr>
        <w:t>Our sponsor, officers and directors have agreed, pursuant to a written agreement with us, that they will not propose any amendment to our amended and restated memorandum and articles of association (A) to modify the substance or timing of our obligation to redeem 100% of our public shares if we do not complete our initial business combination by July 10, 2021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w:t>
      </w:r>
    </w:p>
    <w:p>
      <w:pPr>
        <w:spacing w:after="0" w:line="208"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color w:val="auto"/>
        </w:rPr>
        <w:t>We expect that all costs and expenses associated with implementing our plan of dissolution, as well as payments to any creditors, will be funded from amounts remaining out of the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204"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If we were to expend all of the net proceeds of our IPO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68" w:lineRule="auto"/>
        <w:rPr>
          <w:sz w:val="20"/>
          <w:szCs w:val="20"/>
          <w:color w:val="auto"/>
        </w:rPr>
      </w:pPr>
      <w:r>
        <w:rPr>
          <w:rFonts w:ascii="Arial" w:cs="Arial" w:eastAsia="Arial" w:hAnsi="Arial"/>
          <w:sz w:val="19"/>
          <w:szCs w:val="19"/>
          <w:color w:val="auto"/>
        </w:rPr>
        <w:t>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For example, Marcum LLP, our independent registered public accounting firm and the underwriters of our IPO, will not execute agreements with us waiving such claims to the monies held in the trust account. Upon redemption of our public shares, if we are unable to complete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our IPO against certain liabilities, including liabilities under the Securities Act. In the event that an executed waiver is deemed to be unenforceable against a third party, then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None of our other officers will indemnify us for claims by third parties, including, without limitation, claims by vendors and prospective target businesses.</w:t>
      </w:r>
    </w:p>
    <w:p>
      <w:pPr>
        <w:spacing w:after="0" w:line="200" w:lineRule="exact"/>
        <w:rPr>
          <w:sz w:val="20"/>
          <w:szCs w:val="20"/>
          <w:color w:val="auto"/>
        </w:rPr>
      </w:pPr>
    </w:p>
    <w:p>
      <w:pPr>
        <w:spacing w:after="0" w:line="256"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In the event that the proceeds in the trust account are reduced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substantially less than $10.00 per share.</w:t>
      </w:r>
    </w:p>
    <w:p>
      <w:pPr>
        <w:spacing w:after="0" w:line="185" w:lineRule="exact"/>
        <w:rPr>
          <w:sz w:val="20"/>
          <w:szCs w:val="20"/>
          <w:color w:val="auto"/>
        </w:rPr>
      </w:pPr>
    </w:p>
    <w:p>
      <w:pPr>
        <w:ind w:right="40" w:firstLine="324"/>
        <w:spacing w:after="0" w:line="274" w:lineRule="auto"/>
        <w:rPr>
          <w:sz w:val="20"/>
          <w:szCs w:val="20"/>
          <w:color w:val="auto"/>
        </w:rPr>
      </w:pPr>
      <w:r>
        <w:rPr>
          <w:rFonts w:ascii="Arial" w:cs="Arial" w:eastAsia="Arial" w:hAnsi="Arial"/>
          <w:sz w:val="19"/>
          <w:szCs w:val="19"/>
          <w:color w:val="auto"/>
        </w:rPr>
        <w:t>We will seek to reduce the possibility that our sponsor will have to indemnify the trust account due to claims of creditors by endeavoring to have all vendors, service providers (other than our independent auditors),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our IPO against certain liabilities, including liabilities under the Securities Act. We have access to up to $1,000,000 from the proceeds of our IPO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w:t>
      </w:r>
    </w:p>
    <w:p>
      <w:pPr>
        <w:sectPr>
          <w:pgSz w:w="11900" w:h="16838" w:orient="portrait"/>
          <w:cols w:equalWidth="0" w:num="1">
            <w:col w:w="11240"/>
          </w:cols>
          <w:pgMar w:left="320" w:top="12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If we file a winding-up or bankruptcy petition or an involuntary winding-up or bankruptcy petition is filed against us that is not dismissed, the proceeds held in the trust account could be subject to applicable insolvency law, and may be included in our insolvency estate and subject to the claims of third parties with priority over the claims of our shareholders. To the extent any insolvency claims deplete the trust account, we cannot assure you we will be able to return $10.00 per share to our public shareholders. Additionally, if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bankruptcy court could seek to recover some or all amounts received by our shareholders. Furthermore, our board may be viewed as having breached its fiduciary duty to our creditors and/or may have acted in bad faith,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82"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by July 10, 2021 or (B) with respect to any other provision relating to shareholders’ rights or pre-initial business combination activity and (3) the redemption of our public shares if we are unable to complete our initial business combination by July 10, 2021, subject to applicable law and as further described herein. In no other circumstances will a shareholder have any right or interest of any kind to or in the trust account. In the event we seek shareholder approval in connection with our initial business combination, a shareholder’s voting in connection with our initial business combination alone will not result in a shareholder’s redeeming its shares to us for an applicable pro rata share of the trust account. Such shareholder must have also exercised its redemption rights described above.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239"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21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9"/>
          <w:szCs w:val="19"/>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Facilities</w:t>
      </w:r>
    </w:p>
    <w:p>
      <w:pPr>
        <w:spacing w:after="0" w:line="239" w:lineRule="exact"/>
        <w:rPr>
          <w:sz w:val="20"/>
          <w:szCs w:val="20"/>
          <w:color w:val="auto"/>
        </w:rPr>
      </w:pPr>
    </w:p>
    <w:p>
      <w:pPr>
        <w:jc w:val="both"/>
        <w:ind w:right="160" w:firstLine="324"/>
        <w:spacing w:after="0"/>
        <w:rPr>
          <w:sz w:val="20"/>
          <w:szCs w:val="20"/>
          <w:color w:val="auto"/>
        </w:rPr>
      </w:pPr>
      <w:r>
        <w:rPr>
          <w:rFonts w:ascii="Arial" w:cs="Arial" w:eastAsia="Arial" w:hAnsi="Arial"/>
          <w:sz w:val="22"/>
          <w:szCs w:val="22"/>
          <w:color w:val="auto"/>
        </w:rPr>
        <w:t>We currently maintain our executive offices at 660 Madison Ave, Suite 1600, New York, New York 10065. The cost for the space is included in the up to $20,000 monthly fee that we pay our sponsor for office space, administrative and support services. We consider our current office space adequate for our current operations.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39" w:lineRule="exact"/>
        <w:rPr>
          <w:sz w:val="20"/>
          <w:szCs w:val="20"/>
          <w:color w:val="auto"/>
        </w:rPr>
      </w:pPr>
    </w:p>
    <w:p>
      <w:pPr>
        <w:ind w:right="140" w:firstLine="324"/>
        <w:spacing w:after="0" w:line="282" w:lineRule="auto"/>
        <w:rPr>
          <w:sz w:val="20"/>
          <w:szCs w:val="20"/>
          <w:color w:val="auto"/>
        </w:rPr>
      </w:pPr>
      <w:r>
        <w:rPr>
          <w:rFonts w:ascii="Arial" w:cs="Arial" w:eastAsia="Arial" w:hAnsi="Arial"/>
          <w:sz w:val="19"/>
          <w:szCs w:val="19"/>
          <w:color w:val="auto"/>
        </w:rPr>
        <w:t>We currently have three executive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 until we have completed our initial business combination. The amount of time that any such person will devote in any time period will vary based on whether a target business has been selected for our initial business combination and the current stage of the business combination process.</w:t>
      </w:r>
    </w:p>
    <w:p>
      <w:pPr>
        <w:sectPr>
          <w:pgSz w:w="11900" w:h="16838" w:orient="portrait"/>
          <w:cols w:equalWidth="0" w:num="1">
            <w:col w:w="11240"/>
          </w:cols>
          <w:pgMar w:left="320" w:top="122"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49" w:lineRule="exact"/>
        <w:rPr>
          <w:sz w:val="20"/>
          <w:szCs w:val="20"/>
          <w:color w:val="auto"/>
        </w:rPr>
      </w:pPr>
    </w:p>
    <w:p>
      <w:pPr>
        <w:ind w:right="20" w:firstLine="324"/>
        <w:spacing w:after="0" w:line="235" w:lineRule="auto"/>
        <w:rPr>
          <w:sz w:val="20"/>
          <w:szCs w:val="20"/>
          <w:color w:val="auto"/>
        </w:rPr>
      </w:pPr>
      <w:r>
        <w:rPr>
          <w:rFonts w:ascii="Arial" w:cs="Arial" w:eastAsia="Arial" w:hAnsi="Arial"/>
          <w:sz w:val="22"/>
          <w:szCs w:val="22"/>
          <w:i w:val="1"/>
          <w:iCs w:val="1"/>
          <w:color w:val="auto"/>
        </w:rPr>
        <w:t>An investment in our securities involves a high degree of risk. You should consider carefully all of the risks described below, together with the other information contained in this Annual Report,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 See also the Risk Factors set forth in our registration statement on Form S-4 relating to the proposed initial business combination, which risk factors are incorporated by reference herein.</w:t>
      </w:r>
    </w:p>
    <w:p>
      <w:pPr>
        <w:spacing w:after="0" w:line="215" w:lineRule="exact"/>
        <w:rPr>
          <w:sz w:val="20"/>
          <w:szCs w:val="20"/>
          <w:color w:val="auto"/>
        </w:rPr>
      </w:pPr>
    </w:p>
    <w:p>
      <w:pPr>
        <w:jc w:val="both"/>
        <w:ind w:left="180"/>
        <w:spacing w:after="0"/>
        <w:rPr>
          <w:sz w:val="20"/>
          <w:szCs w:val="20"/>
          <w:color w:val="auto"/>
        </w:rPr>
      </w:pPr>
      <w:r>
        <w:rPr>
          <w:rFonts w:ascii="Arial" w:cs="Arial" w:eastAsia="Arial" w:hAnsi="Arial"/>
          <w:sz w:val="22"/>
          <w:szCs w:val="22"/>
          <w:b w:val="1"/>
          <w:bCs w:val="1"/>
          <w:i w:val="1"/>
          <w:iCs w:val="1"/>
          <w:color w:val="auto"/>
        </w:rPr>
        <w:t>We may not be able to effect the Business Combination pursuant to the Merger Agreement. If we are unable to do so, we will incur substantial costs associated with withdrawing from the transaction, and may not be able to find additional sources of financing to cover those costs.</w:t>
      </w:r>
    </w:p>
    <w:p>
      <w:pPr>
        <w:spacing w:after="0" w:line="21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In connection with the Merger Agreement, we have incurred substantial costs researching, planning and negotiating the transaction. These costs include, but are not limited to, costs associated with securing sources of equity and debt financing, costs associated with employing and retaining third-party advisors who performed the financial, auditing and legal services required to complete the transaction, and the expenses generated by our officers, executives, managers and employees in connection with the transaction. If, for whatever reason, the transactions contemplated by the Merger Agreement fail to close, we will be responsible for these costs, but will have no source of revenue with which to pay them. We may need to obtain additional sources of financing in order to meet our obligations, which we may not be able to secure on the same terms as our existing financing or at all. If we are unable to secure new sources of financing and do not have sufficient funds to meet our obligations, we will be forced to cease operations and liquidate the trust account.</w:t>
      </w:r>
    </w:p>
    <w:p>
      <w:pPr>
        <w:spacing w:after="0" w:line="211" w:lineRule="exact"/>
        <w:rPr>
          <w:sz w:val="20"/>
          <w:szCs w:val="20"/>
          <w:color w:val="auto"/>
        </w:rPr>
      </w:pPr>
    </w:p>
    <w:p>
      <w:pPr>
        <w:jc w:val="both"/>
        <w:ind w:left="180"/>
        <w:spacing w:after="0" w:line="238" w:lineRule="auto"/>
        <w:rPr>
          <w:sz w:val="20"/>
          <w:szCs w:val="20"/>
          <w:color w:val="auto"/>
        </w:rPr>
      </w:pPr>
      <w:r>
        <w:rPr>
          <w:rFonts w:ascii="Arial" w:cs="Arial" w:eastAsia="Arial" w:hAnsi="Arial"/>
          <w:sz w:val="22"/>
          <w:szCs w:val="22"/>
          <w:b w:val="1"/>
          <w:bCs w:val="1"/>
          <w:i w:val="1"/>
          <w:iCs w:val="1"/>
          <w:color w:val="auto"/>
        </w:rPr>
        <w:t>If the anticipated Business Combination with WMH fails, it may be difficult to research a new prospective target business, negotiate and agree to a new business combination, and/or arrange for new sources of financing by July 10, 2021, in which case we would cease all operations except for the purpose of winding up and we would redeem our public shares and liquidate.</w:t>
      </w:r>
    </w:p>
    <w:p>
      <w:pPr>
        <w:spacing w:after="0" w:line="212" w:lineRule="exact"/>
        <w:rPr>
          <w:sz w:val="20"/>
          <w:szCs w:val="20"/>
          <w:color w:val="auto"/>
        </w:rPr>
      </w:pPr>
    </w:p>
    <w:p>
      <w:pPr>
        <w:ind w:right="40" w:firstLine="324"/>
        <w:spacing w:after="0" w:line="244" w:lineRule="auto"/>
        <w:rPr>
          <w:sz w:val="20"/>
          <w:szCs w:val="20"/>
          <w:color w:val="auto"/>
        </w:rPr>
      </w:pPr>
      <w:r>
        <w:rPr>
          <w:rFonts w:ascii="Arial" w:cs="Arial" w:eastAsia="Arial" w:hAnsi="Arial"/>
          <w:sz w:val="21"/>
          <w:szCs w:val="21"/>
          <w:color w:val="auto"/>
        </w:rPr>
        <w:t>Finding, researching, analyzing and negotiating with WMH took a substantial amount of time, and if the Business Combination with WMH fails, we may not be able to find a suitable target business and complete our initial business combination within 24 months after the closing of our IPO. Our ability to complete our initial business combination may be negatively impacted by general market conditions, volatility in the capital and debt markets and the other risks described herein. If we have not completed our initial business combination within such time period, we will: (i) cease all operations except for the purpose of winding up, (ii)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210" w:lineRule="exact"/>
        <w:rPr>
          <w:sz w:val="20"/>
          <w:szCs w:val="20"/>
          <w:color w:val="auto"/>
        </w:rPr>
      </w:pPr>
    </w:p>
    <w:p>
      <w:pPr>
        <w:ind w:left="180" w:right="700"/>
        <w:spacing w:after="0" w:line="250" w:lineRule="auto"/>
        <w:rPr>
          <w:sz w:val="20"/>
          <w:szCs w:val="20"/>
          <w:color w:val="auto"/>
        </w:rPr>
      </w:pPr>
      <w:r>
        <w:rPr>
          <w:rFonts w:ascii="Arial" w:cs="Arial" w:eastAsia="Arial" w:hAnsi="Arial"/>
          <w:sz w:val="22"/>
          <w:szCs w:val="22"/>
          <w:b w:val="1"/>
          <w:bCs w:val="1"/>
          <w:i w:val="1"/>
          <w:iCs w:val="1"/>
          <w:color w:val="auto"/>
        </w:rPr>
        <w:t>We have no operating history and no revenues, and you have no basis on which to evaluate our ability to achieve our business objective.</w:t>
      </w:r>
    </w:p>
    <w:p>
      <w:pPr>
        <w:spacing w:after="0" w:line="202"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We are a newly incorporated company incorporated under the laws of the Cayman Islands and all of our activities to date have been related to our formation, our IPO and our search for a business combination target. Because we lack a significant operating history, you have no basis upon which to evaluate our ability to achieve our business objective of completing our initial business combination with one or more target businesses. If we fail to complete our initial business combination, we will never generate any operating revenues.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300"/>
        <w:spacing w:after="0" w:line="250" w:lineRule="auto"/>
        <w:rPr>
          <w:sz w:val="20"/>
          <w:szCs w:val="20"/>
          <w:color w:val="auto"/>
        </w:rPr>
      </w:pPr>
      <w:r>
        <w:rPr>
          <w:rFonts w:ascii="Arial" w:cs="Arial" w:eastAsia="Arial" w:hAnsi="Arial"/>
          <w:sz w:val="22"/>
          <w:szCs w:val="22"/>
          <w:b w:val="1"/>
          <w:bCs w:val="1"/>
          <w:i w:val="1"/>
          <w:iCs w:val="1"/>
          <w:color w:val="auto"/>
        </w:rPr>
        <w:t>Our independent registered public accounting firm’s report contains an explanatory paragraph that expresses substantial doubt about our ability to continue as a “going concern.”</w:t>
      </w:r>
    </w:p>
    <w:p>
      <w:pPr>
        <w:spacing w:after="0" w:line="202"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We have incurred and expect to continue to incur significant costs in pursuit of our financing and acquisition plans. Management’s plans to address this need for capital are discussed in the section of this Annual Report titled “Item 7.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Our public shareholders may not be afforded an opportunity to vote on our proposed business combination, which means we may complete our initial business combination even though a majority of our public shareholders do not support such a combination.</w:t>
      </w:r>
    </w:p>
    <w:p>
      <w:pPr>
        <w:spacing w:after="0" w:line="213" w:lineRule="exact"/>
        <w:rPr>
          <w:sz w:val="20"/>
          <w:szCs w:val="20"/>
          <w:color w:val="auto"/>
        </w:rPr>
      </w:pPr>
    </w:p>
    <w:p>
      <w:pPr>
        <w:ind w:right="60" w:firstLine="324"/>
        <w:spacing w:after="0" w:line="271" w:lineRule="auto"/>
        <w:rPr>
          <w:sz w:val="20"/>
          <w:szCs w:val="20"/>
          <w:color w:val="auto"/>
        </w:rPr>
      </w:pPr>
      <w:r>
        <w:rPr>
          <w:rFonts w:ascii="Arial" w:cs="Arial" w:eastAsia="Arial" w:hAnsi="Arial"/>
          <w:sz w:val="19"/>
          <w:szCs w:val="19"/>
          <w:color w:val="auto"/>
        </w:rPr>
        <w:t>We will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 (2) provide our public shareholders with the opportunity to redeem all or a portion of their public shares upon the completion of our initial business 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 Accordingly, it is possible that we will consummate our initial business combination even if holders of a majority of our public shares do not approve of the business combination we consummate.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For instance, Nasdaq rules currently allow us to engage in a tender offer in lieu of a shareholder meeting but would still require us to obtain shareholder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shareholder approval of such business combination instead of conducting a tender offer.</w:t>
      </w:r>
    </w:p>
    <w:p>
      <w:pPr>
        <w:spacing w:after="0" w:line="184" w:lineRule="exact"/>
        <w:rPr>
          <w:sz w:val="20"/>
          <w:szCs w:val="20"/>
          <w:color w:val="auto"/>
        </w:rPr>
      </w:pPr>
    </w:p>
    <w:p>
      <w:pPr>
        <w:ind w:left="180" w:right="840"/>
        <w:spacing w:after="0" w:line="250" w:lineRule="auto"/>
        <w:rPr>
          <w:sz w:val="20"/>
          <w:szCs w:val="20"/>
          <w:color w:val="auto"/>
        </w:rPr>
      </w:pPr>
      <w:r>
        <w:rPr>
          <w:rFonts w:ascii="Arial" w:cs="Arial" w:eastAsia="Arial" w:hAnsi="Arial"/>
          <w:sz w:val="22"/>
          <w:szCs w:val="22"/>
          <w:b w:val="1"/>
          <w:bCs w:val="1"/>
          <w:i w:val="1"/>
          <w:iCs w:val="1"/>
          <w:color w:val="auto"/>
        </w:rPr>
        <w:t>Our search for a business combination may be materially adversely affected by the recent coronavirus (COVID-19) outbreak.</w:t>
      </w:r>
    </w:p>
    <w:p>
      <w:pPr>
        <w:spacing w:after="0" w:line="202"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 significant outbreak of COVID-19 and other infectious diseases could result in a widespread health crisis that could adversely affect the economies and financial markets worldwide, and potential target companies may defer or end discussions for a potential business combination with us whether or not COVID-19 materially adversely affects their business operations. Additionally,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may be materially adversely affected.</w:t>
      </w:r>
    </w:p>
    <w:p>
      <w:pPr>
        <w:spacing w:after="0" w:line="187" w:lineRule="exact"/>
        <w:rPr>
          <w:sz w:val="20"/>
          <w:szCs w:val="20"/>
          <w:color w:val="auto"/>
        </w:rPr>
      </w:pPr>
    </w:p>
    <w:p>
      <w:pPr>
        <w:ind w:left="180" w:right="680"/>
        <w:spacing w:after="0" w:line="250" w:lineRule="auto"/>
        <w:rPr>
          <w:sz w:val="20"/>
          <w:szCs w:val="20"/>
          <w:color w:val="auto"/>
        </w:rPr>
      </w:pPr>
      <w:r>
        <w:rPr>
          <w:rFonts w:ascii="Arial" w:cs="Arial" w:eastAsia="Arial" w:hAnsi="Arial"/>
          <w:sz w:val="22"/>
          <w:szCs w:val="22"/>
          <w:b w:val="1"/>
          <w:bCs w:val="1"/>
          <w:i w:val="1"/>
          <w:iCs w:val="1"/>
          <w:color w:val="auto"/>
        </w:rPr>
        <w:t>Legal proceedings in connection with the business combination, the outcomes of which are uncertain, could delay or prevent the completion of the business combination.</w:t>
      </w:r>
    </w:p>
    <w:p>
      <w:pPr>
        <w:spacing w:after="0" w:line="202"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In connection with proposed business combinations, it is not uncommon for lawsuits to be filed against companies involved and/or their respective directors and officers alleging, among other things, that the proxy statement/prospectus contains false and misleading statements and/or omits material information concerning the proposed transaction. Two lawsuits have been filed in the Supreme Court of the State of New York in connection with the Business Combination. These matters generally seek injunctive relief to enjoin the Business Combination and to require the parties to issue supplemental disclosures or, in the event the transaction is consummated in the absence of supplemental disclosure, an order rescinding the transaction and awarding rescissory damages. While we think these claims are without merit, defending such lawsuits or other similar claims could require the Company to incur significant costs and draw the attention of the Company’s management team away from the Business Combination. Further, the defense or settlement of any lawsuit or claim that remains unresolved at the time the Business Combination is consummated may adversely affect the combined company’s business, financial condition, results of operations and cash flows. Such legal proceedings could delay or prevent the Business Combination from becoming effective within the agreed upon timeframe.</w:t>
      </w: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360"/>
        <w:spacing w:after="0" w:line="328" w:lineRule="auto"/>
        <w:rPr>
          <w:sz w:val="20"/>
          <w:szCs w:val="20"/>
          <w:color w:val="auto"/>
        </w:rPr>
      </w:pPr>
      <w:r>
        <w:rPr>
          <w:rFonts w:ascii="Arial" w:cs="Arial" w:eastAsia="Arial" w:hAnsi="Arial"/>
          <w:sz w:val="19"/>
          <w:szCs w:val="19"/>
          <w:b w:val="1"/>
          <w:bCs w:val="1"/>
          <w:i w:val="1"/>
          <w:iCs w:val="1"/>
          <w:color w:val="auto"/>
        </w:rPr>
        <w:t>If we seek shareholder approval of our initial business combination, our initial shareholders, officers and directors have agreed to vote in favor of such initial business combination, regardless of how our public shareholders vote.</w:t>
      </w:r>
    </w:p>
    <w:p>
      <w:pPr>
        <w:spacing w:after="0" w:line="132"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Unlike many other blank check companies in which the initial shareholders agree to vote their founder shares in accordance with the majority of the votes cast by the public shareholders in connection with an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our IPO to be voted in favor of a transaction (assuming all issued and outstanding shares are voted),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 We expect that our initial shareholders and their permitted transferees will own at least 20% of our issued and outstanding ordinary shares at the time of any such shareholder vote. Accordingly, if we seek shareholder approval of our initial business combination, it is more likely that the necessary shareholder approval will be received than would be the case if such persons agreed to vote their founder shares in accordance with the majority of the votes cast by our public shareholders.</w:t>
      </w:r>
    </w:p>
    <w:p>
      <w:pPr>
        <w:spacing w:after="0" w:line="210" w:lineRule="exact"/>
        <w:rPr>
          <w:sz w:val="20"/>
          <w:szCs w:val="20"/>
          <w:color w:val="auto"/>
        </w:rPr>
      </w:pPr>
    </w:p>
    <w:p>
      <w:pPr>
        <w:ind w:left="180" w:right="440"/>
        <w:spacing w:after="0"/>
        <w:rPr>
          <w:sz w:val="20"/>
          <w:szCs w:val="20"/>
          <w:color w:val="auto"/>
        </w:rPr>
      </w:pPr>
      <w:r>
        <w:rPr>
          <w:rFonts w:ascii="Arial" w:cs="Arial" w:eastAsia="Arial" w:hAnsi="Arial"/>
          <w:sz w:val="22"/>
          <w:szCs w:val="22"/>
          <w:b w:val="1"/>
          <w:bCs w:val="1"/>
          <w:i w:val="1"/>
          <w:iCs w:val="1"/>
          <w:color w:val="auto"/>
        </w:rPr>
        <w:t>Your only opportunity to affect the investment decision regarding a potential business combination will be limited to the exercise of your right to redeem your shares from us for cash, unless we seek shareholder approval of such business combination.</w:t>
      </w:r>
    </w:p>
    <w:p>
      <w:pPr>
        <w:spacing w:after="0" w:line="213" w:lineRule="exact"/>
        <w:rPr>
          <w:sz w:val="20"/>
          <w:szCs w:val="20"/>
          <w:color w:val="auto"/>
        </w:rPr>
      </w:pPr>
    </w:p>
    <w:p>
      <w:pPr>
        <w:ind w:right="120" w:firstLine="324"/>
        <w:spacing w:after="0" w:line="246" w:lineRule="auto"/>
        <w:rPr>
          <w:sz w:val="20"/>
          <w:szCs w:val="20"/>
          <w:color w:val="auto"/>
        </w:rPr>
      </w:pPr>
      <w:r>
        <w:rPr>
          <w:rFonts w:ascii="Arial" w:cs="Arial" w:eastAsia="Arial" w:hAnsi="Arial"/>
          <w:sz w:val="21"/>
          <w:szCs w:val="21"/>
          <w:color w:val="auto"/>
        </w:rPr>
        <w:t>At the time of your investment in us, you will not be provided with an opportunity to evaluate the specific merits or risks of any target businesses. Additionally, since our board of directors may complete a business combination without seeking shareholder approval, public shareholders may not have the right or opportunity to vote on the business combination, unless we seek such shareholder approval. Accordingly, if we do not seek shareholder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11" w:lineRule="exact"/>
        <w:rPr>
          <w:sz w:val="20"/>
          <w:szCs w:val="20"/>
          <w:color w:val="auto"/>
        </w:rPr>
      </w:pPr>
    </w:p>
    <w:p>
      <w:pPr>
        <w:ind w:left="180" w:right="20"/>
        <w:spacing w:after="0" w:line="359" w:lineRule="auto"/>
        <w:rPr>
          <w:sz w:val="20"/>
          <w:szCs w:val="20"/>
          <w:color w:val="auto"/>
        </w:rPr>
      </w:pPr>
      <w:r>
        <w:rPr>
          <w:rFonts w:ascii="Arial" w:cs="Arial" w:eastAsia="Arial" w:hAnsi="Arial"/>
          <w:sz w:val="18"/>
          <w:szCs w:val="18"/>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10"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Consequently, if accepting all properly submitted redemption requests would cause our net tangible assets, after payment of the deferred underwriting commissions, to be less than $5,000,001 upon completion of our initial business combination or less than such greater amount necessary to satisfy a closing condition as described above, we would not proceed with such redemption of our public shares and the related business combination, and we instead may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320"/>
        <w:spacing w:after="0" w:line="328" w:lineRule="auto"/>
        <w:rPr>
          <w:sz w:val="20"/>
          <w:szCs w:val="20"/>
          <w:color w:val="auto"/>
        </w:rPr>
      </w:pPr>
      <w:r>
        <w:rPr>
          <w:rFonts w:ascii="Arial" w:cs="Arial" w:eastAsia="Arial" w:hAnsi="Arial"/>
          <w:sz w:val="19"/>
          <w:szCs w:val="19"/>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32" w:lineRule="exact"/>
        <w:rPr>
          <w:sz w:val="20"/>
          <w:szCs w:val="20"/>
          <w:color w:val="auto"/>
        </w:rPr>
      </w:pPr>
    </w:p>
    <w:p>
      <w:pPr>
        <w:ind w:right="60" w:firstLine="324"/>
        <w:spacing w:after="0" w:line="277" w:lineRule="auto"/>
        <w:rPr>
          <w:sz w:val="20"/>
          <w:szCs w:val="20"/>
          <w:color w:val="auto"/>
        </w:rPr>
      </w:pPr>
      <w:r>
        <w:rPr>
          <w:rFonts w:ascii="Arial" w:cs="Arial" w:eastAsia="Arial" w:hAnsi="Arial"/>
          <w:sz w:val="19"/>
          <w:szCs w:val="19"/>
          <w:color w:val="auto"/>
        </w:rPr>
        <w:t>At the time we enter into an agreement for our initial business combination, we will not know how many shareholders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w:t>
      </w:r>
    </w:p>
    <w:p>
      <w:pPr>
        <w:spacing w:after="0" w:line="179"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213" w:lineRule="exact"/>
        <w:rPr>
          <w:sz w:val="20"/>
          <w:szCs w:val="20"/>
          <w:color w:val="auto"/>
        </w:rPr>
      </w:pPr>
    </w:p>
    <w:p>
      <w:pPr>
        <w:ind w:left="180" w:right="380"/>
        <w:spacing w:after="0"/>
        <w:rPr>
          <w:sz w:val="20"/>
          <w:szCs w:val="20"/>
          <w:color w:val="auto"/>
        </w:rPr>
      </w:pPr>
      <w:r>
        <w:rPr>
          <w:rFonts w:ascii="Arial" w:cs="Arial" w:eastAsia="Arial" w:hAnsi="Arial"/>
          <w:sz w:val="22"/>
          <w:szCs w:val="22"/>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213" w:lineRule="exact"/>
        <w:rPr>
          <w:sz w:val="20"/>
          <w:szCs w:val="20"/>
          <w:color w:val="auto"/>
        </w:rPr>
      </w:pPr>
    </w:p>
    <w:p>
      <w:pPr>
        <w:ind w:right="60" w:firstLine="324"/>
        <w:spacing w:after="0" w:line="277" w:lineRule="auto"/>
        <w:rPr>
          <w:sz w:val="20"/>
          <w:szCs w:val="20"/>
          <w:color w:val="auto"/>
        </w:rPr>
      </w:pPr>
      <w:r>
        <w:rPr>
          <w:rFonts w:ascii="Arial" w:cs="Arial" w:eastAsia="Arial" w:hAnsi="Arial"/>
          <w:sz w:val="19"/>
          <w:szCs w:val="19"/>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179" w:lineRule="exact"/>
        <w:rPr>
          <w:sz w:val="20"/>
          <w:szCs w:val="20"/>
          <w:color w:val="auto"/>
        </w:rPr>
      </w:pPr>
    </w:p>
    <w:p>
      <w:pPr>
        <w:ind w:left="180"/>
        <w:spacing w:after="0" w:line="307"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156"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Any potential target business with which we enter into negotiations concerning a business combination will be aware that we must complete our initial business combination by July 10, 2021.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July 10, 2021. In addition, we may have limited time to conduct due diligence and may enter into our initial business combination on terms that we would have rejected upon a more comprehensive investigation.</w:t>
      </w:r>
    </w:p>
    <w:p>
      <w:pPr>
        <w:spacing w:after="0" w:line="177" w:lineRule="exact"/>
        <w:rPr>
          <w:sz w:val="20"/>
          <w:szCs w:val="20"/>
          <w:color w:val="auto"/>
        </w:rPr>
      </w:pPr>
    </w:p>
    <w:p>
      <w:pPr>
        <w:ind w:left="180" w:right="60"/>
        <w:spacing w:after="0" w:line="257" w:lineRule="auto"/>
        <w:rPr>
          <w:sz w:val="20"/>
          <w:szCs w:val="20"/>
          <w:color w:val="auto"/>
        </w:rPr>
      </w:pPr>
      <w:r>
        <w:rPr>
          <w:rFonts w:ascii="Arial" w:cs="Arial" w:eastAsia="Arial" w:hAnsi="Arial"/>
          <w:sz w:val="21"/>
          <w:szCs w:val="21"/>
          <w:b w:val="1"/>
          <w:bCs w:val="1"/>
          <w:i w:val="1"/>
          <w:iCs w:val="1"/>
          <w:color w:val="auto"/>
        </w:rPr>
        <w:t>If we seek shareholder approval of our initial business combination, our sponsor, directors, officers, advisors or any of their affiliates may elect to purchase shares or warrants from public shareholders, which may influence a vote on a proposed business combination and reduce the public “float” of our securities.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“Item 1. Business—Permitted purchases of our securities” for a description of how such persons will determine from which shareholders to seek to acquire securities. Such a purchase may include a contractual acknowledgement that such shareholder, although still the record holder of our shares, is no longer the beneficial owner thereof and therefore agrees not to exercise its redemption rights. In the event that our sponsor, directors, officers, advisors or any of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The price per share paid in any such transaction may be different than the amount per share a public shareholder would receive if it elected to redeem its shares in connection with our initial business combination. The purpose of such purchases could be to vote such shares in favor of our initial business combination and thereby increase the likelihood of obtaining shareholder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initial business combination that may not otherwise have been possible.</w:t>
      </w:r>
    </w:p>
    <w:p>
      <w:pPr>
        <w:spacing w:after="0" w:line="200" w:lineRule="exact"/>
        <w:rPr>
          <w:sz w:val="20"/>
          <w:szCs w:val="20"/>
          <w:color w:val="auto"/>
        </w:rPr>
      </w:pPr>
    </w:p>
    <w:p>
      <w:pPr>
        <w:spacing w:after="0" w:line="233" w:lineRule="exact"/>
        <w:rPr>
          <w:sz w:val="20"/>
          <w:szCs w:val="20"/>
          <w:color w:val="auto"/>
        </w:rPr>
      </w:pPr>
    </w:p>
    <w:p>
      <w:pPr>
        <w:jc w:val="both"/>
        <w:ind w:right="200" w:firstLine="324"/>
        <w:spacing w:after="0"/>
        <w:rPr>
          <w:sz w:val="20"/>
          <w:szCs w:val="20"/>
          <w:color w:val="auto"/>
        </w:rPr>
      </w:pPr>
      <w:r>
        <w:rPr>
          <w:rFonts w:ascii="Arial" w:cs="Arial" w:eastAsia="Arial" w:hAnsi="Arial"/>
          <w:sz w:val="22"/>
          <w:szCs w:val="22"/>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213" w:lineRule="exact"/>
        <w:rPr>
          <w:sz w:val="20"/>
          <w:szCs w:val="20"/>
          <w:color w:val="auto"/>
        </w:rPr>
      </w:pPr>
    </w:p>
    <w:p>
      <w:pPr>
        <w:ind w:left="180" w:right="620"/>
        <w:spacing w:after="0" w:line="359"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10"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In the event that a shareholder fails to comply with these procedures, its shares may not be redeemed. See “Item 1. Business—Effecting Our Initial Business Combination—Tendering share certificates in connection with a tender offer or redemption rights.”</w:t>
      </w:r>
    </w:p>
    <w:p>
      <w:pPr>
        <w:spacing w:after="0" w:line="207" w:lineRule="exact"/>
        <w:rPr>
          <w:sz w:val="20"/>
          <w:szCs w:val="20"/>
          <w:color w:val="auto"/>
        </w:rPr>
      </w:pPr>
    </w:p>
    <w:p>
      <w:pPr>
        <w:ind w:left="180" w:right="460"/>
        <w:spacing w:after="0" w:line="359"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10"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by July 10, 2021 or (B) with respect to any other provision relating to shareholders’ rights or pre-initial business combination activity and (3) the redemption of our public shares if we are unable to complete our initial business combination by July 10, 2021, subject to applicable law and as further described herein. In no other circumstances will a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15" w:lineRule="exact"/>
        <w:rPr>
          <w:sz w:val="20"/>
          <w:szCs w:val="20"/>
          <w:color w:val="auto"/>
        </w:rPr>
      </w:pPr>
    </w:p>
    <w:p>
      <w:pPr>
        <w:ind w:left="180" w:right="860"/>
        <w:spacing w:after="0" w:line="250" w:lineRule="auto"/>
        <w:rPr>
          <w:sz w:val="20"/>
          <w:szCs w:val="20"/>
          <w:color w:val="auto"/>
        </w:rPr>
      </w:pPr>
      <w:r>
        <w:rPr>
          <w:rFonts w:ascii="Arial" w:cs="Arial" w:eastAsia="Arial" w:hAnsi="Arial"/>
          <w:sz w:val="22"/>
          <w:szCs w:val="22"/>
          <w:b w:val="1"/>
          <w:bCs w:val="1"/>
          <w:i w:val="1"/>
          <w:iCs w:val="1"/>
          <w:color w:val="auto"/>
        </w:rPr>
        <w:t>Nasdaq may delist our securities from its exchange, which could limit investors’ ability to make transactions in our securities and subject us to additional trading restrictions.</w:t>
      </w:r>
    </w:p>
    <w:p>
      <w:pPr>
        <w:spacing w:after="0" w:line="202"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Our units, Class A ordinary shares and warrants are listed on Nasdaq. Although, we expect to meet on a pro forma basis Nasdaq’s minimum initial listing standards, which generally only require that we meet certain requirements relating to shareholders’ equity, market capitalization, aggregate market value of publicly held shares and distribution requirements, we cannot assure you that our securities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it is likely that Nasdaq will require us to file a new initial listing application and meet its initial listing requirements as well as certain qualitative requirements, as opposed to its more lenient continued listing requirements. We cannot assure you that we will be able to meet those initial listing requirements at that time.</w:t>
      </w:r>
    </w:p>
    <w:p>
      <w:pPr>
        <w:sectPr>
          <w:pgSz w:w="11900" w:h="16838" w:orient="portrait"/>
          <w:cols w:equalWidth="0" w:num="1">
            <w:col w:w="11240"/>
          </w:cols>
          <w:pgMar w:left="320" w:top="121" w:right="339" w:bottom="0" w:gutter="0" w:footer="0" w:header="0"/>
        </w:sectPr>
      </w:pPr>
    </w:p>
    <w:bookmarkStart w:id="22" w:name="page23"/>
    <w:bookmarkEnd w:id="22"/>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80" w:firstLine="324"/>
        <w:spacing w:after="0"/>
        <w:rPr>
          <w:sz w:val="20"/>
          <w:szCs w:val="20"/>
          <w:color w:val="auto"/>
        </w:rPr>
      </w:pPr>
      <w:r>
        <w:rPr>
          <w:rFonts w:ascii="Arial" w:cs="Arial" w:eastAsia="Arial" w:hAnsi="Arial"/>
          <w:sz w:val="22"/>
          <w:szCs w:val="22"/>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22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liquidity with respect to such securities;</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possibly resulting in a reduced level of trading activity in the secondary trading market for our securities;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4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9"/>
          <w:szCs w:val="19"/>
          <w:color w:val="auto"/>
        </w:rPr>
        <w:t>The National Securities Markets Improvement Act of 1996, which is a federal statute, prevents or preempts the states from regulating the sale of certain securities, which are referred to as “covered securities.” Because our units, Class A ordinary shares and warrants are listed on Nasdaq, our units, Class A ordinary shares and warrants qualify as covered securities under such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such statute and we would be subject to regulation in each state in which we offer our securities.</w:t>
      </w:r>
    </w:p>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21"/>
          <w:szCs w:val="21"/>
          <w:b w:val="1"/>
          <w:bCs w:val="1"/>
          <w:i w:val="1"/>
          <w:iCs w:val="1"/>
          <w:color w:val="auto"/>
        </w:rPr>
        <w:t>You are not be entitled to protections normally afforded to investors of many other blank check companies.</w:t>
      </w:r>
    </w:p>
    <w:p>
      <w:pPr>
        <w:spacing w:after="0" w:line="245"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Since the net proceeds of our IPO and the sale of the private placement warrants are intended to be used to complete an initial business combination with a target business that had not been identified, we may be deemed to be a “blank check” company under the U.S. securities laws. However, because we have net tangible assets in excess of $5,000,000 as of the successful completion of our IPO and the sale of the private placement warrants and we filed a Current Report on Form 8-K, including an audited balance sheet of the Company demonstrating this fact, we are exempt from rules promulgated by the SEC to protect investors in blank check companies, such as Rule 419. Accordingly, investors are not be afforded the benefits or protections of those rules. Among other things, this means our units were immediately tradable and we have a longer period of time to complete our initial business combination than do companies subject to Rule 419. Moreover, if our IPO were subject to Rule 419, that rule would have prohibited the release of any interest earned on funds held in the trust account to us unless and until the funds in the trust account were released to us in connection with our completion of an initial business combination.</w:t>
      </w:r>
    </w:p>
    <w:p>
      <w:pPr>
        <w:spacing w:after="0" w:line="188" w:lineRule="exact"/>
        <w:rPr>
          <w:sz w:val="20"/>
          <w:szCs w:val="20"/>
          <w:color w:val="auto"/>
        </w:rPr>
      </w:pPr>
    </w:p>
    <w:p>
      <w:pPr>
        <w:jc w:val="both"/>
        <w:ind w:left="180" w:right="420"/>
        <w:spacing w:after="0" w:line="297" w:lineRule="auto"/>
        <w:rPr>
          <w:sz w:val="20"/>
          <w:szCs w:val="20"/>
          <w:color w:val="auto"/>
        </w:rPr>
      </w:pPr>
      <w:r>
        <w:rPr>
          <w:rFonts w:ascii="Arial" w:cs="Arial" w:eastAsia="Arial" w:hAnsi="Arial"/>
          <w:sz w:val="19"/>
          <w:szCs w:val="19"/>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is restricted from redeeming its shares with respect to more than an aggregate of 15% of the shares sold in our IPO, which we refer to as the “Excess Shares,” without our prior consent. However, we would not be restricting our shareholders’ ability to vote all of their shares (including Excess Shares) for or against our initial business combination. Your inability to redeem the Excess Shares reduces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13" w:lineRule="exact"/>
        <w:rPr>
          <w:sz w:val="20"/>
          <w:szCs w:val="20"/>
          <w:color w:val="auto"/>
        </w:rPr>
      </w:pPr>
    </w:p>
    <w:p>
      <w:pPr>
        <w:ind w:left="180" w:right="180"/>
        <w:spacing w:after="0" w:line="252" w:lineRule="auto"/>
        <w:rPr>
          <w:sz w:val="20"/>
          <w:szCs w:val="20"/>
          <w:color w:val="auto"/>
        </w:rPr>
      </w:pPr>
      <w:r>
        <w:rPr>
          <w:rFonts w:ascii="Arial" w:cs="Arial" w:eastAsia="Arial" w:hAnsi="Arial"/>
          <w:sz w:val="21"/>
          <w:szCs w:val="21"/>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 and our warrants will expire worthless.</w:t>
      </w:r>
    </w:p>
    <w:p>
      <w:pPr>
        <w:spacing w:after="0" w:line="201" w:lineRule="exact"/>
        <w:rPr>
          <w:sz w:val="20"/>
          <w:szCs w:val="20"/>
          <w:color w:val="auto"/>
        </w:rPr>
      </w:pPr>
    </w:p>
    <w:p>
      <w:pPr>
        <w:ind w:right="40" w:firstLine="324"/>
        <w:spacing w:after="0" w:line="270" w:lineRule="auto"/>
        <w:rPr>
          <w:sz w:val="20"/>
          <w:szCs w:val="20"/>
          <w:color w:val="auto"/>
        </w:rPr>
      </w:pPr>
      <w:r>
        <w:rPr>
          <w:rFonts w:ascii="Arial" w:cs="Arial" w:eastAsia="Arial" w:hAnsi="Arial"/>
          <w:sz w:val="19"/>
          <w:szCs w:val="19"/>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our IPO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 shares, it will potentially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200" w:lineRule="exact"/>
        <w:rPr>
          <w:sz w:val="20"/>
          <w:szCs w:val="20"/>
          <w:color w:val="auto"/>
        </w:rPr>
      </w:pPr>
    </w:p>
    <w:p>
      <w:pPr>
        <w:spacing w:after="0" w:line="241" w:lineRule="exact"/>
        <w:rPr>
          <w:sz w:val="20"/>
          <w:szCs w:val="20"/>
          <w:color w:val="auto"/>
        </w:rPr>
      </w:pPr>
    </w:p>
    <w:p>
      <w:pPr>
        <w:ind w:left="180" w:right="60"/>
        <w:spacing w:after="0" w:line="250" w:lineRule="auto"/>
        <w:rPr>
          <w:sz w:val="20"/>
          <w:szCs w:val="20"/>
          <w:color w:val="auto"/>
        </w:rPr>
      </w:pPr>
      <w:r>
        <w:rPr>
          <w:rFonts w:ascii="Arial" w:cs="Arial" w:eastAsia="Arial" w:hAnsi="Arial"/>
          <w:sz w:val="22"/>
          <w:szCs w:val="22"/>
          <w:b w:val="1"/>
          <w:bCs w:val="1"/>
          <w:i w:val="1"/>
          <w:iCs w:val="1"/>
          <w:color w:val="auto"/>
        </w:rPr>
        <w:t>If the funds not being held in the trust account are insufficient to allow us to operate for at least until July 10, 2021, we may be unable to complete our initial business combination.</w:t>
      </w:r>
    </w:p>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The funds available to us outside of the trust account may not be sufficient to allow us to operate for at least until July 10, 2021, assuming that our initial business combination is not completed during that time. We expect to incur significant costs in pursuit of our acquisition plans. Management’s plans to address this need for capital through our IPO and potential loans from certain of our affiliates are discussed in the section of this Annual Report titled “Item 7.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179"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We believe that the funds available to us outside of the trust account, will be sufficient to allow us to operate for at least until July 10, 2021;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ectPr>
          <w:pgSz w:w="11900" w:h="16838" w:orient="portrait"/>
          <w:cols w:equalWidth="0" w:num="1">
            <w:col w:w="11240"/>
          </w:cols>
          <w:pgMar w:left="320" w:top="121" w:right="339" w:bottom="6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79"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60"/>
        <w:spacing w:after="0" w:line="287" w:lineRule="auto"/>
        <w:rPr>
          <w:sz w:val="20"/>
          <w:szCs w:val="20"/>
          <w:color w:val="auto"/>
        </w:rPr>
      </w:pPr>
      <w:r>
        <w:rPr>
          <w:rFonts w:ascii="Arial" w:cs="Arial" w:eastAsia="Arial" w:hAnsi="Arial"/>
          <w:sz w:val="19"/>
          <w:szCs w:val="19"/>
          <w:b w:val="1"/>
          <w:bCs w:val="1"/>
          <w:i w:val="1"/>
          <w:iCs w:val="1"/>
          <w:color w:val="auto"/>
        </w:rPr>
        <w:t>If the net proceeds of our IPO and the sale of the private placement warrants not being held in the trust account are insufficient, it could limit the amount available to fund our search for a target business or businesses and complete our initial business combination and we may depend on loans from our sponsor or management team to fund our search, to pay our taxes and to complete our initial business combination. Our sponsor is not obligated to fund such loans.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Of the net proceeds of our IPO and the sale of the private placement warrants, only approximately $1,000,000 are available to us initially outside the trust account to fund our working capital requirements.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loan funds to, or invest in, us in such circumstances. Any such loans may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shareholders may receive only $10.00 per share, or less in certain circumstances,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91" w:lineRule="exact"/>
        <w:rPr>
          <w:sz w:val="20"/>
          <w:szCs w:val="20"/>
          <w:color w:val="auto"/>
        </w:rPr>
      </w:pPr>
    </w:p>
    <w:p>
      <w:pPr>
        <w:jc w:val="both"/>
        <w:ind w:left="180" w:right="480"/>
        <w:spacing w:after="0" w:line="257" w:lineRule="auto"/>
        <w:rPr>
          <w:sz w:val="20"/>
          <w:szCs w:val="20"/>
          <w:color w:val="auto"/>
        </w:rPr>
      </w:pPr>
      <w:r>
        <w:rPr>
          <w:rFonts w:ascii="Arial" w:cs="Arial" w:eastAsia="Arial" w:hAnsi="Arial"/>
          <w:sz w:val="21"/>
          <w:szCs w:val="21"/>
          <w:b w:val="1"/>
          <w:bCs w:val="1"/>
          <w:i w:val="1"/>
          <w:iCs w:val="1"/>
          <w:color w:val="auto"/>
        </w:rPr>
        <w:t>We may be required to subsequently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96"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 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 or warrant holder who chooses to remain a shareholder or warrant holder following our initial business combination could suffer a reduction in the value of their securities. Such shareholders and warrant holders are unlikely to have a remedy for such reduction in value.</w:t>
      </w:r>
    </w:p>
    <w:p>
      <w:pPr>
        <w:spacing w:after="0" w:line="200" w:lineRule="exact"/>
        <w:rPr>
          <w:sz w:val="20"/>
          <w:szCs w:val="20"/>
          <w:color w:val="auto"/>
        </w:rPr>
      </w:pPr>
    </w:p>
    <w:p>
      <w:pPr>
        <w:spacing w:after="0" w:line="231" w:lineRule="exact"/>
        <w:rPr>
          <w:sz w:val="20"/>
          <w:szCs w:val="20"/>
          <w:color w:val="auto"/>
        </w:rPr>
      </w:pPr>
    </w:p>
    <w:p>
      <w:pPr>
        <w:ind w:left="180" w:right="1020"/>
        <w:spacing w:after="0" w:line="274" w:lineRule="auto"/>
        <w:rPr>
          <w:sz w:val="20"/>
          <w:szCs w:val="20"/>
          <w:color w:val="auto"/>
        </w:rPr>
      </w:pPr>
      <w:r>
        <w:rPr>
          <w:rFonts w:ascii="Arial" w:cs="Arial" w:eastAsia="Arial" w:hAnsi="Arial"/>
          <w:sz w:val="21"/>
          <w:szCs w:val="21"/>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178"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Our placing of funds in the trust account may not protect those funds from third-party claims against us. 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w:t>
      </w:r>
    </w:p>
    <w:p>
      <w:pPr>
        <w:sectPr>
          <w:pgSz w:w="11900" w:h="16838" w:orient="portrait"/>
          <w:cols w:equalWidth="0" w:num="1">
            <w:col w:w="11240"/>
          </w:cols>
          <w:pgMar w:left="320" w:top="121" w:right="3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For example, Marcum LLP, our independent registered public accounting firm and the underwriters of our IPO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share initially held in the trust account, due to claims of such creditors.</w:t>
      </w:r>
    </w:p>
    <w:p>
      <w:pPr>
        <w:spacing w:after="0" w:line="200" w:lineRule="exact"/>
        <w:rPr>
          <w:sz w:val="20"/>
          <w:szCs w:val="20"/>
          <w:color w:val="auto"/>
        </w:rPr>
      </w:pPr>
    </w:p>
    <w:p>
      <w:pPr>
        <w:spacing w:after="0" w:line="235" w:lineRule="exact"/>
        <w:rPr>
          <w:sz w:val="20"/>
          <w:szCs w:val="20"/>
          <w:color w:val="auto"/>
        </w:rPr>
      </w:pPr>
    </w:p>
    <w:p>
      <w:pPr>
        <w:ind w:right="40" w:firstLine="324"/>
        <w:spacing w:after="0" w:line="271" w:lineRule="auto"/>
        <w:rPr>
          <w:sz w:val="20"/>
          <w:szCs w:val="20"/>
          <w:color w:val="auto"/>
        </w:rPr>
      </w:pPr>
      <w:r>
        <w:rPr>
          <w:rFonts w:ascii="Arial" w:cs="Arial" w:eastAsia="Arial" w:hAnsi="Arial"/>
          <w:sz w:val="19"/>
          <w:szCs w:val="19"/>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our IPO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Our sponsor may not have sufficient funds available to satisfy those obligations. We have not asked our sponsor to reserve for such obligations, and therefore, no funds are currently set aside to cover any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84" w:lineRule="exact"/>
        <w:rPr>
          <w:sz w:val="20"/>
          <w:szCs w:val="20"/>
          <w:color w:val="auto"/>
        </w:rPr>
      </w:pPr>
    </w:p>
    <w:p>
      <w:pPr>
        <w:ind w:left="180" w:right="600"/>
        <w:spacing w:after="0" w:line="328" w:lineRule="auto"/>
        <w:rPr>
          <w:sz w:val="20"/>
          <w:szCs w:val="20"/>
          <w:color w:val="auto"/>
        </w:rPr>
      </w:pPr>
      <w:r>
        <w:rPr>
          <w:rFonts w:ascii="Arial" w:cs="Arial" w:eastAsia="Arial" w:hAnsi="Arial"/>
          <w:sz w:val="19"/>
          <w:szCs w:val="19"/>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32"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In the event that the proceeds in the trust account are reduced below the lesser of (1) $10.00 per public share or (2) such lesser amount per share held in the trust account as of the date of the liquidation of the trust account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85" w:lineRule="exact"/>
        <w:rPr>
          <w:sz w:val="20"/>
          <w:szCs w:val="20"/>
          <w:color w:val="auto"/>
        </w:rPr>
      </w:pPr>
    </w:p>
    <w:p>
      <w:pPr>
        <w:ind w:left="180" w:right="420"/>
        <w:spacing w:after="0" w:line="236" w:lineRule="auto"/>
        <w:rPr>
          <w:sz w:val="20"/>
          <w:szCs w:val="20"/>
          <w:color w:val="auto"/>
        </w:rPr>
      </w:pPr>
      <w:r>
        <w:rPr>
          <w:rFonts w:ascii="Arial" w:cs="Arial" w:eastAsia="Arial" w:hAnsi="Arial"/>
          <w:sz w:val="22"/>
          <w:szCs w:val="22"/>
          <w:b w:val="1"/>
          <w:bCs w:val="1"/>
          <w:i w:val="1"/>
          <w:iCs w:val="1"/>
          <w:color w:val="auto"/>
        </w:rPr>
        <w:t>If, after we distribute the proceeds in the trust account to our public shareholders, we file a winding-up or bankruptcy petition or an involuntary winding-up or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firstLine="324"/>
        <w:spacing w:after="0" w:line="279" w:lineRule="auto"/>
        <w:rPr>
          <w:sz w:val="20"/>
          <w:szCs w:val="20"/>
          <w:color w:val="auto"/>
        </w:rPr>
      </w:pPr>
      <w:r>
        <w:rPr>
          <w:rFonts w:ascii="Arial" w:cs="Arial" w:eastAsia="Arial" w:hAnsi="Arial"/>
          <w:sz w:val="19"/>
          <w:szCs w:val="19"/>
          <w:color w:val="auto"/>
        </w:rPr>
        <w:t>If, after we distribute the proceeds in the trust account to our public shareholders,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liquidator could seek to recover some or all amounts received by our 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spacing w:after="0" w:line="177" w:lineRule="exact"/>
        <w:rPr>
          <w:sz w:val="20"/>
          <w:szCs w:val="20"/>
          <w:color w:val="auto"/>
        </w:rPr>
      </w:pPr>
    </w:p>
    <w:p>
      <w:pPr>
        <w:ind w:left="180" w:right="20"/>
        <w:spacing w:after="0" w:line="287" w:lineRule="auto"/>
        <w:rPr>
          <w:sz w:val="20"/>
          <w:szCs w:val="20"/>
          <w:color w:val="auto"/>
        </w:rPr>
      </w:pPr>
      <w:r>
        <w:rPr>
          <w:rFonts w:ascii="Arial" w:cs="Arial" w:eastAsia="Arial" w:hAnsi="Arial"/>
          <w:sz w:val="19"/>
          <w:szCs w:val="19"/>
          <w:b w:val="1"/>
          <w:bCs w:val="1"/>
          <w:i w:val="1"/>
          <w:iCs w:val="1"/>
          <w:color w:val="auto"/>
        </w:rPr>
        <w:t>If, before distributing the proceeds in the trust account to our public shareholders, we file a winding-up or bankruptcy petition or an involuntary winding-up or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70"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If, before distributing the proceeds in the trust account to our public shareholders, we file a winding-up or bankruptcy petition or an involuntary winding-up or bankruptcy petition is filed against us that is not dismissed, the proceeds held in the trust account could be subject to applicable insolvency law, and may be included in our liquidation estate and subject to the claims of third parties with priority over the claims of our shareholders. To the extent any liquidation claims deplete the trust account, the per-share amount that would otherwise be received by our shareholders in connection with our liquidation would be reduced.</w:t>
      </w:r>
    </w:p>
    <w:p>
      <w:pPr>
        <w:spacing w:after="0" w:line="174" w:lineRule="exact"/>
        <w:rPr>
          <w:sz w:val="20"/>
          <w:szCs w:val="20"/>
          <w:color w:val="auto"/>
        </w:rPr>
      </w:pPr>
    </w:p>
    <w:p>
      <w:pPr>
        <w:ind w:left="180" w:right="320"/>
        <w:spacing w:after="0"/>
        <w:rPr>
          <w:sz w:val="20"/>
          <w:szCs w:val="20"/>
          <w:color w:val="auto"/>
        </w:rPr>
      </w:pPr>
      <w:r>
        <w:rPr>
          <w:rFonts w:ascii="Arial" w:cs="Arial" w:eastAsia="Arial" w:hAnsi="Arial"/>
          <w:sz w:val="22"/>
          <w:szCs w:val="22"/>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213" w:lineRule="exact"/>
        <w:rPr>
          <w:sz w:val="20"/>
          <w:szCs w:val="20"/>
          <w:color w:val="auto"/>
        </w:rPr>
      </w:pPr>
    </w:p>
    <w:p>
      <w:pPr>
        <w:ind w:right="840" w:firstLine="324"/>
        <w:spacing w:after="0" w:line="250" w:lineRule="auto"/>
        <w:rPr>
          <w:sz w:val="20"/>
          <w:szCs w:val="20"/>
          <w:color w:val="auto"/>
        </w:rPr>
      </w:pPr>
      <w:r>
        <w:rPr>
          <w:rFonts w:ascii="Arial" w:cs="Arial" w:eastAsia="Arial" w:hAnsi="Arial"/>
          <w:sz w:val="22"/>
          <w:szCs w:val="22"/>
          <w:color w:val="auto"/>
        </w:rPr>
        <w:t>If we are deemed to be an investment company under the Investment Company Act, our activities may be restricted, including:</w:t>
      </w:r>
    </w:p>
    <w:p>
      <w:pPr>
        <w:spacing w:after="0" w:line="20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each of which may make it difficult for us to complete our initial business combination.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 addition, we may have imposed upon us burdensome requirements, including:</w:t>
      </w:r>
    </w:p>
    <w:p>
      <w:pPr>
        <w:spacing w:after="0" w:line="24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256"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We do not believe that our principal activities will subject us to the Investment Company Act. The proceeds held in the trust account may be invested by the trustee only in U.S. government treasury bills with a maturity of 180 days or less or in money market funds investing solely in U.S. Treasuries and meeting certain conditions under Rule 2a-7 under the Investment Company Act. Because the investment of the proceeds will be restricted to these instruments, we believe we will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380"/>
        <w:spacing w:after="0" w:line="328" w:lineRule="auto"/>
        <w:rPr>
          <w:sz w:val="20"/>
          <w:szCs w:val="20"/>
          <w:color w:val="auto"/>
        </w:rPr>
      </w:pPr>
      <w:r>
        <w:rPr>
          <w:rFonts w:ascii="Arial" w:cs="Arial" w:eastAsia="Arial" w:hAnsi="Arial"/>
          <w:sz w:val="19"/>
          <w:szCs w:val="19"/>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32"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 See “—Risks Relating to the Cannabis Industry” for additional risks we may face in connection with our initial business combination.</w:t>
      </w:r>
    </w:p>
    <w:p>
      <w:pPr>
        <w:spacing w:after="0" w:line="179" w:lineRule="exact"/>
        <w:rPr>
          <w:sz w:val="20"/>
          <w:szCs w:val="20"/>
          <w:color w:val="auto"/>
        </w:rPr>
      </w:pPr>
    </w:p>
    <w:p>
      <w:pPr>
        <w:ind w:left="180"/>
        <w:spacing w:after="0" w:line="250" w:lineRule="auto"/>
        <w:rPr>
          <w:sz w:val="20"/>
          <w:szCs w:val="20"/>
          <w:color w:val="auto"/>
        </w:rPr>
      </w:pPr>
      <w:r>
        <w:rPr>
          <w:rFonts w:ascii="Arial" w:cs="Arial" w:eastAsia="Arial" w:hAnsi="Arial"/>
          <w:sz w:val="22"/>
          <w:szCs w:val="22"/>
          <w:b w:val="1"/>
          <w:bCs w:val="1"/>
          <w:i w:val="1"/>
          <w:iCs w:val="1"/>
          <w:color w:val="auto"/>
        </w:rPr>
        <w:t>If we are unable to consummate our initial business combination by July 10, 2021, our public shareholders may be forced to wait beyond July 10, 2021 before redemption from our trust account.</w:t>
      </w:r>
    </w:p>
    <w:p>
      <w:pPr>
        <w:spacing w:after="0" w:line="202" w:lineRule="exact"/>
        <w:rPr>
          <w:sz w:val="20"/>
          <w:szCs w:val="20"/>
          <w:color w:val="auto"/>
        </w:rPr>
      </w:pPr>
    </w:p>
    <w:p>
      <w:pPr>
        <w:ind w:right="20" w:firstLine="324"/>
        <w:spacing w:after="0" w:line="271" w:lineRule="auto"/>
        <w:rPr>
          <w:sz w:val="20"/>
          <w:szCs w:val="20"/>
          <w:color w:val="auto"/>
        </w:rPr>
      </w:pPr>
      <w:r>
        <w:rPr>
          <w:rFonts w:ascii="Arial" w:cs="Arial" w:eastAsia="Arial" w:hAnsi="Arial"/>
          <w:sz w:val="19"/>
          <w:szCs w:val="19"/>
          <w:color w:val="auto"/>
        </w:rPr>
        <w:t>If we are unable to consummate our initial business combination by July 10, 2021, we will distribute the aggregate amount then on deposit in the trust account, including interest (less up to $100,000 of interest to pay dissolution expenses and which interest shall be net of taxes payable), pro rata to our public shareholders by way of redemption and cease all operations except for the purposes of winding up of our affairs, as further described herein. Any redemption of public shareholders from the trust account shall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July 10, 2021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then only in cases where investors have properly sought to redeem their Class A ordinary shares. Only upon our redemption or any liquidation will public shareholders be entitled to distributions if we are unable to complete our initial business combination and do not amend certain provisions of our amended and restated memorandum and articles of association prior thereto.</w:t>
      </w:r>
    </w:p>
    <w:p>
      <w:pPr>
        <w:spacing w:after="0" w:line="187" w:lineRule="exact"/>
        <w:rPr>
          <w:sz w:val="20"/>
          <w:szCs w:val="20"/>
          <w:color w:val="auto"/>
        </w:rPr>
      </w:pPr>
    </w:p>
    <w:p>
      <w:pPr>
        <w:ind w:left="180" w:right="420"/>
        <w:spacing w:after="0" w:line="250" w:lineRule="auto"/>
        <w:rPr>
          <w:sz w:val="20"/>
          <w:szCs w:val="20"/>
          <w:color w:val="auto"/>
        </w:rPr>
      </w:pPr>
      <w:r>
        <w:rPr>
          <w:rFonts w:ascii="Arial" w:cs="Arial" w:eastAsia="Arial" w:hAnsi="Arial"/>
          <w:sz w:val="22"/>
          <w:szCs w:val="22"/>
          <w:b w:val="1"/>
          <w:bCs w:val="1"/>
          <w:i w:val="1"/>
          <w:iCs w:val="1"/>
          <w:color w:val="auto"/>
        </w:rPr>
        <w:t>Our shareholders may be held liable for claims by third parties against us to the extent of distributions received by them upon redemption of their shares.</w:t>
      </w:r>
    </w:p>
    <w:p>
      <w:pPr>
        <w:spacing w:after="0" w:line="202" w:lineRule="exact"/>
        <w:rPr>
          <w:sz w:val="20"/>
          <w:szCs w:val="20"/>
          <w:color w:val="auto"/>
        </w:rPr>
      </w:pPr>
    </w:p>
    <w:p>
      <w:pPr>
        <w:ind w:right="160" w:firstLine="324"/>
        <w:spacing w:after="0" w:line="274" w:lineRule="auto"/>
        <w:rPr>
          <w:sz w:val="20"/>
          <w:szCs w:val="20"/>
          <w:color w:val="auto"/>
        </w:rPr>
      </w:pPr>
      <w:r>
        <w:rPr>
          <w:rFonts w:ascii="Arial" w:cs="Arial" w:eastAsia="Arial" w:hAnsi="Arial"/>
          <w:sz w:val="19"/>
          <w:szCs w:val="19"/>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up to $18,293 and to imprisonment for five years in the Cayman Islands.</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not hold an annual general meeting of shareholders until after the completion of our initial business combination.</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public shareholders will not have the right to elect directors prior to the consummation of our Business Combination.</w:t>
      </w:r>
    </w:p>
    <w:p>
      <w:pPr>
        <w:spacing w:after="0" w:line="250" w:lineRule="exact"/>
        <w:rPr>
          <w:sz w:val="20"/>
          <w:szCs w:val="20"/>
          <w:color w:val="auto"/>
        </w:rPr>
      </w:pPr>
    </w:p>
    <w:p>
      <w:pPr>
        <w:ind w:right="120" w:firstLine="324"/>
        <w:spacing w:after="0" w:line="234" w:lineRule="auto"/>
        <w:rPr>
          <w:sz w:val="20"/>
          <w:szCs w:val="20"/>
          <w:color w:val="auto"/>
        </w:rPr>
      </w:pPr>
      <w:r>
        <w:rPr>
          <w:rFonts w:ascii="Arial" w:cs="Arial" w:eastAsia="Arial" w:hAnsi="Arial"/>
          <w:sz w:val="22"/>
          <w:szCs w:val="22"/>
          <w:color w:val="auto"/>
        </w:rPr>
        <w:t>In accordance with Nasdaq corporate governance requirements, we are not required to hold an annual meeting until one year after our first fiscal year-end following our listing on Nasdaq. There is no requirement under the Companies Act for us to hold annual or general meetings to elect directors. Until we hold an annual general meeting of shareholders, public shareholders may not be afforded the opportunity to discuss company affairs with management. As holders of our Class A ordinary shares, our public shareholders also will not have the right to vote on the election of directors prior to completion of our initial business combination. In addition, holders of a majority of our founder shares may remove a member of the board of directors for any reason.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left="180" w:right="300"/>
        <w:spacing w:after="0" w:line="238" w:lineRule="auto"/>
        <w:rPr>
          <w:sz w:val="20"/>
          <w:szCs w:val="20"/>
          <w:color w:val="auto"/>
        </w:rPr>
      </w:pPr>
      <w:r>
        <w:rPr>
          <w:rFonts w:ascii="Arial" w:cs="Arial" w:eastAsia="Arial" w:hAnsi="Arial"/>
          <w:sz w:val="22"/>
          <w:szCs w:val="22"/>
          <w:b w:val="1"/>
          <w:bCs w:val="1"/>
          <w:i w:val="1"/>
          <w:i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212"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color w:val="auto"/>
        </w:rPr>
        <w:t>We are not registering the Class A ordinary shares issuable upon exercise of the warrants under the Securities Act or any state securities laws at this time. However, under the terms of the warrant agreement, we have agreed, as soon as practicable, but in no event later than 15 business days after the closing of our initial business combination, to use our reasonable best efforts to file a registration statement under the Securities Act covering the issuance of such shares, to use our reasonable best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ordinary shares are, at the time of any exercise of a warrant, not listed on a national securities exchange such that they do not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If and when the warrants become redeemable by us, we may exercise our redemption right even if we are unable to register or qualify the underlying Class A ordinary shares for sale under all applicable state securities laws.</w:t>
      </w:r>
    </w:p>
    <w:p>
      <w:pPr>
        <w:spacing w:after="0" w:line="200" w:lineRule="exact"/>
        <w:rPr>
          <w:sz w:val="20"/>
          <w:szCs w:val="20"/>
          <w:color w:val="auto"/>
        </w:rPr>
      </w:pPr>
    </w:p>
    <w:p>
      <w:pPr>
        <w:spacing w:after="0" w:line="237" w:lineRule="exact"/>
        <w:rPr>
          <w:sz w:val="20"/>
          <w:szCs w:val="20"/>
          <w:color w:val="auto"/>
        </w:rPr>
      </w:pPr>
    </w:p>
    <w:p>
      <w:pPr>
        <w:ind w:left="180" w:right="320"/>
        <w:spacing w:after="0"/>
        <w:rPr>
          <w:sz w:val="20"/>
          <w:szCs w:val="20"/>
          <w:color w:val="auto"/>
        </w:rPr>
      </w:pPr>
      <w:r>
        <w:rPr>
          <w:rFonts w:ascii="Arial" w:cs="Arial" w:eastAsia="Arial" w:hAnsi="Arial"/>
          <w:sz w:val="22"/>
          <w:szCs w:val="22"/>
          <w:b w:val="1"/>
          <w:bCs w:val="1"/>
          <w:i w:val="1"/>
          <w:iCs w:val="1"/>
          <w:color w:val="auto"/>
        </w:rPr>
        <w:t>The grant of registration rights to our initial shareholders and their permitted transferees may make it more difficult to complete our initial business combination, and the future exercise of such rights may adversely affect the market price of our Class A ordinary shares.</w:t>
      </w:r>
    </w:p>
    <w:p>
      <w:pPr>
        <w:spacing w:after="0" w:line="213" w:lineRule="exact"/>
        <w:rPr>
          <w:sz w:val="20"/>
          <w:szCs w:val="20"/>
          <w:color w:val="auto"/>
        </w:rPr>
      </w:pPr>
    </w:p>
    <w:p>
      <w:pPr>
        <w:ind w:right="20" w:firstLine="324"/>
        <w:spacing w:after="0" w:line="244" w:lineRule="auto"/>
        <w:rPr>
          <w:sz w:val="20"/>
          <w:szCs w:val="20"/>
          <w:color w:val="auto"/>
        </w:rPr>
      </w:pPr>
      <w:r>
        <w:rPr>
          <w:rFonts w:ascii="Arial" w:cs="Arial" w:eastAsia="Arial" w:hAnsi="Arial"/>
          <w:sz w:val="21"/>
          <w:szCs w:val="21"/>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are entitled to registration rights pursuant to a registration rights agreement requiring us to register such securities for resale.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Class A ordinary shares owned by our initial shareholders or their permitted transferees, our private placement warrants or warrants issued in connection with working capital loans are registered for resale.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540"/>
        <w:spacing w:after="0" w:line="359" w:lineRule="auto"/>
        <w:rPr>
          <w:sz w:val="20"/>
          <w:szCs w:val="20"/>
          <w:color w:val="auto"/>
        </w:rPr>
      </w:pPr>
      <w:r>
        <w:rPr>
          <w:rFonts w:ascii="Arial" w:cs="Arial" w:eastAsia="Arial" w:hAnsi="Arial"/>
          <w:sz w:val="18"/>
          <w:szCs w:val="18"/>
          <w:b w:val="1"/>
          <w:bCs w:val="1"/>
          <w:i w:val="1"/>
          <w:iCs w:val="1"/>
          <w:color w:val="auto"/>
        </w:rPr>
        <w:t>Because we are not limited to a particular industry or any specific target businesses with which to pursue our initial business combination, you will be unable to ascertain the merits or risks of any particular target business’s operations.</w:t>
      </w:r>
    </w:p>
    <w:p>
      <w:pPr>
        <w:spacing w:after="0" w:line="110"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may consummate a business combination with a company in any industry we choose and are not limited to any particular industry or type of business, although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early stages of development or growth, we may be affected by numerous risks inherent in the business operations of those entities. If we complete a business combination with an entity in an industry characterized by a high level of risk, including the cannabis industry,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than a direct investment, if an opportunity were available, in a target business. See “—Risks Relating to the Cannabis Industry” for additional risks we may face in connection with our initial business combination.</w:t>
      </w:r>
    </w:p>
    <w:p>
      <w:pPr>
        <w:spacing w:after="0" w:line="200" w:lineRule="exact"/>
        <w:rPr>
          <w:sz w:val="20"/>
          <w:szCs w:val="20"/>
          <w:color w:val="auto"/>
        </w:rPr>
      </w:pPr>
    </w:p>
    <w:p>
      <w:pPr>
        <w:spacing w:after="0" w:line="234" w:lineRule="exact"/>
        <w:rPr>
          <w:sz w:val="20"/>
          <w:szCs w:val="20"/>
          <w:color w:val="auto"/>
        </w:rPr>
      </w:pPr>
    </w:p>
    <w:p>
      <w:pPr>
        <w:ind w:left="180" w:right="980"/>
        <w:spacing w:after="0" w:line="250" w:lineRule="auto"/>
        <w:rPr>
          <w:sz w:val="20"/>
          <w:szCs w:val="20"/>
          <w:color w:val="auto"/>
        </w:rPr>
      </w:pPr>
      <w:r>
        <w:rPr>
          <w:rFonts w:ascii="Arial" w:cs="Arial" w:eastAsia="Arial" w:hAnsi="Arial"/>
          <w:sz w:val="22"/>
          <w:szCs w:val="22"/>
          <w:b w:val="1"/>
          <w:bCs w:val="1"/>
          <w:i w:val="1"/>
          <w:iCs w:val="1"/>
          <w:color w:val="auto"/>
        </w:rPr>
        <w:t>Past performance by our management team and their affiliates may not be indicative of future performance of an investment in the Company.</w:t>
      </w:r>
    </w:p>
    <w:p>
      <w:pPr>
        <w:spacing w:after="0" w:line="202"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color w:val="auto"/>
        </w:rPr>
        <w:t>Information regarding performance by our management team and their affiliates is presented for informational purposes only. Past performance by our management team and their affiliates is not a guarantee either (1) that we will be able to identify a suitable candidate for our initial business combination or (2) of success with respect to any business combination we may consummate. You should not rely on the historical record of our management team and their affiliates as indicative of our future performance of an investment in the company or the returns the company will, or is likely to, generate going forward.</w:t>
      </w:r>
    </w:p>
    <w:p>
      <w:pPr>
        <w:spacing w:after="0" w:line="174" w:lineRule="exact"/>
        <w:rPr>
          <w:sz w:val="20"/>
          <w:szCs w:val="20"/>
          <w:color w:val="auto"/>
        </w:rPr>
      </w:pPr>
    </w:p>
    <w:p>
      <w:pPr>
        <w:ind w:left="180" w:right="100"/>
        <w:spacing w:after="0" w:line="252" w:lineRule="auto"/>
        <w:rPr>
          <w:sz w:val="20"/>
          <w:szCs w:val="20"/>
          <w:color w:val="auto"/>
        </w:rPr>
      </w:pPr>
      <w:r>
        <w:rPr>
          <w:rFonts w:ascii="Arial" w:cs="Arial" w:eastAsia="Arial" w:hAnsi="Arial"/>
          <w:sz w:val="21"/>
          <w:szCs w:val="21"/>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201" w:lineRule="exact"/>
        <w:rPr>
          <w:sz w:val="20"/>
          <w:szCs w:val="20"/>
          <w:color w:val="auto"/>
        </w:rPr>
      </w:pPr>
    </w:p>
    <w:p>
      <w:pPr>
        <w:ind w:right="60" w:firstLine="324"/>
        <w:spacing w:after="0" w:line="272" w:lineRule="auto"/>
        <w:rPr>
          <w:sz w:val="20"/>
          <w:szCs w:val="20"/>
          <w:color w:val="auto"/>
        </w:rPr>
      </w:pPr>
      <w:r>
        <w:rPr>
          <w:rFonts w:ascii="Arial" w:cs="Arial" w:eastAsia="Arial" w:hAnsi="Arial"/>
          <w:sz w:val="19"/>
          <w:szCs w:val="19"/>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88" w:lineRule="exact"/>
        <w:rPr>
          <w:sz w:val="20"/>
          <w:szCs w:val="20"/>
          <w:color w:val="auto"/>
        </w:rPr>
      </w:pPr>
    </w:p>
    <w:p>
      <w:pPr>
        <w:ind w:left="180" w:right="160"/>
        <w:spacing w:after="0" w:line="250" w:lineRule="auto"/>
        <w:rPr>
          <w:sz w:val="20"/>
          <w:szCs w:val="20"/>
          <w:color w:val="auto"/>
        </w:rPr>
      </w:pPr>
      <w:r>
        <w:rPr>
          <w:rFonts w:ascii="Arial" w:cs="Arial" w:eastAsia="Arial" w:hAnsi="Arial"/>
          <w:sz w:val="22"/>
          <w:szCs w:val="22"/>
          <w:b w:val="1"/>
          <w:bCs w:val="1"/>
          <w:i w:val="1"/>
          <w:iCs w:val="1"/>
          <w:color w:val="auto"/>
        </w:rPr>
        <w:t>We may seek acquisition opportunities with an early stage company, a financially unstable business or an entity lacking an established record of revenue or earnings.</w:t>
      </w:r>
    </w:p>
    <w:p>
      <w:pPr>
        <w:spacing w:after="0" w:line="202" w:lineRule="exact"/>
        <w:rPr>
          <w:sz w:val="20"/>
          <w:szCs w:val="20"/>
          <w:color w:val="auto"/>
        </w:rPr>
      </w:pPr>
    </w:p>
    <w:p>
      <w:pPr>
        <w:ind w:right="60" w:firstLine="324"/>
        <w:spacing w:after="0" w:line="275" w:lineRule="auto"/>
        <w:rPr>
          <w:sz w:val="20"/>
          <w:szCs w:val="20"/>
          <w:color w:val="auto"/>
        </w:rPr>
      </w:pPr>
      <w:r>
        <w:rPr>
          <w:rFonts w:ascii="Arial" w:cs="Arial" w:eastAsia="Arial" w:hAnsi="Arial"/>
          <w:sz w:val="19"/>
          <w:szCs w:val="19"/>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80"/>
        <w:spacing w:after="0"/>
        <w:rPr>
          <w:sz w:val="20"/>
          <w:szCs w:val="20"/>
          <w:color w:val="auto"/>
        </w:rPr>
      </w:pPr>
      <w:r>
        <w:rPr>
          <w:rFonts w:ascii="Arial" w:cs="Arial" w:eastAsia="Arial" w:hAnsi="Arial"/>
          <w:sz w:val="22"/>
          <w:szCs w:val="22"/>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company from a financial point of view.</w:t>
      </w:r>
    </w:p>
    <w:p>
      <w:pPr>
        <w:spacing w:after="0" w:line="213" w:lineRule="exact"/>
        <w:rPr>
          <w:sz w:val="20"/>
          <w:szCs w:val="20"/>
          <w:color w:val="auto"/>
        </w:rPr>
      </w:pPr>
    </w:p>
    <w:p>
      <w:pPr>
        <w:ind w:right="140" w:firstLine="324"/>
        <w:spacing w:after="0" w:line="235" w:lineRule="auto"/>
        <w:rPr>
          <w:sz w:val="20"/>
          <w:szCs w:val="20"/>
          <w:color w:val="auto"/>
        </w:rPr>
      </w:pPr>
      <w:r>
        <w:rPr>
          <w:rFonts w:ascii="Arial" w:cs="Arial" w:eastAsia="Arial" w:hAnsi="Arial"/>
          <w:sz w:val="22"/>
          <w:szCs w:val="22"/>
          <w:color w:val="auto"/>
        </w:rPr>
        <w:t>Unless we complete our initial business combination with an affiliated entity, we are not required to obtain an opinion from an independent investment banking firm, or from an independent accounting firm,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215" w:lineRule="exact"/>
        <w:rPr>
          <w:sz w:val="20"/>
          <w:szCs w:val="20"/>
          <w:color w:val="auto"/>
        </w:rPr>
      </w:pPr>
    </w:p>
    <w:p>
      <w:pPr>
        <w:ind w:left="180" w:right="80"/>
        <w:spacing w:after="0" w:line="301" w:lineRule="auto"/>
        <w:rPr>
          <w:sz w:val="20"/>
          <w:szCs w:val="20"/>
          <w:color w:val="auto"/>
        </w:rPr>
      </w:pPr>
      <w:r>
        <w:rPr>
          <w:rFonts w:ascii="Arial" w:cs="Arial" w:eastAsia="Arial" w:hAnsi="Arial"/>
          <w:sz w:val="18"/>
          <w:szCs w:val="18"/>
          <w:b w:val="1"/>
          <w:bCs w:val="1"/>
          <w:i w:val="1"/>
          <w:i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substantially dilute the interest of our shareholders and likely present other risks.</w:t>
      </w:r>
    </w:p>
    <w:p>
      <w:pPr>
        <w:spacing w:after="0" w:line="160"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Our amended and restated memorandum and articles of association authorize the issuance of ordinary shares, including 200,000,000 Class A ordinary shares, par value $0.0001 per share, and 20,000,000 Class B ordinary shares, par value $0.0001 per share, as well as 1,000,000 preferred shares, par value $0.0001. There are 155,500,000 and 13,750,000 authorized but unissued Class A ordinary shares and Class B ordinary shares, respectively, available for issuance, which amount takes into account shares reserved for issuance upon exercise of outstanding warrants, and 1,000,000 authorized but unissued preferred shares available for issuance.</w:t>
      </w:r>
    </w:p>
    <w:p>
      <w:pPr>
        <w:spacing w:after="0" w:line="215" w:lineRule="exact"/>
        <w:rPr>
          <w:sz w:val="20"/>
          <w:szCs w:val="20"/>
          <w:color w:val="auto"/>
        </w:rPr>
      </w:pPr>
    </w:p>
    <w:p>
      <w:pPr>
        <w:ind w:right="60" w:firstLine="324"/>
        <w:spacing w:after="0" w:line="245" w:lineRule="auto"/>
        <w:rPr>
          <w:sz w:val="20"/>
          <w:szCs w:val="20"/>
          <w:color w:val="auto"/>
        </w:rPr>
      </w:pPr>
      <w:r>
        <w:rPr>
          <w:rFonts w:ascii="Arial" w:cs="Arial" w:eastAsia="Arial" w:hAnsi="Arial"/>
          <w:sz w:val="21"/>
          <w:szCs w:val="21"/>
          <w:color w:val="auto"/>
        </w:rPr>
        <w:t>We may issue a substantial number of additional Class A ordinary shares, and may issue preferred shares, in order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provides, among other things, that 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July 10, 2021 or (y) amend the foregoing provisions. The issuance of additional ordinary shares or preferred shares:</w:t>
      </w:r>
    </w:p>
    <w:p>
      <w:pPr>
        <w:spacing w:after="0" w:line="21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IPO;</w:t>
      </w:r>
    </w:p>
    <w:p>
      <w:pPr>
        <w:spacing w:after="0" w:line="25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197"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320"/>
        <w:spacing w:after="0" w:line="250" w:lineRule="auto"/>
        <w:rPr>
          <w:sz w:val="20"/>
          <w:szCs w:val="20"/>
          <w:color w:val="auto"/>
        </w:rPr>
      </w:pPr>
      <w:r>
        <w:rPr>
          <w:rFonts w:ascii="Arial" w:cs="Arial" w:eastAsia="Arial" w:hAnsi="Arial"/>
          <w:sz w:val="22"/>
          <w:szCs w:val="22"/>
          <w:b w:val="1"/>
          <w:bCs w:val="1"/>
          <w:i w:val="1"/>
          <w:iCs w:val="1"/>
          <w:color w:val="auto"/>
        </w:rPr>
        <w:t>Unlike certain other blank check companies, our initial shareholder will receive additional Class A ordinary shares if we issue shares to consummate an initial business combination.</w:t>
      </w:r>
    </w:p>
    <w:p>
      <w:pPr>
        <w:spacing w:after="0" w:line="202"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our IPO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our IPO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 This is different than certain other blank check companies in which the initial shareholder will only be issued an aggregate of 20% of the total number of shares to be outstanding prior to our initial business combination.</w:t>
      </w:r>
    </w:p>
    <w:p>
      <w:pPr>
        <w:spacing w:after="0" w:line="183" w:lineRule="exact"/>
        <w:rPr>
          <w:sz w:val="20"/>
          <w:szCs w:val="20"/>
          <w:color w:val="auto"/>
        </w:rPr>
      </w:pPr>
    </w:p>
    <w:p>
      <w:pPr>
        <w:ind w:left="180" w:right="280"/>
        <w:spacing w:after="0" w:line="250" w:lineRule="auto"/>
        <w:rPr>
          <w:sz w:val="20"/>
          <w:szCs w:val="20"/>
          <w:color w:val="auto"/>
        </w:rPr>
      </w:pPr>
      <w:r>
        <w:rPr>
          <w:rFonts w:ascii="Arial" w:cs="Arial" w:eastAsia="Arial" w:hAnsi="Arial"/>
          <w:sz w:val="22"/>
          <w:szCs w:val="22"/>
          <w:b w:val="1"/>
          <w:bCs w:val="1"/>
          <w:i w:val="1"/>
          <w:iCs w:val="1"/>
          <w:color w:val="auto"/>
        </w:rPr>
        <w:t>We may be a passive foreign investment company, or “PFIC,” which could result in adverse United States federal income tax consequences to U.S. investors.</w:t>
      </w:r>
    </w:p>
    <w:p>
      <w:pPr>
        <w:spacing w:after="0" w:line="202" w:lineRule="exact"/>
        <w:rPr>
          <w:sz w:val="20"/>
          <w:szCs w:val="20"/>
          <w:color w:val="auto"/>
        </w:rPr>
      </w:pPr>
    </w:p>
    <w:p>
      <w:pPr>
        <w:ind w:right="100" w:firstLine="324"/>
        <w:spacing w:after="0" w:line="244" w:lineRule="auto"/>
        <w:rPr>
          <w:sz w:val="20"/>
          <w:szCs w:val="20"/>
          <w:color w:val="auto"/>
        </w:rPr>
      </w:pPr>
      <w:r>
        <w:rPr>
          <w:rFonts w:ascii="Arial" w:cs="Arial" w:eastAsia="Arial" w:hAnsi="Arial"/>
          <w:sz w:val="21"/>
          <w:szCs w:val="21"/>
          <w:color w:val="auto"/>
        </w:rPr>
        <w:t>If we are a PFIC for any taxable year (or portion thereof) that is included in the holding period of a U.S. Holder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w:t>
      </w:r>
    </w:p>
    <w:p>
      <w:pPr>
        <w:spacing w:after="0" w:line="210" w:lineRule="exact"/>
        <w:rPr>
          <w:sz w:val="20"/>
          <w:szCs w:val="20"/>
          <w:color w:val="auto"/>
        </w:rPr>
      </w:pPr>
    </w:p>
    <w:p>
      <w:pPr>
        <w:ind w:left="180" w:right="60"/>
        <w:spacing w:after="0" w:line="250" w:lineRule="auto"/>
        <w:rPr>
          <w:sz w:val="20"/>
          <w:szCs w:val="20"/>
          <w:color w:val="auto"/>
        </w:rPr>
      </w:pPr>
      <w:r>
        <w:rPr>
          <w:rFonts w:ascii="Arial" w:cs="Arial" w:eastAsia="Arial" w:hAnsi="Arial"/>
          <w:sz w:val="22"/>
          <w:szCs w:val="22"/>
          <w:b w:val="1"/>
          <w:bCs w:val="1"/>
          <w:i w:val="1"/>
          <w:iCs w:val="1"/>
          <w:color w:val="auto"/>
        </w:rPr>
        <w:t>We may reincorporate in another jurisdiction in connection with our initial business combination and such reincorporation may result in taxes imposed on shareholders.</w:t>
      </w:r>
    </w:p>
    <w:p>
      <w:pPr>
        <w:spacing w:after="0" w:line="202"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We may, in connection with our initial business combination and subject to requisite shareholder approval under the Companies Act,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215" w:lineRule="exact"/>
        <w:rPr>
          <w:sz w:val="20"/>
          <w:szCs w:val="20"/>
          <w:color w:val="auto"/>
        </w:rPr>
      </w:pPr>
    </w:p>
    <w:p>
      <w:pPr>
        <w:ind w:left="180" w:right="40"/>
        <w:spacing w:after="0" w:line="287" w:lineRule="auto"/>
        <w:rPr>
          <w:sz w:val="20"/>
          <w:szCs w:val="20"/>
          <w:color w:val="auto"/>
        </w:rPr>
      </w:pPr>
      <w:r>
        <w:rPr>
          <w:rFonts w:ascii="Arial" w:cs="Arial" w:eastAsia="Arial" w:hAnsi="Arial"/>
          <w:sz w:val="19"/>
          <w:szCs w:val="19"/>
          <w:b w:val="1"/>
          <w:bCs w:val="1"/>
          <w:i w:val="1"/>
          <w:iCs w:val="1"/>
          <w:color w:val="auto"/>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receive only approximately $10.00 per share, or less than such amount in certain circumstances, on the liquidation of our trust account and our warrants will expire worthless.</w:t>
      </w:r>
    </w:p>
    <w:p>
      <w:pPr>
        <w:spacing w:after="0" w:line="170"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receive only approximately $10.00 per share, or less in certain circumstances, on the liquidation of our trust account and our warrants will expire worthless.</w:t>
      </w:r>
    </w:p>
    <w:p>
      <w:pPr>
        <w:sectPr>
          <w:pgSz w:w="11900" w:h="16838" w:orient="portrait"/>
          <w:cols w:equalWidth="0" w:num="1">
            <w:col w:w="11220"/>
          </w:cols>
          <w:pgMar w:left="320" w:top="121" w:right="35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are dependent upon our officers and directors and their departure could adversely affect our ability to operate.</w:t>
      </w:r>
    </w:p>
    <w:p>
      <w:pPr>
        <w:spacing w:after="0" w:line="268"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Our operations are dependent upon a relatively small group of individuals – in particular, Scott Gordon, our Chief Executive Officer and Chairman of our board of directors, William Healy, our President and a member of our board of directors, and Greg Gentile, our Chief Financial Officer.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Moreover, certain of our officers and directors have time and attention requirements for investment funds of which affiliates of our sponsor are the investment managers. We do not have an employment agreement with, or key-man insurance on the life of, any of our directors or officers. The unexpected loss of the services of one or more of our directors or officers could have a detrimental effect on us.</w:t>
      </w:r>
    </w:p>
    <w:p>
      <w:pPr>
        <w:spacing w:after="0" w:line="208" w:lineRule="exact"/>
        <w:rPr>
          <w:sz w:val="20"/>
          <w:szCs w:val="20"/>
          <w:color w:val="auto"/>
        </w:rPr>
      </w:pPr>
    </w:p>
    <w:p>
      <w:pPr>
        <w:ind w:left="180" w:right="60"/>
        <w:spacing w:after="0" w:line="297" w:lineRule="auto"/>
        <w:rPr>
          <w:sz w:val="20"/>
          <w:szCs w:val="20"/>
          <w:color w:val="auto"/>
        </w:rPr>
      </w:pPr>
      <w:r>
        <w:rPr>
          <w:rFonts w:ascii="Arial" w:cs="Arial" w:eastAsia="Arial" w:hAnsi="Arial"/>
          <w:sz w:val="19"/>
          <w:szCs w:val="19"/>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61"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79"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79" w:lineRule="exact"/>
        <w:rPr>
          <w:sz w:val="20"/>
          <w:szCs w:val="20"/>
          <w:color w:val="auto"/>
        </w:rPr>
      </w:pPr>
    </w:p>
    <w:p>
      <w:pPr>
        <w:ind w:left="180" w:right="480"/>
        <w:spacing w:after="0" w:line="252" w:lineRule="auto"/>
        <w:rPr>
          <w:sz w:val="20"/>
          <w:szCs w:val="20"/>
          <w:color w:val="auto"/>
        </w:rPr>
      </w:pPr>
      <w:r>
        <w:rPr>
          <w:rFonts w:ascii="Arial" w:cs="Arial" w:eastAsia="Arial" w:hAnsi="Arial"/>
          <w:sz w:val="21"/>
          <w:szCs w:val="21"/>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201"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Our key personnel may be able to remain with the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our initial business combination. The personal and financial interests of such individuals may influence their motivation in identifying and selecting a target business, subject to their fiduciary duties under Cayman Islands law.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60"/>
        <w:spacing w:after="0"/>
        <w:rPr>
          <w:sz w:val="20"/>
          <w:szCs w:val="20"/>
          <w:color w:val="auto"/>
        </w:rPr>
      </w:pPr>
      <w:r>
        <w:rPr>
          <w:rFonts w:ascii="Arial" w:cs="Arial" w:eastAsia="Arial" w:hAnsi="Arial"/>
          <w:sz w:val="22"/>
          <w:szCs w:val="22"/>
          <w:b w:val="1"/>
          <w:bCs w:val="1"/>
          <w:i w:val="1"/>
          <w:iCs w:val="1"/>
          <w:color w:val="auto"/>
        </w:rPr>
        <w:t>We may have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213" w:lineRule="exact"/>
        <w:rPr>
          <w:sz w:val="20"/>
          <w:szCs w:val="20"/>
          <w:color w:val="auto"/>
        </w:rPr>
      </w:pPr>
    </w:p>
    <w:p>
      <w:pPr>
        <w:ind w:right="40" w:firstLine="324"/>
        <w:spacing w:after="0" w:line="246" w:lineRule="auto"/>
        <w:rPr>
          <w:sz w:val="20"/>
          <w:szCs w:val="20"/>
          <w:color w:val="auto"/>
        </w:rPr>
      </w:pPr>
      <w:r>
        <w:rPr>
          <w:rFonts w:ascii="Arial" w:cs="Arial" w:eastAsia="Arial" w:hAnsi="Arial"/>
          <w:sz w:val="21"/>
          <w:szCs w:val="21"/>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shareholders or warrant holders who choose to remain shareholders or warrant holders following our initial business combination could suffer a reduction in the value of their securities. Such shareholders or warrant holders are unlikely to have a remedy for such reduction in value.</w:t>
      </w:r>
    </w:p>
    <w:p>
      <w:pPr>
        <w:spacing w:after="0" w:line="20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9"/>
          <w:szCs w:val="19"/>
          <w:color w:val="auto"/>
        </w:rPr>
        <w:t>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77" w:lineRule="exact"/>
        <w:rPr>
          <w:sz w:val="20"/>
          <w:szCs w:val="20"/>
          <w:color w:val="auto"/>
        </w:rPr>
      </w:pPr>
    </w:p>
    <w:p>
      <w:pPr>
        <w:ind w:left="180" w:right="400"/>
        <w:spacing w:after="0"/>
        <w:rPr>
          <w:sz w:val="20"/>
          <w:szCs w:val="20"/>
          <w:color w:val="auto"/>
        </w:rPr>
      </w:pPr>
      <w:r>
        <w:rPr>
          <w:rFonts w:ascii="Arial" w:cs="Arial" w:eastAsia="Arial" w:hAnsi="Arial"/>
          <w:sz w:val="22"/>
          <w:szCs w:val="22"/>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213"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 Our independent directors may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“Item 10. Directors, Executive Officers and Corporate Governance —Directors and Executive Officers.”</w:t>
      </w:r>
    </w:p>
    <w:p>
      <w:pPr>
        <w:spacing w:after="0" w:line="188" w:lineRule="exact"/>
        <w:rPr>
          <w:sz w:val="20"/>
          <w:szCs w:val="20"/>
          <w:color w:val="auto"/>
        </w:rPr>
      </w:pPr>
    </w:p>
    <w:p>
      <w:pPr>
        <w:ind w:left="180" w:right="240"/>
        <w:spacing w:after="0" w:line="297" w:lineRule="auto"/>
        <w:rPr>
          <w:sz w:val="20"/>
          <w:szCs w:val="20"/>
          <w:color w:val="auto"/>
        </w:rPr>
      </w:pPr>
      <w:r>
        <w:rPr>
          <w:rFonts w:ascii="Arial" w:cs="Arial" w:eastAsia="Arial" w:hAnsi="Arial"/>
          <w:sz w:val="19"/>
          <w:szCs w:val="19"/>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should be presented.</w:t>
      </w:r>
    </w:p>
    <w:p>
      <w:pPr>
        <w:spacing w:after="0" w:line="161" w:lineRule="exact"/>
        <w:rPr>
          <w:sz w:val="20"/>
          <w:szCs w:val="20"/>
          <w:color w:val="auto"/>
        </w:rPr>
      </w:pPr>
    </w:p>
    <w:p>
      <w:pPr>
        <w:ind w:right="40" w:firstLine="324"/>
        <w:spacing w:after="0" w:line="249" w:lineRule="auto"/>
        <w:rPr>
          <w:sz w:val="20"/>
          <w:szCs w:val="20"/>
          <w:color w:val="auto"/>
        </w:rPr>
      </w:pPr>
      <w:r>
        <w:rPr>
          <w:rFonts w:ascii="Arial" w:cs="Arial" w:eastAsia="Arial" w:hAnsi="Arial"/>
          <w:sz w:val="21"/>
          <w:szCs w:val="21"/>
          <w:color w:val="auto"/>
        </w:rPr>
        <w:t>We are engaged in the business of identifying and combining with one or more businesses. Our sponsor and officers and directors are, or may in the future become, affiliated with entities that are engaged in a similar business, and they are not prohibited from sponsoring, or otherwise becoming involved with, other blank check companies prior to us completing our initial business combination. Moreover, certain of our officers and directors have time and attention requirements for investment funds of which affiliates of our sponsor are the investment managers.</w:t>
      </w:r>
    </w:p>
    <w:p>
      <w:pPr>
        <w:spacing w:after="0" w:line="205"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Our officers and directors also may become aware of business opportunities which may be appropriate for presentation to us and the other entities to which they owe certain fiduciary or contractual duties.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their fiduciary duties under Cayman Islands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60" w:firstLine="324"/>
        <w:spacing w:after="0" w:line="252" w:lineRule="auto"/>
        <w:rPr>
          <w:sz w:val="20"/>
          <w:szCs w:val="20"/>
          <w:color w:val="auto"/>
        </w:rPr>
      </w:pPr>
      <w:r>
        <w:rPr>
          <w:rFonts w:ascii="Arial" w:cs="Arial" w:eastAsia="Arial" w:hAnsi="Arial"/>
          <w:sz w:val="21"/>
          <w:szCs w:val="21"/>
          <w:color w:val="auto"/>
        </w:rPr>
        <w:t>For a complete discussion of our officers’ and directors’ business affiliations and the potential conflicts of interest that you should be aware of, please see “Item 10. Directors, Executive Officers and Corporate Governance—Directors and Executive Officers,” “Item 10. Directors, Executive Officers and Corporate Governance—Conflicts of Interest” and “Item 13. Certain Relationships and Related Transactions, and Director Independence.”</w:t>
      </w:r>
    </w:p>
    <w:p>
      <w:pPr>
        <w:spacing w:after="0" w:line="201" w:lineRule="exact"/>
        <w:rPr>
          <w:sz w:val="20"/>
          <w:szCs w:val="20"/>
          <w:color w:val="auto"/>
        </w:rPr>
      </w:pPr>
    </w:p>
    <w:p>
      <w:pPr>
        <w:ind w:left="180" w:right="80"/>
        <w:spacing w:after="0" w:line="250" w:lineRule="auto"/>
        <w:rPr>
          <w:sz w:val="20"/>
          <w:szCs w:val="20"/>
          <w:color w:val="auto"/>
        </w:rPr>
      </w:pPr>
      <w:r>
        <w:rPr>
          <w:rFonts w:ascii="Arial" w:cs="Arial" w:eastAsia="Arial" w:hAnsi="Arial"/>
          <w:sz w:val="22"/>
          <w:szCs w:val="22"/>
          <w:b w:val="1"/>
          <w:bCs w:val="1"/>
          <w:i w:val="1"/>
          <w:iCs w:val="1"/>
          <w:color w:val="auto"/>
        </w:rPr>
        <w:t>Our officers, directors, security holders and their respective affiliates may have competitive pecuniary interests that conflict with our interests.</w:t>
      </w:r>
    </w:p>
    <w:p>
      <w:pPr>
        <w:spacing w:after="0" w:line="202" w:lineRule="exact"/>
        <w:rPr>
          <w:sz w:val="20"/>
          <w:szCs w:val="20"/>
          <w:color w:val="auto"/>
        </w:rPr>
      </w:pPr>
    </w:p>
    <w:p>
      <w:pPr>
        <w:ind w:firstLine="324"/>
        <w:spacing w:after="0" w:line="248" w:lineRule="auto"/>
        <w:rPr>
          <w:sz w:val="20"/>
          <w:szCs w:val="20"/>
          <w:color w:val="auto"/>
        </w:rPr>
      </w:pPr>
      <w:r>
        <w:rPr>
          <w:rFonts w:ascii="Arial" w:cs="Arial" w:eastAsia="Arial" w:hAnsi="Arial"/>
          <w:sz w:val="21"/>
          <w:szCs w:val="21"/>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204" w:lineRule="exact"/>
        <w:rPr>
          <w:sz w:val="20"/>
          <w:szCs w:val="20"/>
          <w:color w:val="auto"/>
        </w:rPr>
      </w:pPr>
    </w:p>
    <w:p>
      <w:pPr>
        <w:ind w:right="40" w:firstLine="324"/>
        <w:spacing w:after="0" w:line="297" w:lineRule="auto"/>
        <w:rPr>
          <w:sz w:val="20"/>
          <w:szCs w:val="20"/>
          <w:color w:val="auto"/>
        </w:rPr>
      </w:pPr>
      <w:r>
        <w:rPr>
          <w:rFonts w:ascii="Arial" w:cs="Arial" w:eastAsia="Arial" w:hAnsi="Arial"/>
          <w:sz w:val="19"/>
          <w:szCs w:val="19"/>
          <w:color w:val="auto"/>
        </w:rPr>
        <w:t>In particular, affiliates of our sponsor have invested in industries as diverse as cannabis, consumer products, medical and scientific research and investment management. As a result, there may be substantial overlap between companies that would be a suitable business combination for us and companies that would make an attractive target for such other affiliates.</w:t>
      </w:r>
    </w:p>
    <w:p>
      <w:pPr>
        <w:spacing w:after="0" w:line="161" w:lineRule="exact"/>
        <w:rPr>
          <w:sz w:val="20"/>
          <w:szCs w:val="20"/>
          <w:color w:val="auto"/>
        </w:rPr>
      </w:pPr>
    </w:p>
    <w:p>
      <w:pPr>
        <w:ind w:left="180" w:right="100"/>
        <w:spacing w:after="0" w:line="328" w:lineRule="auto"/>
        <w:rPr>
          <w:sz w:val="20"/>
          <w:szCs w:val="20"/>
          <w:color w:val="auto"/>
        </w:rPr>
      </w:pPr>
      <w:r>
        <w:rPr>
          <w:rFonts w:ascii="Arial" w:cs="Arial" w:eastAsia="Arial" w:hAnsi="Arial"/>
          <w:sz w:val="19"/>
          <w:szCs w:val="19"/>
          <w:b w:val="1"/>
          <w:bCs w:val="1"/>
          <w:i w:val="1"/>
          <w:iCs w:val="1"/>
          <w:color w:val="auto"/>
        </w:rPr>
        <w:t>We may engage in a business combination with one or more target businesses that have relationships with entities that may be affiliated with our sponsor, officers or directors which may raise potential conflicts of interest.</w:t>
      </w:r>
    </w:p>
    <w:p>
      <w:pPr>
        <w:spacing w:after="0" w:line="132"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In light of the involvement of our sponsor, officers and directors with other entities, we may decide to acquire one or more businesses affiliated with our sponsor, officers and directors. Our officers and directors also serve as officers and board members for other entities, including, without limitation, those described under “Item 10. Directors, Executive Officers and Corporate Governance—Conflicts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“Item 1. Business—Effecting Our Initial Business Combination—Selection of a target business and structuring of our initial business combination” and such transaction was approved by a majority of our independent and disinterested directors.</w:t>
      </w:r>
    </w:p>
    <w:p>
      <w:pPr>
        <w:spacing w:after="0" w:line="215" w:lineRule="exact"/>
        <w:rPr>
          <w:sz w:val="20"/>
          <w:szCs w:val="20"/>
          <w:color w:val="auto"/>
        </w:rPr>
      </w:pPr>
    </w:p>
    <w:p>
      <w:pPr>
        <w:ind w:left="180" w:right="320"/>
        <w:spacing w:after="0" w:line="297" w:lineRule="auto"/>
        <w:rPr>
          <w:sz w:val="20"/>
          <w:szCs w:val="20"/>
          <w:color w:val="auto"/>
        </w:rPr>
      </w:pPr>
      <w:r>
        <w:rPr>
          <w:rFonts w:ascii="Arial" w:cs="Arial" w:eastAsia="Arial" w:hAnsi="Arial"/>
          <w:sz w:val="19"/>
          <w:szCs w:val="19"/>
          <w:b w:val="1"/>
          <w:bCs w:val="1"/>
          <w:i w:val="1"/>
          <w:iCs w:val="1"/>
          <w:color w:val="auto"/>
        </w:rPr>
        <w:t>Since our initial shareholders will lose their entire investment in us if our initial business combination is not completed (other than with respect to any public shares they may acquire), a conflict of interest may arise in determining whether a particular business combination target is appropriate for our initial business combination.</w:t>
      </w:r>
    </w:p>
    <w:p>
      <w:pPr>
        <w:spacing w:after="0" w:line="161"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On June 11, 2019, our sponsor subscribed for an aggregate of 7,187,500 founder shares for an aggregate purchase price of $25,000, or $0.004 per share. On September 23, 2019, in connection with the expiration of the underwriter’s over-allotment option, our sponsor surrender 937,500 founder shares. As a result, our sponsor now owns 6,250,000 founder shares. As such, our initial shareholders collectively own 20% of our issued and outstanding shares as of our IPO. The founder shares will be worthless if we do not complete an initial business combination. In addition, our sponsor has purchased an aggregate of 7,000,000 private placement warrants, each exercisable to purchase one Class A ordinary share, for a purchase price of $7,000,000 in the aggregate, or $1.00 per warrant, that will also be worthless if we do not complete a business combination. Each private placement warrant may be exercised for one Class A ordinary share at a price of $11.50 per share, subject to adjustment as provided herein.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The founder shares are identical to the ordinary shares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by July 10, 2021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by July 10, 2021(although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on the first business day following the completion of our initial business combination on a one-for-one basis subject to adjustment pursuant to certain anti-dilution rights and (5) the founder shares are entitled to registration rights. Our directors and officers have also entered into the letter agreement with respect to public shares acquired by them, if any.</w:t>
      </w:r>
    </w:p>
    <w:p>
      <w:pPr>
        <w:spacing w:after="0" w:line="195" w:lineRule="exact"/>
        <w:rPr>
          <w:sz w:val="20"/>
          <w:szCs w:val="20"/>
          <w:color w:val="auto"/>
        </w:rPr>
      </w:pPr>
    </w:p>
    <w:p>
      <w:pPr>
        <w:ind w:right="100" w:firstLine="324"/>
        <w:spacing w:after="0" w:line="252" w:lineRule="auto"/>
        <w:rPr>
          <w:sz w:val="20"/>
          <w:szCs w:val="20"/>
          <w:color w:val="auto"/>
        </w:rPr>
      </w:pPr>
      <w:r>
        <w:rPr>
          <w:rFonts w:ascii="Arial" w:cs="Arial" w:eastAsia="Arial" w:hAnsi="Arial"/>
          <w:sz w:val="21"/>
          <w:szCs w:val="21"/>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deadline following the closing of the IPO nears, which is the deadline for the completion of our initial business combination.</w:t>
      </w:r>
    </w:p>
    <w:p>
      <w:pPr>
        <w:spacing w:after="0" w:line="201" w:lineRule="exact"/>
        <w:rPr>
          <w:sz w:val="20"/>
          <w:szCs w:val="20"/>
          <w:color w:val="auto"/>
        </w:rPr>
      </w:pPr>
    </w:p>
    <w:p>
      <w:pPr>
        <w:ind w:left="180" w:right="160"/>
        <w:spacing w:after="0"/>
        <w:rPr>
          <w:sz w:val="20"/>
          <w:szCs w:val="20"/>
          <w:color w:val="auto"/>
        </w:rPr>
      </w:pPr>
      <w:r>
        <w:rPr>
          <w:rFonts w:ascii="Arial" w:cs="Arial" w:eastAsia="Arial" w:hAnsi="Arial"/>
          <w:sz w:val="22"/>
          <w:szCs w:val="22"/>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213" w:lineRule="exact"/>
        <w:rPr>
          <w:sz w:val="20"/>
          <w:szCs w:val="20"/>
          <w:color w:val="auto"/>
        </w:rPr>
      </w:pPr>
    </w:p>
    <w:p>
      <w:pPr>
        <w:ind w:right="220" w:firstLine="324"/>
        <w:spacing w:after="0" w:line="235" w:lineRule="auto"/>
        <w:rPr>
          <w:sz w:val="20"/>
          <w:szCs w:val="20"/>
          <w:color w:val="auto"/>
        </w:rPr>
      </w:pPr>
      <w:r>
        <w:rPr>
          <w:rFonts w:ascii="Arial" w:cs="Arial" w:eastAsia="Arial" w:hAnsi="Arial"/>
          <w:sz w:val="22"/>
          <w:szCs w:val="22"/>
          <w:color w:val="auto"/>
        </w:rPr>
        <w:t>Although we have no commitments as of the date of this Annual Report to issue any notes or other debt securities, or to otherwise incur outstanding debt following our IPO,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22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75" w:lineRule="exact"/>
        <w:rPr>
          <w:rFonts w:ascii="Arial" w:cs="Arial" w:eastAsia="Arial" w:hAnsi="Arial"/>
          <w:sz w:val="16"/>
          <w:szCs w:val="16"/>
          <w:color w:val="auto"/>
        </w:rPr>
      </w:pPr>
    </w:p>
    <w:p>
      <w:pPr>
        <w:ind w:left="660" w:right="5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52"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7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90" w:lineRule="exact"/>
        <w:rPr>
          <w:sz w:val="20"/>
          <w:szCs w:val="20"/>
          <w:color w:val="auto"/>
        </w:rPr>
      </w:pPr>
    </w:p>
    <w:p>
      <w:pPr>
        <w:ind w:left="180" w:right="300"/>
        <w:spacing w:after="0" w:line="297" w:lineRule="auto"/>
        <w:rPr>
          <w:sz w:val="20"/>
          <w:szCs w:val="20"/>
          <w:color w:val="auto"/>
        </w:rPr>
      </w:pPr>
      <w:r>
        <w:rPr>
          <w:rFonts w:ascii="Arial" w:cs="Arial" w:eastAsia="Arial" w:hAnsi="Arial"/>
          <w:sz w:val="19"/>
          <w:szCs w:val="19"/>
          <w:b w:val="1"/>
          <w:bCs w:val="1"/>
          <w:i w:val="1"/>
          <w:iCs w:val="1"/>
          <w:color w:val="auto"/>
        </w:rPr>
        <w:t>We may be able to complete only one business combination with the proceeds of the IPO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61"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The net proceeds from the IPO and the sale of the private placement warrants provided us with $250,000,000 that we may use to complete our initial business combination.</w:t>
      </w:r>
    </w:p>
    <w:p>
      <w:pPr>
        <w:spacing w:after="0" w:line="202" w:lineRule="exact"/>
        <w:rPr>
          <w:sz w:val="20"/>
          <w:szCs w:val="20"/>
          <w:color w:val="auto"/>
        </w:rPr>
      </w:pPr>
    </w:p>
    <w:p>
      <w:pPr>
        <w:ind w:right="100" w:firstLine="324"/>
        <w:spacing w:after="0" w:line="274" w:lineRule="auto"/>
        <w:rPr>
          <w:sz w:val="20"/>
          <w:szCs w:val="20"/>
          <w:color w:val="auto"/>
        </w:rPr>
      </w:pPr>
      <w:r>
        <w:rPr>
          <w:rFonts w:ascii="Arial" w:cs="Arial" w:eastAsia="Arial" w:hAnsi="Arial"/>
          <w:sz w:val="19"/>
          <w:szCs w:val="19"/>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45" w:lineRule="exact"/>
        <w:rPr>
          <w:sz w:val="20"/>
          <w:szCs w:val="20"/>
          <w:color w:val="auto"/>
        </w:rPr>
      </w:pPr>
    </w:p>
    <w:p>
      <w:pPr>
        <w:ind w:right="140" w:firstLine="324"/>
        <w:spacing w:after="0"/>
        <w:rPr>
          <w:sz w:val="20"/>
          <w:szCs w:val="20"/>
          <w:color w:val="auto"/>
        </w:rPr>
      </w:pPr>
      <w:r>
        <w:rPr>
          <w:rFonts w:ascii="Arial" w:cs="Arial" w:eastAsia="Arial" w:hAnsi="Arial"/>
          <w:sz w:val="22"/>
          <w:szCs w:val="22"/>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213" w:lineRule="exact"/>
        <w:rPr>
          <w:sz w:val="20"/>
          <w:szCs w:val="20"/>
          <w:color w:val="auto"/>
        </w:rPr>
      </w:pPr>
    </w:p>
    <w:p>
      <w:pPr>
        <w:ind w:left="180" w:right="100"/>
        <w:spacing w:after="0"/>
        <w:rPr>
          <w:sz w:val="20"/>
          <w:szCs w:val="20"/>
          <w:color w:val="auto"/>
        </w:rPr>
      </w:pPr>
      <w:r>
        <w:rPr>
          <w:rFonts w:ascii="Arial" w:cs="Arial" w:eastAsia="Arial" w:hAnsi="Arial"/>
          <w:sz w:val="22"/>
          <w:szCs w:val="22"/>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213" w:lineRule="exact"/>
        <w:rPr>
          <w:sz w:val="20"/>
          <w:szCs w:val="20"/>
          <w:color w:val="auto"/>
        </w:rPr>
      </w:pPr>
    </w:p>
    <w:p>
      <w:pPr>
        <w:ind w:right="80" w:firstLine="324"/>
        <w:spacing w:after="0" w:line="277" w:lineRule="auto"/>
        <w:rPr>
          <w:sz w:val="20"/>
          <w:szCs w:val="20"/>
          <w:color w:val="auto"/>
        </w:rPr>
      </w:pPr>
      <w:r>
        <w:rPr>
          <w:rFonts w:ascii="Arial" w:cs="Arial" w:eastAsia="Arial" w:hAnsi="Arial"/>
          <w:sz w:val="19"/>
          <w:szCs w:val="19"/>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9" w:lineRule="exact"/>
        <w:rPr>
          <w:sz w:val="20"/>
          <w:szCs w:val="20"/>
          <w:color w:val="auto"/>
        </w:rPr>
      </w:pPr>
    </w:p>
    <w:p>
      <w:pPr>
        <w:ind w:left="180" w:right="420"/>
        <w:spacing w:after="0" w:line="359"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10"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80"/>
        <w:spacing w:after="0" w:line="257" w:lineRule="auto"/>
        <w:rPr>
          <w:sz w:val="20"/>
          <w:szCs w:val="20"/>
          <w:color w:val="auto"/>
        </w:rPr>
      </w:pPr>
      <w:r>
        <w:rPr>
          <w:rFonts w:ascii="Arial" w:cs="Arial" w:eastAsia="Arial" w:hAnsi="Arial"/>
          <w:sz w:val="21"/>
          <w:szCs w:val="21"/>
          <w:b w:val="1"/>
          <w:bCs w:val="1"/>
          <w:i w:val="1"/>
          <w:iCs w:val="1"/>
          <w:color w:val="auto"/>
        </w:rPr>
        <w:t>We expect to need to comply with the rules of Nasdaq that require our initial business combination to occur with one or more target businesses having an aggregate fair market value equal to at least 80% of the assets held in the trust account at the time of the agreement to enter into the initial business combination.</w:t>
      </w:r>
    </w:p>
    <w:p>
      <w:pPr>
        <w:spacing w:after="0" w:line="196" w:lineRule="exact"/>
        <w:rPr>
          <w:sz w:val="20"/>
          <w:szCs w:val="20"/>
          <w:color w:val="auto"/>
        </w:rPr>
      </w:pPr>
    </w:p>
    <w:p>
      <w:pPr>
        <w:ind w:right="100" w:firstLine="324"/>
        <w:spacing w:after="0" w:line="274" w:lineRule="auto"/>
        <w:rPr>
          <w:sz w:val="20"/>
          <w:szCs w:val="20"/>
          <w:color w:val="auto"/>
        </w:rPr>
      </w:pPr>
      <w:r>
        <w:rPr>
          <w:rFonts w:ascii="Arial" w:cs="Arial" w:eastAsia="Arial" w:hAnsi="Arial"/>
          <w:sz w:val="19"/>
          <w:szCs w:val="19"/>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This restriction may limit the type and number of companies that we may complete a business combination with. If we are unable to locate a target business or businesses that satisfy this fair market value test, our public shareholders may receive only approximately $10.00 per share, or less in certain circumstances, on the liquidation of our trust account, and our warrants will expire worthless. If we are not then listed on Nasdaq for whatever reason, we would not be required to satisfy the foregoing 80% fair market value test and could complete a business combination with a target business having a fair market value substantially below 80% of the balance in the trust account.</w:t>
      </w:r>
    </w:p>
    <w:p>
      <w:pPr>
        <w:spacing w:after="0" w:line="185" w:lineRule="exact"/>
        <w:rPr>
          <w:sz w:val="20"/>
          <w:szCs w:val="20"/>
          <w:color w:val="auto"/>
        </w:rPr>
      </w:pPr>
    </w:p>
    <w:p>
      <w:pPr>
        <w:ind w:left="180" w:right="40"/>
        <w:spacing w:after="0" w:line="257" w:lineRule="auto"/>
        <w:rPr>
          <w:sz w:val="20"/>
          <w:szCs w:val="20"/>
          <w:color w:val="auto"/>
        </w:rPr>
      </w:pPr>
      <w:r>
        <w:rPr>
          <w:rFonts w:ascii="Arial" w:cs="Arial" w:eastAsia="Arial" w:hAnsi="Arial"/>
          <w:sz w:val="21"/>
          <w:szCs w:val="21"/>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96"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may structure our initial business combination so that the post-transaction company in which our public shareholders own shares will own less than 100% of the equity interests or assets of a target business, but we will complete such business combination only if the post-transaction company owns or acquires 50% or more of the issued and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our initial business combination may collectively own a minority interest in the post business combination company, depending on valuations ascribed to the target and us in our initial business combination transaction. For example, we could pursue a transaction in which we issue a substantial number of new Class A ordinary shares in exchange for all of the issued and outstanding capital stock or shares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our control of the target business.</w:t>
      </w:r>
    </w:p>
    <w:p>
      <w:pPr>
        <w:spacing w:after="0" w:line="187" w:lineRule="exact"/>
        <w:rPr>
          <w:sz w:val="20"/>
          <w:szCs w:val="20"/>
          <w:color w:val="auto"/>
        </w:rPr>
      </w:pPr>
    </w:p>
    <w:p>
      <w:pPr>
        <w:ind w:left="180" w:right="520"/>
        <w:spacing w:after="0" w:line="359"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 business combination with which a substantial majority of our shareholders do not agree.</w:t>
      </w:r>
    </w:p>
    <w:p>
      <w:pPr>
        <w:spacing w:after="0" w:line="110" w:lineRule="exact"/>
        <w:rPr>
          <w:sz w:val="20"/>
          <w:szCs w:val="20"/>
          <w:color w:val="auto"/>
        </w:rPr>
      </w:pPr>
    </w:p>
    <w:p>
      <w:pPr>
        <w:ind w:right="20" w:firstLine="324"/>
        <w:spacing w:after="0" w:line="271" w:lineRule="auto"/>
        <w:rPr>
          <w:sz w:val="20"/>
          <w:szCs w:val="20"/>
          <w:color w:val="auto"/>
        </w:rPr>
      </w:pPr>
      <w:r>
        <w:rPr>
          <w:rFonts w:ascii="Arial" w:cs="Arial" w:eastAsia="Arial" w:hAnsi="Arial"/>
          <w:sz w:val="19"/>
          <w:szCs w:val="19"/>
          <w:color w:val="auto"/>
        </w:rPr>
        <w:t>Our amended and restated memorandum and articles of association does not provide a specified maximum redemption threshold, except that in no event will we redeem our public shares in an amount that would cause our net tangible assets, after payment of the deferred underwriting commissions, to be less than $5,000,001 upon completion of our initial business combination (such that we do not then become subject to the SEC’s “penny stock” rules), or any greater net tangible asset or cash requirement that may be contained in the agreement relating to our initial business combination.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280"/>
        <w:spacing w:after="0" w:line="250" w:lineRule="auto"/>
        <w:rPr>
          <w:sz w:val="20"/>
          <w:szCs w:val="20"/>
          <w:color w:val="auto"/>
        </w:rPr>
      </w:pPr>
      <w:r>
        <w:rPr>
          <w:rFonts w:ascii="Arial" w:cs="Arial" w:eastAsia="Arial" w:hAnsi="Arial"/>
          <w:sz w:val="22"/>
          <w:szCs w:val="22"/>
          <w:b w:val="1"/>
          <w:bCs w:val="1"/>
          <w:i w:val="1"/>
          <w:iCs w:val="1"/>
          <w:color w:val="auto"/>
        </w:rPr>
        <w:t>The exercise price for the public warrants is higher than in many similar blank check company offerings in the past, and, accordingly, the warrants are more likely to expire worthless.</w:t>
      </w:r>
    </w:p>
    <w:p>
      <w:pPr>
        <w:spacing w:after="0" w:line="202" w:lineRule="exact"/>
        <w:rPr>
          <w:sz w:val="20"/>
          <w:szCs w:val="20"/>
          <w:color w:val="auto"/>
        </w:rPr>
      </w:pPr>
    </w:p>
    <w:p>
      <w:pPr>
        <w:ind w:right="360" w:firstLine="324"/>
        <w:spacing w:after="0" w:line="238" w:lineRule="auto"/>
        <w:rPr>
          <w:sz w:val="20"/>
          <w:szCs w:val="20"/>
          <w:color w:val="auto"/>
        </w:rPr>
      </w:pPr>
      <w:r>
        <w:rPr>
          <w:rFonts w:ascii="Arial" w:cs="Arial" w:eastAsia="Arial" w:hAnsi="Arial"/>
          <w:sz w:val="22"/>
          <w:szCs w:val="22"/>
          <w:color w:val="auto"/>
        </w:rPr>
        <w:t>The exercise price of the public warrants is higher than is typical in many similar blank check companies in the past. Historically, the exercise price of a warrant was generally a fraction of the purchase price of the units in the IPO. The exercise price for our public warrants is $11.50 per share, subject to adjustment as provided herein. As a result, the warrants are more likely to expire worthless.</w:t>
      </w:r>
    </w:p>
    <w:p>
      <w:pPr>
        <w:spacing w:after="0" w:line="212" w:lineRule="exact"/>
        <w:rPr>
          <w:sz w:val="20"/>
          <w:szCs w:val="20"/>
          <w:color w:val="auto"/>
        </w:rPr>
      </w:pPr>
    </w:p>
    <w:p>
      <w:pPr>
        <w:ind w:left="120" w:right="100"/>
        <w:spacing w:after="0" w:line="287" w:lineRule="auto"/>
        <w:rPr>
          <w:sz w:val="20"/>
          <w:szCs w:val="20"/>
          <w:color w:val="auto"/>
        </w:rPr>
      </w:pPr>
      <w:r>
        <w:rPr>
          <w:rFonts w:ascii="Arial" w:cs="Arial" w:eastAsia="Arial" w:hAnsi="Arial"/>
          <w:sz w:val="19"/>
          <w:szCs w:val="19"/>
          <w:b w:val="1"/>
          <w:bCs w:val="1"/>
          <w:i w:val="1"/>
          <w:iCs w:val="1"/>
          <w:color w:val="auto"/>
        </w:rPr>
        <w:t>In order to effectuate an initial business combination, blank check companies have, in the past, amended various provisions of their charters and modified governing instruments.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In order to effectuate an initial business combination, blank check companies have, in the recent past, amended various provisions of their charters and modified governing instruments. For example, blank check companies have amended the definition of business combination, increased redemption thresholds and extended the time to consummate an initial business combination. Amending our amended and restated certificate of incorporation will require at least a special resolution of our shareholders as a matter of Cayman Islands law. A resolution is deemed to be a special resolution as a matter of Cayman Islands law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provides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 We cannot assure you that we will not seek to amend our amended and restated memorandum and articles of association or governing instruments or extend the time to consummate an initial business combination in order to effectuate our initial business combination.</w:t>
      </w:r>
    </w:p>
    <w:p>
      <w:pPr>
        <w:spacing w:after="0" w:line="187" w:lineRule="exact"/>
        <w:rPr>
          <w:sz w:val="20"/>
          <w:szCs w:val="20"/>
          <w:color w:val="auto"/>
        </w:rPr>
      </w:pPr>
    </w:p>
    <w:p>
      <w:pPr>
        <w:ind w:left="180" w:right="40"/>
        <w:spacing w:after="0" w:line="279" w:lineRule="auto"/>
        <w:rPr>
          <w:sz w:val="20"/>
          <w:szCs w:val="20"/>
          <w:color w:val="auto"/>
        </w:rPr>
      </w:pPr>
      <w:r>
        <w:rPr>
          <w:rFonts w:ascii="Arial" w:cs="Arial" w:eastAsia="Arial" w:hAnsi="Arial"/>
          <w:sz w:val="19"/>
          <w:szCs w:val="19"/>
          <w:b w:val="1"/>
          <w:bCs w:val="1"/>
          <w:i w:val="1"/>
          <w:i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two-thirds of our ordinary shares who attend and vote at a general meeting, which is a lower amendment threshold than that of some other blank check companies.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177" w:lineRule="exact"/>
        <w:rPr>
          <w:sz w:val="20"/>
          <w:szCs w:val="20"/>
          <w:color w:val="auto"/>
        </w:rPr>
      </w:pPr>
    </w:p>
    <w:p>
      <w:pPr>
        <w:ind w:right="40" w:firstLine="324"/>
        <w:spacing w:after="0" w:line="269" w:lineRule="auto"/>
        <w:rPr>
          <w:sz w:val="20"/>
          <w:szCs w:val="20"/>
          <w:color w:val="auto"/>
        </w:rPr>
      </w:pPr>
      <w:r>
        <w:rPr>
          <w:rFonts w:ascii="Arial" w:cs="Arial" w:eastAsia="Arial" w:hAnsi="Arial"/>
          <w:sz w:val="19"/>
          <w:szCs w:val="19"/>
          <w:color w:val="auto"/>
        </w:rPr>
        <w:t>Some other blank check companies have a provision in their charter which prohibits the amendment of certain of its provisions, including those which relate to a company’s pre-business combination activity, without approval by holders of a certain percentage of the company’s shares. In those companies, amendment of these provisions typically requires approval by holders holding between 90% and 100% of the company’s public shares. Our amended and restated memorandum and articles of association provides that any of its provisions, including those related to pre-business combination activity (including the requirement to deposit proceeds of our IPO and the private placement of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(other than amendments relating to the appointment or removal of directors prior to our initial business combination, which require the approval of at least 90% of our ordinary shares voting in a general meeting). Our initial shareholders, who collectively beneficially own 20% of our ordinary shares upon the closing of our IPO,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our initial business combination with which you do not agree. However, our amended and restated memorandum and articles of association prohibits any amendment of its provisions (A) to modify the substance or timing of our obligation to redeem 100% of our public shares if we do not complete our initial business combination by July 10, 2021 or (B) with respect to any other provision relating to shareholders’ rights or pre-initial business combination activity, unless we provide public shareholders with the opportunity to redeem their public shares. Furthermore, our sponsor, officers and directors have agreed, pursuant to a written agreement with us, that they will not propose such an amendment unless we provide our public shareholders with the opportunity to redeem their public shares. In certain circumstances, our shareholders may pursue remedies against us for any breach of our amended and restated memorandum and articles of association.</w:t>
      </w:r>
    </w:p>
    <w:p>
      <w:pPr>
        <w:sectPr>
          <w:pgSz w:w="11900" w:h="16838" w:orient="portrait"/>
          <w:cols w:equalWidth="0" w:num="1">
            <w:col w:w="11240"/>
          </w:cols>
          <w:pgMar w:left="320" w:top="122" w:right="339" w:bottom="9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22"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240"/>
        <w:spacing w:after="0" w:line="250" w:lineRule="auto"/>
        <w:rPr>
          <w:sz w:val="20"/>
          <w:szCs w:val="20"/>
          <w:color w:val="auto"/>
        </w:rPr>
      </w:pPr>
      <w:r>
        <w:rPr>
          <w:rFonts w:ascii="Arial" w:cs="Arial" w:eastAsia="Arial" w:hAnsi="Arial"/>
          <w:sz w:val="22"/>
          <w:szCs w:val="22"/>
          <w:b w:val="1"/>
          <w:bCs w:val="1"/>
          <w:i w:val="1"/>
          <w:iCs w:val="1"/>
          <w:color w:val="auto"/>
        </w:rPr>
        <w:t>We may amend the terms of the warrants in a manner that may be adverse to holders of public warrants with the approval by the holders of at least a majority of the then outstanding public warrants.</w:t>
      </w:r>
    </w:p>
    <w:p>
      <w:pPr>
        <w:spacing w:after="0" w:line="202"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warrants, shorten the exercise period or decrease the number of Class A ordinary shares purchasable upon exercise of a warrant.</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Certain agreements related to our IPO may be amended without shareholder approval.</w:t>
      </w:r>
    </w:p>
    <w:p>
      <w:pPr>
        <w:spacing w:after="0" w:line="233" w:lineRule="exact"/>
        <w:rPr>
          <w:sz w:val="20"/>
          <w:szCs w:val="20"/>
          <w:color w:val="auto"/>
        </w:rPr>
      </w:pPr>
    </w:p>
    <w:p>
      <w:pPr>
        <w:ind w:right="120" w:firstLine="324"/>
        <w:spacing w:after="0" w:line="271" w:lineRule="auto"/>
        <w:rPr>
          <w:sz w:val="20"/>
          <w:szCs w:val="20"/>
          <w:color w:val="auto"/>
        </w:rPr>
      </w:pPr>
      <w:r>
        <w:rPr>
          <w:rFonts w:ascii="Arial" w:cs="Arial" w:eastAsia="Arial" w:hAnsi="Arial"/>
          <w:sz w:val="19"/>
          <w:szCs w:val="19"/>
          <w:color w:val="auto"/>
        </w:rPr>
        <w:t>Each of the agreements related to our IPO to which we are a party, other than the warrant agreement and the investment management trust agreement, may be amended without shareholder approval. These agreements contain various provisions that our public shareholders might deem to be material. For example, our letter agreement and the underwriting agreement contain certain lock-up provisions with respect to the founder shares, private placement warrants and other securities held by our initial shareholders,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material amendment entered into in connection with the completion of our initial business combination will be disclosed in our proxy solicitation or tender offer materials, as applicable, related to such initial business combination, and any other material amendment to any of our material agreements will be disclosed in a filing with the SEC. Any such amendments would not require approval from our shareholders,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shareholders selling their securities earlier than they would otherwise be permitted, which may have an adverse effect on the price of our securities.</w:t>
      </w:r>
    </w:p>
    <w:p>
      <w:pPr>
        <w:spacing w:after="0" w:line="184" w:lineRule="exact"/>
        <w:rPr>
          <w:sz w:val="20"/>
          <w:szCs w:val="20"/>
          <w:color w:val="auto"/>
        </w:rPr>
      </w:pPr>
    </w:p>
    <w:p>
      <w:pPr>
        <w:ind w:left="180" w:right="80"/>
        <w:spacing w:after="0" w:line="328" w:lineRule="auto"/>
        <w:rPr>
          <w:sz w:val="20"/>
          <w:szCs w:val="20"/>
          <w:color w:val="auto"/>
        </w:rPr>
      </w:pPr>
      <w:r>
        <w:rPr>
          <w:rFonts w:ascii="Arial" w:cs="Arial" w:eastAsia="Arial" w:hAnsi="Arial"/>
          <w:sz w:val="19"/>
          <w:szCs w:val="19"/>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32"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Although we believe that the net proceeds of our IPO and the sale of the private placement warrants will be sufficient to allow us to complete our initial business combination, because we have not yet selected any target business we cannot ascertain the capital requirements for any particular transaction. If the net proceeds of our IPO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160"/>
        <w:spacing w:after="0" w:line="238" w:lineRule="auto"/>
        <w:rPr>
          <w:sz w:val="20"/>
          <w:szCs w:val="20"/>
          <w:color w:val="auto"/>
        </w:rPr>
      </w:pPr>
      <w:r>
        <w:rPr>
          <w:rFonts w:ascii="Arial" w:cs="Arial" w:eastAsia="Arial" w:hAnsi="Arial"/>
          <w:sz w:val="22"/>
          <w:szCs w:val="22"/>
          <w:b w:val="1"/>
          <w:bCs w:val="1"/>
          <w:i w:val="1"/>
          <w:iCs w:val="1"/>
          <w:color w:val="auto"/>
        </w:rPr>
        <w:t>Our initial shareholders will control the election of our board of directors until completion of our initial business combination and will hold a substantial interest in us. As a result, they will elect all of our directors prior to our initial business combination and may exert a substantial influence on actions requiring shareholder vote, potentially in a manner that you do not support.</w:t>
      </w:r>
    </w:p>
    <w:p>
      <w:pPr>
        <w:spacing w:after="0" w:line="212" w:lineRule="exact"/>
        <w:rPr>
          <w:sz w:val="20"/>
          <w:szCs w:val="20"/>
          <w:color w:val="auto"/>
        </w:rPr>
      </w:pPr>
    </w:p>
    <w:p>
      <w:pPr>
        <w:ind w:right="160" w:firstLine="324"/>
        <w:spacing w:after="0" w:line="297" w:lineRule="auto"/>
        <w:rPr>
          <w:sz w:val="20"/>
          <w:szCs w:val="20"/>
          <w:color w:val="auto"/>
        </w:rPr>
      </w:pPr>
      <w:r>
        <w:rPr>
          <w:rFonts w:ascii="Arial" w:cs="Arial" w:eastAsia="Arial" w:hAnsi="Arial"/>
          <w:sz w:val="19"/>
          <w:szCs w:val="19"/>
          <w:color w:val="auto"/>
        </w:rPr>
        <w:t>Our initial shareholders own 20% of our issued and outstanding ordinary shares. In addition, prior to our initial business combination, only the founder shares, all of which are held by our initial shareholders, will have the right to vote on the election of directors, and holders of a majority of our founder shares may remove a member of the board of directors for any reason.</w:t>
      </w:r>
    </w:p>
    <w:p>
      <w:pPr>
        <w:spacing w:after="0" w:line="161" w:lineRule="exact"/>
        <w:rPr>
          <w:sz w:val="20"/>
          <w:szCs w:val="20"/>
          <w:color w:val="auto"/>
        </w:rPr>
      </w:pPr>
    </w:p>
    <w:p>
      <w:pPr>
        <w:ind w:right="100" w:firstLine="324"/>
        <w:spacing w:after="0" w:line="274" w:lineRule="auto"/>
        <w:rPr>
          <w:sz w:val="20"/>
          <w:szCs w:val="20"/>
          <w:color w:val="auto"/>
        </w:rPr>
      </w:pPr>
      <w:r>
        <w:rPr>
          <w:rFonts w:ascii="Arial" w:cs="Arial" w:eastAsia="Arial" w:hAnsi="Arial"/>
          <w:sz w:val="19"/>
          <w:szCs w:val="19"/>
          <w:color w:val="auto"/>
        </w:rPr>
        <w:t>Neither our initial shareholders nor, to our knowledge, any of our officers or directors, have any current intention to purchase additional securities, other than as disclosed in this Annual Report. Factors that would be considered in making such additional purchases would include consideration of the current trading price of our Class A ordinary shares. In addition, as a result of their substantial ownership in our Company, our initial shareholders may exert a substantial influence on other actions requiring a shareholder vote, potentially in a manner that you do not support, including amendments to our amended and restated memorandum and articles of association and approval of major corporate transactions. If our initial shareholders purchase any Class A ordinary shares in the aftermarket or in privately negotiated transactions, this would increase their influence over these actions. Accordingly, our initial shareholders will exert significant influence over actions requiring a shareholder vote at least until the completion of our initial business combination.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 provision of our warrant agreement may make it more difficult for us to consummate an initial business combination.</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Unlike most blank check companies, if</w:t>
      </w:r>
    </w:p>
    <w:p>
      <w:pPr>
        <w:spacing w:after="0" w:line="233" w:lineRule="exact"/>
        <w:rPr>
          <w:sz w:val="20"/>
          <w:szCs w:val="20"/>
          <w:color w:val="auto"/>
        </w:rPr>
      </w:pPr>
    </w:p>
    <w:p>
      <w:pPr>
        <w:ind w:right="200" w:firstLine="332"/>
        <w:spacing w:after="0" w:line="328" w:lineRule="auto"/>
        <w:tabs>
          <w:tab w:leader="none" w:pos="582" w:val="left"/>
        </w:tabs>
        <w:numPr>
          <w:ilvl w:val="0"/>
          <w:numId w:val="14"/>
        </w:numPr>
        <w:rPr>
          <w:rFonts w:ascii="Arial" w:cs="Arial" w:eastAsia="Arial" w:hAnsi="Arial"/>
          <w:sz w:val="19"/>
          <w:szCs w:val="19"/>
          <w:color w:val="auto"/>
        </w:rPr>
      </w:pPr>
      <w:r>
        <w:rPr>
          <w:rFonts w:ascii="Arial" w:cs="Arial" w:eastAsia="Arial" w:hAnsi="Arial"/>
          <w:sz w:val="19"/>
          <w:szCs w:val="19"/>
          <w:color w:val="auto"/>
        </w:rPr>
        <w:t>we issue additional Class A ordinary shares or equity-linked securities for capital raising purposes in connection with the closing of our initial business combination at a newly issued price of less than $9.20 per Class A ordinary share;</w:t>
      </w:r>
    </w:p>
    <w:p>
      <w:pPr>
        <w:spacing w:after="0" w:line="131" w:lineRule="exact"/>
        <w:rPr>
          <w:rFonts w:ascii="Arial" w:cs="Arial" w:eastAsia="Arial" w:hAnsi="Arial"/>
          <w:sz w:val="19"/>
          <w:szCs w:val="19"/>
          <w:color w:val="auto"/>
        </w:rPr>
      </w:pPr>
    </w:p>
    <w:p>
      <w:pPr>
        <w:ind w:right="580" w:firstLine="332"/>
        <w:spacing w:after="0"/>
        <w:tabs>
          <w:tab w:leader="none" w:pos="642"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aggregate gross proceeds from such issuances represent more than 60% of the total equity proceeds, and interest thereon, available for the funding of our initial business combination on the date of the completion of our initial business combination (net of redemptions), and</w:t>
      </w:r>
    </w:p>
    <w:p>
      <w:pPr>
        <w:spacing w:after="0" w:line="213" w:lineRule="exact"/>
        <w:rPr>
          <w:rFonts w:ascii="Arial" w:cs="Arial" w:eastAsia="Arial" w:hAnsi="Arial"/>
          <w:sz w:val="22"/>
          <w:szCs w:val="22"/>
          <w:color w:val="auto"/>
        </w:rPr>
      </w:pPr>
    </w:p>
    <w:p>
      <w:pPr>
        <w:ind w:left="720" w:hanging="388"/>
        <w:spacing w:after="0"/>
        <w:tabs>
          <w:tab w:leader="none" w:pos="7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market value is below $9.20 per share,</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212" w:lineRule="exact"/>
        <w:rPr>
          <w:sz w:val="20"/>
          <w:szCs w:val="20"/>
          <w:color w:val="auto"/>
        </w:rPr>
      </w:pPr>
    </w:p>
    <w:p>
      <w:pPr>
        <w:ind w:left="180" w:right="400"/>
        <w:spacing w:after="0" w:line="250" w:lineRule="auto"/>
        <w:rPr>
          <w:sz w:val="20"/>
          <w:szCs w:val="20"/>
          <w:color w:val="auto"/>
        </w:rPr>
      </w:pPr>
      <w:r>
        <w:rPr>
          <w:rFonts w:ascii="Arial" w:cs="Arial" w:eastAsia="Arial" w:hAnsi="Arial"/>
          <w:sz w:val="22"/>
          <w:szCs w:val="22"/>
          <w:b w:val="1"/>
          <w:bCs w:val="1"/>
          <w:i w:val="1"/>
          <w:iCs w:val="1"/>
          <w:color w:val="auto"/>
        </w:rPr>
        <w:t>We may redeem your unexpired warrants prior to their exercise at a time that is disadvantageous to you, thereby making your warrants worthless.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line="273" w:lineRule="auto"/>
        <w:rPr>
          <w:sz w:val="20"/>
          <w:szCs w:val="20"/>
          <w:color w:val="auto"/>
        </w:rPr>
      </w:pPr>
      <w:r>
        <w:rPr>
          <w:rFonts w:ascii="Arial" w:cs="Arial" w:eastAsia="Arial" w:hAnsi="Arial"/>
          <w:sz w:val="19"/>
          <w:szCs w:val="19"/>
          <w:color w:val="auto"/>
        </w:rPr>
        <w:t>We have the ability to redeem outstanding warrants at any time after they become exercisable and prior to their expiration, at a price of $0.01 per warrant; provided that the last reported sales price of our Class A ordinary shares equals or exceeds $18.00 per share (as adjusted for share splits,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 None of the private placement warrants will be redeemable by us so long as they are held by our sponsor or its permitted transferees.</w:t>
      </w:r>
    </w:p>
    <w:p>
      <w:pPr>
        <w:spacing w:after="0" w:line="182" w:lineRule="exact"/>
        <w:rPr>
          <w:sz w:val="20"/>
          <w:szCs w:val="20"/>
          <w:color w:val="auto"/>
        </w:rPr>
      </w:pPr>
    </w:p>
    <w:p>
      <w:pPr>
        <w:ind w:left="180" w:right="140"/>
        <w:spacing w:after="0" w:line="250" w:lineRule="auto"/>
        <w:rPr>
          <w:sz w:val="20"/>
          <w:szCs w:val="20"/>
          <w:color w:val="auto"/>
        </w:rPr>
      </w:pPr>
      <w:r>
        <w:rPr>
          <w:rFonts w:ascii="Arial" w:cs="Arial" w:eastAsia="Arial" w:hAnsi="Arial"/>
          <w:sz w:val="22"/>
          <w:szCs w:val="22"/>
          <w:b w:val="1"/>
          <w:bCs w:val="1"/>
          <w:i w:val="1"/>
          <w:iCs w:val="1"/>
          <w:color w:val="auto"/>
        </w:rPr>
        <w:t>Our warrants and founder shares may have an adverse effect on the market price of our Class A ordinary shares and make it more difficult to effectuate our initial business combination.</w:t>
      </w:r>
    </w:p>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We have issued warrants to purchase 12,500,000 Class A ordinary shares, at a price of $11.50 per whole share, as part of the units offered in our IPO, and, simultaneously with the closing of our IPO, we issued in a private placement an aggregate of 7,000,000 private placement warrants, each exercisable to purchase one Class A ordinary share at a price of $11.50 per share. Our initial shareholders currently hold 6,250,000 founder shares.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 To the extent we issue ordinary shares to effectuate a business transaction, the potential for the issuance of a substantial number of additional Class A ordinary shares upon exercise of these warrants or conversion rights could make us a less attractive acquisition vehicle to a target business. Any such issuance will increase the number of issued and outstanding Class A ordinary shares and reduce the value of the Class A ordinary shares issued to complete the business transaction. Therefore, our warrants and founder shares may make it more difficult to effectuate a business combination or increase the cost of acquiring the target business.</w:t>
      </w:r>
    </w:p>
    <w:p>
      <w:pPr>
        <w:spacing w:after="0" w:line="182" w:lineRule="exact"/>
        <w:rPr>
          <w:sz w:val="20"/>
          <w:szCs w:val="20"/>
          <w:color w:val="auto"/>
        </w:rPr>
      </w:pPr>
    </w:p>
    <w:p>
      <w:pPr>
        <w:ind w:right="80" w:firstLine="324"/>
        <w:spacing w:after="0" w:line="235" w:lineRule="auto"/>
        <w:rPr>
          <w:sz w:val="20"/>
          <w:szCs w:val="20"/>
          <w:color w:val="auto"/>
        </w:rPr>
      </w:pPr>
      <w:r>
        <w:rPr>
          <w:rFonts w:ascii="Arial" w:cs="Arial" w:eastAsia="Arial" w:hAnsi="Arial"/>
          <w:sz w:val="22"/>
          <w:szCs w:val="22"/>
          <w:color w:val="auto"/>
        </w:rPr>
        <w:t>The private placement warrants are identical to the warrants sold as part of the units in our IPO except that, so long as they are held by our sponsor or its permitted transferees: (1) they will not be redeemable by us; (2) they (including the ordinary shares issuable upon exercise of these warrants) may not, subject to certain limited exceptions, be transferred, assigned or sold by our sponsor until 30 days after the completion of our initial business combination; (3) they may be exercised by the holders on a cashless basis; and (4) they (including the ordinary shares issuable upon exercise of these warrants) are entitled to registration rights.</w:t>
      </w:r>
    </w:p>
    <w:p>
      <w:pPr>
        <w:spacing w:after="0" w:line="215" w:lineRule="exact"/>
        <w:rPr>
          <w:sz w:val="20"/>
          <w:szCs w:val="20"/>
          <w:color w:val="auto"/>
        </w:rPr>
      </w:pPr>
    </w:p>
    <w:p>
      <w:pPr>
        <w:ind w:left="180" w:right="20"/>
        <w:spacing w:after="0" w:line="250" w:lineRule="auto"/>
        <w:rPr>
          <w:sz w:val="20"/>
          <w:szCs w:val="20"/>
          <w:color w:val="auto"/>
        </w:rPr>
      </w:pPr>
      <w:r>
        <w:rPr>
          <w:rFonts w:ascii="Arial" w:cs="Arial" w:eastAsia="Arial" w:hAnsi="Arial"/>
          <w:sz w:val="22"/>
          <w:szCs w:val="22"/>
          <w:b w:val="1"/>
          <w:bCs w:val="1"/>
          <w:i w:val="1"/>
          <w:iCs w:val="1"/>
          <w:color w:val="auto"/>
        </w:rPr>
        <w:t>Because each unit contains one-half of one warrant and only a whole warrant may be exercised, the units may be worth less than units of other blank check companies.</w:t>
      </w:r>
    </w:p>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Each unit contains one-half of one warrant. Pursuant to the warrant agreement, no fractional warrants will be issued upon separation of the units, and only whole units will trade. This is different from other blank check companies whose units include one ordinary share and one whole warrant to purchase one share. We established the components of the units in this way in order to reduce the dilutive effect of the warrants upon completion of a business combination since the warrants will be exercisable in the aggregate for a half of the number of shares compared to units that each contain a whole warrant to purchase one share, which we believe makes us a more attractive business combination partner for target businesses. Nevertheless, this unit structure may cause our units to be worth less than if they included a warrant to purchase one whole share.</w:t>
      </w:r>
    </w:p>
    <w:p>
      <w:pPr>
        <w:spacing w:after="0" w:line="179" w:lineRule="exact"/>
        <w:rPr>
          <w:sz w:val="20"/>
          <w:szCs w:val="20"/>
          <w:color w:val="auto"/>
        </w:rPr>
      </w:pPr>
    </w:p>
    <w:p>
      <w:pPr>
        <w:ind w:left="180" w:right="140"/>
        <w:spacing w:after="0" w:line="328" w:lineRule="auto"/>
        <w:rPr>
          <w:sz w:val="20"/>
          <w:szCs w:val="20"/>
          <w:color w:val="auto"/>
        </w:rPr>
      </w:pPr>
      <w:r>
        <w:rPr>
          <w:rFonts w:ascii="Arial" w:cs="Arial" w:eastAsia="Arial" w:hAnsi="Arial"/>
          <w:sz w:val="19"/>
          <w:szCs w:val="19"/>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32" w:lineRule="exact"/>
        <w:rPr>
          <w:sz w:val="20"/>
          <w:szCs w:val="20"/>
          <w:color w:val="auto"/>
        </w:rPr>
      </w:pPr>
    </w:p>
    <w:p>
      <w:pPr>
        <w:ind w:right="40" w:firstLine="324"/>
        <w:spacing w:after="0" w:line="244" w:lineRule="auto"/>
        <w:rPr>
          <w:sz w:val="20"/>
          <w:szCs w:val="20"/>
          <w:color w:val="auto"/>
        </w:rPr>
      </w:pPr>
      <w:r>
        <w:rPr>
          <w:rFonts w:ascii="Arial" w:cs="Arial" w:eastAsia="Arial" w:hAnsi="Arial"/>
          <w:sz w:val="21"/>
          <w:szCs w:val="21"/>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U.S. GAAP, or international financing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ectPr>
          <w:pgSz w:w="11900" w:h="16838" w:orient="portrait"/>
          <w:cols w:equalWidth="0" w:num="1">
            <w:col w:w="11240"/>
          </w:cols>
          <w:pgMar w:left="320" w:top="122" w:right="339" w:bottom="922"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22"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180"/>
        <w:spacing w:after="0" w:line="252" w:lineRule="auto"/>
        <w:rPr>
          <w:sz w:val="20"/>
          <w:szCs w:val="20"/>
          <w:color w:val="auto"/>
        </w:rPr>
      </w:pPr>
      <w:r>
        <w:rPr>
          <w:rFonts w:ascii="Arial" w:cs="Arial" w:eastAsia="Arial" w:hAnsi="Arial"/>
          <w:sz w:val="21"/>
          <w:szCs w:val="21"/>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20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ordinary shares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3"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1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214" w:lineRule="exact"/>
        <w:rPr>
          <w:sz w:val="20"/>
          <w:szCs w:val="20"/>
          <w:color w:val="auto"/>
        </w:rPr>
      </w:pPr>
    </w:p>
    <w:p>
      <w:pPr>
        <w:jc w:val="both"/>
        <w:ind w:left="180" w:right="340"/>
        <w:spacing w:after="0"/>
        <w:rPr>
          <w:sz w:val="20"/>
          <w:szCs w:val="20"/>
          <w:color w:val="auto"/>
        </w:rPr>
      </w:pPr>
      <w:r>
        <w:rPr>
          <w:rFonts w:ascii="Arial" w:cs="Arial" w:eastAsia="Arial" w:hAnsi="Arial"/>
          <w:sz w:val="22"/>
          <w:szCs w:val="22"/>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acquisition.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Section 404 of the Sarbanes-Oxley Act requires that we evaluate and report on our system of internal controls beginning with our Annual Report on Form 10-K for the year ending December 31, 2020.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85" w:lineRule="exact"/>
        <w:rPr>
          <w:sz w:val="20"/>
          <w:szCs w:val="20"/>
          <w:color w:val="auto"/>
        </w:rPr>
      </w:pPr>
    </w:p>
    <w:p>
      <w:pPr>
        <w:ind w:left="180" w:right="280"/>
        <w:spacing w:after="0" w:line="274" w:lineRule="auto"/>
        <w:rPr>
          <w:sz w:val="20"/>
          <w:szCs w:val="20"/>
          <w:color w:val="auto"/>
        </w:rPr>
      </w:pPr>
      <w:r>
        <w:rPr>
          <w:rFonts w:ascii="Arial" w:cs="Arial" w:eastAsia="Arial" w:hAnsi="Arial"/>
          <w:sz w:val="21"/>
          <w:szCs w:val="21"/>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78" w:lineRule="exact"/>
        <w:rPr>
          <w:sz w:val="20"/>
          <w:szCs w:val="20"/>
          <w:color w:val="auto"/>
        </w:rPr>
      </w:pPr>
    </w:p>
    <w:p>
      <w:pPr>
        <w:ind w:right="40" w:firstLine="324"/>
        <w:spacing w:after="0"/>
        <w:rPr>
          <w:sz w:val="20"/>
          <w:szCs w:val="20"/>
          <w:color w:val="auto"/>
        </w:rPr>
      </w:pPr>
      <w:r>
        <w:rPr>
          <w:rFonts w:ascii="Arial" w:cs="Arial" w:eastAsia="Arial" w:hAnsi="Arial"/>
          <w:sz w:val="22"/>
          <w:szCs w:val="22"/>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213" w:lineRule="exact"/>
        <w:rPr>
          <w:sz w:val="20"/>
          <w:szCs w:val="20"/>
          <w:color w:val="auto"/>
        </w:rPr>
      </w:pPr>
    </w:p>
    <w:p>
      <w:pPr>
        <w:ind w:right="60" w:firstLine="324"/>
        <w:spacing w:after="0" w:line="244" w:lineRule="auto"/>
        <w:rPr>
          <w:sz w:val="20"/>
          <w:szCs w:val="20"/>
          <w:color w:val="auto"/>
        </w:rPr>
      </w:pPr>
      <w:r>
        <w:rPr>
          <w:rFonts w:ascii="Arial" w:cs="Arial" w:eastAsia="Arial" w:hAnsi="Arial"/>
          <w:sz w:val="21"/>
          <w:szCs w:val="21"/>
          <w:color w:val="auto"/>
        </w:rPr>
        <w:t>Our corporate affairs are governed by our amended and restated memorandum and articles of association, the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215"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200" w:lineRule="exact"/>
        <w:rPr>
          <w:sz w:val="20"/>
          <w:szCs w:val="20"/>
          <w:color w:val="auto"/>
        </w:rPr>
      </w:pPr>
    </w:p>
    <w:p>
      <w:pPr>
        <w:spacing w:after="0" w:line="238" w:lineRule="exact"/>
        <w:rPr>
          <w:sz w:val="20"/>
          <w:szCs w:val="20"/>
          <w:color w:val="auto"/>
        </w:rPr>
      </w:pPr>
    </w:p>
    <w:p>
      <w:pPr>
        <w:jc w:val="both"/>
        <w:ind w:right="100" w:firstLine="324"/>
        <w:spacing w:after="0"/>
        <w:rPr>
          <w:sz w:val="20"/>
          <w:szCs w:val="20"/>
          <w:color w:val="auto"/>
        </w:rPr>
      </w:pPr>
      <w:r>
        <w:rPr>
          <w:rFonts w:ascii="Arial" w:cs="Arial" w:eastAsia="Arial" w:hAnsi="Arial"/>
          <w:sz w:val="22"/>
          <w:szCs w:val="22"/>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13" w:lineRule="exact"/>
        <w:rPr>
          <w:sz w:val="20"/>
          <w:szCs w:val="20"/>
          <w:color w:val="auto"/>
        </w:rPr>
      </w:pPr>
    </w:p>
    <w:p>
      <w:pPr>
        <w:ind w:left="180" w:right="140"/>
        <w:spacing w:after="0"/>
        <w:rPr>
          <w:sz w:val="20"/>
          <w:szCs w:val="20"/>
          <w:color w:val="auto"/>
        </w:rPr>
      </w:pPr>
      <w:r>
        <w:rPr>
          <w:rFonts w:ascii="Arial" w:cs="Arial" w:eastAsia="Arial" w:hAnsi="Arial"/>
          <w:sz w:val="22"/>
          <w:szCs w:val="22"/>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213"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color w:val="auto"/>
        </w:rPr>
        <w:t>Our amended and restated memorandum and articles of association contains provisions that may discourage unsolicited takeover proposals that shareholders may consider to be in their best interests. These provisions include two-year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left="180" w:right="100"/>
        <w:spacing w:after="0"/>
        <w:rPr>
          <w:sz w:val="20"/>
          <w:szCs w:val="20"/>
          <w:color w:val="auto"/>
        </w:rPr>
      </w:pPr>
      <w:r>
        <w:rPr>
          <w:rFonts w:ascii="Arial" w:cs="Arial" w:eastAsia="Arial" w:hAnsi="Arial"/>
          <w:sz w:val="22"/>
          <w:szCs w:val="22"/>
          <w:b w:val="1"/>
          <w:bCs w:val="1"/>
          <w:i w:val="1"/>
          <w:iCs w:val="1"/>
          <w:color w:val="auto"/>
        </w:rPr>
        <w:t>After our initial business combination, it is possible that a majority of our directors and officers will live outside the United States and all or substantially all of our assets will be located outside the United States; therefore, investors may not be able to enforce federal securities laws or their other legal rights.</w:t>
      </w:r>
    </w:p>
    <w:p>
      <w:pPr>
        <w:spacing w:after="0" w:line="213" w:lineRule="exact"/>
        <w:rPr>
          <w:sz w:val="20"/>
          <w:szCs w:val="20"/>
          <w:color w:val="auto"/>
        </w:rPr>
      </w:pPr>
    </w:p>
    <w:p>
      <w:pPr>
        <w:ind w:right="100" w:firstLine="324"/>
        <w:spacing w:after="0" w:line="249" w:lineRule="auto"/>
        <w:rPr>
          <w:sz w:val="20"/>
          <w:szCs w:val="20"/>
          <w:color w:val="auto"/>
        </w:rPr>
      </w:pPr>
      <w:r>
        <w:rPr>
          <w:rFonts w:ascii="Arial" w:cs="Arial" w:eastAsia="Arial" w:hAnsi="Arial"/>
          <w:sz w:val="21"/>
          <w:szCs w:val="21"/>
          <w:color w:val="auto"/>
        </w:rPr>
        <w:t>It is possible that after our initial business combination, a majority of our directors and officers will reside outside of the United States and all or substantially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205" w:lineRule="exact"/>
        <w:rPr>
          <w:sz w:val="20"/>
          <w:szCs w:val="20"/>
          <w:color w:val="auto"/>
        </w:rPr>
      </w:pPr>
    </w:p>
    <w:p>
      <w:pPr>
        <w:ind w:left="180" w:right="780"/>
        <w:spacing w:after="0" w:line="359"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10" w:lineRule="exact"/>
        <w:rPr>
          <w:sz w:val="20"/>
          <w:szCs w:val="20"/>
          <w:color w:val="auto"/>
        </w:rPr>
      </w:pPr>
    </w:p>
    <w:p>
      <w:pPr>
        <w:ind w:right="220" w:firstLine="324"/>
        <w:spacing w:after="0" w:line="279" w:lineRule="auto"/>
        <w:rPr>
          <w:sz w:val="20"/>
          <w:szCs w:val="20"/>
          <w:color w:val="auto"/>
        </w:rPr>
      </w:pPr>
      <w:r>
        <w:rPr>
          <w:rFonts w:ascii="Arial" w:cs="Arial" w:eastAsia="Arial" w:hAnsi="Arial"/>
          <w:sz w:val="19"/>
          <w:szCs w:val="19"/>
          <w:color w:val="auto"/>
        </w:rPr>
        <w:t>If we effect a business combination with a company located outside of the United States, the laws of the country in which such company operates will likely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77" w:lineRule="exact"/>
        <w:rPr>
          <w:sz w:val="20"/>
          <w:szCs w:val="20"/>
          <w:color w:val="auto"/>
        </w:rPr>
      </w:pPr>
    </w:p>
    <w:p>
      <w:pPr>
        <w:ind w:left="180" w:right="460"/>
        <w:spacing w:after="0" w:line="328" w:lineRule="auto"/>
        <w:rPr>
          <w:sz w:val="20"/>
          <w:szCs w:val="20"/>
          <w:color w:val="auto"/>
        </w:rPr>
      </w:pPr>
      <w:r>
        <w:rPr>
          <w:rFonts w:ascii="Arial" w:cs="Arial" w:eastAsia="Arial" w:hAnsi="Arial"/>
          <w:sz w:val="19"/>
          <w:szCs w:val="19"/>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32" w:lineRule="exact"/>
        <w:rPr>
          <w:sz w:val="20"/>
          <w:szCs w:val="20"/>
          <w:color w:val="auto"/>
        </w:rPr>
      </w:pPr>
    </w:p>
    <w:p>
      <w:pPr>
        <w:ind w:firstLine="324"/>
        <w:spacing w:after="0" w:line="249" w:lineRule="auto"/>
        <w:rPr>
          <w:sz w:val="20"/>
          <w:szCs w:val="20"/>
          <w:color w:val="auto"/>
        </w:rPr>
      </w:pPr>
      <w:r>
        <w:rPr>
          <w:rFonts w:ascii="Arial" w:cs="Arial" w:eastAsia="Arial" w:hAnsi="Arial"/>
          <w:sz w:val="21"/>
          <w:szCs w:val="21"/>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205" w:lineRule="exact"/>
        <w:rPr>
          <w:sz w:val="20"/>
          <w:szCs w:val="20"/>
          <w:color w:val="auto"/>
        </w:rPr>
      </w:pPr>
    </w:p>
    <w:p>
      <w:pPr>
        <w:ind w:left="180" w:right="60"/>
        <w:spacing w:after="0" w:line="238" w:lineRule="auto"/>
        <w:rPr>
          <w:sz w:val="20"/>
          <w:szCs w:val="20"/>
          <w:color w:val="auto"/>
        </w:rPr>
      </w:pPr>
      <w:r>
        <w:rPr>
          <w:rFonts w:ascii="Arial" w:cs="Arial" w:eastAsia="Arial" w:hAnsi="Arial"/>
          <w:sz w:val="22"/>
          <w:szCs w:val="22"/>
          <w:b w:val="1"/>
          <w:bCs w:val="1"/>
          <w:i w:val="1"/>
          <w:i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social and government policies, developments and conditions in the country in which we operate.</w:t>
      </w:r>
    </w:p>
    <w:p>
      <w:pPr>
        <w:spacing w:after="0" w:line="212" w:lineRule="exact"/>
        <w:rPr>
          <w:sz w:val="20"/>
          <w:szCs w:val="20"/>
          <w:color w:val="auto"/>
        </w:rPr>
      </w:pPr>
    </w:p>
    <w:p>
      <w:pPr>
        <w:ind w:right="60" w:firstLine="324"/>
        <w:spacing w:after="0" w:line="246" w:lineRule="auto"/>
        <w:rPr>
          <w:sz w:val="20"/>
          <w:szCs w:val="20"/>
          <w:color w:val="auto"/>
        </w:rPr>
      </w:pPr>
      <w:r>
        <w:rPr>
          <w:rFonts w:ascii="Arial" w:cs="Arial" w:eastAsia="Arial" w:hAnsi="Arial"/>
          <w:sz w:val="21"/>
          <w:szCs w:val="21"/>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11" w:lineRule="exact"/>
        <w:rPr>
          <w:sz w:val="20"/>
          <w:szCs w:val="20"/>
          <w:color w:val="auto"/>
        </w:rPr>
      </w:pPr>
    </w:p>
    <w:p>
      <w:pPr>
        <w:ind w:left="180" w:right="860"/>
        <w:spacing w:after="0" w:line="274" w:lineRule="auto"/>
        <w:rPr>
          <w:sz w:val="20"/>
          <w:szCs w:val="20"/>
          <w:color w:val="auto"/>
        </w:rPr>
      </w:pPr>
      <w:r>
        <w:rPr>
          <w:rFonts w:ascii="Arial" w:cs="Arial" w:eastAsia="Arial" w:hAnsi="Arial"/>
          <w:sz w:val="21"/>
          <w:szCs w:val="21"/>
          <w:b w:val="1"/>
          <w:bCs w:val="1"/>
          <w:i w:val="1"/>
          <w:iCs w:val="1"/>
          <w:color w:val="auto"/>
        </w:rPr>
        <w:t>We will be subject to changing law and regulations regarding regulatory matters, corporate governance and public disclosure that have increased both our costs and the risk of noncompliance.</w:t>
      </w:r>
    </w:p>
    <w:p>
      <w:pPr>
        <w:spacing w:after="0" w:line="178"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We are subject to rules and regulations of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are likely to continue to result in increased general and administrative expenses and a diversion of management time and attention from our search for a business combination target to compliance activities.</w:t>
      </w:r>
    </w:p>
    <w:p>
      <w:pPr>
        <w:spacing w:after="0" w:line="214"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We may be delayed in processing mail received at our registered office.</w:t>
      </w:r>
    </w:p>
    <w:p>
      <w:pPr>
        <w:spacing w:after="0" w:line="233" w:lineRule="exact"/>
        <w:rPr>
          <w:sz w:val="20"/>
          <w:szCs w:val="20"/>
          <w:color w:val="auto"/>
        </w:rPr>
      </w:pPr>
    </w:p>
    <w:p>
      <w:pPr>
        <w:ind w:right="160" w:firstLine="324"/>
        <w:spacing w:after="0" w:line="238" w:lineRule="auto"/>
        <w:rPr>
          <w:sz w:val="20"/>
          <w:szCs w:val="20"/>
          <w:color w:val="auto"/>
        </w:rPr>
      </w:pPr>
      <w:r>
        <w:rPr>
          <w:rFonts w:ascii="Arial" w:cs="Arial" w:eastAsia="Arial" w:hAnsi="Arial"/>
          <w:sz w:val="22"/>
          <w:szCs w:val="22"/>
          <w:color w:val="auto"/>
        </w:rPr>
        <w:t>Mail addressed to the Company and received at its registered office will be forwarded unopened to the forwarding address supplied by the Company to be dealt with. None of the Company, its directors, officers, advisors or service providers (including the organization which provides registered office services in the Cayman Islands) will bear any responsibility for any delay howsoever caused in mail reaching the forwarding address.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the Cannabis Industry</w:t>
      </w:r>
    </w:p>
    <w:p>
      <w:pPr>
        <w:spacing w:after="0" w:line="239"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Business combinations with companies operating in the cannabis industry entail special considerations and risks. If we complete a business combination with a target business in the cannabis industry, we will be subject to, and possibly adversely affected by, the risks set forth below. However, our efforts in identifying prospective target businesses may not be limited to the cannabis industry. Accordingly, if we acquire a target business in another industry, these risks will likely not affect us and we will be subject to other risks attendant with the specific industry of the target business which we acquire, none of which can be presently ascertained.</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There are risks related to the cannabis industry to which we may become subject.</w:t>
      </w:r>
    </w:p>
    <w:p>
      <w:pPr>
        <w:spacing w:after="0" w:line="233" w:lineRule="exact"/>
        <w:rPr>
          <w:sz w:val="20"/>
          <w:szCs w:val="20"/>
          <w:color w:val="auto"/>
        </w:rPr>
      </w:pPr>
    </w:p>
    <w:p>
      <w:pPr>
        <w:ind w:right="80" w:firstLine="324"/>
        <w:spacing w:after="0" w:line="250" w:lineRule="auto"/>
        <w:rPr>
          <w:sz w:val="20"/>
          <w:szCs w:val="20"/>
          <w:color w:val="auto"/>
        </w:rPr>
      </w:pPr>
      <w:r>
        <w:rPr>
          <w:rFonts w:ascii="Arial" w:cs="Arial" w:eastAsia="Arial" w:hAnsi="Arial"/>
          <w:sz w:val="22"/>
          <w:szCs w:val="22"/>
          <w:color w:val="auto"/>
        </w:rPr>
        <w:t>If we are successful in completing a business combination with a target business with operations in the cannabis industry, we will be subject to, and possibly adversely affected by, the following risks:</w:t>
      </w:r>
    </w:p>
    <w:p>
      <w:pPr>
        <w:spacing w:after="0" w:line="20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cannabis industry is extremely speculative and its legality is uncertain, making it subject to inherent risk;</w:t>
      </w:r>
    </w:p>
    <w:p>
      <w:pPr>
        <w:spacing w:after="0" w:line="252" w:lineRule="exact"/>
        <w:rPr>
          <w:rFonts w:ascii="Arial" w:cs="Arial" w:eastAsia="Arial" w:hAnsi="Arial"/>
          <w:sz w:val="18"/>
          <w:szCs w:val="18"/>
          <w:color w:val="auto"/>
        </w:rPr>
      </w:pPr>
    </w:p>
    <w:p>
      <w:pPr>
        <w:ind w:left="660" w:right="38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Use of cannabis that is not in compliance with the U.S. Controlled Substances Act is illegal under U.S. federal law, and therefore, strict enforcement of U.S. federal laws regarding the use, cultivation, manufacturing, processing, transportation, distribution, storage and/or sale of cannabis would likely result in our inability to execute a business plan in the cannabis industry;</w:t>
      </w:r>
    </w:p>
    <w:p>
      <w:pPr>
        <w:spacing w:after="0" w:line="192" w:lineRule="exact"/>
        <w:rPr>
          <w:rFonts w:ascii="Arial" w:cs="Arial" w:eastAsia="Arial" w:hAnsi="Arial"/>
          <w:sz w:val="17"/>
          <w:szCs w:val="17"/>
          <w:color w:val="auto"/>
        </w:rPr>
      </w:pPr>
    </w:p>
    <w:p>
      <w:pPr>
        <w:ind w:left="660" w:right="50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current policies of the Biden Administration and the U.S. Department of Justice resulting in heightened enforcement of U.S. federal cannabis laws may negatively impact our ability to pursue our prospective business operations and/or generate revenues;</w:t>
      </w:r>
    </w:p>
    <w:p>
      <w:pPr>
        <w:spacing w:after="0" w:line="15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federal courts may refuse to recognize the enforceability of contracts pertaining to any business operations that are deemed illegal under U.S. federal law and, as a result, cannabis-related contracts could prove unenforceable in such courts;</w:t>
      </w:r>
    </w:p>
    <w:p>
      <w:pPr>
        <w:spacing w:after="0" w:line="197"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21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Assets leased to cannabis businesses may be forfeited to the U.S. federal government in connection with government enforcement actions under U.S. federal law;</w:t>
      </w:r>
    </w:p>
    <w:p>
      <w:pPr>
        <w:spacing w:after="0" w:line="197"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Food and Drug Administration regulation of cannabis and the possible registration of facilities where cannabis is grown could negatively affect the cannabis industry, which could directly affect our financial condition;</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the various insurance policies that are needed to operate our business, which may expose us to additional risks and financial liabilities;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are have powerful lobbying and financial resources;</w:t>
      </w:r>
    </w:p>
    <w:p>
      <w:pPr>
        <w:spacing w:after="0" w:line="21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Many national and regional banks have been resistant to doing business with cannabis companies because of the uncertainties presented by federal law and, as a result, we may have difficulty accessing the service of banks, which may inhibit our ability to open bank accounts or otherwise utilize traditional banking services;</w:t>
      </w:r>
    </w:p>
    <w:p>
      <w:pPr>
        <w:spacing w:after="0" w:line="21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financing in connection with our initial business combination or thereafter;</w:t>
      </w:r>
    </w:p>
    <w:p>
      <w:pPr>
        <w:spacing w:after="0" w:line="197"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Laws and regulations affecting the regulated cannabis industry are varied, broad in scope and subject to evolving interpretations, and may restrict the use of the properties we acquire or require certain additional regulatory approvals, which could materially adversely affect our operations;</w:t>
      </w:r>
    </w:p>
    <w:p>
      <w:pPr>
        <w:spacing w:after="0" w:line="15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National securities exchanges may not list companies engaged in the cannabis industry;</w:t>
      </w:r>
    </w:p>
    <w:p>
      <w:pPr>
        <w:spacing w:after="0" w:line="252" w:lineRule="exact"/>
        <w:rPr>
          <w:rFonts w:ascii="Arial" w:cs="Arial" w:eastAsia="Arial" w:hAnsi="Arial"/>
          <w:sz w:val="16"/>
          <w:szCs w:val="16"/>
          <w:color w:val="auto"/>
        </w:rPr>
      </w:pPr>
    </w:p>
    <w:p>
      <w:pPr>
        <w:jc w:val="both"/>
        <w:ind w:left="660" w:right="4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280E of the Internal Revenue Code of 1986, as amended, which disallows a tax deduction for any amount paid or incurred in carrying on any trade or business that consists of trafficking in controlled substances prohibited by federal or state law, may prevent us from deducting certain business expenditures, which would increase our net taxable income; 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similar to those discussed above based on regulations of other jurisdictions in which a prospective target may operate or be organized in.</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Any of the foregoing could have an adverse impact on our operations following a business combination.</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Cannabis is currently illegal under U.S. federal law and in other jurisdictions</w:t>
      </w:r>
    </w:p>
    <w:p>
      <w:pPr>
        <w:spacing w:after="0" w:line="233" w:lineRule="exact"/>
        <w:rPr>
          <w:sz w:val="20"/>
          <w:szCs w:val="20"/>
          <w:color w:val="auto"/>
        </w:rPr>
      </w:pPr>
    </w:p>
    <w:p>
      <w:pPr>
        <w:ind w:right="20" w:firstLine="324"/>
        <w:spacing w:after="0" w:line="271" w:lineRule="auto"/>
        <w:rPr>
          <w:sz w:val="20"/>
          <w:szCs w:val="20"/>
          <w:color w:val="auto"/>
        </w:rPr>
      </w:pPr>
      <w:r>
        <w:rPr>
          <w:rFonts w:ascii="Arial" w:cs="Arial" w:eastAsia="Arial" w:hAnsi="Arial"/>
          <w:sz w:val="19"/>
          <w:szCs w:val="19"/>
          <w:color w:val="auto"/>
        </w:rPr>
        <w:t>If we complete a business combination with a target in the cannabis industry, our ability to achieve our business objectives will be contingent, in part, upon the legality of the cannabis industry, our compliance with regulatory requirements enacted by various governmental authorities, and our obtaining all regulatory approvals, where necessary. The laws and regulations governing cannabis are still developing, including in ways that we may not foresee. Although the Agriculture Improvement Act of 2018 has taken hemp and hemp-derived cannabinoids out of the most restrictive class of controlled substances under U.S. federal law, marijuana is a schedule 1 controlled substance in the United States and is currently illegal under U.S. federal law. Even in those U.S. states in which the recreational use of marijuana has been legalized, its use remains a violation of U.S. federal law. Additionally, in 2018, a series of memoranda and guidance from 2009 to 2014 that generally directed U.S. Attorneys not to enforce federal marijuana laws against actors who were in compliance with state guidance were formally rescinded. Since U.S. federal laws criminalizing the use of marijuana preempt state laws that legalize its use, continuation of U.S. federal law in its current state regarding marijuana could limit our ability to do business in the United States. Similar issues of illegality apply in other countries.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our ability to consummate an initial business combination, the markets in which we operate, products and sales initiatives and could have a material adverse effect on our business, liquidity, financial condition and/or results of operations.</w:t>
      </w:r>
    </w:p>
    <w:p>
      <w:pPr>
        <w:spacing w:after="0" w:line="200" w:lineRule="exact"/>
        <w:rPr>
          <w:sz w:val="20"/>
          <w:szCs w:val="20"/>
          <w:color w:val="auto"/>
        </w:rPr>
      </w:pPr>
    </w:p>
    <w:p>
      <w:pPr>
        <w:spacing w:after="0" w:line="230" w:lineRule="exact"/>
        <w:rPr>
          <w:sz w:val="20"/>
          <w:szCs w:val="20"/>
          <w:color w:val="auto"/>
        </w:rPr>
      </w:pPr>
    </w:p>
    <w:p>
      <w:pPr>
        <w:ind w:left="180"/>
        <w:spacing w:after="0" w:line="250" w:lineRule="auto"/>
        <w:rPr>
          <w:sz w:val="20"/>
          <w:szCs w:val="20"/>
          <w:color w:val="auto"/>
        </w:rPr>
      </w:pPr>
      <w:r>
        <w:rPr>
          <w:rFonts w:ascii="Arial" w:cs="Arial" w:eastAsia="Arial" w:hAnsi="Arial"/>
          <w:sz w:val="22"/>
          <w:szCs w:val="22"/>
          <w:b w:val="1"/>
          <w:bCs w:val="1"/>
          <w:i w:val="1"/>
          <w:iCs w:val="1"/>
          <w:color w:val="auto"/>
        </w:rPr>
        <w:t>Change in the laws, regulations and guidelines that impact the cannabis industry may cause adverse effects on our ability to successfully complete our initial business combination.</w:t>
      </w:r>
    </w:p>
    <w:p>
      <w:pPr>
        <w:spacing w:after="0" w:line="202" w:lineRule="exact"/>
        <w:rPr>
          <w:sz w:val="20"/>
          <w:szCs w:val="20"/>
          <w:color w:val="auto"/>
        </w:rPr>
      </w:pPr>
    </w:p>
    <w:p>
      <w:pPr>
        <w:ind w:right="40" w:firstLine="324"/>
        <w:spacing w:after="0" w:line="282" w:lineRule="auto"/>
        <w:rPr>
          <w:sz w:val="20"/>
          <w:szCs w:val="20"/>
          <w:color w:val="auto"/>
        </w:rPr>
      </w:pPr>
      <w:r>
        <w:rPr>
          <w:rFonts w:ascii="Arial" w:cs="Arial" w:eastAsia="Arial" w:hAnsi="Arial"/>
          <w:sz w:val="19"/>
          <w:szCs w:val="19"/>
          <w:color w:val="auto"/>
        </w:rPr>
        <w:t>We only intend to target companies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Changes to such laws, regulations and guidelines may cause adverse effects on our ability to identify and acquire a target company that meets these legal and regulatory requirements at the time of acquisition.</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340"/>
        <w:spacing w:after="0" w:line="250" w:lineRule="auto"/>
        <w:rPr>
          <w:sz w:val="20"/>
          <w:szCs w:val="20"/>
          <w:color w:val="auto"/>
        </w:rPr>
      </w:pPr>
      <w:r>
        <w:rPr>
          <w:rFonts w:ascii="Arial" w:cs="Arial" w:eastAsia="Arial" w:hAnsi="Arial"/>
          <w:sz w:val="22"/>
          <w:szCs w:val="22"/>
          <w:b w:val="1"/>
          <w:bCs w:val="1"/>
          <w:i w:val="1"/>
          <w:iCs w:val="1"/>
          <w:color w:val="auto"/>
        </w:rPr>
        <w:t>The nascent status of the medical and recreational cannabis industry involves unique circumstances and there can be no assurance that the industry will continue to exist or grow as currently anticipated.</w:t>
      </w:r>
    </w:p>
    <w:p>
      <w:pPr>
        <w:spacing w:after="0" w:line="202"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Cannabis industry businesses operate under a relatively new medical and adult-use recreational market. In addition to being subject to general business risks, a business involving an agricultural product and a regulated consumer product needs to continue to build brand, product awareness and operations through significant investments in strategy, production capacity, quality assurance and compliance with regulations.</w:t>
      </w:r>
    </w:p>
    <w:p>
      <w:pPr>
        <w:spacing w:after="0" w:line="212" w:lineRule="exact"/>
        <w:rPr>
          <w:sz w:val="20"/>
          <w:szCs w:val="20"/>
          <w:color w:val="auto"/>
        </w:rPr>
      </w:pPr>
    </w:p>
    <w:p>
      <w:pPr>
        <w:ind w:right="480" w:firstLine="324"/>
        <w:spacing w:after="0" w:line="274" w:lineRule="auto"/>
        <w:rPr>
          <w:sz w:val="20"/>
          <w:szCs w:val="20"/>
          <w:color w:val="auto"/>
        </w:rPr>
      </w:pPr>
      <w:r>
        <w:rPr>
          <w:rFonts w:ascii="Arial" w:cs="Arial" w:eastAsia="Arial" w:hAnsi="Arial"/>
          <w:sz w:val="21"/>
          <w:szCs w:val="21"/>
          <w:color w:val="auto"/>
        </w:rPr>
        <w:t>Competitive conditions, consumer tastes, patient requirements and spending patterns in this new industry and market are relatively unknown and may have unique circumstances that differ from existing industries and markets.</w:t>
      </w:r>
    </w:p>
    <w:p>
      <w:pPr>
        <w:spacing w:after="0" w:line="178"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There can be no assurance that this industry and market will continue to exist or grow as currently estimated or anticipated, or function and evolve in a manner consistent with management’s expectations and assumptions. Any event or circumstance that affects the medical or recreational cannabis industry and market could have a material adverse effect on our business, financial condition and results of operations.</w:t>
      </w:r>
    </w:p>
    <w:p>
      <w:pPr>
        <w:spacing w:after="0" w:line="212" w:lineRule="exact"/>
        <w:rPr>
          <w:sz w:val="20"/>
          <w:szCs w:val="20"/>
          <w:color w:val="auto"/>
        </w:rPr>
      </w:pPr>
    </w:p>
    <w:p>
      <w:pPr>
        <w:ind w:left="180" w:right="820"/>
        <w:spacing w:after="0" w:line="250" w:lineRule="auto"/>
        <w:rPr>
          <w:sz w:val="20"/>
          <w:szCs w:val="20"/>
          <w:color w:val="auto"/>
        </w:rPr>
      </w:pPr>
      <w:r>
        <w:rPr>
          <w:rFonts w:ascii="Arial" w:cs="Arial" w:eastAsia="Arial" w:hAnsi="Arial"/>
          <w:sz w:val="22"/>
          <w:szCs w:val="22"/>
          <w:b w:val="1"/>
          <w:bCs w:val="1"/>
          <w:i w:val="1"/>
          <w:iCs w:val="1"/>
          <w:color w:val="auto"/>
        </w:rPr>
        <w:t>Any potential growth in the cannabis industry continues to be subject to new and changing state and local laws and regulations.</w:t>
      </w:r>
    </w:p>
    <w:p>
      <w:pPr>
        <w:spacing w:after="0" w:line="202" w:lineRule="exact"/>
        <w:rPr>
          <w:sz w:val="20"/>
          <w:szCs w:val="20"/>
          <w:color w:val="auto"/>
        </w:rPr>
      </w:pPr>
    </w:p>
    <w:p>
      <w:pPr>
        <w:ind w:right="160" w:firstLine="324"/>
        <w:spacing w:after="0" w:line="245" w:lineRule="auto"/>
        <w:rPr>
          <w:sz w:val="20"/>
          <w:szCs w:val="20"/>
          <w:color w:val="auto"/>
        </w:rPr>
      </w:pPr>
      <w:r>
        <w:rPr>
          <w:rFonts w:ascii="Arial" w:cs="Arial" w:eastAsia="Arial" w:hAnsi="Arial"/>
          <w:sz w:val="21"/>
          <w:szCs w:val="21"/>
          <w:color w:val="auto"/>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Additionally, changes in applicable state and local laws or regulations, including zoning restrictions, permitting requirements and fees, could restrict the products and services we may offer or impose additional compliance costs on us or our customers. Violations of applicable laws, or allegations of such violations, could disrupt our business and result in a material adverse effect on our operations. We cannot predict the nature of any future laws, regulations, interpretations or applications, and it is possible that regulations may be enacted in the future that will be materially adverse to our business.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Change in the laws, regulations and guidelines that impact our business may cause adverse effects on our operations.</w:t>
      </w:r>
    </w:p>
    <w:p>
      <w:pPr>
        <w:spacing w:after="0" w:line="268" w:lineRule="exact"/>
        <w:rPr>
          <w:sz w:val="20"/>
          <w:szCs w:val="20"/>
          <w:color w:val="auto"/>
        </w:rPr>
      </w:pPr>
    </w:p>
    <w:p>
      <w:pPr>
        <w:ind w:right="200" w:firstLine="324"/>
        <w:spacing w:after="0" w:line="287" w:lineRule="auto"/>
        <w:rPr>
          <w:sz w:val="20"/>
          <w:szCs w:val="20"/>
          <w:color w:val="auto"/>
        </w:rPr>
      </w:pPr>
      <w:r>
        <w:rPr>
          <w:rFonts w:ascii="Arial" w:cs="Arial" w:eastAsia="Arial" w:hAnsi="Arial"/>
          <w:sz w:val="19"/>
          <w:szCs w:val="19"/>
          <w:color w:val="auto"/>
        </w:rPr>
        <w:t>A cannabis products business will be subject to a variety of laws, regulations and guidelines relating to the marketing, acquisition, manufacture, management, transportation, storage, sale, labeling and disposal of cannabis as well as laws and regulations relating to health and safety, the conduct of operations and the protection of the environment. Changes to such laws, regulations and guidelines may cause adverse effects on the operations of our target company post-acquisition.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Operating in a highly regulated business will require significant resources.</w:t>
      </w:r>
    </w:p>
    <w:p>
      <w:pPr>
        <w:spacing w:after="0" w:line="233"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In the event we acquire a business involved in the production, distribution or sale of cannabis products, we will be operating in a highly regulated business. In such a case, we would expect a significant amount of management’s time and external resources to be used to comply with the laws, regulations and guidelines that impact our business, and changes thereto, and such compliance may place a significant burden on our management and other resources.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Differing regulatory environments may cause adverse effects on our operations.</w:t>
      </w:r>
    </w:p>
    <w:p>
      <w:pPr>
        <w:spacing w:after="0" w:line="233" w:lineRule="exact"/>
        <w:rPr>
          <w:sz w:val="20"/>
          <w:szCs w:val="20"/>
          <w:color w:val="auto"/>
        </w:rPr>
      </w:pPr>
    </w:p>
    <w:p>
      <w:pPr>
        <w:ind w:right="100" w:firstLine="324"/>
        <w:spacing w:after="0" w:line="282" w:lineRule="auto"/>
        <w:rPr>
          <w:sz w:val="20"/>
          <w:szCs w:val="20"/>
          <w:color w:val="auto"/>
        </w:rPr>
      </w:pPr>
      <w:r>
        <w:rPr>
          <w:rFonts w:ascii="Arial" w:cs="Arial" w:eastAsia="Arial" w:hAnsi="Arial"/>
          <w:sz w:val="19"/>
          <w:szCs w:val="19"/>
          <w:color w:val="auto"/>
        </w:rPr>
        <w:t>A cannabis products business will be subject to a variety of laws, regulations and guidelines in each of the jurisdictions in which it operates. Complying with multiple regulatory regimes will require additional resources and may limit our ability to expand into certain jurisdictions, even where cannabis may be legal. For example, even if cannabis were to become legal under U.S. federal law, companies operating in the cannabis industry would have to comply with applicable state and local laws, which may vary greatly between jurisdictions, increasing costs for companies that operate in multiple jurisdictions.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340"/>
        <w:spacing w:after="0" w:line="250" w:lineRule="auto"/>
        <w:rPr>
          <w:sz w:val="20"/>
          <w:szCs w:val="20"/>
          <w:color w:val="auto"/>
        </w:rPr>
      </w:pPr>
      <w:r>
        <w:rPr>
          <w:rFonts w:ascii="Arial" w:cs="Arial" w:eastAsia="Arial" w:hAnsi="Arial"/>
          <w:sz w:val="22"/>
          <w:szCs w:val="22"/>
          <w:b w:val="1"/>
          <w:bCs w:val="1"/>
          <w:i w:val="1"/>
          <w:iCs w:val="1"/>
          <w:color w:val="auto"/>
        </w:rPr>
        <w:t>We may operate a highly regulated business and any failure or significant delay in obtaining regulatory approvals could adversely affect our ability to conduct our business.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In the event we acquire a business involved in the production, distribution or sale of cannabis products, achievement of our business objectives will be contingent, in part, upon compliance with the regulatory requirements enacted by applicable government authorities and obtaining all regulatory approvals, where necessary, for the sale of our products. We cannot predict the time required to secure all appropriate regulatory approvals for our products, additional restrictions that may be placed on our business or the extent of testing and documentation that may be required by government authorities. Any delays in obtaining, or failure to obtain regulatory approvals would significantly delay the development of markets and products and could have a material adverse effect on our business, results of operation and financial condition.</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U.S. regulations relating to hemp-derived CBD products are unclear and rapidly evolving.</w:t>
      </w:r>
    </w:p>
    <w:p>
      <w:pPr>
        <w:spacing w:after="0" w:line="233" w:lineRule="exact"/>
        <w:rPr>
          <w:sz w:val="20"/>
          <w:szCs w:val="20"/>
          <w:color w:val="auto"/>
        </w:rPr>
      </w:pPr>
    </w:p>
    <w:p>
      <w:pPr>
        <w:ind w:right="180" w:firstLine="324"/>
        <w:spacing w:after="0" w:line="238" w:lineRule="auto"/>
        <w:rPr>
          <w:sz w:val="20"/>
          <w:szCs w:val="20"/>
          <w:color w:val="auto"/>
        </w:rPr>
      </w:pPr>
      <w:r>
        <w:rPr>
          <w:rFonts w:ascii="Arial" w:cs="Arial" w:eastAsia="Arial" w:hAnsi="Arial"/>
          <w:sz w:val="22"/>
          <w:szCs w:val="22"/>
          <w:color w:val="auto"/>
        </w:rPr>
        <w:t>We may acquire a business involved in the production, distribution or sale of hemp-derived CBD products. Participation in the market for hemp-derived CBD products in the United States and elsewhere may require us to employ novel approaches to existing regulatory pathways. Although the passage of the Farm Bill in December 2018 legalized the cultivation of hemp in the United States to produce products containing CBD and other</w:t>
      </w:r>
    </w:p>
    <w:p>
      <w:pPr>
        <w:spacing w:after="0" w:line="212" w:lineRule="exact"/>
        <w:rPr>
          <w:sz w:val="20"/>
          <w:szCs w:val="20"/>
          <w:color w:val="auto"/>
        </w:rPr>
      </w:pPr>
    </w:p>
    <w:p>
      <w:pPr>
        <w:ind w:right="100" w:firstLine="324"/>
        <w:spacing w:after="0" w:line="252" w:lineRule="auto"/>
        <w:rPr>
          <w:sz w:val="20"/>
          <w:szCs w:val="20"/>
          <w:color w:val="auto"/>
        </w:rPr>
      </w:pPr>
      <w:r>
        <w:rPr>
          <w:rFonts w:ascii="Arial" w:cs="Arial" w:eastAsia="Arial" w:hAnsi="Arial"/>
          <w:sz w:val="21"/>
          <w:szCs w:val="21"/>
          <w:color w:val="auto"/>
        </w:rPr>
        <w:t>non-tetrahydrocannabinol (“THC”) cannabinoids, it is unclear how the U.S. Food and Drug Administration (“FDA”) will respond to the approach taken by a target business we acquire, or whether the FDA will propose or implement new or additional regulations. In addition, such products may be subject to regulation at the state or local levels. Unforeseen regulatory obstacles may hinder our ability to successfully compete in the market for such products.</w:t>
      </w:r>
    </w:p>
    <w:p>
      <w:pPr>
        <w:spacing w:after="0" w:line="201" w:lineRule="exact"/>
        <w:rPr>
          <w:sz w:val="20"/>
          <w:szCs w:val="20"/>
          <w:color w:val="auto"/>
        </w:rPr>
      </w:pPr>
    </w:p>
    <w:p>
      <w:pPr>
        <w:ind w:left="180" w:right="120"/>
        <w:spacing w:after="0" w:line="250" w:lineRule="auto"/>
        <w:rPr>
          <w:sz w:val="20"/>
          <w:szCs w:val="20"/>
          <w:color w:val="auto"/>
        </w:rPr>
      </w:pPr>
      <w:r>
        <w:rPr>
          <w:rFonts w:ascii="Arial" w:cs="Arial" w:eastAsia="Arial" w:hAnsi="Arial"/>
          <w:sz w:val="22"/>
          <w:szCs w:val="22"/>
          <w:b w:val="1"/>
          <w:bCs w:val="1"/>
          <w:i w:val="1"/>
          <w:iCs w:val="1"/>
          <w:color w:val="auto"/>
        </w:rPr>
        <w:t>Marketing constraints under regulatory frameworks may limit a potential target cannabis company’s ability to compete for market share in a manner similar to that of companies in other industries.</w:t>
      </w:r>
    </w:p>
    <w:p>
      <w:pPr>
        <w:spacing w:after="0" w:line="202" w:lineRule="exact"/>
        <w:rPr>
          <w:sz w:val="20"/>
          <w:szCs w:val="20"/>
          <w:color w:val="auto"/>
        </w:rPr>
      </w:pPr>
    </w:p>
    <w:p>
      <w:pPr>
        <w:ind w:right="100" w:firstLine="324"/>
        <w:spacing w:after="0" w:line="246" w:lineRule="auto"/>
        <w:rPr>
          <w:sz w:val="20"/>
          <w:szCs w:val="20"/>
          <w:color w:val="auto"/>
        </w:rPr>
      </w:pPr>
      <w:r>
        <w:rPr>
          <w:rFonts w:ascii="Arial" w:cs="Arial" w:eastAsia="Arial" w:hAnsi="Arial"/>
          <w:sz w:val="21"/>
          <w:szCs w:val="21"/>
          <w:color w:val="auto"/>
        </w:rPr>
        <w:t>The development of a potential target cannabis company’s business and operating results may be hindered by applicable restrictions on sales and marketing activities imposed by regulations applicable to the cannabis industry. For example, the regulatory environment in Canada would limit a target cannabis company’s ability to compete for market share in a manner similar to that of companies in other industries. Additionally, Canadian regulations impose further packaging, labeling and advertising restrictions on producers in the adult-use recreational cannabis market. If a target cannabis company is unable to effectively market its products and compete for market share, or if the costs of compliance with government legislation and regulation cannot be absorbed through increased selling prices for its products, its sales and operating results could be adversely affected.</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We may become involved in regulatory or agency proceedings, investigations and audits.</w:t>
      </w:r>
    </w:p>
    <w:p>
      <w:pPr>
        <w:spacing w:after="0" w:line="233" w:lineRule="exact"/>
        <w:rPr>
          <w:sz w:val="20"/>
          <w:szCs w:val="20"/>
          <w:color w:val="auto"/>
        </w:rPr>
      </w:pPr>
    </w:p>
    <w:p>
      <w:pPr>
        <w:ind w:right="80" w:firstLine="324"/>
        <w:spacing w:after="0" w:line="245" w:lineRule="auto"/>
        <w:rPr>
          <w:sz w:val="20"/>
          <w:szCs w:val="20"/>
          <w:color w:val="auto"/>
        </w:rPr>
      </w:pPr>
      <w:r>
        <w:rPr>
          <w:rFonts w:ascii="Arial" w:cs="Arial" w:eastAsia="Arial" w:hAnsi="Arial"/>
          <w:sz w:val="21"/>
          <w:szCs w:val="21"/>
          <w:color w:val="auto"/>
        </w:rPr>
        <w:t>Businesses in the cannabis industry, and the business of the suppliers from which we may acquire the products we may sell, require compliance with many laws and regulations. Failure to comply with these laws and regulations could subject us or such suppliers to regulatory or agency proceedings or investigations and could also lead to damage awards, fines and penalties. We or such suppliers may become involved in a number of government or agency proceedings, investigations and audits. The outcome of any regulatory or agency proceedings, investigations, audits, and other contingencies, could harm our reputation or the reputations of the brands that we may sell, require us to take, or refrain from taking, actions that could harm our operations or require us to pay substantial amounts of money, harming our financial condition. There can be no assurance that any pending or future regulatory or agency proceedings, investigations and audits will not result in substantial costs or a diversion of management’s attention and resources or have a material adverse impact on our business, financial condition and results of operations.</w:t>
      </w:r>
    </w:p>
    <w:p>
      <w:pPr>
        <w:spacing w:after="0" w:line="208" w:lineRule="exact"/>
        <w:rPr>
          <w:sz w:val="20"/>
          <w:szCs w:val="20"/>
          <w:color w:val="auto"/>
        </w:rPr>
      </w:pPr>
    </w:p>
    <w:p>
      <w:pPr>
        <w:jc w:val="both"/>
        <w:ind w:left="180" w:right="340"/>
        <w:spacing w:after="0" w:line="257" w:lineRule="auto"/>
        <w:rPr>
          <w:sz w:val="20"/>
          <w:szCs w:val="20"/>
          <w:color w:val="auto"/>
        </w:rPr>
      </w:pPr>
      <w:r>
        <w:rPr>
          <w:rFonts w:ascii="Arial" w:cs="Arial" w:eastAsia="Arial" w:hAnsi="Arial"/>
          <w:sz w:val="21"/>
          <w:szCs w:val="21"/>
          <w:b w:val="1"/>
          <w:bCs w:val="1"/>
          <w:i w:val="1"/>
          <w:iCs w:val="1"/>
          <w:color w:val="auto"/>
        </w:rPr>
        <w:t>Research in the United States, Canada and internationally regarding the medical benefits, viability, safety, efficacy and dosing of cannabis or isolated cannabinoids remains in relatively early stages. There have been few clinical trials on the benefits of cannabis or isolated cannabinoids conducted by us or by others.</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Research in the United States, Canada and internationally regarding the medical benefits, viability, safety, efficacy and dosing of cannabis or isolated cannabinoids (such as CBD and THC) remains in relatively early stages. Historically stringent regulations related to cannabis have made conducting medical and academic studies challenging, and there have been relatively few clinical trials on the benefits of cannabis or isolated cannabinoids to date. Many statements concerning the potential medical benefits of cannabinoids are based on published articles and reports, and as a result, such statements are subject to the experimental parameters, qualifications and limitations in the studies that have been completed. In the event we acquire a target business involving medical cannabis,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our products. We may be subject to liability for risks against which we cannot insure or against which we may elect not to insure due to the high cost of insurance premiums or other factors. The payment of any such liabilities would reduce the funds available for our normal business activities. Payment of liabilities for which we do not carry insurance may have a material adverse effect on our financial position and operations.</w:t>
      </w:r>
    </w:p>
    <w:p>
      <w:pPr>
        <w:spacing w:after="0" w:line="188" w:lineRule="exact"/>
        <w:rPr>
          <w:sz w:val="20"/>
          <w:szCs w:val="20"/>
          <w:color w:val="auto"/>
        </w:rPr>
      </w:pPr>
    </w:p>
    <w:p>
      <w:pPr>
        <w:ind w:left="180" w:right="40"/>
        <w:spacing w:after="0" w:line="328" w:lineRule="auto"/>
        <w:rPr>
          <w:sz w:val="20"/>
          <w:szCs w:val="20"/>
          <w:color w:val="auto"/>
        </w:rPr>
      </w:pPr>
      <w:r>
        <w:rPr>
          <w:rFonts w:ascii="Arial" w:cs="Arial" w:eastAsia="Arial" w:hAnsi="Arial"/>
          <w:sz w:val="19"/>
          <w:szCs w:val="19"/>
          <w:b w:val="1"/>
          <w:bCs w:val="1"/>
          <w:i w:val="1"/>
          <w:iCs w:val="1"/>
          <w:color w:val="auto"/>
        </w:rPr>
        <w:t>With respect to target businesses operating in the medical and adult-use cannabis markets, the illicit supply of cannabis and cannabis-based products may reduce our sales and impede our ability to succeed in such markets.</w:t>
      </w:r>
    </w:p>
    <w:p>
      <w:pPr>
        <w:spacing w:after="0" w:line="13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In the event we acquire a target business operating in the medical and adult-use cannabis markets, we may face competition from unlicensed and unregulated market participants, including illegal dispensaries and black market suppliers selling cannabis and cannabis-based products.</w:t>
      </w:r>
    </w:p>
    <w:p>
      <w:pPr>
        <w:spacing w:after="0" w:line="213" w:lineRule="exact"/>
        <w:rPr>
          <w:sz w:val="20"/>
          <w:szCs w:val="20"/>
          <w:color w:val="auto"/>
        </w:rPr>
      </w:pPr>
    </w:p>
    <w:p>
      <w:pPr>
        <w:ind w:right="140" w:firstLine="324"/>
        <w:spacing w:after="0" w:line="270" w:lineRule="auto"/>
        <w:rPr>
          <w:sz w:val="20"/>
          <w:szCs w:val="20"/>
          <w:color w:val="auto"/>
        </w:rPr>
      </w:pPr>
      <w:r>
        <w:rPr>
          <w:rFonts w:ascii="Arial" w:cs="Arial" w:eastAsia="Arial" w:hAnsi="Arial"/>
          <w:sz w:val="19"/>
          <w:szCs w:val="19"/>
          <w:color w:val="auto"/>
        </w:rPr>
        <w:t>Even with the legalization of medical and adult-use cannabis in certain jurisdictions, black market operations remain abundant and are a substantial competitor to cannabis-related businesses. In addition, illegal dispensaries and 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we may be prohibited from offering to individuals in such jurisdictions, (iii) brand products more explicitly, and</w:t>
      </w:r>
    </w:p>
    <w:p>
      <w:pPr>
        <w:spacing w:after="0" w:line="4" w:lineRule="exact"/>
        <w:rPr>
          <w:sz w:val="20"/>
          <w:szCs w:val="20"/>
          <w:color w:val="auto"/>
        </w:rPr>
      </w:pPr>
    </w:p>
    <w:p>
      <w:pPr>
        <w:ind w:right="280" w:firstLine="8"/>
        <w:spacing w:after="0" w:line="234" w:lineRule="auto"/>
        <w:tabs>
          <w:tab w:leader="none" w:pos="366" w:val="left"/>
        </w:tabs>
        <w:numPr>
          <w:ilvl w:val="0"/>
          <w:numId w:val="17"/>
        </w:numPr>
        <w:rPr>
          <w:rFonts w:ascii="Arial" w:cs="Arial" w:eastAsia="Arial" w:hAnsi="Arial"/>
          <w:sz w:val="22"/>
          <w:szCs w:val="22"/>
          <w:color w:val="auto"/>
        </w:rPr>
      </w:pPr>
      <w:r>
        <w:rPr>
          <w:rFonts w:ascii="Arial" w:cs="Arial" w:eastAsia="Arial" w:hAnsi="Arial"/>
          <w:sz w:val="22"/>
          <w:szCs w:val="22"/>
          <w:color w:val="auto"/>
        </w:rPr>
        <w:t>describe/discuss intended effects of products. As these illicit market participants do not comply with the regulations governing the medical and adult-use cannabis industry in such jurisdictions, their operations may also have significantly lower costs.</w:t>
      </w:r>
    </w:p>
    <w:p>
      <w:pPr>
        <w:spacing w:after="0" w:line="214" w:lineRule="exact"/>
        <w:rPr>
          <w:sz w:val="20"/>
          <w:szCs w:val="20"/>
          <w:color w:val="auto"/>
        </w:rPr>
      </w:pPr>
    </w:p>
    <w:p>
      <w:pPr>
        <w:ind w:right="40" w:firstLine="324"/>
        <w:spacing w:after="0" w:line="279" w:lineRule="auto"/>
        <w:rPr>
          <w:sz w:val="20"/>
          <w:szCs w:val="20"/>
          <w:color w:val="auto"/>
        </w:rPr>
      </w:pPr>
      <w:r>
        <w:rPr>
          <w:rFonts w:ascii="Arial" w:cs="Arial" w:eastAsia="Arial" w:hAnsi="Arial"/>
          <w:sz w:val="19"/>
          <w:szCs w:val="19"/>
          <w:color w:val="auto"/>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 (ii) adversely affect our market share and (iii) adversely impact the public perception of cannabis use and licensed cannabis producers and dealers, all of which would have a materially adverse effect on our business, operations and financial condition.</w:t>
      </w:r>
    </w:p>
    <w:p>
      <w:pPr>
        <w:spacing w:after="0" w:line="177" w:lineRule="exact"/>
        <w:rPr>
          <w:sz w:val="20"/>
          <w:szCs w:val="20"/>
          <w:color w:val="auto"/>
        </w:rPr>
      </w:pPr>
    </w:p>
    <w:p>
      <w:pPr>
        <w:ind w:left="180" w:right="140"/>
        <w:spacing w:after="0" w:line="250" w:lineRule="auto"/>
        <w:rPr>
          <w:sz w:val="20"/>
          <w:szCs w:val="20"/>
          <w:color w:val="auto"/>
        </w:rPr>
      </w:pPr>
      <w:r>
        <w:rPr>
          <w:rFonts w:ascii="Arial" w:cs="Arial" w:eastAsia="Arial" w:hAnsi="Arial"/>
          <w:sz w:val="22"/>
          <w:szCs w:val="22"/>
          <w:b w:val="1"/>
          <w:bCs w:val="1"/>
          <w:i w:val="1"/>
          <w:iCs w:val="1"/>
          <w:color w:val="auto"/>
        </w:rPr>
        <w:t>If recreational or medical-use consumers elect to produce cannabis for their own purposes, it could reduce the addressable market for a potential target cannabis company’s products.</w:t>
      </w:r>
    </w:p>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9"/>
          <w:szCs w:val="19"/>
          <w:color w:val="auto"/>
        </w:rPr>
        <w:t>Cannabis regulations may permit the end user to produce cannabis for their own purposes. For example, under cannabis regulations in Canada, three options are available for individuals to obtain cannabis for medical purposes: (i) registering with a holder of a license to sell for medical purposes and purchasing products from that entity; (ii) registering with Health Canada to produce a limited amount of cannabis for their own medical purposes; or (iii) designating someone else to produce cannabis for them. It is possible that the ability of end users to produce cannabis for their own purposes, such as under (ii) and (iii) above, could significantly reduce the addressable market for a potential target cannabis company’s products and could materially and adversely affect the business, financial condition and results of operations of a potential target cannabis company.</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cannabis industry faces significant opposition, and any negative trends may adversely affect our business operations.</w:t>
      </w:r>
    </w:p>
    <w:p>
      <w:pPr>
        <w:spacing w:after="0" w:line="279" w:lineRule="exact"/>
        <w:rPr>
          <w:sz w:val="20"/>
          <w:szCs w:val="20"/>
          <w:color w:val="auto"/>
        </w:rPr>
      </w:pPr>
    </w:p>
    <w:p>
      <w:pPr>
        <w:ind w:right="80" w:firstLine="324"/>
        <w:spacing w:after="0" w:line="287" w:lineRule="auto"/>
        <w:rPr>
          <w:sz w:val="20"/>
          <w:szCs w:val="20"/>
          <w:color w:val="auto"/>
        </w:rPr>
      </w:pPr>
      <w:r>
        <w:rPr>
          <w:rFonts w:ascii="Arial" w:cs="Arial" w:eastAsia="Arial" w:hAnsi="Arial"/>
          <w:sz w:val="19"/>
          <w:szCs w:val="19"/>
          <w:color w:val="auto"/>
        </w:rPr>
        <w:t>If we complete a business combination with a target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w:t>
      </w:r>
    </w:p>
    <w:p>
      <w:pPr>
        <w:sectPr>
          <w:pgSz w:w="11900" w:h="16838" w:orient="portrait"/>
          <w:cols w:equalWidth="0" w:num="1">
            <w:col w:w="11220"/>
          </w:cols>
          <w:pgMar w:left="320" w:top="122" w:right="359"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color w:val="auto"/>
        </w:rPr>
        <w:t>Large, well-funded industries that perceive cannabis products and services as competitive with their own, including but not limited to the pharmaceutical industry, adult beverage industry and tobacco industry, all of which are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w:t>
      </w:r>
    </w:p>
    <w:p>
      <w:pPr>
        <w:spacing w:after="0" w:line="211" w:lineRule="exact"/>
        <w:rPr>
          <w:sz w:val="20"/>
          <w:szCs w:val="20"/>
          <w:color w:val="auto"/>
        </w:rPr>
      </w:pPr>
    </w:p>
    <w:p>
      <w:pPr>
        <w:ind w:left="180" w:right="480"/>
        <w:spacing w:after="0" w:line="250" w:lineRule="auto"/>
        <w:rPr>
          <w:sz w:val="20"/>
          <w:szCs w:val="20"/>
          <w:color w:val="auto"/>
        </w:rPr>
      </w:pPr>
      <w:r>
        <w:rPr>
          <w:rFonts w:ascii="Arial" w:cs="Arial" w:eastAsia="Arial" w:hAnsi="Arial"/>
          <w:sz w:val="22"/>
          <w:szCs w:val="22"/>
          <w:b w:val="1"/>
          <w:bCs w:val="1"/>
          <w:i w:val="1"/>
          <w:iCs w:val="1"/>
          <w:color w:val="auto"/>
        </w:rPr>
        <w:t>Competition from synthetic products may adversely affect the business, financial condition or results of operations of a potential target cannabis company.</w:t>
      </w:r>
    </w:p>
    <w:p>
      <w:pPr>
        <w:spacing w:after="0" w:line="202" w:lineRule="exact"/>
        <w:rPr>
          <w:sz w:val="20"/>
          <w:szCs w:val="20"/>
          <w:color w:val="auto"/>
        </w:rPr>
      </w:pPr>
    </w:p>
    <w:p>
      <w:pPr>
        <w:ind w:right="20" w:firstLine="324"/>
        <w:spacing w:after="0" w:line="279" w:lineRule="auto"/>
        <w:rPr>
          <w:sz w:val="20"/>
          <w:szCs w:val="20"/>
          <w:color w:val="auto"/>
        </w:rPr>
      </w:pPr>
      <w:r>
        <w:rPr>
          <w:rFonts w:ascii="Arial" w:cs="Arial" w:eastAsia="Arial" w:hAnsi="Arial"/>
          <w:sz w:val="19"/>
          <w:szCs w:val="19"/>
          <w:color w:val="auto"/>
        </w:rPr>
        <w:t>The pharmaceutical industry may attempt to dominate the cannabis industry, and in particular, legal cannabis, through the development and distribution of synthetic products which emulate the effects of cannabis. If they are successful, the widespread popularity of such synthetic products could change the demand, volume and profitability of the cannabis industry. This could adversely affect the ability of a potential target cannabis company to secure long-term profitability and success through the sustainable and profitable operation of the anticipated businesses and investment targets, and could have a material adverse effect on a potential target cannabis company’s business, financial condition or results of operations.</w:t>
      </w:r>
    </w:p>
    <w:p>
      <w:pPr>
        <w:spacing w:after="0" w:line="177" w:lineRule="exact"/>
        <w:rPr>
          <w:sz w:val="20"/>
          <w:szCs w:val="20"/>
          <w:color w:val="auto"/>
        </w:rPr>
      </w:pPr>
    </w:p>
    <w:p>
      <w:pPr>
        <w:ind w:left="180" w:right="40"/>
        <w:spacing w:after="0" w:line="250" w:lineRule="auto"/>
        <w:rPr>
          <w:sz w:val="20"/>
          <w:szCs w:val="20"/>
          <w:color w:val="auto"/>
        </w:rPr>
      </w:pPr>
      <w:r>
        <w:rPr>
          <w:rFonts w:ascii="Arial" w:cs="Arial" w:eastAsia="Arial" w:hAnsi="Arial"/>
          <w:sz w:val="22"/>
          <w:szCs w:val="22"/>
          <w:b w:val="1"/>
          <w:bCs w:val="1"/>
          <w:i w:val="1"/>
          <w:iCs w:val="1"/>
          <w:color w:val="auto"/>
        </w:rPr>
        <w:t>An initial surge in demand for cannabis may result in supply shortages in the short term, while in the longer term, supply of cannabis could exceed demand, which may cause a fluctuation in revenue.</w:t>
      </w:r>
    </w:p>
    <w:p>
      <w:pPr>
        <w:spacing w:after="0" w:line="202"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Changes in the legal status of cannabis may result in an initial surge in demand. As a result of such initial surge, cannabis companies operating under such changed legal regime may not be able to produce enough cannabis to meet demand of the adult-use recreational and medical markets, as applicable. This may result in lower than expected sales and revenues and increased competition for sales and sources of supply.</w:t>
      </w:r>
    </w:p>
    <w:p>
      <w:pPr>
        <w:spacing w:after="0" w:line="212"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However, in the future, cannabis producers may produce more cannabis than is needed to satisfy the collective demand of the adult-use recreational and medical markets, as applicable, and they may be unable to export that oversupply into other markets where cannabis use is fully legal under all applicable jurisdictional laws. As a result, the available supply of cannabis could exceed demand, resulting in a significant decline in the market price for cannabis. If such supply or price fluctuations were to occur, companies operating in the cannabis industry may see revenue and profitability fluctuate materially and their business, financial condition, results of operations and prospects may be adversely affected.</w:t>
      </w:r>
    </w:p>
    <w:p>
      <w:pPr>
        <w:spacing w:after="0" w:line="177" w:lineRule="exact"/>
        <w:rPr>
          <w:sz w:val="20"/>
          <w:szCs w:val="20"/>
          <w:color w:val="auto"/>
        </w:rPr>
      </w:pPr>
    </w:p>
    <w:p>
      <w:pPr>
        <w:ind w:left="180" w:right="760"/>
        <w:spacing w:after="0" w:line="250" w:lineRule="auto"/>
        <w:rPr>
          <w:sz w:val="20"/>
          <w:szCs w:val="20"/>
          <w:color w:val="auto"/>
        </w:rPr>
      </w:pPr>
      <w:r>
        <w:rPr>
          <w:rFonts w:ascii="Arial" w:cs="Arial" w:eastAsia="Arial" w:hAnsi="Arial"/>
          <w:sz w:val="22"/>
          <w:szCs w:val="22"/>
          <w:b w:val="1"/>
          <w:bCs w:val="1"/>
          <w:i w:val="1"/>
          <w:iCs w:val="1"/>
          <w:color w:val="auto"/>
        </w:rPr>
        <w:t>Consumer preferences may change, and the potential target business may be unsuccessful in acquiring or retaining consumers and keeping pace with changing market developments.</w:t>
      </w:r>
    </w:p>
    <w:p>
      <w:pPr>
        <w:spacing w:after="0" w:line="202" w:lineRule="exact"/>
        <w:rPr>
          <w:sz w:val="20"/>
          <w:szCs w:val="20"/>
          <w:color w:val="auto"/>
        </w:rPr>
      </w:pPr>
    </w:p>
    <w:p>
      <w:pPr>
        <w:ind w:right="40" w:firstLine="324"/>
        <w:spacing w:after="0" w:line="274" w:lineRule="auto"/>
        <w:rPr>
          <w:sz w:val="20"/>
          <w:szCs w:val="20"/>
          <w:color w:val="auto"/>
        </w:rPr>
      </w:pPr>
      <w:r>
        <w:rPr>
          <w:rFonts w:ascii="Arial" w:cs="Arial" w:eastAsia="Arial" w:hAnsi="Arial"/>
          <w:sz w:val="19"/>
          <w:szCs w:val="19"/>
          <w:color w:val="auto"/>
        </w:rPr>
        <w:t>As a result of changing consumer preferences, many consumer products attain financial success for a limited period of time. Even if a potential target’s products find success at retail, there can be no assurance that such products will continue to be profitable. A potential target’s success will be significantly dependent upon its ability to develop new and improved product lines and adapt to consumer preferences. Even if a potential target business is successful in introducing new products or developing its current products, a failure to gain consumer acceptance or to update products could cause a decline in the products’ popularity and impair the brands. In addition, a potential target business may be required to invest significant capital in the creation of new product lines, strains, brands, marketing campaigns, packaging and other product features-none of which are guaranteed to be successful. Failure to introduce new features and product lines and to achieve and sustain market acceptance could result in the potential target business being unable to satisfy consumer preferences and generate revenue.</w:t>
      </w:r>
    </w:p>
    <w:p>
      <w:pPr>
        <w:spacing w:after="0" w:line="185"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A potential target’s success depends on its ability to attract and retain consumers. There are many factors which could impact its ability to attract and retain consumers, including its ability to continually produce desirable and effective products, the successful implementation of its consumer acquisition plan and the continued growth in the aggregate number of potential consumers. A potential target business may not be successful in developing effective and safe new products, anticipating shifts in social trends and consumer demands, bringing such products to market in time to be effectively commercialized, or obtaining any required regulatory approvals, which, together with any capital expenditures made in the course of such product development and regulatory approval processes, may have a material adverse effect. A potential target’s failure to acquire and retain consumers could have a material adverse effect on the potential target business.</w:t>
      </w:r>
    </w:p>
    <w:p>
      <w:pPr>
        <w:sectPr>
          <w:pgSz w:w="11900" w:h="16838" w:orient="portrait"/>
          <w:cols w:equalWidth="0" w:num="1">
            <w:col w:w="11220"/>
          </w:cols>
          <w:pgMar w:left="320" w:top="122" w:right="359"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80" w:firstLine="324"/>
        <w:spacing w:after="0" w:line="249" w:lineRule="auto"/>
        <w:rPr>
          <w:sz w:val="20"/>
          <w:szCs w:val="20"/>
          <w:color w:val="auto"/>
        </w:rPr>
      </w:pPr>
      <w:r>
        <w:rPr>
          <w:rFonts w:ascii="Arial" w:cs="Arial" w:eastAsia="Arial" w:hAnsi="Arial"/>
          <w:sz w:val="21"/>
          <w:szCs w:val="21"/>
          <w:color w:val="auto"/>
        </w:rPr>
        <w:t>In addition, the patterns of cannabis consumption may shift over time due to a variety of factors, including changes in demographics, social trends, public health polices and other leisure or consumption behaviors. If consumer preferences for a potential target’s products or cannabis products in general do not develop, or if once developed, they were to move away from its products or cannabis products in general, or if a potential target business is unable to anticipate and respond effectively to shifts in consumer behaviors, it may be adversely affected.</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The cannabis industry is highly competitive and evolving.</w:t>
      </w:r>
    </w:p>
    <w:p>
      <w:pPr>
        <w:spacing w:after="0" w:line="233" w:lineRule="exact"/>
        <w:rPr>
          <w:sz w:val="20"/>
          <w:szCs w:val="20"/>
          <w:color w:val="auto"/>
        </w:rPr>
      </w:pPr>
    </w:p>
    <w:p>
      <w:pPr>
        <w:ind w:right="60" w:firstLine="324"/>
        <w:spacing w:after="0" w:line="275" w:lineRule="auto"/>
        <w:rPr>
          <w:sz w:val="20"/>
          <w:szCs w:val="20"/>
          <w:color w:val="auto"/>
        </w:rPr>
      </w:pPr>
      <w:r>
        <w:rPr>
          <w:rFonts w:ascii="Arial" w:cs="Arial" w:eastAsia="Arial" w:hAnsi="Arial"/>
          <w:sz w:val="19"/>
          <w:szCs w:val="19"/>
          <w:color w:val="auto"/>
        </w:rPr>
        <w:t>The market for businesses in the cannabis industry is highly competitive and evolving. There may be no material aspect of our business that is protected by patents, copyrights, trademarks or trade names, and we may face strong competition from larger companies, including in our search for an initial business combination and those that may offer similar products and services to ours following our initial business combination. Our potential competitors may have longer operating histories, significantly greater financial, marketing or other resources and larger client bases than we will, and there can be no assurance that we will be able to successfully compete against these or other competitors. Additionally, because the cannabis industry is at an early stage, a potential target cannabis company may face additional competition from new entrants, including as a result of an increased number of licenses granted under any applicable regulatory regime.</w:t>
      </w:r>
    </w:p>
    <w:p>
      <w:pPr>
        <w:spacing w:after="0" w:line="184"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If the number of users of medical cannabis increases, and/or if the national demand for recreational cannabis increases, the demand for products will increase and we expect that competition will become more intense, as current and future competitors begin to offer an increasing number of diversified products. To remain competitive, a target business may require a continued high level of investment in research and development, marketing, sales and client support. However, a potential target business may not have sufficient resources to maintain research and development, marketing, sales and client support efforts on a competitive basis, which could materially and adversely affect the business, financial condition and results of operations of the Company. Additionally, as new technologies related to the cultivation, processing, manufacturing and research and development of cannabis are being explored, there is potential for third-party competitors to be in possession of superior technology that would reduce any relative competitiveness a potential business target may have.</w:t>
      </w:r>
    </w:p>
    <w:p>
      <w:pPr>
        <w:spacing w:after="0" w:line="185" w:lineRule="exact"/>
        <w:rPr>
          <w:sz w:val="20"/>
          <w:szCs w:val="20"/>
          <w:color w:val="auto"/>
        </w:rPr>
      </w:pPr>
    </w:p>
    <w:p>
      <w:pPr>
        <w:ind w:right="240" w:firstLine="324"/>
        <w:spacing w:after="0" w:line="328" w:lineRule="auto"/>
        <w:rPr>
          <w:sz w:val="20"/>
          <w:szCs w:val="20"/>
          <w:color w:val="auto"/>
        </w:rPr>
      </w:pPr>
      <w:r>
        <w:rPr>
          <w:rFonts w:ascii="Arial" w:cs="Arial" w:eastAsia="Arial" w:hAnsi="Arial"/>
          <w:sz w:val="19"/>
          <w:szCs w:val="19"/>
          <w:color w:val="auto"/>
        </w:rPr>
        <w:t>As the legal landscape for cannabis continues to evolve, it is possible that the cannabis industry will undergo consolidation, creating larger companies with greater financial resources, manufacturing and marketing capabilities and product offerings.</w:t>
      </w:r>
    </w:p>
    <w:p>
      <w:pPr>
        <w:spacing w:after="0" w:line="132" w:lineRule="exact"/>
        <w:rPr>
          <w:sz w:val="20"/>
          <w:szCs w:val="20"/>
          <w:color w:val="auto"/>
        </w:rPr>
      </w:pPr>
    </w:p>
    <w:p>
      <w:pPr>
        <w:ind w:right="780" w:firstLine="324"/>
        <w:spacing w:after="0" w:line="274" w:lineRule="auto"/>
        <w:rPr>
          <w:sz w:val="20"/>
          <w:szCs w:val="20"/>
          <w:color w:val="auto"/>
        </w:rPr>
      </w:pPr>
      <w:r>
        <w:rPr>
          <w:rFonts w:ascii="Arial" w:cs="Arial" w:eastAsia="Arial" w:hAnsi="Arial"/>
          <w:sz w:val="21"/>
          <w:szCs w:val="21"/>
          <w:color w:val="auto"/>
        </w:rPr>
        <w:t>Given the rapid changes affecting the global, national, and regional economies generally and the cannabis industry in particular, we may not be able to create and maintain a competitive advantage in the marketplace.</w:t>
      </w:r>
    </w:p>
    <w:p>
      <w:pPr>
        <w:spacing w:after="0" w:line="178"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Our success will depend on our ability to keep pace with any changes in our markets, particularly, legal and regulatory changes. For example, it is likely that we, and our competitors, will seek to introduce new products in the future. Our success will also depend on our ability to respond to, among other things, changes in the economy, market conditions, and competitive pressures. Any failure by us to anticipate or respond adequately to such changes could have a material adverse effect on our financial condition and results of operations.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1"/>
          <w:szCs w:val="21"/>
          <w:b w:val="1"/>
          <w:bCs w:val="1"/>
          <w:i w:val="1"/>
          <w:iCs w:val="1"/>
          <w:color w:val="auto"/>
        </w:rPr>
        <w:t>The technologies, process and formulations a target company uses may face competition or become obsolete.</w:t>
      </w:r>
    </w:p>
    <w:p>
      <w:pPr>
        <w:spacing w:after="0" w:line="245"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Many businesses in the cannabis industry face rapidly changing markets, technology, emerging industry standards and frequent introduction of new products. The introduction of new products embodying new technologies, including new manufacturing processes or formulations, and the emergence of new industry standards may render a potential business target’s products obsolete, less competitive or less marketable. The process of developing their products is complex and requires significant continuing costs, development efforts and third-party commitments, including licensees, researchers, collaborators and lenders. A target company’s failure to develop new technologies and products and the obsolescence of existing technologies or processes could adversely affect its business, financial condition and results of operations. A target company may be unable to anticipate changes in its potential customer requirements that could make its existing technology, processes or formulations obsolete. Its success will depend in part on its ability to continue to enhance its existing technologies, develop new technology that addresses the increasing sophistication and varied news of the market, and respond to technological advances and emerging industry standards and practices on a timely and cost-effective basis. The development of its proprietary technology, processes and formulations may entail significant technical and business risks. A potential target company may not be successful in using its new technologies or exploiting its niche markets effectively or adapting its business to evolving customer or medical requirements or preferences or emerging industry standards.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There is uncertainty in pricing and demand for cannabis-based products.</w:t>
      </w:r>
    </w:p>
    <w:p>
      <w:pPr>
        <w:spacing w:after="0" w:line="233"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The anticipated pricing of cannabis products may differ substantially from current levels given changes in the competitive and regulatory landscape. The potential target company’s business model may be susceptible to erosion of profitability should cannabis and cannabis-related products experience secular pricing changes. Potential sources of pricing changes include overproduction, regulatory action, increased competition or the emergence of new competitors. Additionally, even if pricing of the broader cannabis and cannabis-related product market is sustained, there is no guarantee that a potential target cannabis company will be successful in creating and maintaining consumer demand and estimated pricing levels. To do this, the potential target company may be dependent upon, among other things, continually producing desirable and effective cannabis and cannabis-related products and the continued growth in the aggregate number of cannabis consumers. Campaigns designed to enhance the potential target company’s brand and attract consumers, subject to restrictions imposed by law, can be expensive and may not result in increased sales. If the potential target company is unable to attract new consumers, it may not be able to increase its sales.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 potential target company may have difficulty in forecasting sales and other business metrics.</w:t>
      </w:r>
    </w:p>
    <w:p>
      <w:pPr>
        <w:spacing w:after="0" w:line="233" w:lineRule="exact"/>
        <w:rPr>
          <w:sz w:val="20"/>
          <w:szCs w:val="20"/>
          <w:color w:val="auto"/>
        </w:rPr>
      </w:pPr>
    </w:p>
    <w:p>
      <w:pPr>
        <w:ind w:right="80" w:firstLine="324"/>
        <w:spacing w:after="0" w:line="277" w:lineRule="auto"/>
        <w:rPr>
          <w:sz w:val="20"/>
          <w:szCs w:val="20"/>
          <w:color w:val="auto"/>
        </w:rPr>
      </w:pPr>
      <w:r>
        <w:rPr>
          <w:rFonts w:ascii="Arial" w:cs="Arial" w:eastAsia="Arial" w:hAnsi="Arial"/>
          <w:sz w:val="19"/>
          <w:szCs w:val="19"/>
          <w:color w:val="auto"/>
        </w:rPr>
        <w:t>A potential target cannabis business may rely largely on its own market research to forecast sales as detailed forecasts are not generally obtainable from other sources at this early stage of the cannabis industry. If the potential target business underestimates the demand for its products, it may not be able to produce products that meet its stringent requirements, and this could result in delays in the shipment of products and failure to satisfy demand, as well as damage to reputation and partner relationships. If the potential target business overestimates the demand for its products, it could face inventory levels in excess of demand, which could result in inventory write-downs or write-offs and the sale of excess inventory at discounted prices, which would harm the potential target’s gross margins and brand management efforts.</w:t>
      </w:r>
    </w:p>
    <w:p>
      <w:pPr>
        <w:spacing w:after="0" w:line="179" w:lineRule="exact"/>
        <w:rPr>
          <w:sz w:val="20"/>
          <w:szCs w:val="20"/>
          <w:color w:val="auto"/>
        </w:rPr>
      </w:pPr>
    </w:p>
    <w:p>
      <w:pPr>
        <w:ind w:right="140" w:firstLine="324"/>
        <w:spacing w:after="0" w:line="275" w:lineRule="auto"/>
        <w:rPr>
          <w:sz w:val="20"/>
          <w:szCs w:val="20"/>
          <w:color w:val="auto"/>
        </w:rPr>
      </w:pPr>
      <w:r>
        <w:rPr>
          <w:rFonts w:ascii="Arial" w:cs="Arial" w:eastAsia="Arial" w:hAnsi="Arial"/>
          <w:sz w:val="19"/>
          <w:szCs w:val="19"/>
          <w:color w:val="auto"/>
        </w:rPr>
        <w:t>Due to the nascent nature of the market, it could be difficult for the potential target to forecast demand. In particular, it could be difficult to forecast the rate of the illicit cannabis market crossing over to the legal market. If the market does not develop as the potential target business expects, it could have a material adverse effect on its business, results of operations and financial condition. In addition to inherent risks and difficulties forecasting sales, anticipated costs and yields are also challenging to predict with certainty as the cannabis industry is in its relative infancy and rapidly evolving. If we make capital investments based on flawed sales, costs and yields forecasts, the potential target business may not achieve its expected, or any, return on invested capital. Failure to realize forecasted sales, costs and yields could have a material adverse effect on the potential target’s business, results of operations and financial condition.</w:t>
      </w:r>
    </w:p>
    <w:p>
      <w:pPr>
        <w:spacing w:after="0" w:line="184" w:lineRule="exact"/>
        <w:rPr>
          <w:sz w:val="20"/>
          <w:szCs w:val="20"/>
          <w:color w:val="auto"/>
        </w:rPr>
      </w:pPr>
    </w:p>
    <w:p>
      <w:pPr>
        <w:ind w:left="180" w:right="280"/>
        <w:spacing w:after="0" w:line="250" w:lineRule="auto"/>
        <w:rPr>
          <w:sz w:val="20"/>
          <w:szCs w:val="20"/>
          <w:color w:val="auto"/>
        </w:rPr>
      </w:pPr>
      <w:r>
        <w:rPr>
          <w:rFonts w:ascii="Arial" w:cs="Arial" w:eastAsia="Arial" w:hAnsi="Arial"/>
          <w:sz w:val="22"/>
          <w:szCs w:val="22"/>
          <w:b w:val="1"/>
          <w:bCs w:val="1"/>
          <w:i w:val="1"/>
          <w:iCs w:val="1"/>
          <w:color w:val="auto"/>
        </w:rPr>
        <w:t>We and our customers may have difficulty accessing the service of banks, which may make it difficult to sell products and services.</w:t>
      </w:r>
    </w:p>
    <w:p>
      <w:pPr>
        <w:spacing w:after="0" w:line="202" w:lineRule="exact"/>
        <w:rPr>
          <w:sz w:val="20"/>
          <w:szCs w:val="20"/>
          <w:color w:val="auto"/>
        </w:rPr>
      </w:pPr>
    </w:p>
    <w:p>
      <w:pPr>
        <w:ind w:right="60" w:firstLine="324"/>
        <w:spacing w:after="0" w:line="273" w:lineRule="auto"/>
        <w:rPr>
          <w:sz w:val="20"/>
          <w:szCs w:val="20"/>
          <w:color w:val="auto"/>
        </w:rPr>
      </w:pPr>
      <w:r>
        <w:rPr>
          <w:rFonts w:ascii="Arial" w:cs="Arial" w:eastAsia="Arial" w:hAnsi="Arial"/>
          <w:sz w:val="19"/>
          <w:szCs w:val="19"/>
          <w:color w:val="auto"/>
        </w:rPr>
        <w:t>Financial transactions involving proceeds generated by cannabis-related conduct can form the basis for prosecution under the federal money laundering statutes,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establishing banking relationships. Our inability to maintain bank accounts would make it difficult for us to operate our business, increase our operating costs, and pose additional operational, logistical and security challenges and could result in our inability to implement our business plan.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120"/>
        <w:spacing w:after="0" w:line="250" w:lineRule="auto"/>
        <w:rPr>
          <w:sz w:val="20"/>
          <w:szCs w:val="20"/>
          <w:color w:val="auto"/>
        </w:rPr>
      </w:pPr>
      <w:r>
        <w:rPr>
          <w:rFonts w:ascii="Arial" w:cs="Arial" w:eastAsia="Arial" w:hAnsi="Arial"/>
          <w:sz w:val="22"/>
          <w:szCs w:val="22"/>
          <w:b w:val="1"/>
          <w:bCs w:val="1"/>
          <w:i w:val="1"/>
          <w:iCs w:val="1"/>
          <w:color w:val="auto"/>
        </w:rPr>
        <w:t>The development and operation of businesses in the cannabis industry may require additional financing, which may not be available on favorable terms, if at all.</w:t>
      </w:r>
    </w:p>
    <w:p>
      <w:pPr>
        <w:spacing w:after="0" w:line="202"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9"/>
          <w:szCs w:val="19"/>
          <w:color w:val="auto"/>
        </w:rPr>
        <w:t>Due to the growth in the cannabis industry, the continued development and operation of businesses in the cannabis industry may require additional financing. The failure to raise such capital could result in the delay or indefinite postponement of current business objectives or the cessation of business. There can be no assurance that additional capital or other types of financing will be available if needed or that, if available, the terms of such financing will be favorable.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We may be subject to product liability claims.</w:t>
      </w:r>
    </w:p>
    <w:p>
      <w:pPr>
        <w:spacing w:after="0" w:line="233"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color w:val="auto"/>
        </w:rPr>
        <w:t>If we acquire a target business operating as a manufacturer and distributor of products utilizing cannabis for human consumption, we will face an inherent risk of exposure to product liability claims, regulatory action and litigation if our products are alleged to have caused significant loss or injury. In addition, the manufacture and sale of cannabis products involve the risk of injury to consumers due to tampering by unauthorized third parties or product contamination. Previously unknown adverse reactions resulting from human consumption of cannabis products alone or in combination with other medications or substances could occur. We may be subject to various product liability claims, including, among others, that the products we produced caused injury or illness, include inadequate instructions for use or include inadequate warnings concerning possible side effects or interactions with other substances.</w:t>
      </w:r>
    </w:p>
    <w:p>
      <w:pPr>
        <w:spacing w:after="0" w:line="207"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A product liability claim or regulatory action against us could result in increased costs, could adversely affect our reputation with our clients and consumers generally, and could have a material adverse effect on our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177" w:lineRule="exact"/>
        <w:rPr>
          <w:sz w:val="20"/>
          <w:szCs w:val="20"/>
          <w:color w:val="auto"/>
        </w:rPr>
      </w:pPr>
    </w:p>
    <w:p>
      <w:pPr>
        <w:jc w:val="both"/>
        <w:ind w:left="180" w:right="80"/>
        <w:spacing w:after="0" w:line="297" w:lineRule="auto"/>
        <w:rPr>
          <w:sz w:val="20"/>
          <w:szCs w:val="20"/>
          <w:color w:val="auto"/>
        </w:rPr>
      </w:pPr>
      <w:r>
        <w:rPr>
          <w:rFonts w:ascii="Arial" w:cs="Arial" w:eastAsia="Arial" w:hAnsi="Arial"/>
          <w:sz w:val="19"/>
          <w:szCs w:val="19"/>
          <w:b w:val="1"/>
          <w:bCs w:val="1"/>
          <w:i w:val="1"/>
          <w:i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16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9"/>
          <w:szCs w:val="19"/>
          <w:color w:val="auto"/>
        </w:rPr>
        <w:t>Although we expect to have insurance coverage with respect to the assets and operations of our target business, such insurance coverage will be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177" w:lineRule="exact"/>
        <w:rPr>
          <w:sz w:val="20"/>
          <w:szCs w:val="20"/>
          <w:color w:val="auto"/>
        </w:rPr>
      </w:pPr>
    </w:p>
    <w:p>
      <w:pPr>
        <w:ind w:left="180" w:right="160"/>
        <w:spacing w:after="0" w:line="250" w:lineRule="auto"/>
        <w:rPr>
          <w:sz w:val="20"/>
          <w:szCs w:val="20"/>
          <w:color w:val="auto"/>
        </w:rPr>
      </w:pPr>
      <w:r>
        <w:rPr>
          <w:rFonts w:ascii="Arial" w:cs="Arial" w:eastAsia="Arial" w:hAnsi="Arial"/>
          <w:sz w:val="22"/>
          <w:szCs w:val="22"/>
          <w:b w:val="1"/>
          <w:bCs w:val="1"/>
          <w:i w:val="1"/>
          <w:iCs w:val="1"/>
          <w:color w:val="auto"/>
        </w:rPr>
        <w:t>We, or the cannabis industry more generally, may receive unfavorable publicity or become subject to negative consumer or investor perception.</w:t>
      </w:r>
    </w:p>
    <w:p>
      <w:pPr>
        <w:spacing w:after="0" w:line="202" w:lineRule="exact"/>
        <w:rPr>
          <w:sz w:val="20"/>
          <w:szCs w:val="20"/>
          <w:color w:val="auto"/>
        </w:rPr>
      </w:pPr>
    </w:p>
    <w:p>
      <w:pPr>
        <w:ind w:right="20" w:firstLine="324"/>
        <w:spacing w:after="0" w:line="271" w:lineRule="auto"/>
        <w:rPr>
          <w:sz w:val="20"/>
          <w:szCs w:val="20"/>
          <w:color w:val="auto"/>
        </w:rPr>
      </w:pPr>
      <w:r>
        <w:rPr>
          <w:rFonts w:ascii="Arial" w:cs="Arial" w:eastAsia="Arial" w:hAnsi="Arial"/>
          <w:sz w:val="19"/>
          <w:szCs w:val="19"/>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the cannabis products of a target business we acquire. Further, adverse publicity reports or other media attention regarding the safety, efficacy and quality of cannabis, or the products of a target business we acquire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ectPr>
          <w:pgSz w:w="11900" w:h="16838" w:orient="portrait"/>
          <w:cols w:equalWidth="0" w:num="1">
            <w:col w:w="11220"/>
          </w:cols>
          <w:pgMar w:left="320" w:top="122" w:right="359"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420"/>
        <w:spacing w:after="0" w:line="250" w:lineRule="auto"/>
        <w:rPr>
          <w:sz w:val="20"/>
          <w:szCs w:val="20"/>
          <w:color w:val="auto"/>
        </w:rPr>
      </w:pPr>
      <w:r>
        <w:rPr>
          <w:rFonts w:ascii="Arial" w:cs="Arial" w:eastAsia="Arial" w:hAnsi="Arial"/>
          <w:sz w:val="22"/>
          <w:szCs w:val="22"/>
          <w:b w:val="1"/>
          <w:bCs w:val="1"/>
          <w:i w:val="1"/>
          <w:iCs w:val="1"/>
          <w:color w:val="auto"/>
        </w:rPr>
        <w:t>Third parties with whom we do business may perceive themselves as being exposed to reputational risk by virtue of their relationship with us and may ultimately elect not to do business with us.</w:t>
      </w:r>
    </w:p>
    <w:p>
      <w:pPr>
        <w:spacing w:after="0" w:line="202" w:lineRule="exact"/>
        <w:rPr>
          <w:sz w:val="20"/>
          <w:szCs w:val="20"/>
          <w:color w:val="auto"/>
        </w:rPr>
      </w:pPr>
    </w:p>
    <w:p>
      <w:pPr>
        <w:ind w:right="160" w:firstLine="324"/>
        <w:spacing w:after="0"/>
        <w:rPr>
          <w:sz w:val="20"/>
          <w:szCs w:val="20"/>
          <w:color w:val="auto"/>
        </w:rPr>
      </w:pPr>
      <w:r>
        <w:rPr>
          <w:rFonts w:ascii="Arial" w:cs="Arial" w:eastAsia="Arial" w:hAnsi="Arial"/>
          <w:sz w:val="22"/>
          <w:szCs w:val="22"/>
          <w:color w:val="auto"/>
        </w:rPr>
        <w:t>If we acquire a target business in the cannabis industry, the parties with which we do business may perceive that they are exposed to reputational risk as a result of our cannabis business activities. Failure to establish or maintain business relationships could have a material adverse effect on us.</w:t>
      </w:r>
    </w:p>
    <w:p>
      <w:pPr>
        <w:spacing w:after="0" w:line="213" w:lineRule="exact"/>
        <w:rPr>
          <w:sz w:val="20"/>
          <w:szCs w:val="20"/>
          <w:color w:val="auto"/>
        </w:rPr>
      </w:pPr>
    </w:p>
    <w:p>
      <w:pPr>
        <w:ind w:left="180" w:right="440"/>
        <w:spacing w:after="0" w:line="250" w:lineRule="auto"/>
        <w:rPr>
          <w:sz w:val="20"/>
          <w:szCs w:val="20"/>
          <w:color w:val="auto"/>
        </w:rPr>
      </w:pPr>
      <w:r>
        <w:rPr>
          <w:rFonts w:ascii="Arial" w:cs="Arial" w:eastAsia="Arial" w:hAnsi="Arial"/>
          <w:sz w:val="22"/>
          <w:szCs w:val="22"/>
          <w:b w:val="1"/>
          <w:bCs w:val="1"/>
          <w:i w:val="1"/>
          <w:iCs w:val="1"/>
          <w:color w:val="auto"/>
        </w:rPr>
        <w:t>Our reputation and ability to do business may be negatively impacted by the improper conduct of our business partners, employees or agents.</w:t>
      </w:r>
    </w:p>
    <w:p>
      <w:pPr>
        <w:spacing w:after="0" w:line="202" w:lineRule="exact"/>
        <w:rPr>
          <w:sz w:val="20"/>
          <w:szCs w:val="20"/>
          <w:color w:val="auto"/>
        </w:rPr>
      </w:pPr>
    </w:p>
    <w:p>
      <w:pPr>
        <w:ind w:right="40" w:firstLine="324"/>
        <w:spacing w:after="0" w:line="282" w:lineRule="auto"/>
        <w:rPr>
          <w:sz w:val="20"/>
          <w:szCs w:val="20"/>
          <w:color w:val="auto"/>
        </w:rPr>
      </w:pPr>
      <w:r>
        <w:rPr>
          <w:rFonts w:ascii="Arial" w:cs="Arial" w:eastAsia="Arial" w:hAnsi="Arial"/>
          <w:sz w:val="19"/>
          <w:szCs w:val="19"/>
          <w:color w:val="auto"/>
        </w:rPr>
        <w:t>We cannot provide assurance that our internal controls and compliance systems will always protect us from acts committed by our employees, agents or business partners in violation of applicable laws and regulations in the jurisdictions in which we conduct operations, including those applicable to businesses in the cannabis industry. Any improper acts or allegations could damage our reputation and subject us to civil or criminal investigations and related shareholder lawsuits, could lead to substantial civil and criminal monetary and non-monetary penalties, and could cause us to incur significant legal and investigatory fees.</w:t>
      </w:r>
    </w:p>
    <w:p>
      <w:pPr>
        <w:spacing w:after="0" w:line="174" w:lineRule="exact"/>
        <w:rPr>
          <w:sz w:val="20"/>
          <w:szCs w:val="20"/>
          <w:color w:val="auto"/>
        </w:rPr>
      </w:pPr>
    </w:p>
    <w:p>
      <w:pPr>
        <w:ind w:left="180" w:right="960"/>
        <w:spacing w:after="0" w:line="250" w:lineRule="auto"/>
        <w:rPr>
          <w:sz w:val="20"/>
          <w:szCs w:val="20"/>
          <w:color w:val="auto"/>
        </w:rPr>
      </w:pPr>
      <w:r>
        <w:rPr>
          <w:rFonts w:ascii="Arial" w:cs="Arial" w:eastAsia="Arial" w:hAnsi="Arial"/>
          <w:sz w:val="22"/>
          <w:szCs w:val="22"/>
          <w:b w:val="1"/>
          <w:bCs w:val="1"/>
          <w:i w:val="1"/>
          <w:iCs w:val="1"/>
          <w:color w:val="auto"/>
        </w:rPr>
        <w:t>We may be subject to regulatory, legal or reputational risk associated with potential misuse of our products by our customers.</w:t>
      </w:r>
    </w:p>
    <w:p>
      <w:pPr>
        <w:spacing w:after="0" w:line="202" w:lineRule="exact"/>
        <w:rPr>
          <w:sz w:val="20"/>
          <w:szCs w:val="20"/>
          <w:color w:val="auto"/>
        </w:rPr>
      </w:pPr>
    </w:p>
    <w:p>
      <w:pPr>
        <w:ind w:right="120" w:firstLine="324"/>
        <w:spacing w:after="0"/>
        <w:rPr>
          <w:sz w:val="20"/>
          <w:szCs w:val="20"/>
          <w:color w:val="auto"/>
        </w:rPr>
      </w:pPr>
      <w:r>
        <w:rPr>
          <w:rFonts w:ascii="Arial" w:cs="Arial" w:eastAsia="Arial" w:hAnsi="Arial"/>
          <w:sz w:val="22"/>
          <w:szCs w:val="22"/>
          <w:color w:val="auto"/>
        </w:rPr>
        <w:t>We cannot provide assurance that our customers will always use our products in the manner in which we intend. Any misuse of our products by our customers could lead to substantial civil and criminal monetary and non-monetary penalties, and could cause us to incur significant legal and investigatory fees.</w:t>
      </w:r>
    </w:p>
    <w:p>
      <w:pPr>
        <w:spacing w:after="0" w:line="213" w:lineRule="exact"/>
        <w:rPr>
          <w:sz w:val="20"/>
          <w:szCs w:val="20"/>
          <w:color w:val="auto"/>
        </w:rPr>
      </w:pPr>
    </w:p>
    <w:p>
      <w:pPr>
        <w:ind w:left="180" w:right="120"/>
        <w:spacing w:after="0" w:line="250" w:lineRule="auto"/>
        <w:rPr>
          <w:sz w:val="20"/>
          <w:szCs w:val="20"/>
          <w:color w:val="auto"/>
        </w:rPr>
      </w:pPr>
      <w:r>
        <w:rPr>
          <w:rFonts w:ascii="Arial" w:cs="Arial" w:eastAsia="Arial" w:hAnsi="Arial"/>
          <w:sz w:val="22"/>
          <w:szCs w:val="22"/>
          <w:b w:val="1"/>
          <w:bCs w:val="1"/>
          <w:i w:val="1"/>
          <w:iCs w:val="1"/>
          <w:color w:val="auto"/>
        </w:rPr>
        <w:t>A potential target company may not succeed in promoting and sustaining its brands, which could have an adverse effect on its future growth and business.</w:t>
      </w:r>
    </w:p>
    <w:p>
      <w:pPr>
        <w:spacing w:after="0" w:line="202"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A critical component of a potential target company’s future growth is its ability to promote and sustain its brands, often achieved by providing a high-quality user experience. An important element of a target company’s brand promotion strategy is establishing a relationship of trust with its consumers. In order to provide a high-quality user experience, a potential target company may need to have invested and continue to invest substantial resources in the development of products, infrastructure, fulfilment and customer service operations. Campaigns designed to enhance a potential target company’s brand and attract consumers, subject to restrictions imposed by law, can be expensive and may not result in increased sales. If a potential target company is unable to attract new customers or its consumers are dissatisfied with the quality of the products sold to them or the customer service they receive and their overall customer experience, it could see a decrease in sales, which could have a material adverse effect on the potential target company’s business, financial condition and results of operations.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Certain events or developments in the cannabis industry more generally may impact our reputation.</w:t>
      </w:r>
    </w:p>
    <w:p>
      <w:pPr>
        <w:spacing w:after="0" w:line="233"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Damage to our reputation can result from the actual or perceived occurrence of any number of events, including any negative publicity, whether true or not. If we acquire a target business in the cannabis industry, because cannabis has been commonly associated with various other narcotics, violence and criminal activities, there is a risk that our business might attract negative publicity. There is also a risk that the actions of other companies, service providers and customers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w:t>
      </w:r>
    </w:p>
    <w:p>
      <w:pPr>
        <w:spacing w:after="0" w:line="184" w:lineRule="exact"/>
        <w:rPr>
          <w:sz w:val="20"/>
          <w:szCs w:val="20"/>
          <w:color w:val="auto"/>
        </w:rPr>
      </w:pPr>
    </w:p>
    <w:p>
      <w:pPr>
        <w:ind w:right="380" w:firstLine="324"/>
        <w:spacing w:after="0" w:line="297" w:lineRule="auto"/>
        <w:rPr>
          <w:sz w:val="20"/>
          <w:szCs w:val="20"/>
          <w:color w:val="auto"/>
        </w:rPr>
      </w:pPr>
      <w:r>
        <w:rPr>
          <w:rFonts w:ascii="Arial" w:cs="Arial" w:eastAsia="Arial" w:hAnsi="Arial"/>
          <w:sz w:val="19"/>
          <w:szCs w:val="19"/>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 cannabis industry is subject to the risks inherent in an agricultural business, including the risk of crop failure.</w:t>
      </w:r>
    </w:p>
    <w:p>
      <w:pPr>
        <w:spacing w:after="0" w:line="268" w:lineRule="exact"/>
        <w:rPr>
          <w:sz w:val="20"/>
          <w:szCs w:val="20"/>
          <w:color w:val="auto"/>
        </w:rPr>
      </w:pPr>
    </w:p>
    <w:p>
      <w:pPr>
        <w:ind w:right="60" w:firstLine="324"/>
        <w:spacing w:after="0" w:line="248" w:lineRule="auto"/>
        <w:rPr>
          <w:sz w:val="20"/>
          <w:szCs w:val="20"/>
          <w:color w:val="auto"/>
        </w:rPr>
      </w:pPr>
      <w:r>
        <w:rPr>
          <w:rFonts w:ascii="Arial" w:cs="Arial" w:eastAsia="Arial" w:hAnsi="Arial"/>
          <w:sz w:val="21"/>
          <w:szCs w:val="21"/>
          <w:color w:val="auto"/>
        </w:rPr>
        <w:t>The growing of cannabis is an agricultural process. As such, a target business with operations in the cannabis industry is subject to the risks inherent in the agricultural business, including risks of crop failure presented by weather, insects, plant diseases and similar agricultural risks. Although some cannabis production is conducted indoors under climate-controlled conditions, cannabis continues to be grown outdoors and there can be no assurance that artificial or natural elements, such as insects and plant diseases, will not entirely interrupt production activities or have an adverse effect on the production of cannabis and, accordingly, the operations of a potential target business.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 cannabis industry is subject to transportation disruptions, including those related to an agricultural product.</w:t>
      </w:r>
    </w:p>
    <w:p>
      <w:pPr>
        <w:spacing w:after="0" w:line="268"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As a business revolving mainly around the growth of an agricultural product, the ability to obtain speedy, cost-effective and efficient transport services will be essential to the prolonged operations of a potential target cannabis company’s business. Should such transportation become unavailable for prolonged periods of time, it could have a material adverse effect on the potential target company’s business, financial condition and results of operations.</w:t>
      </w:r>
    </w:p>
    <w:p>
      <w:pPr>
        <w:spacing w:after="0" w:line="212" w:lineRule="exact"/>
        <w:rPr>
          <w:sz w:val="20"/>
          <w:szCs w:val="20"/>
          <w:color w:val="auto"/>
        </w:rPr>
      </w:pPr>
    </w:p>
    <w:p>
      <w:pPr>
        <w:ind w:right="40" w:firstLine="324"/>
        <w:spacing w:after="0" w:line="235" w:lineRule="auto"/>
        <w:rPr>
          <w:sz w:val="20"/>
          <w:szCs w:val="20"/>
          <w:color w:val="auto"/>
        </w:rPr>
      </w:pPr>
      <w:r>
        <w:rPr>
          <w:rFonts w:ascii="Arial" w:cs="Arial" w:eastAsia="Arial" w:hAnsi="Arial"/>
          <w:sz w:val="22"/>
          <w:szCs w:val="22"/>
          <w:color w:val="auto"/>
        </w:rPr>
        <w:t>Due to the nature of a potential target cannabis company’s products, security of the product during transportation to and from its facilities may be important. A breach of security during transport or delivery could have a material adverse effect on a potential target company’s business, financial condition and results of operations. Any breach of the security measures during transport or delivery, including any failure to comply with recommendations or requirements of regulatory authorities, could also have an impact on the potential target company’s ability to continue operating under its license or the prospect of renewing its licenses.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Many cannabis businesses are subject to significant environmental regulations and risks.</w:t>
      </w:r>
    </w:p>
    <w:p>
      <w:pPr>
        <w:spacing w:after="0" w:line="23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9"/>
          <w:szCs w:val="19"/>
          <w:color w:val="auto"/>
        </w:rPr>
        <w:t>Participants in the cannabis industry are subject to various environmental regulations in the jurisdictions in which they operate. These regulations may mandate, among other things, the maintenance of air and water quality standards and land reclamation. These regulations may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a potential target business.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Many cannabis businesses are dependent on key personnel with sufficient experience in the cannabis industry.</w:t>
      </w:r>
    </w:p>
    <w:p>
      <w:pPr>
        <w:spacing w:after="0" w:line="268"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There are a limited number of management teams in the cannabis industry that are familiar with U.S. securities laws.</w:t>
      </w:r>
    </w:p>
    <w:p>
      <w:pPr>
        <w:spacing w:after="0" w:line="268" w:lineRule="exact"/>
        <w:rPr>
          <w:sz w:val="20"/>
          <w:szCs w:val="20"/>
          <w:color w:val="auto"/>
        </w:rPr>
      </w:pPr>
    </w:p>
    <w:p>
      <w:pPr>
        <w:ind w:right="60" w:firstLine="324"/>
        <w:spacing w:after="0" w:line="249" w:lineRule="auto"/>
        <w:rPr>
          <w:sz w:val="20"/>
          <w:szCs w:val="20"/>
          <w:color w:val="auto"/>
        </w:rPr>
      </w:pPr>
      <w:r>
        <w:rPr>
          <w:rFonts w:ascii="Arial" w:cs="Arial" w:eastAsia="Arial" w:hAnsi="Arial"/>
          <w:sz w:val="21"/>
          <w:szCs w:val="21"/>
          <w:color w:val="auto"/>
        </w:rPr>
        <w:t>There are a limited number of management teams in the cannabis industry that have U.S. public company experience. As a result, management of a target cannabis business, including any key personnel that it hires in the future, may not be familiar with U.S. securities laws. If such management team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It may be difficult to continuously maintain and retain a competitive talent pool with public company standards.</w:t>
      </w:r>
    </w:p>
    <w:p>
      <w:pPr>
        <w:spacing w:after="0" w:line="268" w:lineRule="exact"/>
        <w:rPr>
          <w:sz w:val="20"/>
          <w:szCs w:val="20"/>
          <w:color w:val="auto"/>
        </w:rPr>
      </w:pPr>
    </w:p>
    <w:p>
      <w:pPr>
        <w:ind w:right="220" w:firstLine="324"/>
        <w:spacing w:after="0" w:line="238" w:lineRule="auto"/>
        <w:rPr>
          <w:sz w:val="20"/>
          <w:szCs w:val="20"/>
          <w:color w:val="auto"/>
        </w:rPr>
      </w:pPr>
      <w:r>
        <w:rPr>
          <w:rFonts w:ascii="Arial" w:cs="Arial" w:eastAsia="Arial" w:hAnsi="Arial"/>
          <w:sz w:val="22"/>
          <w:szCs w:val="22"/>
          <w:color w:val="auto"/>
        </w:rPr>
        <w:t>As a target company grows, it may need to hire additional human resources to continue to develop its businesses. However, experienced talent, including senior management, with public company background in the areas of cannabis research and development, growing cannabis and extraction are difficult to source, and there can be no assurance that the appropriate individuals will be available or affordable.</w:t>
      </w:r>
    </w:p>
    <w:p>
      <w:pPr>
        <w:spacing w:after="0" w:line="212" w:lineRule="exact"/>
        <w:rPr>
          <w:sz w:val="20"/>
          <w:szCs w:val="20"/>
          <w:color w:val="auto"/>
        </w:rPr>
      </w:pPr>
    </w:p>
    <w:p>
      <w:pPr>
        <w:ind w:right="260" w:firstLine="324"/>
        <w:spacing w:after="0" w:line="257" w:lineRule="auto"/>
        <w:rPr>
          <w:sz w:val="20"/>
          <w:szCs w:val="20"/>
          <w:color w:val="auto"/>
        </w:rPr>
      </w:pPr>
      <w:r>
        <w:rPr>
          <w:rFonts w:ascii="Arial" w:cs="Arial" w:eastAsia="Arial" w:hAnsi="Arial"/>
          <w:sz w:val="21"/>
          <w:szCs w:val="21"/>
          <w:color w:val="auto"/>
        </w:rPr>
        <w:t>Without adequate personnel and expertise, the growth of the business may suffer. There can be no assurance that a target company will be able to identify, attract, hire and retain qualified personnel and expertise in the future, and any failure to do so could have a material adverse effect on the business, financial condition or results of operations.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 potential target company may be dependent on skilled labor and suppliers.</w:t>
      </w:r>
    </w:p>
    <w:p>
      <w:pPr>
        <w:spacing w:after="0" w:line="233"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The ability of a potential target business to compete and grow will be dependent on it having access, at a reasonable cost and in a timely manner, to skilled labor, equipment, parts and components. No assurances can be given that the potential target business will be successful in maintaining its required supply of skilled labor, equipment, parts and components. Qualified individuals are in high demand, and the potential target business may incur significant costs to attract and retain them. It is also possible that the final costs of the major equipment and materials, including packaging materials, contemplated by the potential target’s capital expenditure program may be significantly greater than anticipated by the potential target’s management, and may be greater than funds available to the potential target business, in which circumstance the potential target business may curtail, or extend the time frames for completing, its capital expenditure plans. This could have a material adverse effect on the potential target’s business, financial condition and results of operations.</w:t>
      </w:r>
    </w:p>
    <w:p>
      <w:pPr>
        <w:spacing w:after="0" w:line="185" w:lineRule="exact"/>
        <w:rPr>
          <w:sz w:val="20"/>
          <w:szCs w:val="20"/>
          <w:color w:val="auto"/>
        </w:rPr>
      </w:pPr>
    </w:p>
    <w:p>
      <w:pPr>
        <w:ind w:left="180" w:right="740"/>
        <w:spacing w:after="0" w:line="250" w:lineRule="auto"/>
        <w:rPr>
          <w:sz w:val="20"/>
          <w:szCs w:val="20"/>
          <w:color w:val="auto"/>
        </w:rPr>
      </w:pPr>
      <w:r>
        <w:rPr>
          <w:rFonts w:ascii="Arial" w:cs="Arial" w:eastAsia="Arial" w:hAnsi="Arial"/>
          <w:sz w:val="22"/>
          <w:szCs w:val="22"/>
          <w:b w:val="1"/>
          <w:bCs w:val="1"/>
          <w:i w:val="1"/>
          <w:iCs w:val="1"/>
          <w:color w:val="auto"/>
        </w:rPr>
        <w:t>Fraudulent or illegal activity by employees, contractors and consultants may adversely affect our business, financial condition or results of operations.</w:t>
      </w:r>
    </w:p>
    <w:p>
      <w:pPr>
        <w:spacing w:after="0" w:line="202"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A potential target business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 (i) government regulations, (ii) manufacturing standards, (iii) federal, state and provincial healthcare fraud and abuse laws and regulations, or (iv) laws that require the true, complete and accurate reporting of financial information or data. It may not always be possible for the potential target business to identify and deter misconduct by its employees and other third parties, and the precautions taken by the potential target business to detect and prevent this activity may not be effective in controlling unknown or unmanaged risks or losses or in protecting the potential target business from governmental investigations or other actions or lawsuits stemming from a failure to be in compliance with such laws or regulations. If any such actions are instituted against the potential target business, and it is not successful in defending itself or asserting its rights, those actions could have a significant impact on the business of the potential target business, including the imposition of civil, criminal and administrative penalties, damages, monetary fines, contractual damages, reputational harm, diminished profits and future earnings, and curtailment of the operations of the potential target business, any of which could have a material adverse effect on the potential target’s business, financial condition and results of operations.</w:t>
      </w:r>
    </w:p>
    <w:p>
      <w:pPr>
        <w:spacing w:after="0" w:line="183" w:lineRule="exact"/>
        <w:rPr>
          <w:sz w:val="20"/>
          <w:szCs w:val="20"/>
          <w:color w:val="auto"/>
        </w:rPr>
      </w:pPr>
    </w:p>
    <w:p>
      <w:pPr>
        <w:ind w:left="180" w:right="120"/>
        <w:spacing w:after="0" w:line="359" w:lineRule="auto"/>
        <w:rPr>
          <w:sz w:val="20"/>
          <w:szCs w:val="20"/>
          <w:color w:val="auto"/>
        </w:rPr>
      </w:pPr>
      <w:r>
        <w:rPr>
          <w:rFonts w:ascii="Arial" w:cs="Arial" w:eastAsia="Arial" w:hAnsi="Arial"/>
          <w:sz w:val="18"/>
          <w:szCs w:val="18"/>
          <w:b w:val="1"/>
          <w:bCs w:val="1"/>
          <w:i w:val="1"/>
          <w:iCs w:val="1"/>
          <w:color w:val="auto"/>
        </w:rPr>
        <w:t>A potential target cannabis company may be reliant on key inputs and may not be able to realize its cannabis production or capacity targets. The price of production of cannabis will also vary based on a number of factors outside of our control.</w:t>
      </w:r>
    </w:p>
    <w:p>
      <w:pPr>
        <w:spacing w:after="0" w:line="110" w:lineRule="exact"/>
        <w:rPr>
          <w:sz w:val="20"/>
          <w:szCs w:val="20"/>
          <w:color w:val="auto"/>
        </w:rPr>
      </w:pPr>
    </w:p>
    <w:p>
      <w:pPr>
        <w:ind w:right="60" w:firstLine="324"/>
        <w:spacing w:after="0" w:line="244" w:lineRule="auto"/>
        <w:rPr>
          <w:sz w:val="20"/>
          <w:szCs w:val="20"/>
          <w:color w:val="auto"/>
        </w:rPr>
      </w:pPr>
      <w:r>
        <w:rPr>
          <w:rFonts w:ascii="Arial" w:cs="Arial" w:eastAsia="Arial" w:hAnsi="Arial"/>
          <w:sz w:val="21"/>
          <w:szCs w:val="21"/>
          <w:color w:val="auto"/>
        </w:rPr>
        <w:t>A potential target cannabis company’s ability to produce and process cannabis, and the price of production, may be affected by a number of factors, including available space, raw materials, plant design errors, non-performance by third party contractors, increases in materials or labor costs, construction performance falling below expected levels of output or efficiency, environmental pollution, contractor or operator errors, breakdowns, processing bottlenecks, aging or failure of equipment or processes, labor disputes, as well as factors specifically related to indoor agricultural practices, such as reliance on provision of energy and utilities to the facility, and potential impacts of major incidents or catastrophic events on the facility, such as fires, explosions, earthquakes or storms. Any significant interruption or negative change in the availability or economics of the supply chain for key inputs could materially impact the business, financial condition and operating results of a potential target company. Some of these inputs may only be available from a single supplier or a limited group of suppliers, including access to the electricity grid. If a sole source supplier was to go out of business, the target company might be unable to find a replacement for such source in a timely manner or at all. If a sole source supplier were to be acquired by a competitor, that competitor may elect not to sell to the potential target company in the future. Any inability to secure required supplies and services or to do so on appropriate terms could have a materially adverse impact on the business, financial condition, results of operations and prospects of such businesses.</w:t>
      </w:r>
    </w:p>
    <w:p>
      <w:pPr>
        <w:sectPr>
          <w:pgSz w:w="11900" w:h="16838" w:orient="portrait"/>
          <w:cols w:equalWidth="0" w:num="1">
            <w:col w:w="11220"/>
          </w:cols>
          <w:pgMar w:left="320" w:top="122"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 potential target company may be vulnerable to rising energy costs.</w:t>
      </w:r>
    </w:p>
    <w:p>
      <w:pPr>
        <w:spacing w:after="0" w:line="233" w:lineRule="exact"/>
        <w:rPr>
          <w:sz w:val="20"/>
          <w:szCs w:val="20"/>
          <w:color w:val="auto"/>
        </w:rPr>
      </w:pPr>
    </w:p>
    <w:p>
      <w:pPr>
        <w:ind w:right="160" w:firstLine="324"/>
        <w:spacing w:after="0" w:line="238" w:lineRule="auto"/>
        <w:rPr>
          <w:sz w:val="20"/>
          <w:szCs w:val="20"/>
          <w:color w:val="auto"/>
        </w:rPr>
      </w:pPr>
      <w:r>
        <w:rPr>
          <w:rFonts w:ascii="Arial" w:cs="Arial" w:eastAsia="Arial" w:hAnsi="Arial"/>
          <w:sz w:val="22"/>
          <w:szCs w:val="22"/>
          <w:color w:val="auto"/>
        </w:rPr>
        <w:t>Cannabis growing operations consume considerable energy, which makes a potential target cannabis company vulnerable to rising energy costs and/or the availability of stable energy sources. Accordingly, rising or volatile energy costs or the inability to access stable energy sources may have a material adverse effect on the potential target company’s business, financial condition and results of operations.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To the extent we acquire cannabis businesses or assets, there may be a lack of access to U.S. bankruptcy protections.</w:t>
      </w:r>
    </w:p>
    <w:p>
      <w:pPr>
        <w:spacing w:after="0" w:line="268" w:lineRule="exact"/>
        <w:rPr>
          <w:sz w:val="20"/>
          <w:szCs w:val="20"/>
          <w:color w:val="auto"/>
        </w:rPr>
      </w:pPr>
    </w:p>
    <w:p>
      <w:pPr>
        <w:ind w:right="20" w:firstLine="324"/>
        <w:spacing w:after="0" w:line="249" w:lineRule="auto"/>
        <w:rPr>
          <w:sz w:val="20"/>
          <w:szCs w:val="20"/>
          <w:color w:val="auto"/>
        </w:rPr>
      </w:pPr>
      <w:r>
        <w:rPr>
          <w:rFonts w:ascii="Arial" w:cs="Arial" w:eastAsia="Arial" w:hAnsi="Arial"/>
          <w:sz w:val="21"/>
          <w:szCs w:val="21"/>
          <w:color w:val="auto"/>
        </w:rPr>
        <w:t>Because cannabis is illegal under U.S. federal law, many courts have denied cannabis businesses bankruptcy protections, thus making it very difficult for lenders to recoup their investments in the cannabis industry in the event of a bankruptcy. If a company we acquire as part of a qualifying transaction were to experience a bankruptcy, there is no guarantee that U.S. federal bankruptcy protections would be available, which could have a material adverse effect on the financial condition and prospects of such business and on the rights of its lenders and security holders.</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49" w:lineRule="exact"/>
        <w:rPr>
          <w:sz w:val="20"/>
          <w:szCs w:val="20"/>
          <w:color w:val="auto"/>
        </w:rPr>
      </w:pPr>
    </w:p>
    <w:p>
      <w:pPr>
        <w:jc w:val="both"/>
        <w:ind w:right="160" w:firstLine="324"/>
        <w:spacing w:after="0"/>
        <w:rPr>
          <w:sz w:val="20"/>
          <w:szCs w:val="20"/>
          <w:color w:val="auto"/>
        </w:rPr>
      </w:pPr>
      <w:r>
        <w:rPr>
          <w:rFonts w:ascii="Arial" w:cs="Arial" w:eastAsia="Arial" w:hAnsi="Arial"/>
          <w:sz w:val="22"/>
          <w:szCs w:val="22"/>
          <w:color w:val="auto"/>
        </w:rPr>
        <w:t>We currently maintain our executive offices at 660 Madison Ave, Suite 1600, New York, New York 10065. The cost for the space is included in the up to $20,000 monthly fee that we pay our sponsor for office space, administrative and support services. We consider our current office space adequate for our current operations.</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Beginning on January 27, 2021, purported stockholders of the Company filed or threatened to file lawsuits in connection with the Company’s prospective merger with WMH,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prospective Merger omits material information related to the proposed transaction, and asserts claims for breach of fiduciary duty against certain of the Company’s current officers and directors and for aiding and abetting breach of fiduciary duty against the Company. The Stout complaint also asserts aiding and abetting claims against WMH and Merger Sub. Plaintiffs seek injunctive relief to enjoin the proposed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the company,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proposed Merger, pending dissemination of supplemental disclosures, unspecified damages and attorneys’ fees and costs. The Company believes that these allegations are without merit. These matters are in the early stages and the Company is unable to reasonably determine the outcome or estimate the loss, if any, and as such, has not recorded a loss contingency.</w:t>
      </w:r>
    </w:p>
    <w:p>
      <w:pPr>
        <w:spacing w:after="0" w:line="200" w:lineRule="exact"/>
        <w:rPr>
          <w:sz w:val="20"/>
          <w:szCs w:val="20"/>
          <w:color w:val="auto"/>
        </w:rPr>
      </w:pPr>
    </w:p>
    <w:p>
      <w:pPr>
        <w:spacing w:after="0" w:line="2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 II</w:t>
      </w:r>
    </w:p>
    <w:p>
      <w:pPr>
        <w:spacing w:after="0" w:line="24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(a) Market Information</w:t>
      </w:r>
    </w:p>
    <w:p>
      <w:pPr>
        <w:spacing w:after="0" w:line="239" w:lineRule="exact"/>
        <w:rPr>
          <w:sz w:val="20"/>
          <w:szCs w:val="20"/>
          <w:color w:val="auto"/>
        </w:rPr>
      </w:pPr>
    </w:p>
    <w:p>
      <w:pPr>
        <w:ind w:right="340" w:firstLine="324"/>
        <w:spacing w:after="0"/>
        <w:rPr>
          <w:sz w:val="20"/>
          <w:szCs w:val="20"/>
          <w:color w:val="auto"/>
        </w:rPr>
      </w:pPr>
      <w:r>
        <w:rPr>
          <w:rFonts w:ascii="Arial" w:cs="Arial" w:eastAsia="Arial" w:hAnsi="Arial"/>
          <w:sz w:val="22"/>
          <w:szCs w:val="22"/>
          <w:color w:val="auto"/>
        </w:rPr>
        <w:t>Our units, Class A ordinary shares and warrants are each traded on the Nasdaq under the symbols “SSPKU,” “SSPK” and “SSPKW,” respectively. Our units commenced public trading on August 8, 2019. Our Class A ordinary shares and warrants began separate trading on January 14, 2020.</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(b) Holders</w:t>
      </w:r>
    </w:p>
    <w:p>
      <w:pPr>
        <w:spacing w:after="0" w:line="239" w:lineRule="exact"/>
        <w:rPr>
          <w:sz w:val="20"/>
          <w:szCs w:val="20"/>
          <w:color w:val="auto"/>
        </w:rPr>
      </w:pPr>
    </w:p>
    <w:p>
      <w:pPr>
        <w:ind w:right="320" w:firstLine="324"/>
        <w:spacing w:after="0" w:line="250" w:lineRule="auto"/>
        <w:rPr>
          <w:sz w:val="20"/>
          <w:szCs w:val="20"/>
          <w:color w:val="auto"/>
        </w:rPr>
      </w:pPr>
      <w:r>
        <w:rPr>
          <w:rFonts w:ascii="Arial" w:cs="Arial" w:eastAsia="Arial" w:hAnsi="Arial"/>
          <w:sz w:val="22"/>
          <w:szCs w:val="22"/>
          <w:color w:val="auto"/>
        </w:rPr>
        <w:t>On March 24, 2020, there were one holder of record of our units, one holder of record of our Class A ordinary shares, one holder of our Class B ordinary shares and two holders of record of our warrants.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 Dividends</w:t>
      </w:r>
    </w:p>
    <w:p>
      <w:pPr>
        <w:spacing w:after="0" w:line="239"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Further, if we incur any indebtedness in connection with a business combination, our ability to declare dividends may be limited by restrictive covenants we may agree to in connection therewith.</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(d) Securities Authorized for Issuance Under Equity Compensation Plans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(e) Performance Graph</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 Recent Sales of Unregistered Securities; Use of Proceeds from Registered Offerings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Unregistered Sales</w:t>
      </w:r>
    </w:p>
    <w:p>
      <w:pPr>
        <w:spacing w:after="0" w:line="23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color w:val="auto"/>
        </w:rPr>
        <w:t>In June 2019, we issued an aggregate of 7,187,500 Class B ordinary shares to our sponsor for an aggregate purchase price of $25,000 (the founder shares). On September 23, 2019, in connection with the expiration of the underwriter’s over-allotment option, our sponsor surrendered 937,500 founder shares. As a result, our sponsor now owns 6,250,000 founder shares.</w:t>
      </w:r>
    </w:p>
    <w:p>
      <w:pPr>
        <w:spacing w:after="0" w:line="161"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The founder shares will automatically convert into Class A ordinary shares on the first business day following the completion of our initial business combination on a one-for-one basis, subject to certain adjustments. In the case that additional Class A ordinary shares, or equity-linked securities convertible or exercisable for Class A ordinary shares, are issued or deemed issued in excess of the amounts issued in our IPO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our IPO plus the number of Class A ordinary shares and equity-linked securities issued or deemed issued in connection with our initial business combination (net of redemptions), excluding the representative shares and any Class A ordinary shares or equity-linked securities issued, or to be issued, to any seller in our initial business combination and any private placement warrants issued to our sponsor, an affiliate of our sponsor or any of our officers or directors.</w:t>
      </w:r>
    </w:p>
    <w:p>
      <w:pPr>
        <w:sectPr>
          <w:pgSz w:w="11900" w:h="16838" w:orient="portrait"/>
          <w:cols w:equalWidth="0" w:num="1">
            <w:col w:w="11200"/>
          </w:cols>
          <w:pgMar w:left="320" w:top="122" w:right="379" w:bottom="1440" w:gutter="0" w:footer="0" w:header="0"/>
        </w:sect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line="245" w:lineRule="auto"/>
        <w:rPr>
          <w:sz w:val="20"/>
          <w:szCs w:val="20"/>
          <w:color w:val="auto"/>
        </w:rPr>
      </w:pPr>
      <w:r>
        <w:rPr>
          <w:rFonts w:ascii="Arial" w:cs="Arial" w:eastAsia="Arial" w:hAnsi="Arial"/>
          <w:sz w:val="21"/>
          <w:szCs w:val="21"/>
          <w:color w:val="auto"/>
        </w:rPr>
        <w:t>With certain limited exceptions, the founder shares are not transferable, assignable or salable (except to our officers and directors and other persons or entities affiliated with our sponsor, each of whom are subject to the same transfer restrictions) until the earlier of (A) one year after the completion of our initial business combination or (B) subsequent to our initial business combination, (x) if the last reported sale price of the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Our sponsor purchased 7,000,000 private placement warrants at a price of $1.00 per warrant in a private placement that occurred concurrently with the closing of our IPO and generated gross proceeds of $7,000,000. Each private placement warrant is exercisable for one Class A ordinary share at a price of $11.50 per share. The proceeds from the sale of the private placement warrants were added to the net proceeds from the IPO held in the trust account. If we do not complete a business combination by July 10, 2021, the private placement warrants will expire worthless. The private placement warrants are non-redeemable and exercisable on a cashless basis so long as they are held by our sponsor or its permitted transferees. The sale of the private placement warrants was made pursuant to the exemption from registration contained in Section 4(a)(2) of the Securities Act.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Use of Proceeds</w:t>
      </w:r>
    </w:p>
    <w:p>
      <w:pPr>
        <w:spacing w:after="0" w:line="233" w:lineRule="exact"/>
        <w:rPr>
          <w:sz w:val="20"/>
          <w:szCs w:val="20"/>
          <w:color w:val="auto"/>
        </w:rPr>
      </w:pPr>
    </w:p>
    <w:p>
      <w:pPr>
        <w:ind w:right="80" w:firstLine="324"/>
        <w:spacing w:after="0" w:line="257" w:lineRule="auto"/>
        <w:rPr>
          <w:sz w:val="20"/>
          <w:szCs w:val="20"/>
          <w:color w:val="auto"/>
        </w:rPr>
      </w:pPr>
      <w:r>
        <w:rPr>
          <w:rFonts w:ascii="Arial" w:cs="Arial" w:eastAsia="Arial" w:hAnsi="Arial"/>
          <w:sz w:val="21"/>
          <w:szCs w:val="21"/>
          <w:color w:val="auto"/>
        </w:rPr>
        <w:t>Of the $257,000,000 in proceeds we received from our IPO and the sale of the private placement warrants, a total of $250,000,000, from this $250,000,000, the underwriter’s deferred commissions of $8,750,000 will be paid, was placed in a U.S.-based trust account maintained by Continental Stock Transfer &amp; Trust Company, acting as trustee.</w:t>
      </w:r>
    </w:p>
    <w:p>
      <w:pPr>
        <w:spacing w:after="0" w:line="196" w:lineRule="exact"/>
        <w:rPr>
          <w:sz w:val="20"/>
          <w:szCs w:val="20"/>
          <w:color w:val="auto"/>
        </w:rPr>
      </w:pPr>
    </w:p>
    <w:p>
      <w:pPr>
        <w:ind w:right="820" w:firstLine="324"/>
        <w:spacing w:after="0" w:line="328" w:lineRule="auto"/>
        <w:rPr>
          <w:sz w:val="20"/>
          <w:szCs w:val="20"/>
          <w:color w:val="auto"/>
        </w:rPr>
      </w:pPr>
      <w:r>
        <w:rPr>
          <w:rFonts w:ascii="Arial" w:cs="Arial" w:eastAsia="Arial" w:hAnsi="Arial"/>
          <w:sz w:val="19"/>
          <w:szCs w:val="19"/>
          <w:color w:val="auto"/>
        </w:rPr>
        <w:t>There has been no material change in the planned use of proceeds from such use as described in the Company’s final prospectus (File No. 333-232734), dated August 7, 2019, which was declared effective by the SEC on August 7, 2019.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(g) Purchases of Equity Securities by the Issuer and Affiliated Purchasers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9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following discussion and analysis of the Company’s financial condition and results of operations should be read in conjunction with our audited consolidated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a blank check company incorporated in the Cayman Islands on June 7, 2019, formed for the purpose of effecting a merger, amalgamation, share exchange, asset acquisition, share purchase, reorganization or similar business combination with one or more businesses. We intend to effectuate our business combination using cash derived from the proceeds of the IPO, our shares, debt or a combination of cash, shares and debt.</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expect to continue to incur significant costs in the pursuit of our acquisition plans. We cannot assure you that our plans to complete a business combination will be successful.</w:t>
      </w:r>
    </w:p>
    <w:p>
      <w:pPr>
        <w:sectPr>
          <w:pgSz w:w="11900" w:h="16838" w:orient="portrait"/>
          <w:cols w:equalWidth="0" w:num="1">
            <w:col w:w="11240"/>
          </w:cols>
          <w:pgMar w:left="320" w:top="122"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39"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On December 10, 2020, we entered into a Merger Agreement with Merger Sub, WMH and Ghost Media Group, LLC, a Nevada limited liability company, solely in its capacity as the securityholder representative thereunder (the “Holder Representative”).</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Pursuant to the Merger Agreement, Merger Sub will merge with and into WMH with WMH continuing as the surviving entity and a subsidiary of the Company (refer to as “Surviving Pubco” following the Business Combination) (the “Merger” and the other transactions contemplated by the Merger Agreement, the “Business Combination”).</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a result of the Business Combination, each of our issued and outstanding Class A ordinary shares and Class B ordinary shares will convert into a share of Class A common stock of Surviving Pubco, and each issued and outstanding warrant to purchase Class A ordinary shares of the Company will be exercisable by its terms to purchase an equal number of shares of Class A common stock of Surviving Pubco.</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merger consideration (the “Merger Consideration”) to be paid to holders of the limited liability company interests of WMH (each, a “WMH Equity Holder”) at the closing of the Business Combination (“the Closing”) pursuant to the Merger Agreement will be equal to $1.31 billion and will be paid in a mix of cash and equity consideration.</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Merger Agreement contains customary representations, warranties and covenants by the parties thereto and the Closing is subject to certain conditions as further described in the Merger Agreement.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January 13, 2021, we held an Extraordinary General Meeting pursuant to which our shareholders approved extending the extension date. In connection with the approval of the extension, shareholders elected to redeem an aggregate of 1,425 Class A ordinary shares. As a result, an aggregate of $14,489 (or approximately $10.17 per share) was released from our trust account to pay such shareholders.</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On February 18, 2021, we issued a note in the amount of up to $750,000 to the sponsor for general working capital purposes. The note is non-interest bearing and payable upon the earlier to occur of (i) June 10, 2021 or (ii) the consummation of a Business Combination. If we do not consummate a Business Combination, we may use a portion of any funds held outside the trust account to repay the note; however, no proceeds from the trust account may be used for such repayment.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have neither engaged in any operations nor generated any revenues to date. Our only activities from inception through December 31, 2020 were organizational activities, those necessary to prepare for the IPO, identifying a target for our Business Combination and activities in connection with the proposed acquisition of WMH. We do not expect to generate any operating revenues until after the completion of our initial Business Combination. We generate non-operating income in the form of interest income on marketable securities. We are incurring expenses as a result of being a public company (for legal, financial reporting, accounting and auditing compliance), as well as for due diligence expenses in connection with completing a Business Combination.</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December 31, 2020, we had a net loss of $1,601,521, which consists of operating costs of $3,864,234 offset by interest earned on marketable securities held in the trust account of $2,257,985 and an unrealized gain on marketable securities held in the trust account of $4,728.</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For the period from June 7, 2019 (inception) through December 31, 2019, we had net income of $1,618,159, which consists of interest income on marketable securities held in the Trust Account of $1,812,577 and an unrealized gain on marketable securities held in the Trust Account of $112,416, offset by operating and formation costs of $306,834.</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Going Concern, Liquidity and Capital Resources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August 12, 2019, we consummated the IPO of 25,000,000 Units, at a price of $10.00 per unit, generating gross proceeds of $250,000,000. Simultaneously with the closing of the IPO, we consummated the sale of 7,000,000 private placement warrants to our sponsor at a price of $1.00 per warrant, generating gross proceeds of $7,000,000.</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Following the IPO and the sale of the private placement warrants, a total of $250,000,000 was placed in the trust account. We incurred $14,413,362 in transaction costs, including $5,000,000 of underwriting fees, $8,750,000 of deferred underwriting fees and $663,362 of other offering costs.</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For the year ended December 31, 2020, cash used in operating activities was $581,882. Net loss of $1,601,521 was affected by interest earned on marketable securities held in the trust account of $2,257,985 and an unrealized gain on marketable securities of $4,728. Changes in operating assets and liabilities provided $3,282,352 of cash from operating activities.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period from June 7, 2019 (inception) through December 31, 2019, cash used in operating activities was $467,049. Net income of $1,618,159 was offset by interest earned on marketable securities held in the trust account of $1,812,577, an unrealized gain on marketable securities of $112,416 and changes in operating assets and liabilities, which used $160,215 of cash from operating activities.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As of December 31, 2020, we had marketable securities held in the trust account of $254,187,706. We intend to use substantially all of the funds held in the trust account, including any amounts representing interest earned on the trust account (which interest shall be net of taxes payable and excluding deferred underwriting commissions) to complete our Business Combination. To the extent that our share capital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December 31, 2020, we had cash of $312,707 held outside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unit at the option of the lender. The warrants would be identical to the private placement warrants. On February 18, 2021, we issued a note in the amount of up to $750,000 to the sponsor for general working capital purposes.</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will need to raise additional capital through loans or additional investments from our sponsors, or an affiliate of the sponsor, officers, directors, or third parties. Our sponsors may, but are not obligated to, loan us funds, from time to time or at any time, in whatever amount they deem reasonable in their sole discretion, to meet our working capital needs. Accordingly, we may not be able to obtain additional financing. If we are unable to raise additional capital, we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us on commercially acceptable terms, if at all. These conditions raise substantial doubt about our ability to continue as a going concern through July 10, 2021, the date that we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we be unable to continue as a going concern.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Financing Arrangements</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do not have any long-term debt, capital lease obligations, operating lease obligations or long-term liabilities, other than an agreement to pay our sponsor a monthly fee of $20,000 for office space, and administrative and support services, provided to the Company. We began incurring these fees on August 7, 2019 and will continue to incur these fees monthly until the earlier of the completion of a Business Combination and the Company’s liquidation.</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underwriters are entitled to a deferred fee of $0.35 per unit, or $8,750,000 in the aggregate, which will become payable to the underwriters from the amounts held in the trust account solely in the event that we complete a Business Combination, subject to the terms of the underwriting agreement.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preparation of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Class A Ordinary Shares Subject to Redemption</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account for our Class A ordinary shares subject to possible conversion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Class A ordinary shares subject to possible redemption are presented at redemption value as temporary equity, outside of the shareholders’ equity section of our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Income (Loss) per Common Share</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apply the two-class method in calculating earnings per share. Net income per common share, basic and diluted for Class A ordinary shares subject to possible redemption is calculated by dividing the interest income earned on the Trust Account, net of applicable taxes, if any, by the weighted average number of shares of Class A ordinary shares subject to possible redemption outstanding for the period. Net loss per common share, basic and diluted for non-redeemable Class B ordinary shares is calculated by dividing net income less income attributable to Class A ordinary shares subject to possible redemption, by the weighted average number of shares of non-redeemable Class B ordinary shares outstanding for the period presented.</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standards, if currently adopted, would have a material effect on our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Recent Accounting Standards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Management does not believe that any other recently issued, but not yet effective, accounting standards, if currently adopted, would have a material effect on our consolidated financial statements.</w:t>
      </w:r>
    </w:p>
    <w:p>
      <w:pPr>
        <w:spacing w:after="0" w:line="20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Following the consummation of our IPO, the net proceeds of our IPO,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This information appears following Item 15 of this Annual Report and is included herein by reference.</w:t>
      </w:r>
    </w:p>
    <w:p>
      <w:pPr>
        <w:spacing w:after="0" w:line="23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Controls and Procedures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required by Rules 13a-15 and 15d-15 under the Exchange Act, our Chief Executive Officer and Chief Financial Officer carried out an evaluation of the effectiveness of the design and operation of our disclosure controls and procedures as of December 31, 2020. Based upon their evaluation, our Chief Executive Officer and Chief Financial Officer concluded that our disclosure controls and procedures (as defined in Rules 13a-15(e) and 15d-15(e) under the Exchange Act) were effective.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Annual Report on Internal Control over Financial Reporting</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financial statements for external reporting purposes in accordance with GAAP. Our internal control over financial reporting includes those policies and procedures that:</w:t>
      </w:r>
    </w:p>
    <w:p>
      <w:pPr>
        <w:spacing w:after="0" w:line="221" w:lineRule="exact"/>
        <w:rPr>
          <w:sz w:val="20"/>
          <w:szCs w:val="20"/>
          <w:color w:val="auto"/>
        </w:rPr>
      </w:pPr>
    </w:p>
    <w:p>
      <w:pPr>
        <w:ind w:left="660" w:right="2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our company,</w:t>
      </w:r>
    </w:p>
    <w:p>
      <w:pPr>
        <w:spacing w:after="0" w:line="197"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5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errors or misstatements in our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2020. In making these assessments, management used the criteria set forth by the Committee of Sponsoring Organizations of the Treadway Commission (“COSO”) in Internal Control — Integrated Framework (2013). Based on our assessments and those criteria, management determined that we maintained effective internal control over financial reporting as of December 31, 2020.</w:t>
      </w:r>
    </w:p>
    <w:p>
      <w:pPr>
        <w:spacing w:after="0" w:line="17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This Annual Report on Form 10-K does not include an attestation report of internal controls from our independent registered public accounting firm due to our status as an emerging growth company under the JOBS Act.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PART III</w:t>
      </w:r>
    </w:p>
    <w:p>
      <w:pPr>
        <w:spacing w:after="0" w:line="24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and Executive Officers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80" w:type="dxa"/>
            <w:vAlign w:val="bottom"/>
            <w:gridSpan w:val="2"/>
          </w:tcPr>
          <w:p>
            <w:pPr>
              <w:ind w:left="1760"/>
              <w:spacing w:after="0"/>
              <w:rPr>
                <w:sz w:val="20"/>
                <w:szCs w:val="20"/>
                <w:color w:val="auto"/>
              </w:rPr>
            </w:pPr>
            <w:r>
              <w:rPr>
                <w:rFonts w:ascii="Arial" w:cs="Arial" w:eastAsia="Arial" w:hAnsi="Arial"/>
                <w:sz w:val="18"/>
                <w:szCs w:val="18"/>
                <w:b w:val="1"/>
                <w:bCs w:val="1"/>
                <w:color w:val="auto"/>
              </w:rPr>
              <w:t>Name</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5840" w:type="dxa"/>
            <w:vAlign w:val="bottom"/>
          </w:tcPr>
          <w:p>
            <w:pPr>
              <w:ind w:left="2740"/>
              <w:spacing w:after="0"/>
              <w:rPr>
                <w:sz w:val="20"/>
                <w:szCs w:val="20"/>
                <w:color w:val="auto"/>
              </w:rPr>
            </w:pPr>
            <w:r>
              <w:rPr>
                <w:rFonts w:ascii="Arial" w:cs="Arial" w:eastAsia="Arial" w:hAnsi="Arial"/>
                <w:sz w:val="18"/>
                <w:szCs w:val="18"/>
                <w:b w:val="1"/>
                <w:bCs w:val="1"/>
                <w:color w:val="auto"/>
              </w:rPr>
              <w:t>Title</w:t>
            </w:r>
          </w:p>
        </w:tc>
      </w:tr>
      <w:tr>
        <w:trPr>
          <w:trHeight w:val="216"/>
        </w:trPr>
        <w:tc>
          <w:tcPr>
            <w:tcW w:w="3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Borders>
              <w:top w:val="single" w:sz="8" w:color="auto"/>
            </w:tcBorders>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Gordon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Chairman</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William Healy</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M. Gentile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Orrin Devinsky</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 Goldman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Kenneth H. Landis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Our directors and executive officers are as follows:</w:t>
      </w:r>
    </w:p>
    <w:p>
      <w:pPr>
        <w:spacing w:after="0" w:line="233" w:lineRule="exact"/>
        <w:rPr>
          <w:sz w:val="20"/>
          <w:szCs w:val="20"/>
          <w:color w:val="auto"/>
        </w:rPr>
      </w:pPr>
    </w:p>
    <w:p>
      <w:pPr>
        <w:ind w:right="20" w:firstLine="324"/>
        <w:spacing w:after="0" w:line="268" w:lineRule="auto"/>
        <w:rPr>
          <w:sz w:val="20"/>
          <w:szCs w:val="20"/>
          <w:color w:val="auto"/>
        </w:rPr>
      </w:pPr>
      <w:r>
        <w:rPr>
          <w:rFonts w:ascii="Arial" w:cs="Arial" w:eastAsia="Arial" w:hAnsi="Arial"/>
          <w:sz w:val="19"/>
          <w:szCs w:val="19"/>
          <w:b w:val="1"/>
          <w:bCs w:val="1"/>
          <w:i w:val="1"/>
          <w:iCs w:val="1"/>
          <w:color w:val="auto"/>
        </w:rPr>
        <w:t xml:space="preserve">Scott Gordon </w:t>
      </w:r>
      <w:r>
        <w:rPr>
          <w:rFonts w:ascii="Arial" w:cs="Arial" w:eastAsia="Arial" w:hAnsi="Arial"/>
          <w:sz w:val="19"/>
          <w:szCs w:val="19"/>
          <w:color w:val="auto"/>
        </w:rPr>
        <w:t>has been the Chairman of our board of directors and has served as our Chief Executive Officer since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inception. Mr. Gordon is also Chairman of the board of directors and Chief Executive Officer of Silver Spike Acquisition Corp II, a blank check company whose sponsor is an affiliate of Silver Spike Capital. The transaction is subject to approval of Silver Spike Acquisition Corp.’s shareholders and other customer closing conditions.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w:t>
      </w:r>
    </w:p>
    <w:p>
      <w:pPr>
        <w:spacing w:after="0" w:line="7" w:lineRule="exact"/>
        <w:rPr>
          <w:sz w:val="20"/>
          <w:szCs w:val="20"/>
          <w:color w:val="auto"/>
        </w:rPr>
      </w:pPr>
    </w:p>
    <w:p>
      <w:pPr>
        <w:ind w:right="120"/>
        <w:spacing w:after="0" w:line="233" w:lineRule="auto"/>
        <w:rPr>
          <w:sz w:val="20"/>
          <w:szCs w:val="20"/>
          <w:color w:val="auto"/>
        </w:rPr>
      </w:pPr>
      <w:r>
        <w:rPr>
          <w:rFonts w:ascii="Arial" w:cs="Arial" w:eastAsia="Arial" w:hAnsi="Arial"/>
          <w:sz w:val="22"/>
          <w:szCs w:val="22"/>
          <w:color w:val="auto"/>
        </w:rPr>
        <w:t>2009. Earlier in his career, Mr. Gordon held leadership positions at Bank of America and ING Capital. Mr. Gordon was a founding member of the Emerging Markets business at J.P. Morgan where he worked upon graduating from Bowdoin College in 1983. We believe Mr. Gordon’s experience in emerging markets and in the cannabis sector make him well qualified to serve as a member of our board of directors.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line="272" w:lineRule="auto"/>
        <w:rPr>
          <w:sz w:val="20"/>
          <w:szCs w:val="20"/>
          <w:color w:val="auto"/>
        </w:rPr>
      </w:pPr>
      <w:r>
        <w:rPr>
          <w:rFonts w:ascii="Arial" w:cs="Arial" w:eastAsia="Arial" w:hAnsi="Arial"/>
          <w:sz w:val="19"/>
          <w:szCs w:val="19"/>
          <w:b w:val="1"/>
          <w:bCs w:val="1"/>
          <w:i w:val="1"/>
          <w:iCs w:val="1"/>
          <w:color w:val="auto"/>
        </w:rPr>
        <w:t xml:space="preserve">William Healy </w:t>
      </w:r>
      <w:r>
        <w:rPr>
          <w:rFonts w:ascii="Arial" w:cs="Arial" w:eastAsia="Arial" w:hAnsi="Arial"/>
          <w:sz w:val="19"/>
          <w:szCs w:val="19"/>
          <w:color w:val="auto"/>
        </w:rPr>
        <w:t>has been a member of our board of directors and has served as our President since our inception. Mr. Healy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also serves as a member of the board of directors and President of Silver Spike Acquisition Corp II. Since 1986, Mr. Healy has advised and covered institutional clients in a variety of roles spanning corporate finance, investment management and investment banking in London, Brazil and New York. From 2018 to May 2019, he was President of Pantera Capital Management, an investment management company. From 1998 to 2016, Mr. Healy managed several hedge fund and private equity dedicated institutional sales teams at Deutsche Bank and the firm’s wealth and asset management division. He began his career with The Chase Manhattan Bank based in London, Brazil and New York where he advised multinational corporations on cross-border funding of their Latin America-domiciled operations. From 1993 to 1998, he formed and managed the ING Barings emerging markets institutional debt sales team where he covered clients and often traveled to Latin America, Europe and Asia to structure, price and pre-market many of the firm’s capital markets transactions. Mr. Healy received a BA in International Business, from The George Washington University, Washington DC. He is multi-lingual (English, Spanish and Portuguese) and a Chartered Alternative Investment Analyst Association (CAIA) member. We believe Mr. Healy’s experience as an investment professional make him well qualified to serve as a member of our board of directors.</w:t>
      </w:r>
    </w:p>
    <w:p>
      <w:pPr>
        <w:spacing w:after="0" w:line="183" w:lineRule="exact"/>
        <w:rPr>
          <w:sz w:val="20"/>
          <w:szCs w:val="20"/>
          <w:color w:val="auto"/>
        </w:rPr>
      </w:pPr>
    </w:p>
    <w:p>
      <w:pPr>
        <w:ind w:right="160" w:firstLine="324"/>
        <w:spacing w:after="0" w:line="248" w:lineRule="auto"/>
        <w:rPr>
          <w:sz w:val="20"/>
          <w:szCs w:val="20"/>
          <w:color w:val="auto"/>
        </w:rPr>
      </w:pPr>
      <w:r>
        <w:rPr>
          <w:rFonts w:ascii="Arial" w:cs="Arial" w:eastAsia="Arial" w:hAnsi="Arial"/>
          <w:sz w:val="21"/>
          <w:szCs w:val="21"/>
          <w:b w:val="1"/>
          <w:bCs w:val="1"/>
          <w:i w:val="1"/>
          <w:iCs w:val="1"/>
          <w:color w:val="auto"/>
        </w:rPr>
        <w:t xml:space="preserve">Gregory M. Gentile </w:t>
      </w:r>
      <w:r>
        <w:rPr>
          <w:rFonts w:ascii="Arial" w:cs="Arial" w:eastAsia="Arial" w:hAnsi="Arial"/>
          <w:sz w:val="21"/>
          <w:szCs w:val="21"/>
          <w:color w:val="auto"/>
        </w:rPr>
        <w:t>has served as our Chief Financial Officer since our inception. Mr. Gentile also serves as Chief Financial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Officer of Silver Spike Acquisition Corp II. From 2010 to 2018, Mr. Gentile was Chief Executive Officer of GMG Investment Advisors, LLC, an investment management company. From 2008 to 2009, Mr. Gentile served as Managing Director of Barclays Capital, an investment bank. Prior to joining Barclays Capital, Mr. Gentile was a Managing Director at Lehman Brothers, where he was employed from 1997 until 2008. Mr. Gentile received a bachelor’s degree in management from the Massachusetts Institute of Technology, where he graduated in 1997.</w:t>
      </w:r>
    </w:p>
    <w:p>
      <w:pPr>
        <w:spacing w:after="0" w:line="20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9"/>
          <w:szCs w:val="19"/>
          <w:b w:val="1"/>
          <w:bCs w:val="1"/>
          <w:i w:val="1"/>
          <w:iCs w:val="1"/>
          <w:color w:val="auto"/>
        </w:rPr>
        <w:t xml:space="preserve">Orrin Devinsky </w:t>
      </w:r>
      <w:r>
        <w:rPr>
          <w:rFonts w:ascii="Arial" w:cs="Arial" w:eastAsia="Arial" w:hAnsi="Arial"/>
          <w:sz w:val="19"/>
          <w:szCs w:val="19"/>
          <w:color w:val="auto"/>
        </w:rPr>
        <w:t>has served as a member of our board of directors since our IPO. Since 1989, Dr. Devinsky has directed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NYU Langone Comprehensive Epilepsy Center and is a Professor of Neurology, Neuroscience, Psychiatry and Neurosurgery at the NYU School of Medicine. From 2013 to 2018, Dr. Devinsky served as a lead investigator for the GW Pharma trials of EPIDIOLEX in childhood-onset severe epilepsies; since 2016, Dr. Devinsky has served as the Chair of the Medical Advisory Board for Tilray, a pharmaceutical and cannabis company, and on the Scientific Advisory Board for Papa &amp; Barkley, a cannabis products company with related subsidiary assets in manufacturing, processing and logistics; since 2017, Dr. Devinsky has served on the Business and Scientific Advisory Boards of Tevard, a company developing gene therapy platforms to target rare diseases with high unmet need, and on the Business and Scientific Advisory Boards of Engage Therapeutics, a biopharmaceutical company developing a new rescue therapy for people who experience uncontrolled epileptic seizures; since 2018, Dr. Devinsky has served as the Chief Medical Officer for Receptor Life Sciences, a cannabinoid medicine drug development company. Dr. Devinsky received an MS from Yale University in 1977, a BS from Yale College in 1978 and a MD from Harvard Medical School in 1982. We believe Dr. Devinsky’s experience in medicine, cannabinoid science and companies, therapeutics and drug development make him well qualified to serve as a director.</w:t>
      </w:r>
    </w:p>
    <w:p>
      <w:pPr>
        <w:spacing w:after="0" w:line="183" w:lineRule="exact"/>
        <w:rPr>
          <w:sz w:val="20"/>
          <w:szCs w:val="20"/>
          <w:color w:val="auto"/>
        </w:rPr>
      </w:pPr>
    </w:p>
    <w:p>
      <w:pPr>
        <w:ind w:right="20" w:firstLine="324"/>
        <w:spacing w:after="0" w:line="244" w:lineRule="auto"/>
        <w:rPr>
          <w:sz w:val="20"/>
          <w:szCs w:val="20"/>
          <w:color w:val="auto"/>
        </w:rPr>
      </w:pPr>
      <w:r>
        <w:rPr>
          <w:rFonts w:ascii="Arial" w:cs="Arial" w:eastAsia="Arial" w:hAnsi="Arial"/>
          <w:sz w:val="21"/>
          <w:szCs w:val="21"/>
          <w:b w:val="1"/>
          <w:bCs w:val="1"/>
          <w:i w:val="1"/>
          <w:iCs w:val="1"/>
          <w:color w:val="auto"/>
        </w:rPr>
        <w:t xml:space="preserve">Richard M. Goldman </w:t>
      </w:r>
      <w:r>
        <w:rPr>
          <w:rFonts w:ascii="Arial" w:cs="Arial" w:eastAsia="Arial" w:hAnsi="Arial"/>
          <w:sz w:val="21"/>
          <w:szCs w:val="21"/>
          <w:color w:val="auto"/>
        </w:rPr>
        <w:t>has served as a member of our board of directors since our IPO. Since 2012, Mr. Goldman has been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Managing Member of Becket Capital, LLC, an advisory services firm for investment management companies; from 2011 to 2012, Mr. Goldman served as Chief Operating Officer of Guggenheim Investments, the global asset management and investment advisory division of Guggenheim Partners; prior to joining Guggenheim Investments, from 2007 to 2012, Mr. Goldman was the Chief Executive Officer of Rydex Investments, the investment advisor to Rydex Funds. Since 2016, Mr. Goldman has served as Independent Director for the O’Shares Investments ETF Trust; since 2017, Mr. Goldman has served as the Independent Chairman of the Board of the Harvest Volatility Edge Trust, the entity responsible for the Harvest Edge mutual funds, and on the Board of Directors of Trinitas Capital Management, a credit-focused investment management firm; since 2018, Mr. Goldman has served as Lead Independent Director for the Axonic Alternative Income Interval Fund. Mr. Goldman received a bachelor’s degree from Bowdoin College in 1983. We believe Mr. Goldman’s experience in the investment management business make him well qualified to serve as a director.</w:t>
      </w:r>
    </w:p>
    <w:p>
      <w:pPr>
        <w:spacing w:after="0" w:line="215"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b w:val="1"/>
          <w:bCs w:val="1"/>
          <w:i w:val="1"/>
          <w:iCs w:val="1"/>
          <w:color w:val="auto"/>
        </w:rPr>
        <w:t xml:space="preserve">Kenneth H. Landis </w:t>
      </w:r>
      <w:r>
        <w:rPr>
          <w:rFonts w:ascii="Arial" w:cs="Arial" w:eastAsia="Arial" w:hAnsi="Arial"/>
          <w:sz w:val="21"/>
          <w:szCs w:val="21"/>
          <w:color w:val="auto"/>
        </w:rPr>
        <w:t>has served as a member of our board of directors since our IPO. Since 2000, Mr. Landis has been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CEO of Landis Capital, LLC, a provider of capital for seed, early-stage and later-stage venture investments in consumer products, ecommerce and enterprise companies. Previously, he served as Co-founder and a member of the board of directors of Bobbi Brown Cosmetics, CEO of Benetton Cosmetics Corp, Senior Vice President of Alfin, Inc., a manufacturer and distributer of cosmetics products, and Treasurer of IMS Health, Inc., a provider of information, services and technology for the healthcare industry. Mr. Landis began his career at Arthur Andersen and Co. and was formerly a Certified Public Accountant. He currently serves on the board of directors of several early-stage private companies and as a Trustee of Suffield Academy. Mr. Landis obtained a BS in Economics from the University of Pennsylvania in 1972 and an MBA from New York University in 1973. We believe that Mr. Landis’ extensive managerial, financial and accounting experience makes him well qualified to serve as a member of our board of directors.</w:t>
      </w:r>
    </w:p>
    <w:p>
      <w:pPr>
        <w:sectPr>
          <w:pgSz w:w="11900" w:h="16838" w:orient="portrait"/>
          <w:cols w:equalWidth="0" w:num="1">
            <w:col w:w="11240"/>
          </w:cols>
          <w:pgMar w:left="320" w:top="122"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900" w:firstLine="324"/>
        <w:spacing w:after="0" w:line="250" w:lineRule="auto"/>
        <w:rPr>
          <w:sz w:val="20"/>
          <w:szCs w:val="20"/>
          <w:color w:val="auto"/>
        </w:rPr>
      </w:pPr>
      <w:r>
        <w:rPr>
          <w:rFonts w:ascii="Arial" w:cs="Arial" w:eastAsia="Arial" w:hAnsi="Arial"/>
          <w:sz w:val="22"/>
          <w:szCs w:val="22"/>
          <w:color w:val="auto"/>
        </w:rPr>
        <w:t>In addition to our directors and executive officers, the following individual advises us in making our initial business combination:</w:t>
      </w:r>
    </w:p>
    <w:p>
      <w:pPr>
        <w:spacing w:after="0" w:line="202" w:lineRule="exact"/>
        <w:rPr>
          <w:sz w:val="20"/>
          <w:szCs w:val="20"/>
          <w:color w:val="auto"/>
        </w:rPr>
      </w:pPr>
    </w:p>
    <w:p>
      <w:pPr>
        <w:ind w:right="140" w:firstLine="324"/>
        <w:spacing w:after="0" w:line="287" w:lineRule="auto"/>
        <w:rPr>
          <w:sz w:val="20"/>
          <w:szCs w:val="20"/>
          <w:color w:val="auto"/>
        </w:rPr>
      </w:pPr>
      <w:r>
        <w:rPr>
          <w:rFonts w:ascii="Arial" w:cs="Arial" w:eastAsia="Arial" w:hAnsi="Arial"/>
          <w:sz w:val="19"/>
          <w:szCs w:val="19"/>
          <w:b w:val="1"/>
          <w:bCs w:val="1"/>
          <w:i w:val="1"/>
          <w:iCs w:val="1"/>
          <w:color w:val="auto"/>
        </w:rPr>
        <w:t xml:space="preserve">Rob Josephson </w:t>
      </w:r>
      <w:r>
        <w:rPr>
          <w:rFonts w:ascii="Arial" w:cs="Arial" w:eastAsia="Arial" w:hAnsi="Arial"/>
          <w:sz w:val="19"/>
          <w:szCs w:val="19"/>
          <w:color w:val="auto"/>
        </w:rPr>
        <w:t>has served as an investment partner since our inception. From October 2017 to present, Mr. Josephson has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acted as CEO of Seed Capital, a merchant bank. From January 2014 to October 2017, Mr. Josephson acted as a financial consultant to various companies in the cannabis industry, including Cronos Group, WeedMd, Lord Jones, Lune Rouge and DNA Genetics. Mr. Josephson holds a Bachelor of Arts degree from the University of Western Ontario, where he graduated in 1985.</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Terms of Office and Election of Officers and Directors</w:t>
      </w:r>
    </w:p>
    <w:p>
      <w:pPr>
        <w:spacing w:after="0" w:line="239" w:lineRule="exact"/>
        <w:rPr>
          <w:sz w:val="20"/>
          <w:szCs w:val="20"/>
          <w:color w:val="auto"/>
        </w:rPr>
      </w:pPr>
    </w:p>
    <w:p>
      <w:pPr>
        <w:ind w:right="20" w:firstLine="324"/>
        <w:spacing w:after="0" w:line="275" w:lineRule="auto"/>
        <w:rPr>
          <w:sz w:val="20"/>
          <w:szCs w:val="20"/>
          <w:color w:val="auto"/>
        </w:rPr>
      </w:pPr>
      <w:r>
        <w:rPr>
          <w:rFonts w:ascii="Arial" w:cs="Arial" w:eastAsia="Arial" w:hAnsi="Arial"/>
          <w:sz w:val="19"/>
          <w:szCs w:val="19"/>
          <w:color w:val="auto"/>
        </w:rPr>
        <w:t>Our board of directors consists of five members and is divided into two classes with only one class of directors being elected in each year, and each (except for those directors appointed prior to our first annual meeting of shareholders) serving a two-year term. The term of office of the first class of directors will expire at our first annual meeting of shareholders, and the term of office of the second class of directors will expire at our second annual meeting of shareholders. We may not hold an annual meeting of shareholders until after we consummate our initial business combination (unless required by Nasdaq). Subject to any other special rights applicable to the shareholders, any vacancies on our board of directors may be filled by the affirmative vote of a majority of the directors present and voting at the meeting of our board or by a majority of the holders of our ordinary shares (or, prior to our initial business combination, holders of our founder shares).</w:t>
      </w:r>
    </w:p>
    <w:p>
      <w:pPr>
        <w:spacing w:after="0" w:line="184"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Our officers are elected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provides that our officers may consist of a Chairman, a Chief Executive Officer, a President, a Chief Operating Officer, a Chief Financial Officer, Vice Presidents, a Secretary, Assistant Secretaries, a Treasurer and such other offices as may be determined by the board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39" w:lineRule="exact"/>
        <w:rPr>
          <w:sz w:val="20"/>
          <w:szCs w:val="20"/>
          <w:color w:val="auto"/>
        </w:rPr>
      </w:pPr>
    </w:p>
    <w:p>
      <w:pPr>
        <w:ind w:right="360" w:firstLine="324"/>
        <w:spacing w:after="0" w:line="246" w:lineRule="auto"/>
        <w:rPr>
          <w:sz w:val="20"/>
          <w:szCs w:val="20"/>
          <w:color w:val="auto"/>
        </w:rPr>
      </w:pPr>
      <w:r>
        <w:rPr>
          <w:rFonts w:ascii="Arial" w:cs="Arial" w:eastAsia="Arial" w:hAnsi="Arial"/>
          <w:sz w:val="21"/>
          <w:szCs w:val="21"/>
          <w:color w:val="auto"/>
        </w:rPr>
        <w:t>Nasdaq listing standards require that a majority of our board of directors be independent within one year of our IPO.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Orrin Devinsky, Richard Goldman and Kenneth Landis are “independent directors” as defined in the Nasdaq listing standards and applicable SEC rules. Our independent directors will have regularly scheduled meetings at which only independent directors are present.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 of Directors</w:t>
      </w:r>
    </w:p>
    <w:p>
      <w:pPr>
        <w:spacing w:after="0" w:line="239"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Pursuant to Nasdaq listing rules, we will establish three standing committees — an audit committee in compliance with Section 3(a)(58)(A) of the Exchange Act, a compensation committee and a nominating committee, each comprised of independent directors. Under Nasdaq listing rule 5615(b)(1), a company listing in connection with its IPO is permitted to phase in its compliance with the independent committee requirements. We do not intend to rely on the phase-in schedules set forth in Nasdaq listing rule 5615(b)(1).</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w:t>
      </w:r>
    </w:p>
    <w:p>
      <w:pPr>
        <w:spacing w:after="0" w:line="233" w:lineRule="exact"/>
        <w:rPr>
          <w:sz w:val="20"/>
          <w:szCs w:val="20"/>
          <w:color w:val="auto"/>
        </w:rPr>
      </w:pPr>
    </w:p>
    <w:p>
      <w:pPr>
        <w:ind w:right="220" w:firstLine="324"/>
        <w:spacing w:after="0" w:line="274" w:lineRule="auto"/>
        <w:rPr>
          <w:sz w:val="20"/>
          <w:szCs w:val="20"/>
          <w:color w:val="auto"/>
        </w:rPr>
      </w:pPr>
      <w:r>
        <w:rPr>
          <w:rFonts w:ascii="Arial" w:cs="Arial" w:eastAsia="Arial" w:hAnsi="Arial"/>
          <w:sz w:val="21"/>
          <w:szCs w:val="21"/>
          <w:color w:val="auto"/>
        </w:rPr>
        <w:t>We have established an audit committee of the board of directors. The members of our audit committee are Orrin Devinsky, Richard Goldman and Kenneth Landis. Kenneth Landis serves as Chairman of the audit committee.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380" w:firstLine="324"/>
        <w:spacing w:after="0"/>
        <w:rPr>
          <w:sz w:val="20"/>
          <w:szCs w:val="20"/>
          <w:color w:val="auto"/>
        </w:rPr>
      </w:pPr>
      <w:r>
        <w:rPr>
          <w:rFonts w:ascii="Arial" w:cs="Arial" w:eastAsia="Arial" w:hAnsi="Arial"/>
          <w:sz w:val="22"/>
          <w:szCs w:val="22"/>
          <w:color w:val="auto"/>
        </w:rPr>
        <w:t>Each member of the audit committee is financially literate and our board of directors has determined that Kenneth Landis qualifies as an “audit committee financial expert” as defined in applicable SEC rules and has accounting or related financial management expertise.</w:t>
      </w:r>
    </w:p>
    <w:p>
      <w:pPr>
        <w:spacing w:after="0" w:line="213" w:lineRule="exact"/>
        <w:rPr>
          <w:sz w:val="20"/>
          <w:szCs w:val="20"/>
          <w:color w:val="auto"/>
        </w:rPr>
      </w:pPr>
    </w:p>
    <w:p>
      <w:pPr>
        <w:ind w:right="640" w:firstLine="324"/>
        <w:spacing w:after="0" w:line="250" w:lineRule="auto"/>
        <w:rPr>
          <w:sz w:val="20"/>
          <w:szCs w:val="20"/>
          <w:color w:val="auto"/>
        </w:rPr>
      </w:pPr>
      <w:r>
        <w:rPr>
          <w:rFonts w:ascii="Arial" w:cs="Arial" w:eastAsia="Arial" w:hAnsi="Arial"/>
          <w:sz w:val="22"/>
          <w:szCs w:val="22"/>
          <w:color w:val="auto"/>
        </w:rPr>
        <w:t>We have adopted an audit committee charter, which details the purpose and principal functions of the audit committee, including:</w:t>
      </w:r>
    </w:p>
    <w:p>
      <w:pPr>
        <w:spacing w:after="0" w:line="209" w:lineRule="exact"/>
        <w:rPr>
          <w:sz w:val="20"/>
          <w:szCs w:val="20"/>
          <w:color w:val="auto"/>
        </w:rPr>
      </w:pPr>
    </w:p>
    <w:p>
      <w:pPr>
        <w:ind w:left="660" w:right="58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15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auditors and any other independent registered public accounting firm engaged by us;</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197" w:lineRule="exact"/>
        <w:rPr>
          <w:rFonts w:ascii="Arial" w:cs="Arial" w:eastAsia="Arial" w:hAnsi="Arial"/>
          <w:sz w:val="18"/>
          <w:szCs w:val="18"/>
          <w:color w:val="auto"/>
        </w:rPr>
      </w:pPr>
    </w:p>
    <w:p>
      <w:pPr>
        <w:ind w:left="660" w:right="9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52"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213"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pacing w:after="0" w:line="21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97"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Committee</w:t>
      </w:r>
    </w:p>
    <w:p>
      <w:pPr>
        <w:spacing w:after="0" w:line="233" w:lineRule="exact"/>
        <w:rPr>
          <w:sz w:val="20"/>
          <w:szCs w:val="20"/>
          <w:color w:val="auto"/>
        </w:rPr>
      </w:pPr>
    </w:p>
    <w:p>
      <w:pPr>
        <w:jc w:val="both"/>
        <w:ind w:right="220" w:firstLine="324"/>
        <w:spacing w:after="0" w:line="328" w:lineRule="auto"/>
        <w:rPr>
          <w:sz w:val="20"/>
          <w:szCs w:val="20"/>
          <w:color w:val="auto"/>
        </w:rPr>
      </w:pPr>
      <w:r>
        <w:rPr>
          <w:rFonts w:ascii="Arial" w:cs="Arial" w:eastAsia="Arial" w:hAnsi="Arial"/>
          <w:sz w:val="19"/>
          <w:szCs w:val="19"/>
          <w:color w:val="auto"/>
        </w:rPr>
        <w:t>We have established a compensation committee of the board of directors. The members of our compensation committee are Orrin Devinsky, Richard Goldman and Kenneth Landis. Richard Goldman serves as Chairman of the compensation committee.</w:t>
      </w:r>
    </w:p>
    <w:p>
      <w:pPr>
        <w:spacing w:after="0" w:line="132" w:lineRule="exact"/>
        <w:rPr>
          <w:sz w:val="20"/>
          <w:szCs w:val="20"/>
          <w:color w:val="auto"/>
        </w:rPr>
      </w:pPr>
    </w:p>
    <w:p>
      <w:pPr>
        <w:ind w:right="680" w:firstLine="324"/>
        <w:spacing w:after="0" w:line="250" w:lineRule="auto"/>
        <w:rPr>
          <w:sz w:val="20"/>
          <w:szCs w:val="20"/>
          <w:color w:val="auto"/>
        </w:rPr>
      </w:pPr>
      <w:r>
        <w:rPr>
          <w:rFonts w:ascii="Arial" w:cs="Arial" w:eastAsia="Arial" w:hAnsi="Arial"/>
          <w:sz w:val="22"/>
          <w:szCs w:val="22"/>
          <w:color w:val="auto"/>
        </w:rPr>
        <w:t>We have adopted a compensation committee charter, which details the purpose and responsibility of the compensation committee, including:</w:t>
      </w:r>
    </w:p>
    <w:p>
      <w:pPr>
        <w:spacing w:after="0" w:line="209" w:lineRule="exact"/>
        <w:rPr>
          <w:sz w:val="20"/>
          <w:szCs w:val="20"/>
          <w:color w:val="auto"/>
        </w:rPr>
      </w:pPr>
    </w:p>
    <w:p>
      <w:pPr>
        <w:ind w:left="660" w:right="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1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incentive-compensation and equity-based plans that are subject to board approval of all of our other officers;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45"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The charter also provides that the compensation committee may, in its sole discretion, retain or obtain the advice of a compensation consultant, independent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Nominating Committee</w:t>
      </w:r>
    </w:p>
    <w:p>
      <w:pPr>
        <w:spacing w:after="0" w:line="233" w:lineRule="exact"/>
        <w:rPr>
          <w:sz w:val="20"/>
          <w:szCs w:val="20"/>
          <w:color w:val="auto"/>
        </w:rPr>
      </w:pPr>
    </w:p>
    <w:p>
      <w:pPr>
        <w:ind w:right="80" w:firstLine="324"/>
        <w:spacing w:after="0" w:line="274" w:lineRule="auto"/>
        <w:rPr>
          <w:sz w:val="20"/>
          <w:szCs w:val="20"/>
          <w:color w:val="auto"/>
        </w:rPr>
      </w:pPr>
      <w:r>
        <w:rPr>
          <w:rFonts w:ascii="Arial" w:cs="Arial" w:eastAsia="Arial" w:hAnsi="Arial"/>
          <w:sz w:val="21"/>
          <w:szCs w:val="21"/>
          <w:color w:val="auto"/>
        </w:rPr>
        <w:t>We have established a nominating committee of the board of directors. The members of our nominating committee are Orrin Devinsky, Richard Goldman and Kenneth Landis. Orrin Devinsky serves as Chairman of the audit committee.</w:t>
      </w:r>
    </w:p>
    <w:p>
      <w:pPr>
        <w:spacing w:after="0" w:line="178" w:lineRule="exact"/>
        <w:rPr>
          <w:sz w:val="20"/>
          <w:szCs w:val="20"/>
          <w:color w:val="auto"/>
        </w:rPr>
      </w:pPr>
    </w:p>
    <w:p>
      <w:pPr>
        <w:ind w:right="940" w:firstLine="324"/>
        <w:spacing w:after="0" w:line="250" w:lineRule="auto"/>
        <w:rPr>
          <w:sz w:val="20"/>
          <w:szCs w:val="20"/>
          <w:color w:val="auto"/>
        </w:rPr>
      </w:pPr>
      <w:r>
        <w:rPr>
          <w:rFonts w:ascii="Arial" w:cs="Arial" w:eastAsia="Arial" w:hAnsi="Arial"/>
          <w:sz w:val="22"/>
          <w:szCs w:val="22"/>
          <w:color w:val="auto"/>
        </w:rPr>
        <w:t>We have adopted a nominating committee charter, which details the purpose and responsibilities of the nominating committee, including:</w:t>
      </w:r>
    </w:p>
    <w:p>
      <w:pPr>
        <w:spacing w:after="0" w:line="209" w:lineRule="exact"/>
        <w:rPr>
          <w:sz w:val="20"/>
          <w:szCs w:val="20"/>
          <w:color w:val="auto"/>
        </w:rPr>
      </w:pPr>
    </w:p>
    <w:p>
      <w:pPr>
        <w:jc w:val="both"/>
        <w:ind w:left="660" w:right="2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identifying, screening and reviewing individuals qualified to serve as directors, consistent with criteria approved by the board, and recommending to the board of directors candidates for nomination for election at the annual meeting of shareholders or to fill vacancies on the board of directors;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52"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45" w:lineRule="exact"/>
        <w:rPr>
          <w:sz w:val="20"/>
          <w:szCs w:val="20"/>
          <w:color w:val="auto"/>
        </w:rPr>
      </w:pPr>
    </w:p>
    <w:p>
      <w:pPr>
        <w:ind w:right="240" w:firstLine="324"/>
        <w:spacing w:after="0"/>
        <w:rPr>
          <w:sz w:val="20"/>
          <w:szCs w:val="20"/>
          <w:color w:val="auto"/>
        </w:rPr>
      </w:pPr>
      <w:r>
        <w:rPr>
          <w:rFonts w:ascii="Arial" w:cs="Arial" w:eastAsia="Arial" w:hAnsi="Arial"/>
          <w:sz w:val="22"/>
          <w:szCs w:val="22"/>
          <w:color w:val="auto"/>
        </w:rPr>
        <w:t>The charter also provides that the nominating committee may, in its sole discretion, retain or obtain the advice of, and terminate, any search firm to be used to identify director candidates, and is directly responsible for approving the search firm’s fees and other retention terms.</w:t>
      </w:r>
    </w:p>
    <w:p>
      <w:pPr>
        <w:spacing w:after="0" w:line="213" w:lineRule="exact"/>
        <w:rPr>
          <w:sz w:val="20"/>
          <w:szCs w:val="20"/>
          <w:color w:val="auto"/>
        </w:rPr>
      </w:pPr>
    </w:p>
    <w:p>
      <w:pPr>
        <w:ind w:right="140" w:firstLine="324"/>
        <w:spacing w:after="0" w:line="252" w:lineRule="auto"/>
        <w:rPr>
          <w:sz w:val="20"/>
          <w:szCs w:val="20"/>
          <w:color w:val="auto"/>
        </w:rPr>
      </w:pPr>
      <w:r>
        <w:rPr>
          <w:rFonts w:ascii="Arial" w:cs="Arial" w:eastAsia="Arial" w:hAnsi="Arial"/>
          <w:sz w:val="21"/>
          <w:szCs w:val="21"/>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39"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None of our officers currently serves, and in the past year has not served, as a member of the board of directors or compensation committee of any entity that has one or more officers serving on our board of directors.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39"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Section 16(a) of the Exchange Act requires our officers, directors and persons who beneficially own more than 10% of our ordinary shares to file reports of ownership and changes in ownership with the SEC. These reporting persons are also required to furnish us with copies of all Section 16(a) forms they file. Based solely upon a review of such forms, we believe that during the year ended December 31, 2020 there were no delinquent filers.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w:t>
      </w:r>
    </w:p>
    <w:p>
      <w:pPr>
        <w:spacing w:after="0" w:line="239"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We have adopted a code of ethics applicable to our directors, officers and employees (our “Code of Ethics”). Our Code of Ethics is available on our website. Our Code of Ethics is a “code of ethics,” as defined in Item 406(b) of Regulation S-K. We will make any legally required disclosures regarding amendments to, or waivers of, provisions of our Code of Ethics on our website.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239"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Under Cayman Islands law, directors and officers owe the following fiduciary duties:</w:t>
      </w:r>
    </w:p>
    <w:p>
      <w:pPr>
        <w:spacing w:after="0" w:line="24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duty to exercise authority for the purpose for which it is conferred;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duty to not improperly fetter the exercise of future discretion;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45" w:lineRule="exact"/>
        <w:rPr>
          <w:sz w:val="20"/>
          <w:szCs w:val="20"/>
          <w:color w:val="auto"/>
        </w:rPr>
      </w:pPr>
    </w:p>
    <w:p>
      <w:pPr>
        <w:ind w:right="160" w:firstLine="324"/>
        <w:spacing w:after="0" w:line="238" w:lineRule="auto"/>
        <w:rPr>
          <w:sz w:val="20"/>
          <w:szCs w:val="20"/>
          <w:color w:val="auto"/>
        </w:rPr>
      </w:pPr>
      <w:r>
        <w:rPr>
          <w:rFonts w:ascii="Arial" w:cs="Arial" w:eastAsia="Arial" w:hAnsi="Arial"/>
          <w:sz w:val="22"/>
          <w:szCs w:val="22"/>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212"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As set out above, directors have a duty not to put themselves in a position of conflict and this includes a duty not to engage in self-dealing, or to otherwise benefit as a result of their position at the expense of the company.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174"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ectPr>
          <w:pgSz w:w="11900" w:h="16838" w:orient="portrait"/>
          <w:cols w:equalWidth="0" w:num="1">
            <w:col w:w="11180"/>
          </w:cols>
          <w:pgMar w:left="320" w:top="122" w:right="399" w:bottom="1440" w:gutter="0" w:footer="0" w:header="0"/>
        </w:sect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Potential investors should also be aware of the following potential conflicts of interest:</w:t>
      </w:r>
    </w:p>
    <w:p>
      <w:pPr>
        <w:spacing w:after="0" w:line="240" w:lineRule="exact"/>
        <w:rPr>
          <w:sz w:val="20"/>
          <w:szCs w:val="20"/>
          <w:color w:val="auto"/>
        </w:rPr>
      </w:pPr>
    </w:p>
    <w:p>
      <w:pPr>
        <w:ind w:left="660" w:right="6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97"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that may be appropriate for presentation to us as well as the other entities with which they are affiliated. Our management may have conflicts of interest in determining to which entity a particular business opportunity should be presented.</w:t>
      </w:r>
    </w:p>
    <w:p>
      <w:pPr>
        <w:spacing w:after="0" w:line="210" w:lineRule="exact"/>
        <w:rPr>
          <w:rFonts w:ascii="Arial" w:cs="Arial" w:eastAsia="Arial" w:hAnsi="Arial"/>
          <w:sz w:val="18"/>
          <w:szCs w:val="18"/>
          <w:color w:val="auto"/>
        </w:rPr>
      </w:pPr>
    </w:p>
    <w:p>
      <w:pPr>
        <w:ind w:left="660" w:right="40" w:hanging="328"/>
        <w:spacing w:after="0" w:line="285"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initial shareholders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Additionally, our initial shareholders have agreed to waive their redemption rights with respect to their founder shares if we fail to consummate our initial business combination by July 10, 2021. However, if our initial shareholders or any of our officers, directors or affiliates acquire public shares, they will be entitled to liquidating distributions from the trust account with respect to such public shares if we fail to consummate our initial business combination within the prescribed time frame.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shareholders until the earlier of (1) one year after the completion of our initial business combination and (2) the date on which we consummate a liquidation, merger, amalgamation, share exchange, reorganization, or other similar transaction after our initial business combination that results in all of our shareholders having the right to exchange their ordinary shares for cash, securities or other property. Notwithstanding the foregoing, if the last reported sale price of our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Class A ordinary shares underlying such warrants will not be transferable, assignable or salable by our sponsor until 30 days after the completion of our initial business combination. Since our sponsor and officers and directors may directly or indirectly own ordinary shares and warrants following our IPO, our officers and directors may have a conflict of interest in determining whether a particular target business is an appropriate business with which to effectuate our initial business combination</w:t>
      </w:r>
    </w:p>
    <w:p>
      <w:pPr>
        <w:spacing w:after="0" w:line="195" w:lineRule="exact"/>
        <w:rPr>
          <w:rFonts w:ascii="Arial" w:cs="Arial" w:eastAsia="Arial" w:hAnsi="Arial"/>
          <w:sz w:val="16"/>
          <w:szCs w:val="16"/>
          <w:color w:val="auto"/>
        </w:rPr>
      </w:pPr>
    </w:p>
    <w:p>
      <w:pPr>
        <w:ind w:left="660" w:right="30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192" w:lineRule="exact"/>
        <w:rPr>
          <w:rFonts w:ascii="Arial" w:cs="Arial" w:eastAsia="Arial" w:hAnsi="Arial"/>
          <w:sz w:val="17"/>
          <w:szCs w:val="17"/>
          <w:color w:val="auto"/>
        </w:rPr>
      </w:pPr>
    </w:p>
    <w:p>
      <w:pPr>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conflicts described above may not be resolved in our favor.</w:t>
      </w:r>
    </w:p>
    <w:p>
      <w:pPr>
        <w:spacing w:after="0" w:line="233" w:lineRule="exact"/>
        <w:rPr>
          <w:sz w:val="20"/>
          <w:szCs w:val="20"/>
          <w:color w:val="auto"/>
        </w:rPr>
      </w:pPr>
    </w:p>
    <w:p>
      <w:pPr>
        <w:jc w:val="both"/>
        <w:ind w:right="200" w:firstLine="324"/>
        <w:spacing w:after="0" w:line="297" w:lineRule="auto"/>
        <w:rPr>
          <w:sz w:val="20"/>
          <w:szCs w:val="20"/>
          <w:color w:val="auto"/>
        </w:rPr>
      </w:pPr>
      <w:r>
        <w:rPr>
          <w:rFonts w:ascii="Arial" w:cs="Arial" w:eastAsia="Arial" w:hAnsi="Arial"/>
          <w:sz w:val="19"/>
          <w:szCs w:val="19"/>
          <w:color w:val="auto"/>
        </w:rPr>
        <w:t>Accordingly, as a result of multiple business affiliations, our officers and directors have similar legal obligations to multiple entities relating to presenting business opportunities meeting the above-listed criteria. Below is a table summarizing the entities and businesses to which our officers and directors currently have fiduciary duties or contractual obligations: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2"/>
        </w:trPr>
        <w:tc>
          <w:tcPr>
            <w:tcW w:w="250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2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397"/>
        </w:trPr>
        <w:tc>
          <w:tcPr>
            <w:tcW w:w="2500" w:type="dxa"/>
            <w:vAlign w:val="bottom"/>
          </w:tcPr>
          <w:p>
            <w:pPr>
              <w:ind w:left="880"/>
              <w:spacing w:after="0"/>
              <w:rPr>
                <w:sz w:val="20"/>
                <w:szCs w:val="20"/>
                <w:color w:val="auto"/>
              </w:rPr>
            </w:pPr>
            <w:r>
              <w:rPr>
                <w:rFonts w:ascii="Arial" w:cs="Arial" w:eastAsia="Arial" w:hAnsi="Arial"/>
                <w:sz w:val="18"/>
                <w:szCs w:val="18"/>
                <w:color w:val="auto"/>
              </w:rPr>
              <w:t>Individual</w:t>
            </w:r>
          </w:p>
        </w:tc>
        <w:tc>
          <w:tcPr>
            <w:tcW w:w="220" w:type="dxa"/>
            <w:vAlign w:val="bottom"/>
          </w:tcPr>
          <w:p>
            <w:pPr>
              <w:spacing w:after="0"/>
              <w:rPr>
                <w:sz w:val="24"/>
                <w:szCs w:val="24"/>
                <w:color w:val="auto"/>
              </w:rPr>
            </w:pPr>
          </w:p>
        </w:tc>
        <w:tc>
          <w:tcPr>
            <w:tcW w:w="2940" w:type="dxa"/>
            <w:vAlign w:val="bottom"/>
            <w:gridSpan w:val="2"/>
          </w:tcPr>
          <w:p>
            <w:pPr>
              <w:ind w:left="1140"/>
              <w:spacing w:after="0"/>
              <w:rPr>
                <w:sz w:val="20"/>
                <w:szCs w:val="20"/>
                <w:color w:val="auto"/>
              </w:rPr>
            </w:pPr>
            <w:r>
              <w:rPr>
                <w:rFonts w:ascii="Arial" w:cs="Arial" w:eastAsia="Arial" w:hAnsi="Arial"/>
                <w:sz w:val="18"/>
                <w:szCs w:val="18"/>
                <w:color w:val="auto"/>
              </w:rPr>
              <w:t>Entity</w:t>
            </w:r>
          </w:p>
        </w:tc>
        <w:tc>
          <w:tcPr>
            <w:tcW w:w="2680" w:type="dxa"/>
            <w:vAlign w:val="bottom"/>
          </w:tcPr>
          <w:p>
            <w:pPr>
              <w:ind w:left="720"/>
              <w:spacing w:after="0"/>
              <w:rPr>
                <w:sz w:val="20"/>
                <w:szCs w:val="20"/>
                <w:color w:val="auto"/>
              </w:rPr>
            </w:pPr>
            <w:r>
              <w:rPr>
                <w:rFonts w:ascii="Arial" w:cs="Arial" w:eastAsia="Arial" w:hAnsi="Arial"/>
                <w:sz w:val="18"/>
                <w:szCs w:val="18"/>
                <w:color w:val="auto"/>
              </w:rPr>
              <w:t>Entity’s Business</w:t>
            </w:r>
          </w:p>
        </w:tc>
        <w:tc>
          <w:tcPr>
            <w:tcW w:w="220" w:type="dxa"/>
            <w:vAlign w:val="bottom"/>
          </w:tcPr>
          <w:p>
            <w:pPr>
              <w:spacing w:after="0"/>
              <w:rPr>
                <w:sz w:val="24"/>
                <w:szCs w:val="24"/>
                <w:color w:val="auto"/>
              </w:rPr>
            </w:pPr>
          </w:p>
        </w:tc>
        <w:tc>
          <w:tcPr>
            <w:tcW w:w="2680" w:type="dxa"/>
            <w:vAlign w:val="bottom"/>
          </w:tcPr>
          <w:p>
            <w:pPr>
              <w:ind w:left="960"/>
              <w:spacing w:after="0"/>
              <w:rPr>
                <w:sz w:val="20"/>
                <w:szCs w:val="20"/>
                <w:color w:val="auto"/>
              </w:rPr>
            </w:pPr>
            <w:r>
              <w:rPr>
                <w:rFonts w:ascii="Arial" w:cs="Arial" w:eastAsia="Arial" w:hAnsi="Arial"/>
                <w:sz w:val="18"/>
                <w:szCs w:val="18"/>
                <w:color w:val="auto"/>
              </w:rPr>
              <w:t>Affiliation</w:t>
            </w:r>
          </w:p>
        </w:tc>
      </w:tr>
      <w:tr>
        <w:trPr>
          <w:trHeight w:val="216"/>
        </w:trPr>
        <w:tc>
          <w:tcPr>
            <w:tcW w:w="2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Scott Gordon</w:t>
            </w:r>
          </w:p>
        </w:tc>
        <w:tc>
          <w:tcPr>
            <w:tcW w:w="31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Egg Rock Holdings (including</w:t>
            </w: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Cannabis products, manufacturing,</w:t>
            </w:r>
          </w:p>
        </w:tc>
        <w:tc>
          <w:tcPr>
            <w:tcW w:w="29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Co-founder and Chairman</w:t>
            </w:r>
          </w:p>
        </w:tc>
      </w:tr>
      <w:tr>
        <w:trPr>
          <w:trHeight w:val="216"/>
        </w:trPr>
        <w:tc>
          <w:tcPr>
            <w:tcW w:w="250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subsidiaries operating the Papa &amp;</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logistics; hemp-</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30"/>
        </w:trPr>
        <w:tc>
          <w:tcPr>
            <w:tcW w:w="2500" w:type="dxa"/>
            <w:vAlign w:val="bottom"/>
            <w:shd w:val="clear" w:color="auto" w:fill="CCEEFF"/>
          </w:tcPr>
          <w:p>
            <w:pPr>
              <w:spacing w:after="0"/>
              <w:rPr>
                <w:sz w:val="20"/>
                <w:szCs w:val="20"/>
                <w:color w:val="auto"/>
              </w:rPr>
            </w:pPr>
          </w:p>
        </w:tc>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Barkley business line)</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derived CBD</w:t>
            </w: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02"/>
        </w:trPr>
        <w:tc>
          <w:tcPr>
            <w:tcW w:w="2500" w:type="dxa"/>
            <w:vAlign w:val="bottom"/>
          </w:tcPr>
          <w:p>
            <w:pPr>
              <w:spacing w:after="0"/>
              <w:rPr>
                <w:sz w:val="17"/>
                <w:szCs w:val="17"/>
                <w:color w:val="auto"/>
              </w:rPr>
            </w:pPr>
          </w:p>
        </w:tc>
        <w:tc>
          <w:tcPr>
            <w:tcW w:w="3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Silver Spike Capital</w:t>
            </w:r>
          </w:p>
        </w:tc>
        <w:tc>
          <w:tcPr>
            <w:tcW w:w="2680" w:type="dxa"/>
            <w:vAlign w:val="bottom"/>
          </w:tcPr>
          <w:p>
            <w:pPr>
              <w:spacing w:after="0" w:line="201" w:lineRule="exact"/>
              <w:rPr>
                <w:sz w:val="20"/>
                <w:szCs w:val="20"/>
                <w:color w:val="auto"/>
              </w:rPr>
            </w:pPr>
            <w:r>
              <w:rPr>
                <w:rFonts w:ascii="Arial" w:cs="Arial" w:eastAsia="Arial" w:hAnsi="Arial"/>
                <w:sz w:val="18"/>
                <w:szCs w:val="18"/>
                <w:color w:val="auto"/>
                <w:w w:val="92"/>
              </w:rPr>
              <w:t>Asset management fund focused on</w:t>
            </w:r>
          </w:p>
        </w:tc>
        <w:tc>
          <w:tcPr>
            <w:tcW w:w="29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Manager, CEO</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cannabis and related health &amp;</w:t>
            </w: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wellness industries</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16"/>
        </w:trPr>
        <w:tc>
          <w:tcPr>
            <w:tcW w:w="250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Silver Spike Acquisition Corp II</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CEO and Chairman</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b w:val="1"/>
                <w:bCs w:val="1"/>
                <w:color w:val="auto"/>
              </w:rPr>
              <w:t>William Healy</w:t>
            </w:r>
          </w:p>
        </w:tc>
        <w:tc>
          <w:tcPr>
            <w:tcW w:w="3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Silver Spike Capital</w:t>
            </w:r>
          </w:p>
        </w:tc>
        <w:tc>
          <w:tcPr>
            <w:tcW w:w="2680" w:type="dxa"/>
            <w:vAlign w:val="bottom"/>
          </w:tcPr>
          <w:p>
            <w:pPr>
              <w:spacing w:after="0" w:line="201" w:lineRule="exact"/>
              <w:rPr>
                <w:sz w:val="20"/>
                <w:szCs w:val="20"/>
                <w:color w:val="auto"/>
              </w:rPr>
            </w:pPr>
            <w:r>
              <w:rPr>
                <w:rFonts w:ascii="Arial" w:cs="Arial" w:eastAsia="Arial" w:hAnsi="Arial"/>
                <w:sz w:val="18"/>
                <w:szCs w:val="18"/>
                <w:color w:val="auto"/>
                <w:w w:val="92"/>
              </w:rPr>
              <w:t>Asset management fund focused on</w:t>
            </w:r>
          </w:p>
        </w:tc>
        <w:tc>
          <w:tcPr>
            <w:tcW w:w="29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Manager</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cannabis and related health &amp;</w:t>
            </w: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wellness industries</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16"/>
        </w:trPr>
        <w:tc>
          <w:tcPr>
            <w:tcW w:w="250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Silver Spike Acquisition Corp II</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and Director</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b w:val="1"/>
                <w:bCs w:val="1"/>
                <w:color w:val="auto"/>
              </w:rPr>
              <w:t>Greg Gentile</w:t>
            </w:r>
          </w:p>
        </w:tc>
        <w:tc>
          <w:tcPr>
            <w:tcW w:w="3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Silver Spike Capital</w:t>
            </w:r>
          </w:p>
        </w:tc>
        <w:tc>
          <w:tcPr>
            <w:tcW w:w="2680" w:type="dxa"/>
            <w:vAlign w:val="bottom"/>
          </w:tcPr>
          <w:p>
            <w:pPr>
              <w:spacing w:after="0" w:line="201" w:lineRule="exact"/>
              <w:rPr>
                <w:sz w:val="20"/>
                <w:szCs w:val="20"/>
                <w:color w:val="auto"/>
              </w:rPr>
            </w:pPr>
            <w:r>
              <w:rPr>
                <w:rFonts w:ascii="Arial" w:cs="Arial" w:eastAsia="Arial" w:hAnsi="Arial"/>
                <w:sz w:val="18"/>
                <w:szCs w:val="18"/>
                <w:color w:val="auto"/>
                <w:w w:val="92"/>
              </w:rPr>
              <w:t>Asset management fund focused on</w:t>
            </w:r>
          </w:p>
        </w:tc>
        <w:tc>
          <w:tcPr>
            <w:tcW w:w="29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Manager, CFO</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cannabis and related health &amp;</w:t>
            </w: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wellness industries</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16"/>
        </w:trPr>
        <w:tc>
          <w:tcPr>
            <w:tcW w:w="250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Silver Spike Acquisition Corp II</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CFO</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b w:val="1"/>
                <w:bCs w:val="1"/>
                <w:color w:val="auto"/>
              </w:rPr>
              <w:t>Orrin Devinsky</w:t>
            </w:r>
          </w:p>
        </w:tc>
        <w:tc>
          <w:tcPr>
            <w:tcW w:w="3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NYU Langone Comprehensive</w:t>
            </w: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Medical center</w:t>
            </w:r>
          </w:p>
        </w:tc>
        <w:tc>
          <w:tcPr>
            <w:tcW w:w="29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5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Epilepsy Center</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02"/>
        </w:trPr>
        <w:tc>
          <w:tcPr>
            <w:tcW w:w="250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NYU School of Medicine</w:t>
            </w: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Medical school</w:t>
            </w:r>
          </w:p>
        </w:tc>
        <w:tc>
          <w:tcPr>
            <w:tcW w:w="29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Professor of Neurology,</w:t>
            </w:r>
          </w:p>
        </w:tc>
      </w:tr>
      <w:tr>
        <w:trPr>
          <w:trHeight w:val="216"/>
        </w:trPr>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Neuroscience, Psychiatry and</w:t>
            </w:r>
          </w:p>
        </w:tc>
      </w:tr>
      <w:tr>
        <w:trPr>
          <w:trHeight w:val="230"/>
        </w:trPr>
        <w:tc>
          <w:tcPr>
            <w:tcW w:w="2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Neurosurgery</w:t>
            </w:r>
          </w:p>
        </w:tc>
      </w:tr>
      <w:tr>
        <w:trPr>
          <w:trHeight w:val="202"/>
        </w:trPr>
        <w:tc>
          <w:tcPr>
            <w:tcW w:w="2500" w:type="dxa"/>
            <w:vAlign w:val="bottom"/>
          </w:tcPr>
          <w:p>
            <w:pPr>
              <w:spacing w:after="0"/>
              <w:rPr>
                <w:sz w:val="17"/>
                <w:szCs w:val="17"/>
                <w:color w:val="auto"/>
              </w:rPr>
            </w:pPr>
          </w:p>
        </w:tc>
        <w:tc>
          <w:tcPr>
            <w:tcW w:w="3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Tilray</w:t>
            </w: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Pharmaceutical and cannabis</w:t>
            </w:r>
          </w:p>
        </w:tc>
        <w:tc>
          <w:tcPr>
            <w:tcW w:w="29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Chair of the Medical Advisory</w:t>
            </w:r>
          </w:p>
        </w:tc>
      </w:tr>
      <w:tr>
        <w:trPr>
          <w:trHeight w:val="230"/>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Board</w:t>
            </w:r>
          </w:p>
        </w:tc>
      </w:tr>
      <w:tr>
        <w:trPr>
          <w:trHeight w:val="202"/>
        </w:trPr>
        <w:tc>
          <w:tcPr>
            <w:tcW w:w="250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Papa &amp; Barkley</w:t>
            </w: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Cannabis products, manufacturing,</w:t>
            </w:r>
          </w:p>
        </w:tc>
        <w:tc>
          <w:tcPr>
            <w:tcW w:w="29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Member of the Scientific Advisory</w:t>
            </w:r>
          </w:p>
        </w:tc>
      </w:tr>
      <w:tr>
        <w:trPr>
          <w:trHeight w:val="216"/>
        </w:trPr>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logistics; hemp-</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Board</w:t>
            </w:r>
          </w:p>
        </w:tc>
      </w:tr>
      <w:tr>
        <w:trPr>
          <w:trHeight w:val="230"/>
        </w:trPr>
        <w:tc>
          <w:tcPr>
            <w:tcW w:w="2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derived CBD</w:t>
            </w: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02"/>
        </w:trPr>
        <w:tc>
          <w:tcPr>
            <w:tcW w:w="2500" w:type="dxa"/>
            <w:vAlign w:val="bottom"/>
          </w:tcPr>
          <w:p>
            <w:pPr>
              <w:spacing w:after="0"/>
              <w:rPr>
                <w:sz w:val="17"/>
                <w:szCs w:val="17"/>
                <w:color w:val="auto"/>
              </w:rPr>
            </w:pPr>
          </w:p>
        </w:tc>
        <w:tc>
          <w:tcPr>
            <w:tcW w:w="3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Tevard</w:t>
            </w: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Genetic therapy</w:t>
            </w:r>
          </w:p>
        </w:tc>
        <w:tc>
          <w:tcPr>
            <w:tcW w:w="29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Member of the Business and</w:t>
            </w:r>
          </w:p>
        </w:tc>
      </w:tr>
      <w:tr>
        <w:trPr>
          <w:trHeight w:val="230"/>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Scientific Advisory Boards</w:t>
            </w:r>
          </w:p>
        </w:tc>
      </w:tr>
      <w:tr>
        <w:trPr>
          <w:trHeight w:val="202"/>
        </w:trPr>
        <w:tc>
          <w:tcPr>
            <w:tcW w:w="250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Engage Therapeutics</w:t>
            </w: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Biopharmaceutical</w:t>
            </w:r>
          </w:p>
        </w:tc>
        <w:tc>
          <w:tcPr>
            <w:tcW w:w="29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Member of the Business and</w:t>
            </w:r>
          </w:p>
        </w:tc>
      </w:tr>
      <w:tr>
        <w:trPr>
          <w:trHeight w:val="230"/>
        </w:trPr>
        <w:tc>
          <w:tcPr>
            <w:tcW w:w="2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Scientific Advisory Boards</w:t>
            </w:r>
          </w:p>
        </w:tc>
      </w:tr>
      <w:tr>
        <w:trPr>
          <w:trHeight w:val="202"/>
        </w:trPr>
        <w:tc>
          <w:tcPr>
            <w:tcW w:w="2500" w:type="dxa"/>
            <w:vAlign w:val="bottom"/>
          </w:tcPr>
          <w:p>
            <w:pPr>
              <w:spacing w:after="0"/>
              <w:rPr>
                <w:sz w:val="17"/>
                <w:szCs w:val="17"/>
                <w:color w:val="auto"/>
              </w:rPr>
            </w:pPr>
          </w:p>
        </w:tc>
        <w:tc>
          <w:tcPr>
            <w:tcW w:w="3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Receptor Life Sciences</w:t>
            </w: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Cannabinoid medicine drug</w:t>
            </w:r>
          </w:p>
        </w:tc>
        <w:tc>
          <w:tcPr>
            <w:tcW w:w="29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Chief Medical Officer</w:t>
            </w:r>
          </w:p>
        </w:tc>
      </w:tr>
      <w:tr>
        <w:trPr>
          <w:trHeight w:val="230"/>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development</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02"/>
        </w:trPr>
        <w:tc>
          <w:tcPr>
            <w:tcW w:w="250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Empatica</w:t>
            </w: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Seizure detection watch</w:t>
            </w:r>
          </w:p>
        </w:tc>
        <w:tc>
          <w:tcPr>
            <w:tcW w:w="29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Member of the Scientific Advisory</w:t>
            </w:r>
          </w:p>
        </w:tc>
      </w:tr>
      <w:tr>
        <w:trPr>
          <w:trHeight w:val="230"/>
        </w:trPr>
        <w:tc>
          <w:tcPr>
            <w:tcW w:w="2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Board</w:t>
            </w:r>
          </w:p>
        </w:tc>
      </w:tr>
      <w:tr>
        <w:trPr>
          <w:trHeight w:val="202"/>
        </w:trPr>
        <w:tc>
          <w:tcPr>
            <w:tcW w:w="2500" w:type="dxa"/>
            <w:vAlign w:val="bottom"/>
          </w:tcPr>
          <w:p>
            <w:pPr>
              <w:spacing w:after="0"/>
              <w:rPr>
                <w:sz w:val="17"/>
                <w:szCs w:val="17"/>
                <w:color w:val="auto"/>
              </w:rPr>
            </w:pPr>
          </w:p>
        </w:tc>
        <w:tc>
          <w:tcPr>
            <w:tcW w:w="3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RETTCO</w:t>
            </w: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Genetic therapy</w:t>
            </w:r>
          </w:p>
        </w:tc>
        <w:tc>
          <w:tcPr>
            <w:tcW w:w="29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9"/>
              </w:rPr>
              <w:t>Member of the Scientific Advisory</w:t>
            </w:r>
          </w:p>
        </w:tc>
      </w:tr>
      <w:tr>
        <w:trPr>
          <w:trHeight w:val="230"/>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Board</w:t>
            </w:r>
          </w:p>
        </w:tc>
      </w:tr>
      <w:tr>
        <w:trPr>
          <w:trHeight w:val="202"/>
        </w:trPr>
        <w:tc>
          <w:tcPr>
            <w:tcW w:w="250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Qstate Biosciences</w:t>
            </w: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Genetic therapy</w:t>
            </w:r>
          </w:p>
        </w:tc>
        <w:tc>
          <w:tcPr>
            <w:tcW w:w="29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Member of the Scientific Advisory</w:t>
            </w:r>
          </w:p>
        </w:tc>
      </w:tr>
      <w:tr>
        <w:trPr>
          <w:trHeight w:val="230"/>
        </w:trPr>
        <w:tc>
          <w:tcPr>
            <w:tcW w:w="2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Board</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b w:val="1"/>
                <w:bCs w:val="1"/>
                <w:color w:val="auto"/>
              </w:rPr>
              <w:t>Richard Goldman</w:t>
            </w:r>
          </w:p>
        </w:tc>
        <w:tc>
          <w:tcPr>
            <w:tcW w:w="3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Becket Capital, LLC</w:t>
            </w: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Advisory services firm for</w:t>
            </w:r>
          </w:p>
        </w:tc>
        <w:tc>
          <w:tcPr>
            <w:tcW w:w="29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Managing Member</w:t>
            </w:r>
          </w:p>
        </w:tc>
      </w:tr>
      <w:tr>
        <w:trPr>
          <w:trHeight w:val="230"/>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1"/>
              </w:rPr>
              <w:t>investment management companies</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16"/>
        </w:trPr>
        <w:tc>
          <w:tcPr>
            <w:tcW w:w="250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O’Shares Investments ETF Trust</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8"/>
              </w:rPr>
              <w:t>Exchange-traded investment fund</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25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Harvest Volatility Edge Trust</w:t>
            </w:r>
          </w:p>
        </w:tc>
        <w:tc>
          <w:tcPr>
            <w:tcW w:w="2680" w:type="dxa"/>
            <w:vAlign w:val="bottom"/>
          </w:tcPr>
          <w:p>
            <w:pPr>
              <w:spacing w:after="0"/>
              <w:rPr>
                <w:sz w:val="20"/>
                <w:szCs w:val="20"/>
                <w:color w:val="auto"/>
              </w:rPr>
            </w:pPr>
            <w:r>
              <w:rPr>
                <w:rFonts w:ascii="Arial" w:cs="Arial" w:eastAsia="Arial" w:hAnsi="Arial"/>
                <w:sz w:val="18"/>
                <w:szCs w:val="18"/>
                <w:color w:val="auto"/>
              </w:rPr>
              <w:t>Mutual fund investment trust</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w w:val="92"/>
              </w:rPr>
              <w:t>Independent Chairman of the Board</w:t>
            </w:r>
          </w:p>
        </w:tc>
      </w:tr>
      <w:tr>
        <w:trPr>
          <w:trHeight w:val="216"/>
        </w:trPr>
        <w:tc>
          <w:tcPr>
            <w:tcW w:w="250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Trinitas Capital Management</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firm</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Member of Board of Directors</w:t>
            </w:r>
          </w:p>
        </w:tc>
      </w:tr>
      <w:tr>
        <w:trPr>
          <w:trHeight w:val="202"/>
        </w:trPr>
        <w:tc>
          <w:tcPr>
            <w:tcW w:w="2500" w:type="dxa"/>
            <w:vAlign w:val="bottom"/>
          </w:tcPr>
          <w:p>
            <w:pPr>
              <w:spacing w:after="0"/>
              <w:rPr>
                <w:sz w:val="17"/>
                <w:szCs w:val="17"/>
                <w:color w:val="auto"/>
              </w:rPr>
            </w:pPr>
          </w:p>
        </w:tc>
        <w:tc>
          <w:tcPr>
            <w:tcW w:w="3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Axonic Alternative Income Interval</w:t>
            </w: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Mutual fund</w:t>
            </w:r>
          </w:p>
        </w:tc>
        <w:tc>
          <w:tcPr>
            <w:tcW w:w="29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Lead Independent Director</w:t>
            </w:r>
          </w:p>
        </w:tc>
      </w:tr>
      <w:tr>
        <w:trPr>
          <w:trHeight w:val="230"/>
        </w:trPr>
        <w:tc>
          <w:tcPr>
            <w:tcW w:w="25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Fund</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Kenneth H. Landis</w:t>
            </w:r>
          </w:p>
        </w:tc>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Landis Capital, LLC</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Venture capital</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w:t>
            </w:r>
          </w:p>
        </w:tc>
      </w:tr>
      <w:tr>
        <w:trPr>
          <w:trHeight w:val="216"/>
        </w:trPr>
        <w:tc>
          <w:tcPr>
            <w:tcW w:w="25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Suffield Academy</w:t>
            </w:r>
          </w:p>
        </w:tc>
        <w:tc>
          <w:tcPr>
            <w:tcW w:w="2680" w:type="dxa"/>
            <w:vAlign w:val="bottom"/>
          </w:tcPr>
          <w:p>
            <w:pPr>
              <w:spacing w:after="0"/>
              <w:rPr>
                <w:sz w:val="20"/>
                <w:szCs w:val="20"/>
                <w:color w:val="auto"/>
              </w:rPr>
            </w:pPr>
            <w:r>
              <w:rPr>
                <w:rFonts w:ascii="Arial" w:cs="Arial" w:eastAsia="Arial" w:hAnsi="Arial"/>
                <w:sz w:val="18"/>
                <w:szCs w:val="18"/>
                <w:color w:val="auto"/>
              </w:rPr>
              <w:t>Preparatory school</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Trustee</w:t>
            </w:r>
          </w:p>
        </w:tc>
      </w:tr>
      <w:tr>
        <w:trPr>
          <w:trHeight w:val="216"/>
        </w:trPr>
        <w:tc>
          <w:tcPr>
            <w:tcW w:w="250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TULA Life, INC</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Cosmetics</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Member of Board of Directors</w:t>
            </w:r>
          </w:p>
        </w:tc>
      </w:tr>
      <w:tr>
        <w:trPr>
          <w:trHeight w:val="230"/>
        </w:trPr>
        <w:tc>
          <w:tcPr>
            <w:tcW w:w="25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AllWork, Inc.</w:t>
            </w:r>
          </w:p>
        </w:tc>
        <w:tc>
          <w:tcPr>
            <w:tcW w:w="2680" w:type="dxa"/>
            <w:vAlign w:val="bottom"/>
          </w:tcPr>
          <w:p>
            <w:pPr>
              <w:spacing w:after="0"/>
              <w:rPr>
                <w:sz w:val="20"/>
                <w:szCs w:val="20"/>
                <w:color w:val="auto"/>
              </w:rPr>
            </w:pPr>
            <w:r>
              <w:rPr>
                <w:rFonts w:ascii="Arial" w:cs="Arial" w:eastAsia="Arial" w:hAnsi="Arial"/>
                <w:sz w:val="18"/>
                <w:szCs w:val="18"/>
                <w:color w:val="auto"/>
              </w:rPr>
              <w:t>Human resources technology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Member of Board of Directors</w:t>
            </w:r>
          </w:p>
        </w:tc>
      </w:tr>
    </w:tbl>
    <w:p>
      <w:pPr>
        <w:spacing w:after="0" w:line="207" w:lineRule="exact"/>
        <w:rPr>
          <w:sz w:val="20"/>
          <w:szCs w:val="20"/>
          <w:color w:val="auto"/>
        </w:rPr>
      </w:pPr>
    </w:p>
    <w:p>
      <w:pPr>
        <w:ind w:right="80" w:firstLine="324"/>
        <w:spacing w:after="0" w:line="248" w:lineRule="auto"/>
        <w:rPr>
          <w:sz w:val="20"/>
          <w:szCs w:val="20"/>
          <w:color w:val="auto"/>
        </w:rPr>
      </w:pPr>
      <w:r>
        <w:rPr>
          <w:rFonts w:ascii="Arial" w:cs="Arial" w:eastAsia="Arial" w:hAnsi="Arial"/>
          <w:sz w:val="21"/>
          <w:szCs w:val="21"/>
          <w:color w:val="auto"/>
        </w:rPr>
        <w:t>Accordingly, if any of the above officers or directors become aware of a business combination opportunity which is suitable for any of the above entities to which he or she has then-current fiduciary or contractual obligations, he or she may need to honor his or her fiduciary or contractual obligations to present such business combination opportunity to such entity, and only present it to us if such entity chooses not to pursue the opportunity, subject to their fiduciary duties under Cayman Islands law. We do not believe, however, that any of the foregoing fiduciary duties or contractual obligations will materially affect our ability to complete our initial business combination.</w:t>
      </w:r>
    </w:p>
    <w:p>
      <w:pPr>
        <w:sectPr>
          <w:pgSz w:w="11900" w:h="16838" w:orient="portrait"/>
          <w:cols w:equalWidth="0" w:num="1">
            <w:col w:w="11240"/>
          </w:cols>
          <w:pgMar w:left="320" w:top="122"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We are not prohibited from pursuing an initial business combination with a company that is affiliated with our sponsor, officers or directors. In the event we seek to complete our initial business combination with such a company, we would obtain an opinion from an independent investment banking firm or from an independent accounting firm that such an initial business combination is fair to our company from a financial point of view.</w:t>
      </w:r>
    </w:p>
    <w:p>
      <w:pPr>
        <w:spacing w:after="0" w:line="212"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In addition, our sponsor or any of its affiliates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212" w:lineRule="exact"/>
        <w:rPr>
          <w:sz w:val="20"/>
          <w:szCs w:val="20"/>
          <w:color w:val="auto"/>
        </w:rPr>
      </w:pPr>
    </w:p>
    <w:p>
      <w:pPr>
        <w:ind w:right="100" w:firstLine="324"/>
        <w:spacing w:after="0" w:line="236" w:lineRule="auto"/>
        <w:rPr>
          <w:sz w:val="20"/>
          <w:szCs w:val="20"/>
          <w:color w:val="auto"/>
        </w:rPr>
      </w:pPr>
      <w:r>
        <w:rPr>
          <w:rFonts w:ascii="Arial" w:cs="Arial" w:eastAsia="Arial" w:hAnsi="Arial"/>
          <w:sz w:val="22"/>
          <w:szCs w:val="22"/>
          <w:color w:val="auto"/>
        </w:rPr>
        <w:t>In the event that we submit our initial business combination to our public shareholders for a vote, our initial shareholders have agreed (and their permitted transferees will agree), pursuant to the terms of a letter agreement entered into with us, to vote their founder shares and any public shares held by them in favor of our initial business combination. Our directors and officers have also entered into the letter agreement, imposing similar obligations on them with respect to public shares acquired by them, if any.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Liability and Indemnification of Officers and Directors</w:t>
      </w:r>
    </w:p>
    <w:p>
      <w:pPr>
        <w:spacing w:after="0" w:line="239"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w:t>
      </w:r>
    </w:p>
    <w:p>
      <w:pPr>
        <w:spacing w:after="0" w:line="204" w:lineRule="exact"/>
        <w:rPr>
          <w:sz w:val="20"/>
          <w:szCs w:val="20"/>
          <w:color w:val="auto"/>
        </w:rPr>
      </w:pPr>
    </w:p>
    <w:p>
      <w:pPr>
        <w:ind w:right="80" w:firstLine="324"/>
        <w:spacing w:after="0" w:line="257" w:lineRule="auto"/>
        <w:rPr>
          <w:sz w:val="20"/>
          <w:szCs w:val="20"/>
          <w:color w:val="auto"/>
        </w:rPr>
      </w:pPr>
      <w:r>
        <w:rPr>
          <w:rFonts w:ascii="Arial" w:cs="Arial" w:eastAsia="Arial" w:hAnsi="Arial"/>
          <w:sz w:val="21"/>
          <w:szCs w:val="21"/>
          <w:color w:val="auto"/>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196" w:lineRule="exact"/>
        <w:rPr>
          <w:sz w:val="20"/>
          <w:szCs w:val="20"/>
          <w:color w:val="auto"/>
        </w:rPr>
      </w:pPr>
    </w:p>
    <w:p>
      <w:pPr>
        <w:ind w:right="260" w:firstLine="324"/>
        <w:spacing w:after="0" w:line="246" w:lineRule="auto"/>
        <w:rPr>
          <w:sz w:val="20"/>
          <w:szCs w:val="20"/>
          <w:color w:val="auto"/>
        </w:rPr>
      </w:pPr>
      <w:r>
        <w:rPr>
          <w:rFonts w:ascii="Arial" w:cs="Arial" w:eastAsia="Arial" w:hAnsi="Arial"/>
          <w:sz w:val="21"/>
          <w:szCs w:val="21"/>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 (i) 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spacing w:after="0" w:line="211" w:lineRule="exact"/>
        <w:rPr>
          <w:sz w:val="20"/>
          <w:szCs w:val="20"/>
          <w:color w:val="auto"/>
        </w:rPr>
      </w:pPr>
    </w:p>
    <w:p>
      <w:pPr>
        <w:ind w:right="140" w:firstLine="324"/>
        <w:spacing w:after="0" w:line="250" w:lineRule="auto"/>
        <w:rPr>
          <w:sz w:val="20"/>
          <w:szCs w:val="20"/>
          <w:color w:val="auto"/>
        </w:rPr>
      </w:pPr>
      <w:r>
        <w:rPr>
          <w:rFonts w:ascii="Arial" w:cs="Arial" w:eastAsia="Arial" w:hAnsi="Arial"/>
          <w:sz w:val="22"/>
          <w:szCs w:val="22"/>
          <w:color w:val="auto"/>
        </w:rPr>
        <w:t>We believe that these provisions, the insurance and the indemnity agreements are necessary to attract and retain talented and experienced officers and directors.</w:t>
      </w:r>
    </w:p>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Insofar as indemnification for liabilities arising under the Securities Act may be permitted to directors and officers or persons controlling us pursuant to the foregoing provisions, we have been informed that in the opinion of the SEC such indemnification is against public policy as expressed in the Securities Act and is therefore unenforceable.</w:t>
      </w:r>
    </w:p>
    <w:p>
      <w:pPr>
        <w:spacing w:after="0" w:line="19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49" w:lineRule="exact"/>
        <w:rPr>
          <w:sz w:val="20"/>
          <w:szCs w:val="20"/>
          <w:color w:val="auto"/>
        </w:rPr>
      </w:pPr>
    </w:p>
    <w:p>
      <w:pPr>
        <w:ind w:right="20" w:firstLine="324"/>
        <w:spacing w:after="0" w:line="234" w:lineRule="auto"/>
        <w:rPr>
          <w:sz w:val="20"/>
          <w:szCs w:val="20"/>
          <w:color w:val="auto"/>
        </w:rPr>
      </w:pPr>
      <w:r>
        <w:rPr>
          <w:rFonts w:ascii="Arial" w:cs="Arial" w:eastAsia="Arial" w:hAnsi="Arial"/>
          <w:sz w:val="22"/>
          <w:szCs w:val="22"/>
          <w:color w:val="auto"/>
        </w:rPr>
        <w:t>None of our officers or directors have received, or prior to our initial business combination will receive, any cash compensation for services rendered to us. We pay our sponsor up to $20,000 per month for office space, administrative and support services.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In connection with closing of our IPO, our sponsor granted equity interests in our sponsor to our independent directors that collectively comprise approximately 1% of the outstanding equity interests in our sponsor. Our audit committee will review on a quarterly basis all payments that were made to our sponsor, officers, directors or our or any of their affiliates.</w:t>
      </w:r>
    </w:p>
    <w:p>
      <w:pPr>
        <w:spacing w:after="0" w:line="21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9"/>
          <w:szCs w:val="19"/>
          <w:color w:val="auto"/>
        </w:rPr>
        <w:t>After the completion of our initial business combination, directors or members of our management team who remain with us may be paid consulting, management or other compensation from the combined company. All compensation will be fully disclosed to shareholders, to the extent then known, in the tender offer materials or proxy solicitation materials furnished to our shareholders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179" w:lineRule="exact"/>
        <w:rPr>
          <w:sz w:val="20"/>
          <w:szCs w:val="20"/>
          <w:color w:val="auto"/>
        </w:rPr>
      </w:pPr>
    </w:p>
    <w:p>
      <w:pPr>
        <w:ind w:right="160" w:firstLine="324"/>
        <w:spacing w:after="0" w:line="297" w:lineRule="auto"/>
        <w:rPr>
          <w:sz w:val="20"/>
          <w:szCs w:val="20"/>
          <w:color w:val="auto"/>
        </w:rPr>
      </w:pPr>
      <w:r>
        <w:rPr>
          <w:rFonts w:ascii="Arial" w:cs="Arial" w:eastAsia="Arial" w:hAnsi="Arial"/>
          <w:sz w:val="19"/>
          <w:szCs w:val="19"/>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w:t>
      </w:r>
    </w:p>
    <w:p>
      <w:pPr>
        <w:sectPr>
          <w:pgSz w:w="11900" w:h="16838" w:orient="portrait"/>
          <w:cols w:equalWidth="0" w:num="1">
            <w:col w:w="11220"/>
          </w:cols>
          <w:pgMar w:left="320" w:top="122" w:right="359" w:bottom="0" w:gutter="0" w:footer="0" w:header="0"/>
        </w:sectPr>
      </w:pPr>
    </w:p>
    <w:bookmarkStart w:id="74" w:name="page75"/>
    <w:bookmarkEnd w:id="74"/>
    <w:p>
      <w:pPr>
        <w:spacing w:after="0" w:line="251" w:lineRule="auto"/>
        <w:rPr>
          <w:sz w:val="20"/>
          <w:szCs w:val="20"/>
          <w:color w:val="auto"/>
        </w:rPr>
      </w:pPr>
      <w:r>
        <w:rPr>
          <w:rFonts w:ascii="Arial" w:cs="Arial" w:eastAsia="Arial" w:hAnsi="Arial"/>
          <w:sz w:val="22"/>
          <w:szCs w:val="22"/>
          <w:color w:val="auto"/>
        </w:rPr>
        <w:t>us after the completion of our initial business combination should be a determining factor in our decision to proceed with any potential business combination.</w:t>
      </w: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49" w:lineRule="exact"/>
        <w:rPr>
          <w:sz w:val="20"/>
          <w:szCs w:val="20"/>
          <w:color w:val="auto"/>
        </w:rPr>
      </w:pPr>
    </w:p>
    <w:p>
      <w:pPr>
        <w:ind w:right="140" w:firstLine="324"/>
        <w:spacing w:after="0" w:line="250" w:lineRule="auto"/>
        <w:rPr>
          <w:sz w:val="20"/>
          <w:szCs w:val="20"/>
          <w:color w:val="auto"/>
        </w:rPr>
      </w:pPr>
      <w:r>
        <w:rPr>
          <w:rFonts w:ascii="Arial" w:cs="Arial" w:eastAsia="Arial" w:hAnsi="Arial"/>
          <w:sz w:val="22"/>
          <w:szCs w:val="22"/>
          <w:color w:val="auto"/>
        </w:rPr>
        <w:t>The following table sets forth information regarding the beneficial ownership of our ordinary shares available to us at March 6, 2021, with respect to our ordinary shares held by:</w:t>
      </w:r>
    </w:p>
    <w:p>
      <w:pPr>
        <w:spacing w:after="0" w:line="20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our officers and directors as a group.</w:t>
      </w:r>
    </w:p>
    <w:p>
      <w:pPr>
        <w:spacing w:after="0" w:line="245" w:lineRule="exact"/>
        <w:rPr>
          <w:sz w:val="20"/>
          <w:szCs w:val="20"/>
          <w:color w:val="auto"/>
        </w:rPr>
      </w:pPr>
    </w:p>
    <w:p>
      <w:pPr>
        <w:jc w:val="both"/>
        <w:ind w:right="80"/>
        <w:spacing w:after="0" w:line="257" w:lineRule="auto"/>
        <w:rPr>
          <w:sz w:val="20"/>
          <w:szCs w:val="20"/>
          <w:color w:val="auto"/>
        </w:rPr>
      </w:pPr>
      <w:r>
        <w:rPr>
          <w:rFonts w:ascii="Arial" w:cs="Arial" w:eastAsia="Arial" w:hAnsi="Arial"/>
          <w:sz w:val="21"/>
          <w:szCs w:val="21"/>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March 6, 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4"/>
              </w:rPr>
              <w:t>Class B ordinary shares</w:t>
            </w:r>
            <w:r>
              <w:rPr>
                <w:rFonts w:ascii="Arial" w:cs="Arial" w:eastAsia="Arial" w:hAnsi="Arial"/>
                <w:sz w:val="29"/>
                <w:szCs w:val="29"/>
                <w:b w:val="1"/>
                <w:bCs w:val="1"/>
                <w:color w:val="auto"/>
                <w:w w:val="94"/>
                <w:vertAlign w:val="superscript"/>
              </w:rPr>
              <w:t>(2)</w:t>
            </w:r>
          </w:p>
        </w:tc>
        <w:tc>
          <w:tcPr>
            <w:tcW w:w="27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Class A ordinary shares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Approximate</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Approximate</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Name of Beneficial Owners</w:t>
            </w:r>
            <w:r>
              <w:rPr>
                <w:rFonts w:ascii="Arial" w:cs="Arial" w:eastAsia="Arial" w:hAnsi="Arial"/>
                <w:sz w:val="29"/>
                <w:szCs w:val="29"/>
                <w:b w:val="1"/>
                <w:bCs w:val="1"/>
                <w:color w:val="auto"/>
                <w:vertAlign w:val="superscript"/>
              </w:rPr>
              <w:t>(1)</w:t>
            </w:r>
          </w:p>
        </w:tc>
        <w:tc>
          <w:tcPr>
            <w:tcW w:w="120" w:type="dxa"/>
            <w:vAlign w:val="bottom"/>
            <w:vMerge w:val="restart"/>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Percentage of</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Percentage of</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Voting</w:t>
            </w:r>
          </w:p>
        </w:tc>
        <w:tc>
          <w:tcPr>
            <w:tcW w:w="0" w:type="dxa"/>
            <w:vAlign w:val="bottom"/>
          </w:tcPr>
          <w:p>
            <w:pPr>
              <w:spacing w:after="0"/>
              <w:rPr>
                <w:sz w:val="1"/>
                <w:szCs w:val="1"/>
                <w:color w:val="auto"/>
              </w:rPr>
            </w:pPr>
          </w:p>
        </w:tc>
      </w:tr>
      <w:tr>
        <w:trPr>
          <w:trHeight w:val="241"/>
        </w:trPr>
        <w:tc>
          <w:tcPr>
            <w:tcW w:w="44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Control</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Anthony A. Yoseloff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line="216" w:lineRule="exact"/>
              <w:rPr>
                <w:sz w:val="20"/>
                <w:szCs w:val="20"/>
                <w:color w:val="auto"/>
              </w:rPr>
            </w:pPr>
            <w:r>
              <w:rPr>
                <w:rFonts w:ascii="Arial" w:cs="Arial" w:eastAsia="Arial" w:hAnsi="Arial"/>
                <w:sz w:val="16"/>
                <w:szCs w:val="16"/>
                <w:color w:val="auto"/>
              </w:rPr>
              <w:t>Polar Asset Management Partners, Inc.</w:t>
            </w:r>
            <w:r>
              <w:rPr>
                <w:rFonts w:ascii="Arial" w:cs="Arial" w:eastAsia="Arial" w:hAnsi="Arial"/>
                <w:sz w:val="25"/>
                <w:szCs w:val="25"/>
                <w:color w:val="auto"/>
                <w:vertAlign w:val="superscript"/>
              </w:rPr>
              <w:t>(4)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2,573,000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Weiss Asset Management KO</w:t>
            </w:r>
            <w:r>
              <w:rPr>
                <w:rFonts w:ascii="Arial" w:cs="Arial" w:eastAsia="Arial" w:hAnsi="Arial"/>
                <w:sz w:val="25"/>
                <w:szCs w:val="25"/>
                <w:color w:val="auto"/>
                <w:vertAlign w:val="superscript"/>
              </w:rPr>
              <w:t>(5)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1,890,387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line="216" w:lineRule="exact"/>
              <w:rPr>
                <w:sz w:val="20"/>
                <w:szCs w:val="20"/>
                <w:color w:val="auto"/>
              </w:rPr>
            </w:pPr>
            <w:r>
              <w:rPr>
                <w:rFonts w:ascii="Arial" w:cs="Arial" w:eastAsia="Arial" w:hAnsi="Arial"/>
                <w:sz w:val="16"/>
                <w:szCs w:val="16"/>
                <w:color w:val="auto"/>
              </w:rPr>
              <w:t>Silver Spike Sponsor, LLC</w:t>
            </w:r>
            <w:r>
              <w:rPr>
                <w:rFonts w:ascii="Arial" w:cs="Arial" w:eastAsia="Arial" w:hAnsi="Arial"/>
                <w:sz w:val="25"/>
                <w:szCs w:val="25"/>
                <w:color w:val="auto"/>
                <w:vertAlign w:val="superscript"/>
              </w:rPr>
              <w:t>(6)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6,250,000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Gordon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William Healy</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Gentile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Orrin Devinsky</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Goldman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Kenneth Landis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(nine individuals)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712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3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one 1%.</w:t>
      </w:r>
    </w:p>
    <w:p>
      <w:pPr>
        <w:spacing w:after="0" w:line="252" w:lineRule="exact"/>
        <w:rPr>
          <w:sz w:val="20"/>
          <w:szCs w:val="20"/>
          <w:color w:val="auto"/>
        </w:rPr>
      </w:pPr>
    </w:p>
    <w:p>
      <w:pPr>
        <w:ind w:left="340" w:right="30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660 Madison Ave, Suite 1600, New York, New York 10065, United States of America.</w:t>
      </w:r>
    </w:p>
    <w:p>
      <w:pPr>
        <w:spacing w:after="0" w:line="197"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on the first business day following our initial business combination on a one-for-one basis.</w:t>
      </w:r>
    </w:p>
    <w:p>
      <w:pPr>
        <w:spacing w:after="0" w:line="197" w:lineRule="exact"/>
        <w:rPr>
          <w:rFonts w:ascii="Arial" w:cs="Arial" w:eastAsia="Arial" w:hAnsi="Arial"/>
          <w:sz w:val="18"/>
          <w:szCs w:val="18"/>
          <w:color w:val="auto"/>
        </w:rPr>
      </w:pPr>
    </w:p>
    <w:p>
      <w:pPr>
        <w:ind w:left="340" w:right="100" w:hanging="332"/>
        <w:spacing w:after="0" w:line="273"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357,960 Class A ordinary shares held by Davidson Kempner Partners (“DKP”); 755,630 Class A ordinary shares held by Davidson Kempner Institutional Partners, L.P. (“DKIP”); and 786,410 Class A ordinary shares held by Davidson Kempner International, Ltd. (“DKIL”). Davidson Kempner Capital Management LP (“DKCM”) acts as investment advisor to each of DKP, DKIP and DKIL either directly or by virtue of a sub-advisory agreement with the investment manager of the relevant fund. Mr. Anthony Yoseloff, though DKCM, is responsible for the voting and investment decisions related to the Class A ordinary shares held by DKP, DKIP and DKIL. The address of Mr. Yoseloff is c/o Davidson Kempner Capital Management LP, 520 Madison Avenue, 30th Floor, New York, New York 10022.</w:t>
      </w:r>
    </w:p>
    <w:p>
      <w:pPr>
        <w:spacing w:after="0" w:line="204"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shares held by Polar Multi-Strategy Master Fund and certain managed accounts, for which Polar Asset Management Partners, Inc. serves as the investment advisor and has sole voting and dispositive power. The address of Polar Asset Management Partners, Inc. is 401 Bay Street, Suite 1900, PO Box 19, Toronto, Ontario M5H 2Y4, Canada.</w:t>
      </w:r>
    </w:p>
    <w:p>
      <w:pPr>
        <w:spacing w:after="0" w:line="210" w:lineRule="exact"/>
        <w:rPr>
          <w:rFonts w:ascii="Arial" w:cs="Arial" w:eastAsia="Arial" w:hAnsi="Arial"/>
          <w:sz w:val="18"/>
          <w:szCs w:val="18"/>
          <w:color w:val="auto"/>
        </w:rPr>
      </w:pPr>
    </w:p>
    <w:p>
      <w:pPr>
        <w:ind w:left="340" w:right="20" w:hanging="332"/>
        <w:spacing w:after="0" w:line="29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Class A ordinary shares beneficially owned by a private investment partnership (the “Partnership”) of which BIP GP LLC is the sole general partner. Weiss Asset Management LP is the sole investment manager to the Partnership. WAM GP is the sole general partner of Weiss Asset Management LP. Andrew Weiss is the managing member of WAM GP and BIP GP. Shares reported for WAM GP, Mr. Andrew Weiss, Ph.D. and Weiss Asset Management include shares beneficially owned by the Partnership (and reported above for BIP GP LLC). BIP GP LLC, Weiss Asset Management LP, WAM GP LLC, and Andrew M. Weiss, Ph.D. have a business address of 222 Berkeley St., 16th floor, Boston, Massachusetts 02116.</w:t>
      </w:r>
    </w:p>
    <w:p>
      <w:pPr>
        <w:spacing w:after="0" w:line="188" w:lineRule="exact"/>
        <w:rPr>
          <w:rFonts w:ascii="Arial" w:cs="Arial" w:eastAsia="Arial" w:hAnsi="Arial"/>
          <w:sz w:val="16"/>
          <w:szCs w:val="16"/>
          <w:color w:val="auto"/>
        </w:rPr>
      </w:pPr>
    </w:p>
    <w:p>
      <w:pPr>
        <w:ind w:left="340" w:right="320" w:hanging="332"/>
        <w:spacing w:after="0" w:line="27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executive officers are the three managers of our sponsor’s board of managers. Any action by our sponsor with respect to our Company or the founders shares, including voting and dispositive decisions, requires a majority vote of the managers of the board of managers. Under the so-called “rule of three,” because voting and dispositive decisions are made by a majority of our sponsor’s managers, none of the managers of our sponsor is deemed to be a beneficial owner of our sponsor’s securities, even those in which he holds a pecuniary interest. Accordingly, none of our executive officers is deemed to have or share beneficial ownership of the founders shares held by our sponsor.</w:t>
      </w:r>
    </w:p>
    <w:p>
      <w:pPr>
        <w:sectPr>
          <w:pgSz w:w="11900" w:h="16838" w:orient="portrait"/>
          <w:cols w:equalWidth="0" w:num="1">
            <w:col w:w="11240"/>
          </w:cols>
          <w:pgMar w:left="320" w:top="122" w:right="3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24"/>
        <w:spacing w:after="0" w:line="248" w:lineRule="auto"/>
        <w:rPr>
          <w:sz w:val="20"/>
          <w:szCs w:val="20"/>
          <w:color w:val="auto"/>
        </w:rPr>
      </w:pPr>
      <w:r>
        <w:rPr>
          <w:rFonts w:ascii="Arial" w:cs="Arial" w:eastAsia="Arial" w:hAnsi="Arial"/>
          <w:sz w:val="21"/>
          <w:szCs w:val="21"/>
          <w:color w:val="auto"/>
        </w:rPr>
        <w:t>Our initial shareholders beneficially own 20% of the issued and outstanding ordinary shares (excluding the representative shares). Prior to our initial business combination, only holders of our founders shares have the right to vote on the election of directors, and holders of a majority of our founders shares may remove a member of the board of directors for any reason. In addition, because of their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w:t>
      </w:r>
    </w:p>
    <w:p>
      <w:pPr>
        <w:spacing w:after="0" w:line="204"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Our sponsor has purchased an aggregate of 7,000,000 private placement warrants at a price of $1.00 per warrant in a private placement that occurred simultaneously with the closing of our IPO. Each private placement warrant entitles the holder to purchase one Class A ordinary share at a price of $11.50 per share, subject to adjustment as provided herein. If we do not complete our initial business combination by July 10, 2021,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sold in our IPO. Otherwise, the private placement warrants have terms and provisions that are identical to those of the warrants sold as part of the units in our IPO.</w:t>
      </w:r>
    </w:p>
    <w:p>
      <w:pPr>
        <w:spacing w:after="0" w:line="188" w:lineRule="exact"/>
        <w:rPr>
          <w:sz w:val="20"/>
          <w:szCs w:val="20"/>
          <w:color w:val="auto"/>
        </w:rPr>
      </w:pPr>
    </w:p>
    <w:p>
      <w:pPr>
        <w:jc w:val="both"/>
        <w:ind w:right="640" w:firstLine="324"/>
        <w:spacing w:after="0"/>
        <w:rPr>
          <w:sz w:val="20"/>
          <w:szCs w:val="20"/>
          <w:color w:val="auto"/>
        </w:rPr>
      </w:pPr>
      <w:r>
        <w:rPr>
          <w:rFonts w:ascii="Arial" w:cs="Arial" w:eastAsia="Arial" w:hAnsi="Arial"/>
          <w:sz w:val="22"/>
          <w:szCs w:val="22"/>
          <w:color w:val="auto"/>
        </w:rPr>
        <w:t>Our sponsor and our officers and directors are deemed to be our “promoters” as such term is defined under the federal securities laws. See “Item 13. Certain Relationships and Related Transactions, and Director Independence” for additional information regarding our relationships with our promoters.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Transfers of Founder Shares and Private Placement Warrants</w:t>
      </w:r>
    </w:p>
    <w:p>
      <w:pPr>
        <w:spacing w:after="0" w:line="239"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color w:val="auto"/>
        </w:rPr>
        <w:t>The founder shares, private placement warrants and any Class A ordinary shares issued upon conversion or exercise thereof are each subject to transfer restrictions pursuant to lock-up provisions in the letter agreement with us to be entered into by our initial shareholders. Those lock-up provisions provide that such securities are not transferable or salable (1) in the case of the founder shares, until the earlier of (A) one year after the completion of our initial business combination or (B) subsequent to our initial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shareholders having the right to exchange their Class A ordinary shares for cash, securities or other property, and (2) in the case of the private placement warrants and the respective Class A ordinary shares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securities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amalgamation, share exchange, reorganization or other similar transaction which results in all of our shareholders having the right to exchange their Class A ordinary shares for cash, securities or other property subsequent to our completion of our initial business combination; provided, however, that in the case of clauses (a) through (e) and (g), these permitted transferees must enter into a written agreement agreeing to be bound by these transfer restrictions.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39" w:lineRule="exact"/>
        <w:rPr>
          <w:sz w:val="20"/>
          <w:szCs w:val="20"/>
          <w:color w:val="auto"/>
        </w:rPr>
      </w:pPr>
    </w:p>
    <w:p>
      <w:pPr>
        <w:ind w:right="20" w:firstLine="324"/>
        <w:spacing w:after="0" w:line="235" w:lineRule="auto"/>
        <w:rPr>
          <w:sz w:val="20"/>
          <w:szCs w:val="20"/>
          <w:color w:val="auto"/>
        </w:rPr>
      </w:pPr>
      <w:r>
        <w:rPr>
          <w:rFonts w:ascii="Arial" w:cs="Arial" w:eastAsia="Arial" w:hAnsi="Arial"/>
          <w:sz w:val="22"/>
          <w:szCs w:val="22"/>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are entitled to registration rights pursuant to a registration rights agreement signed on the effective date of our IPO requiring us to register such securities for resale. The holders of these securities will be entitled to make up to three demands, excluding short-form registration demands, that we register such securities.</w:t>
      </w:r>
    </w:p>
    <w:p>
      <w:pPr>
        <w:spacing w:after="0" w:line="215"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Plans</w:t>
      </w:r>
    </w:p>
    <w:p>
      <w:pPr>
        <w:spacing w:after="0" w:line="239" w:lineRule="exact"/>
        <w:rPr>
          <w:sz w:val="20"/>
          <w:szCs w:val="20"/>
          <w:color w:val="auto"/>
        </w:rPr>
      </w:pPr>
    </w:p>
    <w:p>
      <w:pPr>
        <w:ind w:right="380" w:firstLine="324"/>
        <w:spacing w:after="0" w:line="250" w:lineRule="auto"/>
        <w:rPr>
          <w:sz w:val="20"/>
          <w:szCs w:val="20"/>
          <w:color w:val="auto"/>
        </w:rPr>
      </w:pPr>
      <w:r>
        <w:rPr>
          <w:rFonts w:ascii="Arial" w:cs="Arial" w:eastAsia="Arial" w:hAnsi="Arial"/>
          <w:sz w:val="22"/>
          <w:szCs w:val="22"/>
          <w:color w:val="auto"/>
        </w:rPr>
        <w:t>As of December 31, 2020, we had no compensation plans (including individual compensation arrangements) under which equity securities were authorized for issuance.</w:t>
      </w:r>
    </w:p>
    <w:p>
      <w:pPr>
        <w:sectPr>
          <w:pgSz w:w="11900" w:h="16838" w:orient="portrait"/>
          <w:cols w:equalWidth="0" w:num="1">
            <w:col w:w="11240"/>
          </w:cols>
          <w:pgMar w:left="320" w:top="121"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49" w:lineRule="exact"/>
        <w:rPr>
          <w:sz w:val="20"/>
          <w:szCs w:val="20"/>
          <w:color w:val="auto"/>
        </w:rPr>
      </w:pPr>
    </w:p>
    <w:p>
      <w:pPr>
        <w:ind w:right="40" w:firstLine="324"/>
        <w:spacing w:after="0" w:line="235" w:lineRule="auto"/>
        <w:rPr>
          <w:sz w:val="20"/>
          <w:szCs w:val="20"/>
          <w:color w:val="auto"/>
        </w:rPr>
      </w:pPr>
      <w:r>
        <w:rPr>
          <w:rFonts w:ascii="Arial" w:cs="Arial" w:eastAsia="Arial" w:hAnsi="Arial"/>
          <w:sz w:val="22"/>
          <w:szCs w:val="22"/>
          <w:color w:val="auto"/>
        </w:rPr>
        <w:t>In June 2019, our sponsor purchased 7,187,500 founder shares for an aggregate purchase price of $25,000, or $0.004 per share. On September 23, 2019, in connection with the expiration of the underwriter’s over-allotment option, our sponsor surrendered 937,500 founder shares. As a result, our sponsor now owns 6,250,000 founder shares. In connection with the closing of our IPO, our sponsor granted sponsor LLC equity interests to our independent directors that collectively comprise approximately 1% of the outstanding equity interests in our sponsor. Our initial shareholders collectively own 20% of our issued and outstanding shares as of our IPO.</w:t>
      </w:r>
    </w:p>
    <w:p>
      <w:pPr>
        <w:spacing w:after="0" w:line="215" w:lineRule="exact"/>
        <w:rPr>
          <w:sz w:val="20"/>
          <w:szCs w:val="20"/>
          <w:color w:val="auto"/>
        </w:rPr>
      </w:pPr>
    </w:p>
    <w:p>
      <w:pPr>
        <w:ind w:right="20" w:firstLine="324"/>
        <w:spacing w:after="0" w:line="282" w:lineRule="auto"/>
        <w:rPr>
          <w:sz w:val="20"/>
          <w:szCs w:val="20"/>
          <w:color w:val="auto"/>
        </w:rPr>
      </w:pPr>
      <w:r>
        <w:rPr>
          <w:rFonts w:ascii="Arial" w:cs="Arial" w:eastAsia="Arial" w:hAnsi="Arial"/>
          <w:sz w:val="19"/>
          <w:szCs w:val="19"/>
          <w:color w:val="auto"/>
        </w:rPr>
        <w:t>Our sponsor purchased an aggregate of 7,000,000 private placement warrants for a purchase price of $1.00 per warrant in a private placement simultaneously with the closing of our IPO. Each private placement warrant may be exercised for one Class A ordinary share at a price of $11.50 per share, subject to adjustment as provided herein. The private placement warrants (including the Class A ordinary shares issuable upon exercise of the private placement warrants) may not, subject to certain limited exceptions, be transferred, assigned or sold by it until 30 days after the completion of our initial business combination.</w:t>
      </w:r>
    </w:p>
    <w:p>
      <w:pPr>
        <w:spacing w:after="0" w:line="174"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color w:val="auto"/>
        </w:rPr>
        <w:t>As more fully discussed in “Item 10. Directors, Executive Officers and Corporate Governance—Conflicts of Interest,” if any of our officers or directors becomes aware of a business combination opportunity that falls within the line of business of any entity to which he or she has then-current fiduciary or contractual obligations, he or she may be required to present such business combination opportunity to such entity prior to presenting such business combination opportunity to us. 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w:t>
      </w:r>
    </w:p>
    <w:p>
      <w:pPr>
        <w:spacing w:after="0" w:line="218" w:lineRule="exact"/>
        <w:rPr>
          <w:sz w:val="20"/>
          <w:szCs w:val="20"/>
          <w:color w:val="auto"/>
        </w:rPr>
      </w:pPr>
    </w:p>
    <w:p>
      <w:pPr>
        <w:ind w:right="20" w:firstLine="324"/>
        <w:spacing w:after="0" w:line="282" w:lineRule="auto"/>
        <w:rPr>
          <w:sz w:val="20"/>
          <w:szCs w:val="20"/>
          <w:color w:val="auto"/>
        </w:rPr>
      </w:pPr>
      <w:r>
        <w:rPr>
          <w:rFonts w:ascii="Arial" w:cs="Arial" w:eastAsia="Arial" w:hAnsi="Arial"/>
          <w:sz w:val="19"/>
          <w:szCs w:val="19"/>
          <w:color w:val="auto"/>
        </w:rPr>
        <w:t>We entered into an Administrative Services Agreement pursuant to which we pay our sponsor up to $20,000 per month for office space, administrative and support services. Upon completion of our initial business combination or our liquidation, we will cease paying any of these monthly fees. Accordingly, in the event the consummation of our initial business combination takes until July 10, 2021, our sponsor will be paid an aggregate of up to approximately $460,000 ($20,000) per month for office space, administrative and support services and will be entitled to be reimbursed for any out-of-pocket expenses.</w:t>
      </w:r>
    </w:p>
    <w:p>
      <w:pPr>
        <w:spacing w:after="0" w:line="174" w:lineRule="exact"/>
        <w:rPr>
          <w:sz w:val="20"/>
          <w:szCs w:val="20"/>
          <w:color w:val="auto"/>
        </w:rPr>
      </w:pPr>
    </w:p>
    <w:p>
      <w:pPr>
        <w:ind w:right="160" w:firstLine="324"/>
        <w:spacing w:after="0" w:line="248" w:lineRule="auto"/>
        <w:rPr>
          <w:sz w:val="20"/>
          <w:szCs w:val="20"/>
          <w:color w:val="auto"/>
        </w:rPr>
      </w:pPr>
      <w:r>
        <w:rPr>
          <w:rFonts w:ascii="Arial" w:cs="Arial" w:eastAsia="Arial" w:hAnsi="Arial"/>
          <w:sz w:val="21"/>
          <w:szCs w:val="21"/>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204"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Our sponsor agreed to loan us up to $250,000 under an unsecured promissory note to be used for a portion of the expenses of our IPO. These loans were non-interest bearing and unsecured, and were repaid upon completion of the IPO out of the $1,000,000 of offering proceeds that had been allocated for the payment of offering expenses (other than underwriting commissions) not held in the trust account. The value of our sponsor’s interest in this loan transaction corresponded to the principal amount outstanding under any such loan.</w:t>
      </w:r>
    </w:p>
    <w:p>
      <w:pPr>
        <w:spacing w:after="0" w:line="214" w:lineRule="exact"/>
        <w:rPr>
          <w:sz w:val="20"/>
          <w:szCs w:val="20"/>
          <w:color w:val="auto"/>
        </w:rPr>
      </w:pPr>
    </w:p>
    <w:p>
      <w:pPr>
        <w:ind w:right="200" w:firstLine="324"/>
        <w:spacing w:after="0" w:line="279" w:lineRule="auto"/>
        <w:rPr>
          <w:sz w:val="20"/>
          <w:szCs w:val="20"/>
          <w:color w:val="auto"/>
        </w:rPr>
      </w:pPr>
      <w:r>
        <w:rPr>
          <w:rFonts w:ascii="Arial" w:cs="Arial" w:eastAsia="Arial" w:hAnsi="Arial"/>
          <w:sz w:val="19"/>
          <w:szCs w:val="19"/>
          <w:color w:val="auto"/>
        </w:rPr>
        <w:t>Our sponsor agreed to loan us $750,000 under an unsecured promissory note to be used for our working capital expenses. These loans are non-interest bearing and unsecured. The value of our sponsor’s interest in this loan transaction corresponded to the principal amount outstanding under any such loan. On February 18, 2021, our sponsor agreed to loan us an additional $750,000 under an additional unsecured promissory note to be used for the payment of working capital expenses, including expenses incurred in connection with the business combination. The note is non-interest bearing, unsecured and due on the earliest of (i) June 10, 2021 and (ii) the consummation of our initial business combination.</w:t>
      </w:r>
    </w:p>
    <w:p>
      <w:pPr>
        <w:spacing w:after="0" w:line="177"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ectPr>
          <w:pgSz w:w="11900" w:h="16838" w:orient="portrait"/>
          <w:cols w:equalWidth="0" w:num="1">
            <w:col w:w="11200"/>
          </w:cols>
          <w:pgMar w:left="320" w:top="121" w:right="379" w:bottom="1440" w:gutter="0" w:footer="0" w:header="0"/>
        </w:sect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line="248" w:lineRule="auto"/>
        <w:rPr>
          <w:sz w:val="20"/>
          <w:szCs w:val="20"/>
          <w:color w:val="auto"/>
        </w:rPr>
      </w:pPr>
      <w:r>
        <w:rPr>
          <w:rFonts w:ascii="Arial" w:cs="Arial" w:eastAsia="Arial" w:hAnsi="Arial"/>
          <w:sz w:val="21"/>
          <w:szCs w:val="21"/>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204" w:lineRule="exact"/>
        <w:rPr>
          <w:sz w:val="20"/>
          <w:szCs w:val="20"/>
          <w:color w:val="auto"/>
        </w:rPr>
      </w:pPr>
    </w:p>
    <w:p>
      <w:pPr>
        <w:jc w:val="both"/>
        <w:ind w:right="600" w:firstLine="324"/>
        <w:spacing w:after="0" w:line="297" w:lineRule="auto"/>
        <w:rPr>
          <w:sz w:val="20"/>
          <w:szCs w:val="20"/>
          <w:color w:val="auto"/>
        </w:rPr>
      </w:pPr>
      <w:r>
        <w:rPr>
          <w:rFonts w:ascii="Arial" w:cs="Arial" w:eastAsia="Arial" w:hAnsi="Arial"/>
          <w:sz w:val="19"/>
          <w:szCs w:val="19"/>
          <w:color w:val="auto"/>
        </w:rPr>
        <w:t>We have entered into a registration rights agreement with respect to the founder shares, private placement warrants and warrants issued upon conversion of working capital loans (if any), which is described under the heading “Item 12. Security Ownership of Certain Beneficial Owners and Management and Related Stockholder Matters—Registration Rights.”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Policy</w:t>
      </w:r>
    </w:p>
    <w:p>
      <w:pPr>
        <w:spacing w:after="0" w:line="239" w:lineRule="exact"/>
        <w:rPr>
          <w:sz w:val="20"/>
          <w:szCs w:val="20"/>
          <w:color w:val="auto"/>
        </w:rPr>
      </w:pPr>
    </w:p>
    <w:p>
      <w:pPr>
        <w:ind w:right="160" w:firstLine="324"/>
        <w:spacing w:after="0" w:line="287" w:lineRule="auto"/>
        <w:rPr>
          <w:sz w:val="20"/>
          <w:szCs w:val="20"/>
          <w:color w:val="auto"/>
        </w:rPr>
      </w:pPr>
      <w:r>
        <w:rPr>
          <w:rFonts w:ascii="Arial" w:cs="Arial" w:eastAsia="Arial" w:hAnsi="Arial"/>
          <w:sz w:val="19"/>
          <w:szCs w:val="19"/>
          <w:color w:val="auto"/>
        </w:rPr>
        <w:t>We adopted our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include any financial transaction, arrangement or relationship (including any indebtedness or guarantee of indebtedness) involving the company.</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In addition, our audit committee, pursuant to a written charter, is responsible for reviewing and approving related party transactions to the extent that we enter into such transactions. An affirmative vote of a majority of the members of the audit committee present at a meeting at which a quorum is present is required in order to approve a related party transaction. A majority of the members of the entire audit committee constitutes a quorum. Without a meeting, the unanimous written consent of all of the members of the audit committee is required to approve a related party transaction. Our audit committee reviews on a quarterly basis all payments that were made to our sponsor, officers or directors, or our or any of their affiliates.</w:t>
      </w:r>
    </w:p>
    <w:p>
      <w:pPr>
        <w:spacing w:after="0" w:line="177" w:lineRule="exact"/>
        <w:rPr>
          <w:sz w:val="20"/>
          <w:szCs w:val="20"/>
          <w:color w:val="auto"/>
        </w:rPr>
      </w:pPr>
    </w:p>
    <w:p>
      <w:pPr>
        <w:ind w:right="260" w:firstLine="324"/>
        <w:spacing w:after="0" w:line="245" w:lineRule="auto"/>
        <w:rPr>
          <w:sz w:val="20"/>
          <w:szCs w:val="20"/>
          <w:color w:val="auto"/>
        </w:rPr>
      </w:pPr>
      <w:r>
        <w:rPr>
          <w:rFonts w:ascii="Arial" w:cs="Arial" w:eastAsia="Arial" w:hAnsi="Arial"/>
          <w:sz w:val="21"/>
          <w:szCs w:val="21"/>
          <w:color w:val="auto"/>
        </w:rPr>
        <w:t>On August 7, 2019, we adopted a formal written policy for the review, approval or ratification of related party transactions. Our policy covers transactions in which any director or executive officer, immediate family member of a director or executive officer, any nominee for director and immediate family member of such nominee and 5% beneficial owner of the Company or immediate family of such owner have a direct or indirect material interest as determined by our audit committee. The audit committee considers all relevant facts and circumstances, including without limitation the commercial reasonableness of the terms, the benefit and perceived benefit, or lack thereof, to the Company, opportunity costs of alternate transactions, the materiality and character of the related person’s direct or indirect interest, and the actual or apparent conflict of interest of the related person. The audit committee will not approve or ratify a related party transaction unless it shall have determined that, upon consideration of all relevant information, the transaction is in, or not inconsistent with, the best interests of the Company and its stockholders.</w:t>
      </w:r>
    </w:p>
    <w:p>
      <w:pPr>
        <w:spacing w:after="0" w:line="208" w:lineRule="exact"/>
        <w:rPr>
          <w:sz w:val="20"/>
          <w:szCs w:val="20"/>
          <w:color w:val="auto"/>
        </w:rPr>
      </w:pPr>
    </w:p>
    <w:p>
      <w:pPr>
        <w:ind w:right="60" w:firstLine="324"/>
        <w:spacing w:after="0" w:line="250" w:lineRule="auto"/>
        <w:rPr>
          <w:sz w:val="20"/>
          <w:szCs w:val="20"/>
          <w:color w:val="auto"/>
        </w:rPr>
      </w:pPr>
      <w:r>
        <w:rPr>
          <w:rFonts w:ascii="Arial" w:cs="Arial" w:eastAsia="Arial" w:hAnsi="Arial"/>
          <w:sz w:val="22"/>
          <w:szCs w:val="22"/>
          <w:color w:val="auto"/>
        </w:rPr>
        <w:t>These procedures are intended to determine whether any such related party transaction impairs the independence of a director or presents a conflict of interest on the part of a director, employee or officer.</w:t>
      </w:r>
    </w:p>
    <w:p>
      <w:pPr>
        <w:spacing w:after="0" w:line="202" w:lineRule="exact"/>
        <w:rPr>
          <w:sz w:val="20"/>
          <w:szCs w:val="20"/>
          <w:color w:val="auto"/>
        </w:rPr>
      </w:pPr>
    </w:p>
    <w:p>
      <w:pPr>
        <w:ind w:right="320" w:firstLine="324"/>
        <w:spacing w:after="0" w:line="252" w:lineRule="auto"/>
        <w:rPr>
          <w:sz w:val="20"/>
          <w:szCs w:val="20"/>
          <w:color w:val="auto"/>
        </w:rPr>
      </w:pPr>
      <w:r>
        <w:rPr>
          <w:rFonts w:ascii="Arial" w:cs="Arial" w:eastAsia="Arial" w:hAnsi="Arial"/>
          <w:sz w:val="21"/>
          <w:szCs w:val="21"/>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or an independent accounting firm that our initial business combination is fair to our Company from a financial point of view.</w:t>
      </w:r>
    </w:p>
    <w:p>
      <w:pPr>
        <w:spacing w:after="0" w:line="201" w:lineRule="exact"/>
        <w:rPr>
          <w:sz w:val="20"/>
          <w:szCs w:val="20"/>
          <w:color w:val="auto"/>
        </w:rPr>
      </w:pPr>
    </w:p>
    <w:p>
      <w:pPr>
        <w:ind w:right="280" w:firstLine="324"/>
        <w:spacing w:after="0" w:line="287" w:lineRule="auto"/>
        <w:rPr>
          <w:sz w:val="20"/>
          <w:szCs w:val="20"/>
          <w:color w:val="auto"/>
        </w:rPr>
      </w:pPr>
      <w:r>
        <w:rPr>
          <w:rFonts w:ascii="Arial" w:cs="Arial" w:eastAsia="Arial" w:hAnsi="Arial"/>
          <w:sz w:val="19"/>
          <w:szCs w:val="19"/>
          <w:color w:val="auto"/>
        </w:rPr>
        <w:t>Furthermore, no finder’s fees, reimbursements or cash payments will be made by us to our sponsor, officers or directors, or our or any of their affiliates, for services rendered to us prior to or in connection with the completion of our initial business combination, other than the following payments, none of which will be made from the proceeds of our IPO and the sale of the private placement warrants held in the trust account prior to the completion of our initial business combination: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Repayment of an aggregate of up to $250,000 in loans made to us by our sponsor to cover offering-related and organizational expenses;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 to our sponsor of up to $20,000 per month for office space, administrative and support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 and</w:t>
      </w:r>
    </w:p>
    <w:p>
      <w:pPr>
        <w:spacing w:after="0" w:line="263"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at a price of $1.00 per warrant at the option of the lender.</w:t>
      </w:r>
    </w:p>
    <w:p>
      <w:pPr>
        <w:spacing w:after="0" w:line="206" w:lineRule="exact"/>
        <w:rPr>
          <w:sz w:val="20"/>
          <w:szCs w:val="20"/>
          <w:color w:val="auto"/>
        </w:rPr>
      </w:pPr>
    </w:p>
    <w:p>
      <w:pPr>
        <w:ind w:right="20" w:firstLine="324"/>
        <w:spacing w:after="0"/>
        <w:rPr>
          <w:sz w:val="20"/>
          <w:szCs w:val="20"/>
          <w:color w:val="auto"/>
        </w:rPr>
      </w:pPr>
      <w:r>
        <w:rPr>
          <w:rFonts w:ascii="Arial" w:cs="Arial" w:eastAsia="Arial" w:hAnsi="Arial"/>
          <w:sz w:val="22"/>
          <w:szCs w:val="22"/>
          <w:color w:val="auto"/>
        </w:rPr>
        <w:t>The above payments may be funded using the net proceeds of our IPO and the sale of the private placement warrants not held in the trust account or, upon completion of the initial business combination, from any amounts remaining from the proceeds of the trust account released to us in connection therewith.</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39" w:lineRule="exact"/>
        <w:rPr>
          <w:sz w:val="20"/>
          <w:szCs w:val="20"/>
          <w:color w:val="auto"/>
        </w:rPr>
      </w:pPr>
    </w:p>
    <w:p>
      <w:pPr>
        <w:ind w:right="320" w:firstLine="324"/>
        <w:spacing w:after="0" w:line="246" w:lineRule="auto"/>
        <w:rPr>
          <w:sz w:val="20"/>
          <w:szCs w:val="20"/>
          <w:color w:val="auto"/>
        </w:rPr>
      </w:pPr>
      <w:r>
        <w:rPr>
          <w:rFonts w:ascii="Arial" w:cs="Arial" w:eastAsia="Arial" w:hAnsi="Arial"/>
          <w:sz w:val="21"/>
          <w:szCs w:val="21"/>
          <w:color w:val="auto"/>
        </w:rPr>
        <w:t>Nasdaq listing standards require that a majority of our board of directors be independent within one year of our IPO.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Orrin Devinsky, Richard Goldman and Kenneth Landis are “independent directors” as defined in the Nasdaq listing standards and applicable SEC rules. Our independent directors will have regularly scheduled meetings at which only independent directors are present.</w:t>
      </w:r>
    </w:p>
    <w:p>
      <w:pPr>
        <w:spacing w:after="0" w:line="2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is a summary of fees paid or to be paid to Marcum LLP, or Marcum, for services rendered.</w:t>
      </w:r>
    </w:p>
    <w:p>
      <w:pPr>
        <w:spacing w:after="0" w:line="233"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i w:val="1"/>
          <w:iCs w:val="1"/>
          <w:color w:val="auto"/>
        </w:rPr>
        <w:t>Audit Fees</w:t>
      </w:r>
      <w:r>
        <w:rPr>
          <w:rFonts w:ascii="Arial" w:cs="Arial" w:eastAsia="Arial" w:hAnsi="Arial"/>
          <w:sz w:val="19"/>
          <w:szCs w:val="19"/>
          <w:color w:val="auto"/>
        </w:rPr>
        <w:t>. Audit fees consist of fees billed for professional services rendered for the audit of our year-end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statements and services that are normally provided by Marcum in connection with regulatory filings. The aggregate fees billed by Marcum for professional services rendered for the audit of our annual consolidated financial statements, review of the financial information included in our Forms 10-Q for the respective periods and other required filings with the SEC for the year ended December 31, 2020 and for the period from June 7, 2019 (inception) through December 31, 2019 totaled $52,015 and $65,995, respectively. The above amounts include interim procedures and audit fees, as well as attendance at audit committee meetings.</w:t>
      </w:r>
    </w:p>
    <w:p>
      <w:pPr>
        <w:spacing w:after="0" w:line="177" w:lineRule="exact"/>
        <w:rPr>
          <w:sz w:val="20"/>
          <w:szCs w:val="20"/>
          <w:color w:val="auto"/>
        </w:rPr>
      </w:pPr>
    </w:p>
    <w:p>
      <w:pPr>
        <w:ind w:right="80" w:firstLine="324"/>
        <w:spacing w:after="0" w:line="282" w:lineRule="auto"/>
        <w:rPr>
          <w:sz w:val="20"/>
          <w:szCs w:val="20"/>
          <w:color w:val="auto"/>
        </w:rPr>
      </w:pPr>
      <w:r>
        <w:rPr>
          <w:rFonts w:ascii="Arial" w:cs="Arial" w:eastAsia="Arial" w:hAnsi="Arial"/>
          <w:sz w:val="19"/>
          <w:szCs w:val="19"/>
          <w:i w:val="1"/>
          <w:iCs w:val="1"/>
          <w:color w:val="auto"/>
        </w:rPr>
        <w:t xml:space="preserve">Audit-Related Fees. </w:t>
      </w:r>
      <w:r>
        <w:rPr>
          <w:rFonts w:ascii="Arial" w:cs="Arial" w:eastAsia="Arial" w:hAnsi="Arial"/>
          <w:sz w:val="19"/>
          <w:szCs w:val="19"/>
          <w:color w:val="auto"/>
        </w:rPr>
        <w:t>Audit-related services consist of fees billed for assurance and related services that are reasonably related</w:t>
      </w:r>
      <w:r>
        <w:rPr>
          <w:rFonts w:ascii="Arial" w:cs="Arial" w:eastAsia="Arial" w:hAnsi="Arial"/>
          <w:sz w:val="19"/>
          <w:szCs w:val="19"/>
          <w:i w:val="1"/>
          <w:iCs w:val="1"/>
          <w:color w:val="auto"/>
        </w:rPr>
        <w:t xml:space="preserve"> </w:t>
      </w:r>
      <w:r>
        <w:rPr>
          <w:rFonts w:ascii="Arial" w:cs="Arial" w:eastAsia="Arial" w:hAnsi="Arial"/>
          <w:sz w:val="19"/>
          <w:szCs w:val="19"/>
          <w:color w:val="auto"/>
        </w:rPr>
        <w:t>to performance of the audit or review of our consolidated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for the year ended December 31, 2020 and for the period from June 7, 2019 (inception) through December 31, 2019.</w:t>
      </w:r>
    </w:p>
    <w:p>
      <w:pPr>
        <w:spacing w:after="0" w:line="174" w:lineRule="exact"/>
        <w:rPr>
          <w:sz w:val="20"/>
          <w:szCs w:val="20"/>
          <w:color w:val="auto"/>
        </w:rPr>
      </w:pPr>
    </w:p>
    <w:p>
      <w:pPr>
        <w:ind w:right="200" w:firstLine="324"/>
        <w:spacing w:after="0" w:line="250" w:lineRule="auto"/>
        <w:rPr>
          <w:sz w:val="20"/>
          <w:szCs w:val="20"/>
          <w:color w:val="auto"/>
        </w:rPr>
      </w:pPr>
      <w:r>
        <w:rPr>
          <w:rFonts w:ascii="Arial" w:cs="Arial" w:eastAsia="Arial" w:hAnsi="Arial"/>
          <w:sz w:val="22"/>
          <w:szCs w:val="22"/>
          <w:i w:val="1"/>
          <w:iCs w:val="1"/>
          <w:color w:val="auto"/>
        </w:rPr>
        <w:t>Tax Fees</w:t>
      </w:r>
      <w:r>
        <w:rPr>
          <w:rFonts w:ascii="Arial" w:cs="Arial" w:eastAsia="Arial" w:hAnsi="Arial"/>
          <w:sz w:val="22"/>
          <w:szCs w:val="22"/>
          <w:color w:val="auto"/>
        </w:rPr>
        <w:t>. We did not pay Marcum for tax planning and tax advice for the year ended December 31, 2020 and for the period</w:t>
      </w:r>
      <w:r>
        <w:rPr>
          <w:rFonts w:ascii="Arial" w:cs="Arial" w:eastAsia="Arial" w:hAnsi="Arial"/>
          <w:sz w:val="22"/>
          <w:szCs w:val="22"/>
          <w:i w:val="1"/>
          <w:iCs w:val="1"/>
          <w:color w:val="auto"/>
        </w:rPr>
        <w:t xml:space="preserve"> </w:t>
      </w:r>
      <w:r>
        <w:rPr>
          <w:rFonts w:ascii="Arial" w:cs="Arial" w:eastAsia="Arial" w:hAnsi="Arial"/>
          <w:sz w:val="22"/>
          <w:szCs w:val="22"/>
          <w:color w:val="auto"/>
        </w:rPr>
        <w:t>from June 7, 2019 (inception) through December 31, 2019.</w:t>
      </w:r>
    </w:p>
    <w:p>
      <w:pPr>
        <w:spacing w:after="0" w:line="202" w:lineRule="exact"/>
        <w:rPr>
          <w:sz w:val="20"/>
          <w:szCs w:val="20"/>
          <w:color w:val="auto"/>
        </w:rPr>
      </w:pPr>
    </w:p>
    <w:p>
      <w:pPr>
        <w:ind w:right="400" w:firstLine="324"/>
        <w:spacing w:after="0" w:line="250" w:lineRule="auto"/>
        <w:rPr>
          <w:sz w:val="20"/>
          <w:szCs w:val="20"/>
          <w:color w:val="auto"/>
        </w:rPr>
      </w:pPr>
      <w:r>
        <w:rPr>
          <w:rFonts w:ascii="Arial" w:cs="Arial" w:eastAsia="Arial" w:hAnsi="Arial"/>
          <w:sz w:val="22"/>
          <w:szCs w:val="22"/>
          <w:i w:val="1"/>
          <w:iCs w:val="1"/>
          <w:color w:val="auto"/>
        </w:rPr>
        <w:t>All Other Fees</w:t>
      </w:r>
      <w:r>
        <w:rPr>
          <w:rFonts w:ascii="Arial" w:cs="Arial" w:eastAsia="Arial" w:hAnsi="Arial"/>
          <w:sz w:val="22"/>
          <w:szCs w:val="22"/>
          <w:color w:val="auto"/>
        </w:rPr>
        <w:t>. We did not pay Marcum for other services for the year ended December 31, 2020 and for the period from</w:t>
      </w:r>
      <w:r>
        <w:rPr>
          <w:rFonts w:ascii="Arial" w:cs="Arial" w:eastAsia="Arial" w:hAnsi="Arial"/>
          <w:sz w:val="22"/>
          <w:szCs w:val="22"/>
          <w:i w:val="1"/>
          <w:iCs w:val="1"/>
          <w:color w:val="auto"/>
        </w:rPr>
        <w:t xml:space="preserve"> </w:t>
      </w:r>
      <w:r>
        <w:rPr>
          <w:rFonts w:ascii="Arial" w:cs="Arial" w:eastAsia="Arial" w:hAnsi="Arial"/>
          <w:sz w:val="22"/>
          <w:szCs w:val="22"/>
          <w:color w:val="auto"/>
        </w:rPr>
        <w:t>June 7, 2019 (inception) through December 31, 2019.</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Pre-Approval Policy</w:t>
      </w:r>
    </w:p>
    <w:p>
      <w:pPr>
        <w:spacing w:after="0" w:line="239" w:lineRule="exact"/>
        <w:rPr>
          <w:sz w:val="20"/>
          <w:szCs w:val="20"/>
          <w:color w:val="auto"/>
        </w:rPr>
      </w:pPr>
    </w:p>
    <w:p>
      <w:pPr>
        <w:ind w:right="60" w:firstLine="324"/>
        <w:spacing w:after="0" w:line="248" w:lineRule="auto"/>
        <w:rPr>
          <w:sz w:val="20"/>
          <w:szCs w:val="20"/>
          <w:color w:val="auto"/>
        </w:rPr>
      </w:pPr>
      <w:r>
        <w:rPr>
          <w:rFonts w:ascii="Arial" w:cs="Arial" w:eastAsia="Arial" w:hAnsi="Arial"/>
          <w:sz w:val="21"/>
          <w:szCs w:val="21"/>
          <w:color w:val="auto"/>
        </w:rPr>
        <w:t>Our audit committee was formed upon the consummation of our IPO.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24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56"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Balance Sheet</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F-4</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Statement of Changes in Shareholders’ Equity</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F-7</w:t>
            </w:r>
          </w:p>
        </w:tc>
      </w:tr>
    </w:tbl>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  Financial Statement Schedules: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4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  Exhibits:</w:t>
      </w:r>
    </w:p>
    <w:p>
      <w:pPr>
        <w:spacing w:after="0" w:line="24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 xml:space="preserve">We hereby file as part of this Annual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t>
      </w:r>
      <w:r>
        <w:rPr>
          <w:rFonts w:ascii="Arial" w:cs="Arial" w:eastAsia="Arial" w:hAnsi="Arial"/>
          <w:sz w:val="19"/>
          <w:szCs w:val="19"/>
          <w:u w:val="single" w:color="auto"/>
          <w:color w:val="auto"/>
        </w:rPr>
        <w:t>www.sec.gov</w:t>
      </w:r>
      <w:r>
        <w:rPr>
          <w:rFonts w:ascii="Arial" w:cs="Arial" w:eastAsia="Arial" w:hAnsi="Arial"/>
          <w:sz w:val="19"/>
          <w:szCs w:val="19"/>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41"/>
        </w:trPr>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120" w:type="dxa"/>
            <w:vAlign w:val="bottom"/>
          </w:tcPr>
          <w:p>
            <w:pPr>
              <w:spacing w:after="0"/>
              <w:rPr>
                <w:sz w:val="20"/>
                <w:szCs w:val="20"/>
                <w:color w:val="auto"/>
              </w:rPr>
            </w:pPr>
          </w:p>
        </w:tc>
        <w:tc>
          <w:tcPr>
            <w:tcW w:w="10320" w:type="dxa"/>
            <w:vAlign w:val="bottom"/>
          </w:tcPr>
          <w:p>
            <w:pPr>
              <w:ind w:left="472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700" w:type="dxa"/>
            <w:vAlign w:val="bottom"/>
            <w:tcBorders>
              <w:top w:val="single" w:sz="8" w:color="auto"/>
            </w:tcBorders>
            <w:shd w:val="clear" w:color="auto" w:fill="CCEEFF"/>
          </w:tcPr>
          <w:p>
            <w:pPr>
              <w:jc w:val="right"/>
              <w:spacing w:after="0" w:line="201" w:lineRule="exact"/>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3.1</w:t>
              </w:r>
            </w:hyperlink>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3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Amended and Restated Memorandum and Articles of Association (incorporated herein by reference to Exhibit 3.2 of the Company’s</w:t>
            </w:r>
          </w:p>
        </w:tc>
      </w:tr>
      <w:tr>
        <w:trPr>
          <w:trHeight w:val="230"/>
        </w:trPr>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Registration Statement on Form S-1 (File No. 333-235447) filed with the SEC on July 26, 2019)</w:t>
            </w:r>
          </w:p>
        </w:tc>
      </w:tr>
      <w:tr>
        <w:trPr>
          <w:trHeight w:val="202"/>
        </w:trPr>
        <w:tc>
          <w:tcPr>
            <w:tcW w:w="800" w:type="dxa"/>
            <w:vAlign w:val="bottom"/>
            <w:gridSpan w:val="2"/>
          </w:tcPr>
          <w:p>
            <w:pPr>
              <w:jc w:val="right"/>
              <w:ind w:right="100"/>
              <w:spacing w:after="0" w:line="201" w:lineRule="exact"/>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3.2</w:t>
              </w:r>
            </w:hyperlink>
          </w:p>
        </w:tc>
        <w:tc>
          <w:tcPr>
            <w:tcW w:w="104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5"/>
              </w:rPr>
              <w:t>Amendment to Amended and Restated Memorandum and Articles of Association (incorporated herein by reference to Exhibit 3.1 of the</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Company’s Current Report on Form 8-K filed with the SEC on January 14, 2021)</w:t>
            </w:r>
          </w:p>
        </w:tc>
      </w:tr>
      <w:tr>
        <w:trPr>
          <w:trHeight w:val="202"/>
        </w:trPr>
        <w:tc>
          <w:tcPr>
            <w:tcW w:w="800" w:type="dxa"/>
            <w:vAlign w:val="bottom"/>
            <w:gridSpan w:val="2"/>
            <w:shd w:val="clear" w:color="auto" w:fill="CCEEFF"/>
          </w:tcPr>
          <w:p>
            <w:pPr>
              <w:jc w:val="right"/>
              <w:ind w:right="100"/>
              <w:spacing w:after="0" w:line="201" w:lineRule="exact"/>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4.1</w:t>
              </w:r>
            </w:hyperlink>
          </w:p>
        </w:tc>
        <w:tc>
          <w:tcPr>
            <w:tcW w:w="104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Description of Securities Registered Pursuant to Section 12 of the Securities Exchange Act of 1934, as Amended (incorporated herein by</w:t>
            </w:r>
          </w:p>
        </w:tc>
      </w:tr>
      <w:tr>
        <w:trPr>
          <w:trHeight w:val="230"/>
        </w:trPr>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reference to Exhibit 4.1 of the Company’s Annual Report on Form 10-K filed with the SEC on March 30, 2020)</w:t>
            </w:r>
          </w:p>
        </w:tc>
      </w:tr>
      <w:tr>
        <w:trPr>
          <w:trHeight w:val="202"/>
        </w:trPr>
        <w:tc>
          <w:tcPr>
            <w:tcW w:w="800" w:type="dxa"/>
            <w:vAlign w:val="bottom"/>
            <w:gridSpan w:val="2"/>
          </w:tcPr>
          <w:p>
            <w:pPr>
              <w:jc w:val="right"/>
              <w:ind w:right="100"/>
              <w:spacing w:after="0" w:line="201" w:lineRule="exact"/>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4.2</w:t>
              </w:r>
            </w:hyperlink>
          </w:p>
        </w:tc>
        <w:tc>
          <w:tcPr>
            <w:tcW w:w="104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6"/>
              </w:rPr>
              <w:t>Warrant Agreement, dated August 7, 2019, between the Company and Continental Stock Transfer &amp; Trust Company, as warrant agent</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w w:val="96"/>
              </w:rPr>
              <w:t>(incorporated herein by reference to Exhibit 4.1 of the Company’s Current Report on Form 8-K filed with the SEC on August 12, 2019)</w:t>
            </w:r>
          </w:p>
        </w:tc>
      </w:tr>
      <w:tr>
        <w:trPr>
          <w:trHeight w:val="202"/>
        </w:trPr>
        <w:tc>
          <w:tcPr>
            <w:tcW w:w="800" w:type="dxa"/>
            <w:vAlign w:val="bottom"/>
            <w:gridSpan w:val="2"/>
            <w:shd w:val="clear" w:color="auto" w:fill="CCEEFF"/>
          </w:tcPr>
          <w:p>
            <w:pPr>
              <w:jc w:val="right"/>
              <w:ind w:right="100"/>
              <w:spacing w:after="0" w:line="201" w:lineRule="exact"/>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10.1</w:t>
              </w:r>
            </w:hyperlink>
          </w:p>
        </w:tc>
        <w:tc>
          <w:tcPr>
            <w:tcW w:w="104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Letter Agreement, dated August 7, 2019, among the Company and its officers and directors and Silver Spike Sponsor, LLC (incorporated</w:t>
            </w:r>
          </w:p>
        </w:tc>
      </w:tr>
      <w:tr>
        <w:trPr>
          <w:trHeight w:val="230"/>
        </w:trPr>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herein by reference to Exhibit 10.1 of the Company’s Current Report on Form 8-K filed with the SEC on August 12, 2019)</w:t>
            </w:r>
          </w:p>
        </w:tc>
      </w:tr>
      <w:tr>
        <w:trPr>
          <w:trHeight w:val="202"/>
        </w:trPr>
        <w:tc>
          <w:tcPr>
            <w:tcW w:w="800" w:type="dxa"/>
            <w:vAlign w:val="bottom"/>
            <w:gridSpan w:val="2"/>
          </w:tcPr>
          <w:p>
            <w:pPr>
              <w:jc w:val="right"/>
              <w:ind w:right="100"/>
              <w:spacing w:after="0" w:line="201" w:lineRule="exact"/>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10.2</w:t>
              </w:r>
            </w:hyperlink>
          </w:p>
        </w:tc>
        <w:tc>
          <w:tcPr>
            <w:tcW w:w="104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7"/>
              </w:rPr>
              <w:t>Investment Management Trust Agreement, dated December 10, 2019, between the Company and Continental Stock Transfer &amp; Trust</w:t>
            </w: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w w:val="93"/>
              </w:rPr>
              <w:t>Company, as trustee (incorporated herein by reference to Exhibit 10.2 of the Company’s Current Report on Form 8-K filed with the SEC on</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August 12, 2019)</w:t>
            </w:r>
          </w:p>
        </w:tc>
      </w:tr>
      <w:tr>
        <w:trPr>
          <w:trHeight w:val="202"/>
        </w:trPr>
        <w:tc>
          <w:tcPr>
            <w:tcW w:w="800" w:type="dxa"/>
            <w:vAlign w:val="bottom"/>
            <w:gridSpan w:val="2"/>
            <w:shd w:val="clear" w:color="auto" w:fill="CCEEFF"/>
          </w:tcPr>
          <w:p>
            <w:pPr>
              <w:jc w:val="right"/>
              <w:ind w:right="100"/>
              <w:spacing w:after="0" w:line="201" w:lineRule="exact"/>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10.3</w:t>
              </w:r>
            </w:hyperlink>
          </w:p>
        </w:tc>
        <w:tc>
          <w:tcPr>
            <w:tcW w:w="104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Registration Rights Agreement, dated December 10, 2019, between the Company and certain security holders (incorporated herein by</w:t>
            </w:r>
          </w:p>
        </w:tc>
      </w:tr>
      <w:tr>
        <w:trPr>
          <w:trHeight w:val="230"/>
        </w:trPr>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reference to Exhibit 10.3 of the Company’s Current Report on Form 8-K filed with the SEC on August 12, 2019)</w:t>
            </w:r>
          </w:p>
        </w:tc>
      </w:tr>
      <w:tr>
        <w:trPr>
          <w:trHeight w:val="202"/>
        </w:trPr>
        <w:tc>
          <w:tcPr>
            <w:tcW w:w="800" w:type="dxa"/>
            <w:vAlign w:val="bottom"/>
            <w:gridSpan w:val="2"/>
          </w:tcPr>
          <w:p>
            <w:pPr>
              <w:jc w:val="right"/>
              <w:ind w:right="100"/>
              <w:spacing w:after="0" w:line="201" w:lineRule="exact"/>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10.4</w:t>
              </w:r>
            </w:hyperlink>
          </w:p>
        </w:tc>
        <w:tc>
          <w:tcPr>
            <w:tcW w:w="104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1"/>
              </w:rPr>
              <w:t>Administrative Services Agreement, dated December 10, 2019, between the Company and Silver Spike Sponsor, LLC (incorporated herein by</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10.4 of the Company’s Current Report on Form 8-K filed with the SEC on August 12, 2019)</w:t>
            </w:r>
          </w:p>
        </w:tc>
      </w:tr>
      <w:tr>
        <w:trPr>
          <w:trHeight w:val="202"/>
        </w:trPr>
        <w:tc>
          <w:tcPr>
            <w:tcW w:w="800" w:type="dxa"/>
            <w:vAlign w:val="bottom"/>
            <w:gridSpan w:val="2"/>
            <w:shd w:val="clear" w:color="auto" w:fill="CCEEFF"/>
          </w:tcPr>
          <w:p>
            <w:pPr>
              <w:jc w:val="right"/>
              <w:ind w:right="100"/>
              <w:spacing w:after="0" w:line="201" w:lineRule="exact"/>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10.5</w:t>
              </w:r>
            </w:hyperlink>
          </w:p>
        </w:tc>
        <w:tc>
          <w:tcPr>
            <w:tcW w:w="104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Sponsor Warrants Purchase Agreement, dated December 10, 2019, between the Company and Silver Spike Sponsor, LLC (incorporated herein</w:t>
            </w:r>
          </w:p>
        </w:tc>
      </w:tr>
      <w:tr>
        <w:trPr>
          <w:trHeight w:val="230"/>
        </w:trPr>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by reference to Exhibit 10.5 of the Company’s Current Report on Form 8-K filed with the SEC on August 12, 2019)</w:t>
            </w:r>
          </w:p>
        </w:tc>
      </w:tr>
      <w:tr>
        <w:trPr>
          <w:trHeight w:val="202"/>
        </w:trPr>
        <w:tc>
          <w:tcPr>
            <w:tcW w:w="800" w:type="dxa"/>
            <w:vAlign w:val="bottom"/>
            <w:gridSpan w:val="2"/>
          </w:tcPr>
          <w:p>
            <w:pPr>
              <w:jc w:val="right"/>
              <w:ind w:right="100"/>
              <w:spacing w:after="0" w:line="201" w:lineRule="exact"/>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10.6</w:t>
              </w:r>
            </w:hyperlink>
          </w:p>
        </w:tc>
        <w:tc>
          <w:tcPr>
            <w:tcW w:w="104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Agreement and Plan of Merger, dated December 10, 2020, by and among Silver Spike, Merger Sub, WMH and the Holder Representative</w:t>
            </w: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w w:val="98"/>
              </w:rPr>
              <w:t>named therein (incorporated herein by reference to Exhibit 2.1 of the Company’s Current Report on Form 8-K filed with the SEC on</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December 10, 2020)</w:t>
            </w:r>
          </w:p>
        </w:tc>
      </w:tr>
      <w:tr>
        <w:trPr>
          <w:trHeight w:val="202"/>
        </w:trPr>
        <w:tc>
          <w:tcPr>
            <w:tcW w:w="800" w:type="dxa"/>
            <w:vAlign w:val="bottom"/>
            <w:gridSpan w:val="2"/>
            <w:shd w:val="clear" w:color="auto" w:fill="CCEEFF"/>
          </w:tcPr>
          <w:p>
            <w:pPr>
              <w:jc w:val="right"/>
              <w:ind w:right="100"/>
              <w:spacing w:after="0" w:line="201" w:lineRule="exact"/>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10.7</w:t>
              </w:r>
            </w:hyperlink>
          </w:p>
        </w:tc>
        <w:tc>
          <w:tcPr>
            <w:tcW w:w="104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Form of Subscription Agreement (incorporated herein by reference to Exhibit 10.1 of the Company’s Current Report on Form 8-K filed with</w:t>
            </w:r>
          </w:p>
        </w:tc>
      </w:tr>
      <w:tr>
        <w:trPr>
          <w:trHeight w:val="230"/>
        </w:trPr>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the SEC on December 10, 2020)</w:t>
            </w:r>
          </w:p>
        </w:tc>
      </w:tr>
      <w:tr>
        <w:trPr>
          <w:trHeight w:val="202"/>
        </w:trPr>
        <w:tc>
          <w:tcPr>
            <w:tcW w:w="800" w:type="dxa"/>
            <w:vAlign w:val="bottom"/>
            <w:gridSpan w:val="2"/>
          </w:tcPr>
          <w:p>
            <w:pPr>
              <w:jc w:val="right"/>
              <w:ind w:right="100"/>
              <w:spacing w:after="0" w:line="201" w:lineRule="exact"/>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10.8</w:t>
              </w:r>
            </w:hyperlink>
          </w:p>
        </w:tc>
        <w:tc>
          <w:tcPr>
            <w:tcW w:w="104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0"/>
              </w:rPr>
              <w:t>Form of Voting and Support Agreement, dated December 10, 2020 (incorporated herein by reference to Exhibit 10.2 of the Company’s Current</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Report on Form 8-K filed with the SEC on December 16, 2020)</w:t>
            </w:r>
          </w:p>
        </w:tc>
      </w:tr>
      <w:tr>
        <w:trPr>
          <w:trHeight w:val="202"/>
        </w:trPr>
        <w:tc>
          <w:tcPr>
            <w:tcW w:w="800" w:type="dxa"/>
            <w:vAlign w:val="bottom"/>
            <w:gridSpan w:val="2"/>
            <w:shd w:val="clear" w:color="auto" w:fill="CCEEFF"/>
          </w:tcPr>
          <w:p>
            <w:pPr>
              <w:jc w:val="right"/>
              <w:ind w:right="100"/>
              <w:spacing w:after="0" w:line="201" w:lineRule="exact"/>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10.9</w:t>
              </w:r>
            </w:hyperlink>
          </w:p>
        </w:tc>
        <w:tc>
          <w:tcPr>
            <w:tcW w:w="104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Sponsor Letter Agreement, dated December 10, 2020, by and among Silver Spike, Merger Sub and WMH (incorporated herein by reference to</w:t>
            </w:r>
          </w:p>
        </w:tc>
      </w:tr>
      <w:tr>
        <w:trPr>
          <w:trHeight w:val="230"/>
        </w:trPr>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Exhibit 10.3 of the Company’s Current Report on Form 8-K filed with the SEC on December 16, 2020)</w:t>
            </w:r>
          </w:p>
        </w:tc>
      </w:tr>
      <w:tr>
        <w:trPr>
          <w:trHeight w:val="202"/>
        </w:trPr>
        <w:tc>
          <w:tcPr>
            <w:tcW w:w="800" w:type="dxa"/>
            <w:vAlign w:val="bottom"/>
            <w:gridSpan w:val="2"/>
          </w:tcPr>
          <w:p>
            <w:pPr>
              <w:jc w:val="right"/>
              <w:ind w:right="100"/>
              <w:spacing w:after="0" w:line="201" w:lineRule="exact"/>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10.10</w:t>
              </w:r>
            </w:hyperlink>
          </w:p>
        </w:tc>
        <w:tc>
          <w:tcPr>
            <w:tcW w:w="104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5"/>
              </w:rPr>
              <w:t>Promissory Note dated February 18, 2021, issued by Silver Spike Acquisition Corp. to the Sponsor (incorporated herein by reference to</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Exhibit 10.1 of the Company’s Current Report on Form 8-K filed with the SEC on February 18, 2021)</w:t>
            </w:r>
          </w:p>
        </w:tc>
      </w:tr>
      <w:tr>
        <w:trPr>
          <w:trHeight w:val="202"/>
        </w:trPr>
        <w:tc>
          <w:tcPr>
            <w:tcW w:w="800" w:type="dxa"/>
            <w:vAlign w:val="bottom"/>
            <w:gridSpan w:val="2"/>
            <w:shd w:val="clear" w:color="auto" w:fill="CCEEFF"/>
          </w:tcPr>
          <w:p>
            <w:pPr>
              <w:jc w:val="right"/>
              <w:ind w:right="100"/>
              <w:spacing w:after="0" w:line="201" w:lineRule="exact"/>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31.1</w:t>
              </w:r>
            </w:hyperlink>
          </w:p>
        </w:tc>
        <w:tc>
          <w:tcPr>
            <w:tcW w:w="104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Certification of the Registrant’s Chief Executive Officer (Principal Executive Officer) Pursuant to Rules 13a-14(a) and 15d-14(a) under the</w:t>
            </w:r>
          </w:p>
        </w:tc>
      </w:tr>
      <w:tr>
        <w:trPr>
          <w:trHeight w:val="230"/>
        </w:trPr>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Securities Exchange Act of 1934, as Adopted Pursuant to Section 302 of the Sarbanes-Oxley Act of 2002*</w:t>
            </w:r>
          </w:p>
        </w:tc>
      </w:tr>
      <w:tr>
        <w:trPr>
          <w:trHeight w:val="202"/>
        </w:trPr>
        <w:tc>
          <w:tcPr>
            <w:tcW w:w="800" w:type="dxa"/>
            <w:vAlign w:val="bottom"/>
            <w:gridSpan w:val="2"/>
          </w:tcPr>
          <w:p>
            <w:pPr>
              <w:jc w:val="right"/>
              <w:ind w:right="100"/>
              <w:spacing w:after="0" w:line="201" w:lineRule="exact"/>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31.2</w:t>
              </w:r>
            </w:hyperlink>
          </w:p>
        </w:tc>
        <w:tc>
          <w:tcPr>
            <w:tcW w:w="104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4"/>
              </w:rPr>
              <w:t>Certification of the Registrant’s Chief Financial Officer (Principal Financial and Accounting Officer) Pursuant to Rules 13a-14(a) and 15d-</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14(a) under the Securities Exchange Act of 1934, as Adopted Pursuant to Section 302 of the Sarbanes-Oxley Act of 2002*</w:t>
            </w:r>
          </w:p>
        </w:tc>
      </w:tr>
      <w:tr>
        <w:trPr>
          <w:trHeight w:val="202"/>
        </w:trPr>
        <w:tc>
          <w:tcPr>
            <w:tcW w:w="800" w:type="dxa"/>
            <w:vAlign w:val="bottom"/>
            <w:gridSpan w:val="2"/>
            <w:shd w:val="clear" w:color="auto" w:fill="CCEEFF"/>
          </w:tcPr>
          <w:p>
            <w:pPr>
              <w:jc w:val="right"/>
              <w:ind w:right="100"/>
              <w:spacing w:after="0" w:line="201" w:lineRule="exact"/>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32.1</w:t>
              </w:r>
            </w:hyperlink>
          </w:p>
        </w:tc>
        <w:tc>
          <w:tcPr>
            <w:tcW w:w="104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Certification of the Registrant’s Chief Executive Officer (Principal Executive Officer) Pursuant to 18 U.S.C. Section 1350, as Adopted</w:t>
            </w:r>
          </w:p>
        </w:tc>
      </w:tr>
      <w:tr>
        <w:trPr>
          <w:trHeight w:val="230"/>
        </w:trPr>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02"/>
        </w:trPr>
        <w:tc>
          <w:tcPr>
            <w:tcW w:w="800" w:type="dxa"/>
            <w:vAlign w:val="bottom"/>
            <w:gridSpan w:val="2"/>
          </w:tcPr>
          <w:p>
            <w:pPr>
              <w:jc w:val="right"/>
              <w:ind w:right="100"/>
              <w:spacing w:after="0" w:line="201" w:lineRule="exact"/>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32.2</w:t>
              </w:r>
            </w:hyperlink>
          </w:p>
        </w:tc>
        <w:tc>
          <w:tcPr>
            <w:tcW w:w="104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Certification of the Registrant’s Chief Financial Officer (Principal Financial and Accounting Officer) Pursuant to 18 U.S.C. Section 1350, as</w:t>
            </w: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216"/>
        </w:trPr>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101.INS</w:t>
            </w: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r>
      <w:tr>
        <w:trPr>
          <w:trHeight w:val="216"/>
        </w:trPr>
        <w:tc>
          <w:tcPr>
            <w:tcW w:w="80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101.SCH</w:t>
            </w: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101.CAL</w:t>
            </w: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101.DEF</w:t>
            </w: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101.LAB</w:t>
            </w: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101.PRE</w:t>
            </w: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1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40" w:firstLine="324"/>
        <w:spacing w:after="0" w:line="328" w:lineRule="auto"/>
        <w:rPr>
          <w:sz w:val="20"/>
          <w:szCs w:val="20"/>
          <w:color w:val="auto"/>
        </w:rPr>
      </w:pPr>
      <w:r>
        <w:rPr>
          <w:rFonts w:ascii="Arial" w:cs="Arial" w:eastAsia="Arial" w:hAnsi="Arial"/>
          <w:sz w:val="19"/>
          <w:szCs w:val="19"/>
          <w:color w:val="auto"/>
        </w:rPr>
        <w:t>Pursuant to the requirements of Section 13 or 15(d) of the Securities Act of 1934, as amended, the registrant has duly caused this Annual Report on Form 10-K to be signed on its behalf by the undersigned, thereunto duly authorized, on March 8, 2021.</w:t>
      </w:r>
    </w:p>
    <w:p>
      <w:pPr>
        <w:spacing w:after="0" w:line="13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Silver Spike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28460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Scott Gordon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 and Chairman</w:t>
      </w:r>
    </w:p>
    <w:p>
      <w:pPr>
        <w:spacing w:after="0" w:line="231"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as amended, this Annual Report on Form 10-K has been signed by the following persons in the capacity and on the dates indicated.</w:t>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76593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6593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Gordon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6593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Healy</w:t>
      </w:r>
    </w:p>
    <w:p>
      <w:pPr>
        <w:spacing w:after="0" w:line="225" w:lineRule="exact"/>
        <w:rPr>
          <w:sz w:val="20"/>
          <w:szCs w:val="20"/>
          <w:color w:val="auto"/>
        </w:rPr>
      </w:pPr>
    </w:p>
    <w:p>
      <w:pPr>
        <w:ind w:right="540"/>
        <w:spacing w:after="0" w:line="377" w:lineRule="auto"/>
        <w:rPr>
          <w:sz w:val="20"/>
          <w:szCs w:val="20"/>
          <w:color w:val="auto"/>
        </w:rPr>
      </w:pPr>
      <w:r>
        <w:rPr>
          <w:rFonts w:ascii="Arial" w:cs="Arial" w:eastAsia="Arial" w:hAnsi="Arial"/>
          <w:sz w:val="16"/>
          <w:szCs w:val="16"/>
          <w:color w:val="auto"/>
        </w:rPr>
        <w:t>/s/ Gregory M. Gentile Gregory M.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6593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 Orrin Devinsky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6593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Orrin Devinsky</w:t>
      </w:r>
    </w:p>
    <w:p>
      <w:pPr>
        <w:spacing w:after="0" w:line="225" w:lineRule="exact"/>
        <w:rPr>
          <w:sz w:val="20"/>
          <w:szCs w:val="20"/>
          <w:color w:val="auto"/>
        </w:rPr>
      </w:pPr>
    </w:p>
    <w:p>
      <w:pPr>
        <w:ind w:right="420"/>
        <w:spacing w:after="0" w:line="377" w:lineRule="auto"/>
        <w:rPr>
          <w:sz w:val="20"/>
          <w:szCs w:val="20"/>
          <w:color w:val="auto"/>
        </w:rPr>
      </w:pPr>
      <w:r>
        <w:rPr>
          <w:rFonts w:ascii="Arial" w:cs="Arial" w:eastAsia="Arial" w:hAnsi="Arial"/>
          <w:sz w:val="16"/>
          <w:szCs w:val="16"/>
          <w:color w:val="auto"/>
        </w:rPr>
        <w:t>/s/ Richard M. Goldman Richard M.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6593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77" w:lineRule="exact"/>
        <w:rPr>
          <w:sz w:val="20"/>
          <w:szCs w:val="20"/>
          <w:color w:val="auto"/>
        </w:rPr>
      </w:pPr>
    </w:p>
    <w:p>
      <w:pPr>
        <w:ind w:right="600"/>
        <w:spacing w:after="0" w:line="377" w:lineRule="auto"/>
        <w:rPr>
          <w:sz w:val="20"/>
          <w:szCs w:val="20"/>
          <w:color w:val="auto"/>
        </w:rPr>
      </w:pPr>
      <w:r>
        <w:rPr>
          <w:rFonts w:ascii="Arial" w:cs="Arial" w:eastAsia="Arial" w:hAnsi="Arial"/>
          <w:sz w:val="16"/>
          <w:szCs w:val="16"/>
          <w:color w:val="auto"/>
        </w:rPr>
        <w:t>/s/ Kenneth H. Landis Kenneth H.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659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54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Positon</w:t>
            </w:r>
          </w:p>
        </w:tc>
        <w:tc>
          <w:tcPr>
            <w:tcW w:w="120" w:type="dxa"/>
            <w:vAlign w:val="bottom"/>
          </w:tcPr>
          <w:p>
            <w:pPr>
              <w:spacing w:after="0"/>
              <w:rPr>
                <w:sz w:val="22"/>
                <w:szCs w:val="22"/>
                <w:color w:val="auto"/>
              </w:rPr>
            </w:pPr>
          </w:p>
        </w:tc>
        <w:tc>
          <w:tcPr>
            <w:tcW w:w="168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Date</w:t>
            </w:r>
          </w:p>
        </w:tc>
      </w:tr>
      <w:tr>
        <w:trPr>
          <w:trHeight w:val="553"/>
        </w:trPr>
        <w:tc>
          <w:tcPr>
            <w:tcW w:w="666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(Principal Executive Officer)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2021</w:t>
            </w:r>
          </w:p>
        </w:tc>
      </w:tr>
      <w:tr>
        <w:trPr>
          <w:trHeight w:val="675"/>
        </w:trPr>
        <w:tc>
          <w:tcPr>
            <w:tcW w:w="666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2021</w:t>
            </w:r>
          </w:p>
        </w:tc>
      </w:tr>
      <w:tr>
        <w:trPr>
          <w:trHeight w:val="675"/>
        </w:trPr>
        <w:tc>
          <w:tcPr>
            <w:tcW w:w="666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2021</w:t>
            </w:r>
          </w:p>
        </w:tc>
      </w:tr>
      <w:tr>
        <w:trPr>
          <w:trHeight w:val="675"/>
        </w:trPr>
        <w:tc>
          <w:tcPr>
            <w:tcW w:w="6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2021</w:t>
            </w:r>
          </w:p>
        </w:tc>
      </w:tr>
      <w:tr>
        <w:trPr>
          <w:trHeight w:val="675"/>
        </w:trPr>
        <w:tc>
          <w:tcPr>
            <w:tcW w:w="6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2021</w:t>
            </w:r>
          </w:p>
        </w:tc>
      </w:tr>
      <w:tr>
        <w:trPr>
          <w:trHeight w:val="675"/>
        </w:trPr>
        <w:tc>
          <w:tcPr>
            <w:tcW w:w="6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2021</w:t>
            </w:r>
          </w:p>
        </w:tc>
      </w:tr>
    </w:tbl>
    <w:p>
      <w:pPr>
        <w:spacing w:after="0" w:line="426" w:lineRule="exact"/>
        <w:rPr>
          <w:sz w:val="20"/>
          <w:szCs w:val="20"/>
          <w:color w:val="auto"/>
        </w:rPr>
      </w:pPr>
    </w:p>
    <w:p>
      <w:pPr>
        <w:sectPr>
          <w:pgSz w:w="11900" w:h="16838" w:orient="portrait"/>
          <w:cols w:equalWidth="0" w:num="2">
            <w:col w:w="2180" w:space="720"/>
            <w:col w:w="8340"/>
          </w:cols>
          <w:pgMar w:left="320" w:top="121" w:right="339" w:bottom="1440" w:gutter="0" w:footer="0" w:header="0"/>
          <w:type w:val="continuous"/>
        </w:sectPr>
      </w:pP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CEEFF"/>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Report of Independent Registered Public Accounting Firm</w:t>
              </w:r>
            </w:hyperlink>
          </w:p>
        </w:tc>
        <w:tc>
          <w:tcPr>
            <w:tcW w:w="6200" w:type="dxa"/>
            <w:vAlign w:val="bottom"/>
            <w:shd w:val="clear" w:color="auto" w:fill="CCEEFF"/>
          </w:tcPr>
          <w:p>
            <w:pPr>
              <w:jc w:val="center"/>
              <w:ind w:left="4933"/>
              <w:spacing w:after="0"/>
              <w:rPr>
                <w:sz w:val="20"/>
                <w:szCs w:val="20"/>
                <w:color w:val="auto"/>
              </w:rPr>
            </w:pPr>
            <w:r>
              <w:rPr>
                <w:rFonts w:ascii="Arial" w:cs="Arial" w:eastAsia="Arial" w:hAnsi="Arial"/>
                <w:sz w:val="18"/>
                <w:szCs w:val="18"/>
                <w:color w:val="auto"/>
                <w:w w:val="96"/>
              </w:rPr>
              <w:t>F-2</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Financial Statements:</w:t>
            </w:r>
          </w:p>
        </w:tc>
        <w:tc>
          <w:tcPr>
            <w:tcW w:w="6200" w:type="dxa"/>
            <w:vAlign w:val="bottom"/>
          </w:tcPr>
          <w:p>
            <w:pPr>
              <w:spacing w:after="0"/>
              <w:rPr>
                <w:sz w:val="18"/>
                <w:szCs w:val="18"/>
                <w:color w:val="auto"/>
              </w:rPr>
            </w:pPr>
          </w:p>
        </w:tc>
      </w:tr>
      <w:tr>
        <w:trPr>
          <w:trHeight w:val="216"/>
        </w:trPr>
        <w:tc>
          <w:tcPr>
            <w:tcW w:w="5040" w:type="dxa"/>
            <w:vAlign w:val="bottom"/>
            <w:shd w:val="clear" w:color="auto" w:fill="CCEEFF"/>
          </w:tcPr>
          <w:p>
            <w:pPr>
              <w:ind w:left="18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Consolidated Balance Sheets</w:t>
              </w:r>
            </w:hyperlink>
          </w:p>
        </w:tc>
        <w:tc>
          <w:tcPr>
            <w:tcW w:w="6200" w:type="dxa"/>
            <w:vAlign w:val="bottom"/>
            <w:shd w:val="clear" w:color="auto" w:fill="CCEEFF"/>
          </w:tcPr>
          <w:p>
            <w:pPr>
              <w:jc w:val="center"/>
              <w:ind w:left="4933"/>
              <w:spacing w:after="0"/>
              <w:rPr>
                <w:sz w:val="20"/>
                <w:szCs w:val="20"/>
                <w:color w:val="auto"/>
              </w:rPr>
            </w:pPr>
            <w:r>
              <w:rPr>
                <w:rFonts w:ascii="Arial" w:cs="Arial" w:eastAsia="Arial" w:hAnsi="Arial"/>
                <w:sz w:val="18"/>
                <w:szCs w:val="18"/>
                <w:color w:val="auto"/>
                <w:w w:val="96"/>
              </w:rPr>
              <w:t>F-3</w:t>
            </w:r>
          </w:p>
        </w:tc>
      </w:tr>
      <w:tr>
        <w:trPr>
          <w:trHeight w:val="216"/>
        </w:trPr>
        <w:tc>
          <w:tcPr>
            <w:tcW w:w="5040" w:type="dxa"/>
            <w:vAlign w:val="bottom"/>
          </w:tcPr>
          <w:p>
            <w:pPr>
              <w:ind w:left="18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Consolidated Statements of Operations</w:t>
              </w:r>
            </w:hyperlink>
          </w:p>
        </w:tc>
        <w:tc>
          <w:tcPr>
            <w:tcW w:w="6200" w:type="dxa"/>
            <w:vAlign w:val="bottom"/>
          </w:tcPr>
          <w:p>
            <w:pPr>
              <w:jc w:val="center"/>
              <w:ind w:left="4933"/>
              <w:spacing w:after="0"/>
              <w:rPr>
                <w:sz w:val="20"/>
                <w:szCs w:val="20"/>
                <w:color w:val="auto"/>
              </w:rPr>
            </w:pPr>
            <w:r>
              <w:rPr>
                <w:rFonts w:ascii="Arial" w:cs="Arial" w:eastAsia="Arial" w:hAnsi="Arial"/>
                <w:sz w:val="18"/>
                <w:szCs w:val="18"/>
                <w:color w:val="auto"/>
                <w:w w:val="96"/>
              </w:rPr>
              <w:t>F-4</w:t>
            </w:r>
          </w:p>
        </w:tc>
      </w:tr>
      <w:tr>
        <w:trPr>
          <w:trHeight w:val="216"/>
        </w:trPr>
        <w:tc>
          <w:tcPr>
            <w:tcW w:w="5040" w:type="dxa"/>
            <w:vAlign w:val="bottom"/>
            <w:shd w:val="clear" w:color="auto" w:fill="CCEEFF"/>
          </w:tcPr>
          <w:p>
            <w:pPr>
              <w:ind w:left="180"/>
              <w:spacing w:after="0"/>
              <w:rPr>
                <w:rFonts w:ascii="Arial" w:cs="Arial" w:eastAsia="Arial" w:hAnsi="Arial"/>
                <w:sz w:val="18"/>
                <w:szCs w:val="18"/>
                <w:u w:val="single" w:color="auto"/>
                <w:color w:val="0000EE"/>
                <w:w w:val="99"/>
              </w:rPr>
            </w:pPr>
            <w:hyperlink w:anchor="page89">
              <w:r>
                <w:rPr>
                  <w:rFonts w:ascii="Arial" w:cs="Arial" w:eastAsia="Arial" w:hAnsi="Arial"/>
                  <w:sz w:val="18"/>
                  <w:szCs w:val="18"/>
                  <w:u w:val="single" w:color="auto"/>
                  <w:color w:val="0000EE"/>
                  <w:w w:val="99"/>
                </w:rPr>
                <w:t>Consolidated Statements of Changes in Shareholders’ Equity</w:t>
              </w:r>
            </w:hyperlink>
          </w:p>
        </w:tc>
        <w:tc>
          <w:tcPr>
            <w:tcW w:w="6200" w:type="dxa"/>
            <w:vAlign w:val="bottom"/>
            <w:shd w:val="clear" w:color="auto" w:fill="CCEEFF"/>
          </w:tcPr>
          <w:p>
            <w:pPr>
              <w:jc w:val="center"/>
              <w:ind w:left="4933"/>
              <w:spacing w:after="0"/>
              <w:rPr>
                <w:sz w:val="20"/>
                <w:szCs w:val="20"/>
                <w:color w:val="auto"/>
              </w:rPr>
            </w:pPr>
            <w:r>
              <w:rPr>
                <w:rFonts w:ascii="Arial" w:cs="Arial" w:eastAsia="Arial" w:hAnsi="Arial"/>
                <w:sz w:val="18"/>
                <w:szCs w:val="18"/>
                <w:color w:val="auto"/>
                <w:w w:val="96"/>
              </w:rPr>
              <w:t>F-5</w:t>
            </w:r>
          </w:p>
        </w:tc>
      </w:tr>
      <w:tr>
        <w:trPr>
          <w:trHeight w:val="216"/>
        </w:trPr>
        <w:tc>
          <w:tcPr>
            <w:tcW w:w="5040" w:type="dxa"/>
            <w:vAlign w:val="bottom"/>
          </w:tcPr>
          <w:p>
            <w:pPr>
              <w:ind w:left="18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Consolidated Statements of Cash Flows</w:t>
              </w:r>
            </w:hyperlink>
          </w:p>
        </w:tc>
        <w:tc>
          <w:tcPr>
            <w:tcW w:w="6200" w:type="dxa"/>
            <w:vAlign w:val="bottom"/>
          </w:tcPr>
          <w:p>
            <w:pPr>
              <w:jc w:val="center"/>
              <w:ind w:left="4933"/>
              <w:spacing w:after="0"/>
              <w:rPr>
                <w:sz w:val="20"/>
                <w:szCs w:val="20"/>
                <w:color w:val="auto"/>
              </w:rPr>
            </w:pPr>
            <w:r>
              <w:rPr>
                <w:rFonts w:ascii="Arial" w:cs="Arial" w:eastAsia="Arial" w:hAnsi="Arial"/>
                <w:sz w:val="18"/>
                <w:szCs w:val="18"/>
                <w:color w:val="auto"/>
                <w:w w:val="96"/>
              </w:rPr>
              <w:t>F-6</w:t>
            </w:r>
          </w:p>
        </w:tc>
      </w:tr>
      <w:tr>
        <w:trPr>
          <w:trHeight w:val="216"/>
        </w:trPr>
        <w:tc>
          <w:tcPr>
            <w:tcW w:w="5040" w:type="dxa"/>
            <w:vAlign w:val="bottom"/>
            <w:shd w:val="clear" w:color="auto" w:fill="CCEEFF"/>
          </w:tcPr>
          <w:p>
            <w:pPr>
              <w:ind w:left="18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Notes to Consolidated Financial Statements</w:t>
              </w:r>
            </w:hyperlink>
          </w:p>
        </w:tc>
        <w:tc>
          <w:tcPr>
            <w:tcW w:w="6200" w:type="dxa"/>
            <w:vAlign w:val="bottom"/>
            <w:shd w:val="clear" w:color="auto" w:fill="CCEEFF"/>
          </w:tcPr>
          <w:p>
            <w:pPr>
              <w:jc w:val="center"/>
              <w:ind w:left="4933"/>
              <w:spacing w:after="0"/>
              <w:rPr>
                <w:sz w:val="20"/>
                <w:szCs w:val="20"/>
                <w:color w:val="auto"/>
              </w:rPr>
            </w:pPr>
            <w:r>
              <w:rPr>
                <w:rFonts w:ascii="Arial" w:cs="Arial" w:eastAsia="Arial" w:hAnsi="Arial"/>
                <w:sz w:val="18"/>
                <w:szCs w:val="18"/>
                <w:color w:val="auto"/>
                <w:w w:val="92"/>
              </w:rPr>
              <w:t>F-7 to F-16</w:t>
            </w:r>
          </w:p>
        </w:tc>
      </w:tr>
      <w:tr>
        <w:trPr>
          <w:trHeight w:val="595"/>
        </w:trPr>
        <w:tc>
          <w:tcPr>
            <w:tcW w:w="5040" w:type="dxa"/>
            <w:vAlign w:val="bottom"/>
          </w:tcPr>
          <w:p>
            <w:pPr>
              <w:spacing w:after="0"/>
              <w:rPr>
                <w:sz w:val="24"/>
                <w:szCs w:val="24"/>
                <w:color w:val="auto"/>
              </w:rPr>
            </w:pPr>
          </w:p>
        </w:tc>
        <w:tc>
          <w:tcPr>
            <w:tcW w:w="6200" w:type="dxa"/>
            <w:vAlign w:val="bottom"/>
          </w:tcPr>
          <w:p>
            <w:pPr>
              <w:ind w:left="480"/>
              <w:spacing w:after="0"/>
              <w:rPr>
                <w:sz w:val="20"/>
                <w:szCs w:val="20"/>
                <w:color w:val="auto"/>
              </w:rPr>
            </w:pPr>
            <w:r>
              <w:rPr>
                <w:rFonts w:ascii="Arial" w:cs="Arial" w:eastAsia="Arial" w:hAnsi="Arial"/>
                <w:sz w:val="14"/>
                <w:szCs w:val="14"/>
                <w:color w:val="auto"/>
              </w:rPr>
              <w:t>F-1</w:t>
            </w:r>
          </w:p>
        </w:tc>
      </w:tr>
      <w:tr>
        <w:trPr>
          <w:trHeight w:val="46"/>
        </w:trPr>
        <w:tc>
          <w:tcPr>
            <w:tcW w:w="5040" w:type="dxa"/>
            <w:vAlign w:val="bottom"/>
            <w:tcBorders>
              <w:bottom w:val="single" w:sz="8" w:color="auto"/>
            </w:tcBorders>
          </w:tcPr>
          <w:p>
            <w:pPr>
              <w:spacing w:after="0"/>
              <w:rPr>
                <w:sz w:val="4"/>
                <w:szCs w:val="4"/>
                <w:color w:val="auto"/>
              </w:rPr>
            </w:pPr>
          </w:p>
        </w:tc>
        <w:tc>
          <w:tcPr>
            <w:tcW w:w="62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and Board of Directors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Silver Spike Acquisition Corp.</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2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We have audited the accompanying consolidated balance sheets of Silver Spike Acquisition Corp. (the “Company”) as of December 31, 2020 and 2019, the related consolidated statements of operations, changes in shareholders’ equity and cash flows for year ended December 31, 2020 and for the period from June 7, 2019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 ended December 31, 2020 and for the period from June 7, 2019 (inception) through December 31, 2019,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Explanatory Paragraph – Going Concern</w:t>
      </w:r>
    </w:p>
    <w:p>
      <w:pPr>
        <w:spacing w:after="0" w:line="23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The accompanying consolidated financial statements have been prepared assuming that the Company will continue as a going concern. As discussed in Note 1 to the financial statements, the Company’s business plan is dependent on the completion of a business combination and the Company’s cash and working capital as of December 31, 2020 are not sufficient to complete its planned activities.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3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S</w:t>
      </w:r>
      <w:r>
        <w:rPr>
          <w:rFonts w:ascii="Arial" w:cs="Arial" w:eastAsia="Arial" w:hAnsi="Arial"/>
          <w:sz w:val="22"/>
          <w:szCs w:val="22"/>
          <w:color w:val="auto"/>
        </w:rPr>
        <w:t>/ Marcum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Marcum LLP</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2019</w:t>
      </w:r>
      <w:r>
        <w:rPr>
          <w:rFonts w:ascii="Arial" w:cs="Arial" w:eastAsia="Arial" w:hAnsi="Arial"/>
          <w:sz w:val="22"/>
          <w:szCs w:val="22"/>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New York, 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8,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SILVER SPIKE ACQUISITION CORP.</w:t>
      </w:r>
    </w:p>
    <w:p>
      <w:pPr>
        <w:spacing w:after="0" w:line="14"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CONSOLIDATED 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5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894,589</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30,833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257,110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343,540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1,151,699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254,187,706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251,924,993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254,531,246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253,076,692</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 accounts payable and accrued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3,152,970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8,750,000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11,902,970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8,846,895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Class A ordinary shares subject to possible redemption, 23,371,338 and 23,740,181 shares at redemption value at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and 2019, respectively</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237,628,272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239,229,796</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A ordinary shares, $0.0001 par value; 200,000,000 shares authorized; 1,628,662 and 1,259,819 shares issued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and outstanding (excluding 23,371,338 and 23,740,181 shares subject to possible redemption) at December 31,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and 2019,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0"/>
              </w:rPr>
              <w:t>Class B ordinary shares, $0.0001 par value; 20,000,000 shares authorized; 6,250,000 shares issued and outstanding at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2020 and 2019</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4,982,578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3,381,091</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16,638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1,618,159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254,531,246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253,076,692</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For the</w:t>
            </w:r>
          </w:p>
        </w:tc>
      </w:tr>
      <w:tr>
        <w:trPr>
          <w:trHeight w:val="216"/>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Period</w:t>
            </w:r>
          </w:p>
        </w:tc>
      </w:tr>
      <w:tr>
        <w:trPr>
          <w:trHeight w:val="216"/>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from</w:t>
            </w:r>
          </w:p>
        </w:tc>
      </w:tr>
      <w:tr>
        <w:trPr>
          <w:trHeight w:val="216"/>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June 7, 2019</w:t>
            </w:r>
          </w:p>
        </w:tc>
      </w:tr>
      <w:tr>
        <w:trPr>
          <w:trHeight w:val="216"/>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Year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(Inception)</w:t>
            </w:r>
          </w:p>
        </w:tc>
      </w:tr>
      <w:tr>
        <w:trPr>
          <w:trHeight w:val="216"/>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Through</w:t>
            </w:r>
          </w:p>
        </w:tc>
      </w:tr>
      <w:tr>
        <w:trPr>
          <w:trHeight w:val="241"/>
        </w:trPr>
        <w:tc>
          <w:tcPr>
            <w:tcW w:w="80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 2020</w:t>
            </w:r>
          </w:p>
        </w:tc>
        <w:tc>
          <w:tcPr>
            <w:tcW w:w="1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2019</w:t>
            </w:r>
          </w:p>
        </w:tc>
      </w:tr>
      <w:tr>
        <w:trPr>
          <w:trHeight w:val="216"/>
        </w:trPr>
        <w:tc>
          <w:tcPr>
            <w:tcW w:w="80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3,864,234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(3,864,234)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(306,834)</w:t>
            </w:r>
          </w:p>
        </w:tc>
      </w:tr>
      <w:tr>
        <w:trPr>
          <w:trHeight w:val="216"/>
        </w:trPr>
        <w:tc>
          <w:tcPr>
            <w:tcW w:w="8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2,257,985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1,812,577</w:t>
            </w:r>
          </w:p>
        </w:tc>
      </w:tr>
      <w:tr>
        <w:trPr>
          <w:trHeight w:val="223"/>
        </w:trPr>
        <w:tc>
          <w:tcPr>
            <w:tcW w:w="800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2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112,416</w:t>
            </w:r>
          </w:p>
        </w:tc>
      </w:tr>
      <w:tr>
        <w:trPr>
          <w:trHeight w:val="223"/>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2,262,713</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1,924,993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tcPr>
          <w:p>
            <w:pPr>
              <w:spacing w:after="0"/>
              <w:rPr>
                <w:sz w:val="18"/>
                <w:szCs w:val="18"/>
                <w:color w:val="auto"/>
              </w:rPr>
            </w:pPr>
          </w:p>
        </w:tc>
        <w:tc>
          <w:tcPr>
            <w:tcW w:w="2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57"/>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(1,601,521)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1,618,159</w:t>
            </w:r>
          </w:p>
        </w:tc>
      </w:tr>
      <w:tr>
        <w:trPr>
          <w:trHeight w:val="209"/>
        </w:trPr>
        <w:tc>
          <w:tcPr>
            <w:tcW w:w="80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Ordinary shares subject to redemption</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23,699,368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23,754,184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Basic and diluted net income per share, Ordinary shares subject to redemption</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0.09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0.08</w:t>
            </w:r>
          </w:p>
        </w:tc>
        <w:tc>
          <w:tcPr>
            <w:tcW w:w="100" w:type="dxa"/>
            <w:vAlign w:val="bottom"/>
          </w:tcPr>
          <w:p>
            <w:pPr>
              <w:spacing w:after="0"/>
              <w:rPr>
                <w:sz w:val="18"/>
                <w:szCs w:val="18"/>
                <w:color w:val="auto"/>
              </w:rPr>
            </w:pPr>
          </w:p>
        </w:tc>
      </w:tr>
      <w:tr>
        <w:trPr>
          <w:trHeight w:val="21"/>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Ordinary shares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7,550,632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7,111,079</w:t>
            </w:r>
          </w:p>
        </w:tc>
        <w:tc>
          <w:tcPr>
            <w:tcW w:w="100" w:type="dxa"/>
            <w:vAlign w:val="bottom"/>
          </w:tcPr>
          <w:p>
            <w:pPr>
              <w:spacing w:after="0"/>
              <w:rPr>
                <w:sz w:val="18"/>
                <w:szCs w:val="18"/>
                <w:color w:val="auto"/>
              </w:rPr>
            </w:pPr>
          </w:p>
        </w:tc>
      </w:tr>
      <w:tr>
        <w:trPr>
          <w:trHeight w:val="21"/>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Ordinary shares</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(0.49)</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SHAREHOLDERS’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28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Class A</w:t>
            </w:r>
          </w:p>
        </w:tc>
        <w:tc>
          <w:tcPr>
            <w:tcW w:w="22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Class B</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1"/>
        </w:trPr>
        <w:tc>
          <w:tcPr>
            <w:tcW w:w="3140" w:type="dxa"/>
            <w:vAlign w:val="bottom"/>
          </w:tcPr>
          <w:p>
            <w:pPr>
              <w:spacing w:after="0"/>
              <w:rPr>
                <w:sz w:val="20"/>
                <w:szCs w:val="20"/>
                <w:color w:val="auto"/>
              </w:rPr>
            </w:pPr>
          </w:p>
        </w:tc>
        <w:tc>
          <w:tcPr>
            <w:tcW w:w="22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Ordinary Shares</w:t>
            </w:r>
          </w:p>
        </w:tc>
        <w:tc>
          <w:tcPr>
            <w:tcW w:w="22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Ordinary Shares</w:t>
            </w:r>
          </w:p>
        </w:tc>
        <w:tc>
          <w:tcPr>
            <w:tcW w:w="1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23"/>
        </w:trPr>
        <w:tc>
          <w:tcPr>
            <w:tcW w:w="314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Earnings</w:t>
            </w:r>
          </w:p>
        </w:tc>
        <w:tc>
          <w:tcPr>
            <w:tcW w:w="12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7, 2019 (inception)</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Class B ordinary shares to</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Sponsor</w:t>
            </w: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7,187,500</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24,281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3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25,000,000 Units, net of</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underwriting discounts and offering</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235,584,138</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235,586,638</w:t>
            </w:r>
          </w:p>
        </w:tc>
      </w:tr>
      <w:tr>
        <w:trPr>
          <w:trHeight w:val="216"/>
        </w:trPr>
        <w:tc>
          <w:tcPr>
            <w:tcW w:w="3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7,000,000 Private Placement</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7,000,000</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7,000,000</w:t>
            </w:r>
          </w:p>
        </w:tc>
      </w:tr>
      <w:tr>
        <w:trPr>
          <w:trHeight w:val="216"/>
        </w:trPr>
        <w:tc>
          <w:tcPr>
            <w:tcW w:w="3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of 937,500 Class B ordinary</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(937,500)</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ordinary shares subject to</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(23,740,181)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(2,374)</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(239,227,422)</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(239,229,796)</w:t>
            </w:r>
          </w:p>
        </w:tc>
      </w:tr>
      <w:tr>
        <w:trPr>
          <w:trHeight w:val="216"/>
        </w:trPr>
        <w:tc>
          <w:tcPr>
            <w:tcW w:w="3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2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1,618,159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1,618,159</w:t>
            </w:r>
          </w:p>
        </w:tc>
      </w:tr>
      <w:tr>
        <w:trPr>
          <w:trHeight w:val="216"/>
        </w:trPr>
        <w:tc>
          <w:tcPr>
            <w:tcW w:w="31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1,259,819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6,250,000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3,381,091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1,618,159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5,000,001</w:t>
            </w:r>
          </w:p>
        </w:tc>
      </w:tr>
      <w:tr>
        <w:trPr>
          <w:trHeight w:val="216"/>
        </w:trPr>
        <w:tc>
          <w:tcPr>
            <w:tcW w:w="3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 Class A ordinary</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shares subject to possible redemption</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368,843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1,601,487</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1,601,524</w:t>
            </w:r>
          </w:p>
        </w:tc>
      </w:tr>
      <w:tr>
        <w:trPr>
          <w:trHeight w:val="216"/>
        </w:trPr>
        <w:tc>
          <w:tcPr>
            <w:tcW w:w="3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2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(1,601,521)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(1,601,521)</w:t>
            </w:r>
          </w:p>
        </w:tc>
      </w:tr>
      <w:tr>
        <w:trPr>
          <w:trHeight w:val="216"/>
        </w:trPr>
        <w:tc>
          <w:tcPr>
            <w:tcW w:w="31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1,628,662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6,250,000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4,982,578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16,638</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5,000,004</w:t>
            </w:r>
          </w:p>
        </w:tc>
      </w:tr>
      <w:tr>
        <w:trPr>
          <w:trHeight w:val="20"/>
        </w:trPr>
        <w:tc>
          <w:tcPr>
            <w:tcW w:w="3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For the</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Period from</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June 7, 2019</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(Inception)</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Year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Through</w:t>
            </w:r>
          </w:p>
        </w:tc>
      </w:tr>
      <w:tr>
        <w:trPr>
          <w:trHeight w:val="241"/>
        </w:trPr>
        <w:tc>
          <w:tcPr>
            <w:tcW w:w="80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 2020</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2019</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(1,601,521)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1,618,159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(2,257,985)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(1,812,577)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(4,728)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(112,416)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226,277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(257,110)</w:t>
            </w:r>
          </w:p>
        </w:tc>
      </w:tr>
      <w:tr>
        <w:trPr>
          <w:trHeight w:val="223"/>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3,056,075</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(581,882)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(467,049)</w:t>
            </w:r>
          </w:p>
        </w:tc>
      </w:tr>
      <w:tr>
        <w:trPr>
          <w:trHeight w:val="216"/>
        </w:trPr>
        <w:tc>
          <w:tcPr>
            <w:tcW w:w="8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8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(250,000,000)</w:t>
            </w:r>
          </w:p>
        </w:tc>
      </w:tr>
      <w:tr>
        <w:trPr>
          <w:trHeight w:val="27"/>
        </w:trPr>
        <w:tc>
          <w:tcPr>
            <w:tcW w:w="80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(250,000,000)</w:t>
            </w:r>
          </w:p>
        </w:tc>
      </w:tr>
      <w:tr>
        <w:trPr>
          <w:trHeight w:val="216"/>
        </w:trPr>
        <w:tc>
          <w:tcPr>
            <w:tcW w:w="8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245,000,000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sale of Private Placement Warrants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237,470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(237,470)</w:t>
            </w:r>
          </w:p>
        </w:tc>
      </w:tr>
      <w:tr>
        <w:trPr>
          <w:trHeight w:val="22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80" w:type="dxa"/>
            <w:vAlign w:val="bottom"/>
            <w:shd w:val="clear" w:color="auto" w:fill="CCEEFF"/>
          </w:tcPr>
          <w:p>
            <w:pPr>
              <w:spacing w:after="0"/>
              <w:rPr>
                <w:sz w:val="19"/>
                <w:szCs w:val="19"/>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(638,362)</w:t>
            </w:r>
          </w:p>
        </w:tc>
      </w:tr>
      <w:tr>
        <w:trPr>
          <w:trHeight w:val="223"/>
        </w:trPr>
        <w:tc>
          <w:tcPr>
            <w:tcW w:w="8000" w:type="dxa"/>
            <w:vAlign w:val="bottom"/>
            <w:tcBorders>
              <w:top w:val="single" w:sz="8" w:color="CCEEFF"/>
            </w:tcBorders>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251,361,638</w:t>
            </w:r>
          </w:p>
        </w:tc>
        <w:tc>
          <w:tcPr>
            <w:tcW w:w="100" w:type="dxa"/>
            <w:vAlign w:val="bottom"/>
            <w:tcBorders>
              <w:top w:val="single" w:sz="8" w:color="CCEEFF"/>
            </w:tcBorders>
          </w:tcPr>
          <w:p>
            <w:pPr>
              <w:spacing w:after="0"/>
              <w:rPr>
                <w:sz w:val="19"/>
                <w:szCs w:val="19"/>
                <w:color w:val="auto"/>
              </w:rPr>
            </w:pP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(581,882)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894,589</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894,589</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 Ending</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312,707</w:t>
            </w:r>
          </w:p>
        </w:tc>
        <w:tc>
          <w:tcPr>
            <w:tcW w:w="10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894,589</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classification of Class A ordinary shares subject to possible redemption</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237,606,630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(1,601,524)</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1,623,166</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costs paid directly by Sponsor for issuance of Class B ordinary shares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Deferred underwriting fee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DESCRIPTION OF ORGANIZATION AND BUSINESS OPERATIONS</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Silver Spike Acquisition Corp. (the “Company”) is a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21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2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Company has one subsidiary, Silver Spike Merger Sub LLC, a wholly-owned subsidiary of the Company incorporated in Delaware on December 7, 2020 (“Merger Sub”).</w:t>
      </w:r>
    </w:p>
    <w:p>
      <w:pPr>
        <w:spacing w:after="0" w:line="20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As of December 31, 2020, the Company had not commenced any operations. All activity through December 31, 2020 relates to the Company’s formation, the initial public offering (“Initial Public Offering”), which is described below, identifying a target company for a Business Combination, activities in connection with the proposed acquisition of WM Holding Company, LLC, a Delaware limited liability company (“WMH”) (see Note 6).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20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registration statement for the Company’s Initial Public Offering was declared effective on August 7, 2019. On August 12, 2019, the Company consummated the Initial Public Offering of 25,000,000 units (the “Units” and, with respect to the Class A ordinary shares included in the Units sold, the “Public Shares”) at $10.00 per unit, generating gross proceeds of $250,000,000, which is described in Note 3.</w:t>
      </w:r>
    </w:p>
    <w:p>
      <w:pPr>
        <w:spacing w:after="0" w:line="2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Simultaneously with the closing of the Initial Public Offering, the Company consummated the sale of 7,000,000 warrants (the “Private Placement Warrants”) at a price of $1.00 per Private Placement Warrant in a private placement to Silver Spike Sponsor, LLC (the “Sponsor”), generating gross proceeds of $7,000,000, which is described in Note 4.</w:t>
      </w:r>
    </w:p>
    <w:p>
      <w:pPr>
        <w:spacing w:after="0" w:line="196"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Transaction costs amounted to $14,413,362, consisting of $5,000,000 of underwriting fees, $8,750,000 of deferred underwriting fees and $663,362 of other offering costs.</w:t>
      </w:r>
    </w:p>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Following the closing of the Initial Public Offering on August 12, 2019,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the Business Combination and (ii) the distribution of the funds in the Trust Account to the Company’s shareholders, as described below.</w:t>
      </w:r>
    </w:p>
    <w:p>
      <w:pPr>
        <w:spacing w:after="0" w:line="179"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208"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ectPr>
          <w:pgSz w:w="11900" w:h="16838" w:orient="portrait"/>
          <w:cols w:equalWidth="0" w:num="1">
            <w:col w:w="11240"/>
          </w:cols>
          <w:pgMar w:left="320" w:top="121" w:right="339" w:bottom="181"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81" w:gutter="0" w:footer="0" w:header="0"/>
          <w:type w:val="continuous"/>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18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21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shareholders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Initial Public Offering if the Company fails to complete its Business Combination.</w:t>
      </w:r>
    </w:p>
    <w:p>
      <w:pPr>
        <w:spacing w:after="0" w:line="21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1"/>
          <w:szCs w:val="21"/>
          <w:color w:val="auto"/>
        </w:rPr>
        <w:t>The Company initially had until February 12, 2021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 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220" w:lineRule="exact"/>
        <w:rPr>
          <w:sz w:val="20"/>
          <w:szCs w:val="20"/>
          <w:color w:val="auto"/>
        </w:rPr>
      </w:pPr>
    </w:p>
    <w:p>
      <w:pPr>
        <w:ind w:right="280" w:firstLine="324"/>
        <w:spacing w:after="0"/>
        <w:rPr>
          <w:sz w:val="20"/>
          <w:szCs w:val="20"/>
          <w:color w:val="auto"/>
        </w:rPr>
      </w:pPr>
      <w:r>
        <w:rPr>
          <w:rFonts w:ascii="Arial" w:cs="Arial" w:eastAsia="Arial" w:hAnsi="Arial"/>
          <w:sz w:val="22"/>
          <w:szCs w:val="22"/>
          <w:color w:val="auto"/>
        </w:rPr>
        <w:t>On January 13, 2021, the Company held an Extraordinary General Meeting in Lieu of an Annual General Meeting (the “Extraordinary General Meeting”) pursuant to which the Company’s shareholders approved extending the Combination Period from February 12, 2021 to July 10, 2021 (the “Extension Date”) (see Note 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Liquidity and Going Concern</w:t>
      </w:r>
    </w:p>
    <w:p>
      <w:pPr>
        <w:spacing w:after="0" w:line="2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As of December 31, 2020, the Company had $312,707 in its operating bank accounts, $254,187,706 in securities held in the Trust Account to be used for a Business Combination or to repurchase or redeem its ordinary shares in connection therewith and working capital deficit of $2,809,430. As of December 31, 2020, approximately $4,188,000 of the amount on deposit in the Trust Account represented interest income, which is available to pay the Company’s tax obligations.</w:t>
      </w:r>
    </w:p>
    <w:p>
      <w:pPr>
        <w:spacing w:after="0" w:line="17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On February 18, 2021, the Company issued an unsecured convertible promissory note (the “Note”) in the amount of up to $750,000 to the Sponsor for general working capital purposes (see Note 9).</w:t>
      </w:r>
    </w:p>
    <w:p>
      <w:pPr>
        <w:spacing w:after="0" w:line="20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21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The Company will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July 10, 2021, the date that the Company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Risks and Uncertainties</w:t>
      </w:r>
    </w:p>
    <w:p>
      <w:pPr>
        <w:spacing w:after="0" w:line="2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233"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The accompanying consolidated financial statements are presented in conformity with accounting principles generally accepted in the United States of America (“GAAP”) and pursuant to the rules and regulations of the SEC.</w:t>
      </w:r>
    </w:p>
    <w:p>
      <w:pPr>
        <w:sectPr>
          <w:pgSz w:w="11900" w:h="16838" w:orient="portrait"/>
          <w:cols w:equalWidth="0" w:num="1">
            <w:col w:w="11240"/>
          </w:cols>
          <w:pgMar w:left="320" w:top="121" w:right="3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Principles of Consolidation</w:t>
      </w:r>
    </w:p>
    <w:p>
      <w:pPr>
        <w:spacing w:after="0" w:line="233" w:lineRule="exact"/>
        <w:rPr>
          <w:sz w:val="20"/>
          <w:szCs w:val="20"/>
          <w:color w:val="auto"/>
        </w:rPr>
      </w:pPr>
    </w:p>
    <w:p>
      <w:pPr>
        <w:ind w:right="420"/>
        <w:spacing w:after="0" w:line="287" w:lineRule="auto"/>
        <w:rPr>
          <w:sz w:val="20"/>
          <w:szCs w:val="20"/>
          <w:color w:val="auto"/>
        </w:rPr>
      </w:pPr>
      <w:r>
        <w:rPr>
          <w:rFonts w:ascii="Arial" w:cs="Arial" w:eastAsia="Arial" w:hAnsi="Arial"/>
          <w:sz w:val="19"/>
          <w:szCs w:val="19"/>
          <w:color w:val="auto"/>
        </w:rPr>
        <w:t>The accompanying consolidated financial statements include the accounts of the Company and its majority owned subsidiary where the Company has the ability to exercise control.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Emerging Growth Company</w:t>
      </w:r>
    </w:p>
    <w:p>
      <w:pPr>
        <w:spacing w:after="0" w:line="23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2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9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and Cash Equivalents</w:t>
      </w:r>
    </w:p>
    <w:p>
      <w:pPr>
        <w:spacing w:after="0" w:line="233"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The Company considers all short-term investments with an original maturity of three months or less when purchased to be cash equivalents. The Company did not have any cash equivalents as of December 31, 2020 and December 31, 2019.</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Marketable Securities Held in Trust Account</w:t>
      </w:r>
    </w:p>
    <w:p>
      <w:pPr>
        <w:spacing w:after="0" w:line="233" w:lineRule="exact"/>
        <w:rPr>
          <w:sz w:val="20"/>
          <w:szCs w:val="20"/>
          <w:color w:val="auto"/>
        </w:rPr>
      </w:pPr>
    </w:p>
    <w:p>
      <w:pPr>
        <w:ind w:right="80" w:firstLine="324"/>
        <w:spacing w:after="0"/>
        <w:rPr>
          <w:sz w:val="20"/>
          <w:szCs w:val="20"/>
          <w:color w:val="auto"/>
        </w:rPr>
      </w:pPr>
      <w:r>
        <w:rPr>
          <w:rFonts w:ascii="Arial" w:cs="Arial" w:eastAsia="Arial" w:hAnsi="Arial"/>
          <w:sz w:val="22"/>
          <w:szCs w:val="22"/>
          <w:color w:val="auto"/>
        </w:rPr>
        <w:t>At December 31, 2020, the assets held in the Trust Account were held in money market funds, which primarily invest in U.S. Treasury securities and U.S. Treasury Bills. At December 31, 2019, the assets held in the Trust Account were substantially held in U.S. Treasury Bills.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 A Ordinary Shares Subject to Possible Redemption</w:t>
      </w:r>
    </w:p>
    <w:p>
      <w:pPr>
        <w:spacing w:after="0" w:line="23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consolidated balance sheets.</w:t>
      </w:r>
    </w:p>
    <w:p>
      <w:pPr>
        <w:sectPr>
          <w:pgSz w:w="11900" w:h="16838" w:orient="portrait"/>
          <w:cols w:equalWidth="0" w:num="1">
            <w:col w:w="11240"/>
          </w:cols>
          <w:pgMar w:left="320" w:top="121" w:right="339" w:bottom="181"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81" w:gutter="0" w:footer="0" w:header="0"/>
          <w:type w:val="continuous"/>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Taxes</w:t>
      </w:r>
    </w:p>
    <w:p>
      <w:pPr>
        <w:spacing w:after="0" w:line="23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21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07"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 (Loss) Per Ordinary Share</w:t>
      </w:r>
    </w:p>
    <w:p>
      <w:pPr>
        <w:spacing w:after="0" w:line="23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9"/>
          <w:szCs w:val="19"/>
          <w:color w:val="auto"/>
        </w:rPr>
        <w:t>Net income (loss) per ordinary share is computed by dividing net income by the weighted-average number of ordinary shares outstanding during the period. The Company has not considered the effect of the warrants sold in the Public Offering and Private Placement to purchase an aggregate of 19,500,000 shares in the calculation of diluted loss per share, since the exercise of the warrants are contingent upon the occurrence of future events and the inclusion of such warrants would be anti-dilutive.</w:t>
      </w:r>
    </w:p>
    <w:p>
      <w:pPr>
        <w:spacing w:after="0" w:line="170" w:lineRule="exact"/>
        <w:rPr>
          <w:sz w:val="20"/>
          <w:szCs w:val="20"/>
          <w:color w:val="auto"/>
        </w:rPr>
      </w:pPr>
    </w:p>
    <w:p>
      <w:pPr>
        <w:jc w:val="both"/>
        <w:ind w:right="20" w:firstLine="324"/>
        <w:spacing w:after="0" w:line="249" w:lineRule="auto"/>
        <w:rPr>
          <w:sz w:val="20"/>
          <w:szCs w:val="20"/>
          <w:color w:val="auto"/>
        </w:rPr>
      </w:pPr>
      <w:r>
        <w:rPr>
          <w:rFonts w:ascii="Arial" w:cs="Arial" w:eastAsia="Arial" w:hAnsi="Arial"/>
          <w:sz w:val="21"/>
          <w:szCs w:val="21"/>
          <w:color w:val="auto"/>
        </w:rPr>
        <w:t>The Company’s statement of operations includes a presentation of income (loss) per share for ordinary shares subject to possible redemption in a manner similar to the two-class method of income (loss) per ordinary share. Net income (loss) per ordinary share, basic and diluted, for Ordinary shares subject to possible redemption is calculated by dividing the proportionate share of income or loss on marketable securities held by the Trust Account, by the weighted average number of Ordinary shares subject to possible redemption outstanding since original issuance.</w:t>
      </w:r>
    </w:p>
    <w:p>
      <w:pPr>
        <w:spacing w:after="0" w:line="205"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Net income (loss) per share, basic and diluted, for non-redeemable ordinary shares is calculated by dividing the net loss, adjusted for income or loss on marketable securities attributable to Ordinary shares subject to possible redemption, by the weighted average number of non-redeemable ordinary shares outstanding for the period.</w:t>
      </w:r>
    </w:p>
    <w:p>
      <w:pPr>
        <w:spacing w:after="0" w:line="213"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Non-redeemable ordinary shares include Founder Shares and non-redeemable ordinary shares as these shares do not have any redemption features. Non-redeemable ordinary shares participate in the income or loss on marketable securities based on non-redeemable ordinary shares’ proportionate interest.</w:t>
      </w:r>
    </w:p>
    <w:p>
      <w:pPr>
        <w:spacing w:after="0" w:line="2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following table reflects the calculation of basic and diluted net income (loss) per ordinary share (in dollars,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 the Period</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from June 7, 2019</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(Inception)</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For year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r>
      <w:tr>
        <w:trPr>
          <w:trHeight w:val="241"/>
        </w:trPr>
        <w:tc>
          <w:tcPr>
            <w:tcW w:w="80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 2020</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2019</w:t>
            </w: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i w:val="1"/>
                <w:iCs w:val="1"/>
                <w:color w:val="auto"/>
              </w:rPr>
              <w:t>Ordinary shares subject to possible redemption</w:t>
            </w: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Numerator: Earnings allocable to Ordinary shares subject to possible redemption</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2,110,990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1,721,223</w:t>
            </w:r>
          </w:p>
        </w:tc>
      </w:tr>
      <w:tr>
        <w:trPr>
          <w:trHeight w:val="223"/>
        </w:trPr>
        <w:tc>
          <w:tcPr>
            <w:tcW w:w="8000" w:type="dxa"/>
            <w:vAlign w:val="bottom"/>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106,750</w:t>
            </w:r>
          </w:p>
        </w:tc>
      </w:tr>
      <w:tr>
        <w:trPr>
          <w:trHeight w:val="25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2,115,410</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1,827,973</w:t>
            </w:r>
          </w:p>
        </w:tc>
        <w:tc>
          <w:tcPr>
            <w:tcW w:w="100" w:type="dxa"/>
            <w:vAlign w:val="bottom"/>
            <w:shd w:val="clear" w:color="auto" w:fill="CCEEFF"/>
          </w:tcPr>
          <w:p>
            <w:pPr>
              <w:spacing w:after="0"/>
              <w:rPr>
                <w:sz w:val="22"/>
                <w:szCs w:val="22"/>
                <w:color w:val="auto"/>
              </w:rPr>
            </w:pP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 Weighted Average Ordinary shares subject to possible redemption</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23,699,368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23,754,184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Basic and diluted net income per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r>
        <w:trPr>
          <w:trHeight w:val="21"/>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i w:val="1"/>
                <w:iCs w:val="1"/>
                <w:color w:val="auto"/>
              </w:rPr>
              <w:t>Non-Redeemable Ordinary Shares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Numerator: Net Loss minus Net Earnings</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(1,601,521)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1,618,159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allocable to Ordinary shares subject to possible redemption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(2,115,410)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(1,827,973)</w:t>
            </w:r>
          </w:p>
        </w:tc>
      </w:tr>
      <w:tr>
        <w:trPr>
          <w:trHeight w:val="27"/>
        </w:trPr>
        <w:tc>
          <w:tcPr>
            <w:tcW w:w="80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Non-Redeemable Net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(3,716,931)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(209,814)</w:t>
            </w:r>
          </w:p>
        </w:tc>
      </w:tr>
      <w:tr>
        <w:trPr>
          <w:trHeight w:val="21"/>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7,550,632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7,111,079</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r>
    </w:tbl>
    <w:p>
      <w:pPr>
        <w:sectPr>
          <w:pgSz w:w="11900" w:h="16838" w:orient="portrait"/>
          <w:cols w:equalWidth="0" w:num="1">
            <w:col w:w="11240"/>
          </w:cols>
          <w:pgMar w:left="320" w:top="121" w:right="339" w:bottom="0" w:gutter="0" w:footer="0" w:header="0"/>
        </w:sectPr>
      </w:pPr>
    </w:p>
    <w:bookmarkStart w:id="95" w:name="page96"/>
    <w:bookmarkEnd w:id="95"/>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 of Credit Risk</w:t>
      </w:r>
    </w:p>
    <w:p>
      <w:pPr>
        <w:spacing w:after="0" w:line="23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of Financial Instruments</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fair value of the Company’s assets and liabilities, which qualify as financial instruments under ASC Topic 820, “Fair Value Measurement,” approximates the carrying amounts represented in the accompanying consolidated financial statements, primarily due to their short-term nature.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Issued Accounting Standards</w:t>
      </w:r>
    </w:p>
    <w:p>
      <w:pPr>
        <w:spacing w:after="0" w:line="23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standards, if currently adopted, would have a material effect on the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INITIAL PUBLIC OFFERING</w:t>
      </w:r>
    </w:p>
    <w:p>
      <w:pPr>
        <w:spacing w:after="0" w:line="23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Pursuant to the Initial Public Offering, the Company sold 25,000,000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7).</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PRIVATE PLACEMENT</w:t>
      </w:r>
    </w:p>
    <w:p>
      <w:pPr>
        <w:spacing w:after="0" w:line="2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Simultaneously with the closing of the Initial Public Offering, the Sponsor purchased an aggregate of 7,000,000 Private Placement Warrants at a purchase price of $1.00 per Private Placement Warrant, for an aggregate purchase price of $7,000,000. The proceeds from the sale of the Private Placement Warrants were added to the net proceeds from the Initial Public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RELATED PARTY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Founder Shares</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21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The Founder Shares included an aggregate of up to 937,500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The underwriters’ over-allotment option expired unexercised on September 26, 2019 and, as a result, 937,500 Founder Shares were forfeited, resulting in the Sponsor holding an aggregate of 6,250,000 Founder Shares.</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The Sponsor has agreed, subject to limited exceptions, not to transfer, assign or sell any of its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Administrative Services Agreement</w:t>
      </w:r>
    </w:p>
    <w:p>
      <w:pPr>
        <w:spacing w:after="0" w:line="23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The Company entered into an agreement whereby, commencing on August 7, 2019, the Company will pay the Sponsor up to $20,000 per month for office space, administrative and support services. Upon completion of a Business Combination or its liquidation, the Company will cease paying these monthly fees. For the year ended December 31, 2020 and for the period from June 7, 2019 through December 31, 2019, the Company incurred $240,000 and $92,903 of such fees, of which $279,879 and $82,228 of such fees are included in accounts payable and accrued expenses in the accompanying consolidated balance sheets at December 31, 2020 and 2019,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Promissory Note – Related Party</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On June 10, 2019, the Company issued an unsecured promissory note to the Sponsor, pursuant to which the Company borrowed an aggregate principal amount of $237,470. The note was non-interest bearing and payable on the earlier of (i) January 31, 2020 and (ii) the completion of the Initial Public Offering. The note was repaid in full upon the consummation of the Initial Public Offering on August 12, 2019.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Related Party Loans</w:t>
      </w:r>
    </w:p>
    <w:p>
      <w:pPr>
        <w:spacing w:after="0" w:line="23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Registration Rights</w:t>
      </w:r>
    </w:p>
    <w:p>
      <w:pPr>
        <w:spacing w:after="0" w:line="2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Pursuant to a registration rights agreement entered into on August 7, 2019, 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are entitled to registration rights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Underwriting Agreement</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underwriters were paid a cash underwriting discount of $0.20 per Unit, or $5,000,000 in the aggregate. In addition, the underwriters are entitled to a deferred fee of $0.35 per Unit, or $8,750,000 in the aggregate, which will become payable to the underwriters from the amounts held in the Trust Account solely in the event that the Company completes a Business Combination, subject to the terms of the underwriting agreement.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Merger Agreement</w:t>
      </w:r>
    </w:p>
    <w:p>
      <w:pPr>
        <w:spacing w:after="0" w:line="233" w:lineRule="exact"/>
        <w:rPr>
          <w:sz w:val="20"/>
          <w:szCs w:val="20"/>
          <w:color w:val="auto"/>
        </w:rPr>
      </w:pPr>
    </w:p>
    <w:p>
      <w:pPr>
        <w:jc w:val="both"/>
        <w:ind w:firstLine="292"/>
        <w:spacing w:after="0"/>
        <w:rPr>
          <w:sz w:val="20"/>
          <w:szCs w:val="20"/>
          <w:color w:val="auto"/>
        </w:rPr>
      </w:pPr>
      <w:r>
        <w:rPr>
          <w:rFonts w:ascii="Arial" w:cs="Arial" w:eastAsia="Arial" w:hAnsi="Arial"/>
          <w:sz w:val="22"/>
          <w:szCs w:val="22"/>
          <w:color w:val="auto"/>
        </w:rPr>
        <w:t>On December 10, 2020, the Company entered into an Agreement and Plan of Merger (the “Merger Agreement”) with Merger Sub, WMH and Ghost Media Group, LLC, a Nevada limited liability company, solely in its capacity as the securityholder representative thereunder (the “Holder Representative”).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292"/>
        <w:spacing w:after="0" w:line="257" w:lineRule="auto"/>
        <w:rPr>
          <w:sz w:val="20"/>
          <w:szCs w:val="20"/>
          <w:color w:val="auto"/>
        </w:rPr>
      </w:pPr>
      <w:r>
        <w:rPr>
          <w:rFonts w:ascii="Arial" w:cs="Arial" w:eastAsia="Arial" w:hAnsi="Arial"/>
          <w:sz w:val="21"/>
          <w:szCs w:val="21"/>
          <w:color w:val="auto"/>
        </w:rPr>
        <w:t>Pursuant to the Merger Agreement, Merger Sub will merge with and into WMH with WMH continuing as the surviving entity and a subsidiary of the Company (refer to as “Surviving Pubco” following the Business Combination) (the “Merger” and the other transactions contemplated by the Merger Agreement, the “Business Combination”).</w:t>
      </w:r>
    </w:p>
    <w:p>
      <w:pPr>
        <w:spacing w:after="0" w:line="196" w:lineRule="exact"/>
        <w:rPr>
          <w:sz w:val="20"/>
          <w:szCs w:val="20"/>
          <w:color w:val="auto"/>
        </w:rPr>
      </w:pPr>
    </w:p>
    <w:p>
      <w:pPr>
        <w:jc w:val="both"/>
        <w:ind w:firstLine="292"/>
        <w:spacing w:after="0" w:line="238" w:lineRule="auto"/>
        <w:rPr>
          <w:sz w:val="20"/>
          <w:szCs w:val="20"/>
          <w:color w:val="auto"/>
        </w:rPr>
      </w:pPr>
      <w:r>
        <w:rPr>
          <w:rFonts w:ascii="Arial" w:cs="Arial" w:eastAsia="Arial" w:hAnsi="Arial"/>
          <w:sz w:val="22"/>
          <w:szCs w:val="22"/>
          <w:color w:val="auto"/>
        </w:rPr>
        <w:t>As a result of the Business Combination, each issued and outstanding Class A ordinary share and Class B ordinary share of the Company will convert into a share of Class A common stock of Surviving Pubco, and each issued and outstanding warrant to purchase Class A ordinary shares of the Company will be exercisable by its terms to purchase an equal number of shares of Class A common stock of Surviving Pubco.</w:t>
      </w:r>
    </w:p>
    <w:p>
      <w:pPr>
        <w:spacing w:after="0" w:line="212" w:lineRule="exact"/>
        <w:rPr>
          <w:sz w:val="20"/>
          <w:szCs w:val="20"/>
          <w:color w:val="auto"/>
        </w:rPr>
      </w:pPr>
    </w:p>
    <w:p>
      <w:pPr>
        <w:jc w:val="both"/>
        <w:ind w:firstLine="292"/>
        <w:spacing w:after="0" w:line="257" w:lineRule="auto"/>
        <w:rPr>
          <w:sz w:val="20"/>
          <w:szCs w:val="20"/>
          <w:color w:val="auto"/>
        </w:rPr>
      </w:pPr>
      <w:r>
        <w:rPr>
          <w:rFonts w:ascii="Arial" w:cs="Arial" w:eastAsia="Arial" w:hAnsi="Arial"/>
          <w:sz w:val="21"/>
          <w:szCs w:val="21"/>
          <w:color w:val="auto"/>
        </w:rPr>
        <w:t>The merger consideration (the “Merger Consideration”) to be paid to holders of the limited liability company interests of WMH (each, a “WMH Equity Holder”) at the closing of the Business Combination (“the Closing”) pursuant to the Merger Agreement will be equal to $1.31 billion and will be paid in a mix of cash and equity consideration.</w:t>
      </w:r>
    </w:p>
    <w:p>
      <w:pPr>
        <w:spacing w:after="0" w:line="19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Merger Agreement contains customary representations, warranties and covenants by the parties thereto and the closing is subject to certain conditions as further described in the Merger Agreement.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SHAREHOLDERS’ EQUITY</w:t>
      </w:r>
    </w:p>
    <w:p>
      <w:pPr>
        <w:spacing w:after="0" w:line="2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b w:val="1"/>
          <w:bCs w:val="1"/>
          <w:i w:val="1"/>
          <w:iCs w:val="1"/>
          <w:color w:val="auto"/>
        </w:rPr>
        <w:t xml:space="preserve">Preferred Shares </w:t>
      </w:r>
      <w:r>
        <w:rPr>
          <w:rFonts w:ascii="Arial" w:cs="Arial" w:eastAsia="Arial" w:hAnsi="Arial"/>
          <w:sz w:val="19"/>
          <w:szCs w:val="19"/>
          <w:color w:val="auto"/>
        </w:rPr>
        <w:t>— The Company is authorized to issue 1,000,000 preference shares with a par value of $0.0001.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December 31, 2020 and December 31, 2019, there were no preference shares issued or outstanding.</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b w:val="1"/>
          <w:bCs w:val="1"/>
          <w:i w:val="1"/>
          <w:iCs w:val="1"/>
          <w:color w:val="auto"/>
        </w:rPr>
        <w:t xml:space="preserve">Class A Ordinary Shares </w:t>
      </w:r>
      <w:r>
        <w:rPr>
          <w:rFonts w:ascii="Arial" w:cs="Arial" w:eastAsia="Arial" w:hAnsi="Arial"/>
          <w:sz w:val="21"/>
          <w:szCs w:val="21"/>
          <w:color w:val="auto"/>
        </w:rPr>
        <w:t>— The Company is authorized to issue 200,000,000 Class A ordinary shares, with a par value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$0.0001 per share. Holders of Class A ordinary shares are entitled to one vote for each share. At December 31, 2020 and December 31, 2019, there were 1,628,662 and 1,259,819 shares of Class A ordinary shares issued or outstanding, excluding 23,371,338 and 23,740,181 Class A ordinary shares subject to possible redemption, respectively.</w:t>
      </w:r>
    </w:p>
    <w:p>
      <w:pPr>
        <w:spacing w:after="0" w:line="20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b w:val="1"/>
          <w:bCs w:val="1"/>
          <w:i w:val="1"/>
          <w:iCs w:val="1"/>
          <w:color w:val="auto"/>
        </w:rPr>
        <w:t xml:space="preserve">Class B Ordinary Shares </w:t>
      </w:r>
      <w:r>
        <w:rPr>
          <w:rFonts w:ascii="Arial" w:cs="Arial" w:eastAsia="Arial" w:hAnsi="Arial"/>
          <w:sz w:val="21"/>
          <w:szCs w:val="21"/>
          <w:color w:val="auto"/>
        </w:rPr>
        <w:t>— The Company is authorized to issue 20,000,000 Class B ordinary shares, with a par value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$0.0001 per share. Holders of the Class B ordinary shares are entitled to one vote for each share. At December 31, 2020 and December 31, 2019, there were 6,250,000 Class B ordinary shares issued and outstanding.</w:t>
      </w:r>
    </w:p>
    <w:p>
      <w:pPr>
        <w:spacing w:after="0" w:line="1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19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b w:val="1"/>
          <w:bCs w:val="1"/>
          <w:i w:val="1"/>
          <w:iCs w:val="1"/>
          <w:color w:val="auto"/>
        </w:rPr>
        <w:t xml:space="preserve">Warrants </w:t>
      </w:r>
      <w:r>
        <w:rPr>
          <w:rFonts w:ascii="Arial" w:cs="Arial" w:eastAsia="Arial" w:hAnsi="Arial"/>
          <w:sz w:val="19"/>
          <w:szCs w:val="19"/>
          <w:color w:val="auto"/>
        </w:rPr>
        <w:t>— Public Warrants may only be exercised for a whole number of shares. No fractional shares will be issued upon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ectPr>
          <w:pgSz w:w="11900" w:h="16838" w:orient="portrait"/>
          <w:cols w:equalWidth="0" w:num="1">
            <w:col w:w="11240"/>
          </w:cols>
          <w:pgMar w:left="320" w:top="121" w:right="339" w:bottom="424"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24" w:gutter="0" w:footer="0" w:header="0"/>
          <w:type w:val="continuous"/>
        </w:sectPr>
      </w:pPr>
    </w:p>
    <w:bookmarkStart w:id="99" w:name="page100"/>
    <w:bookmarkEnd w:id="9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it’s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Once the Public Warrants become exercisable, the Company may redeem the Public Warrants for redemption:</w:t>
      </w:r>
    </w:p>
    <w:p>
      <w:pPr>
        <w:spacing w:after="0" w:line="24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9" w:lineRule="exact"/>
        <w:rPr>
          <w:rFonts w:ascii="Arial" w:cs="Arial" w:eastAsia="Arial" w:hAnsi="Arial"/>
          <w:sz w:val="18"/>
          <w:szCs w:val="18"/>
          <w:color w:val="auto"/>
        </w:rPr>
      </w:pPr>
    </w:p>
    <w:p>
      <w:pPr>
        <w:ind w:left="660" w:right="320" w:hanging="328"/>
        <w:spacing w:after="0" w:line="25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21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21"/>
          <w:szCs w:val="21"/>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17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21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8" w:lineRule="exact"/>
        <w:rPr>
          <w:sz w:val="20"/>
          <w:szCs w:val="20"/>
          <w:color w:val="auto"/>
        </w:rPr>
      </w:pPr>
    </w:p>
    <w:p>
      <w:pPr>
        <w:ind w:left="660" w:right="88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50"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97"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19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following table presents information about the Company’s assets that are measured at fair value on a recurring basis at December 31, 2020 and December 31, 2019, and indicates the fair value hierarchy of the valuation inputs the Company utilized to determine such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200" w:type="dxa"/>
            <w:vAlign w:val="bottom"/>
          </w:tcPr>
          <w:p>
            <w:pPr>
              <w:ind w:left="316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254,187,706</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  251,924,993</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SUBSEQUENT EVENTS</w:t>
      </w:r>
    </w:p>
    <w:p>
      <w:pPr>
        <w:spacing w:after="0" w:line="23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The Company evaluated subsequent events and transactions that occurred after the balance sheet date up to the date that the consolidated financial statements were issued. Based upon this review, other than as describe below, the Company did not identify any subsequent events that would have required adjustment or disclosure in the consolidated financial statements.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On January 13, 2021, the Company held an Extraordinary General Meeting pursuant to which the Company’s shareholders approved extending the Extension Date. In connection with the approval of the extension, shareholders elected to redeem an aggregate of 1,425 Class A ordinary shares. As a result, an aggregate of $14,489 (or approximately $10.17 per share) was released from the Company’s Trust Account to pay such shareholders.</w:t>
      </w:r>
    </w:p>
    <w:p>
      <w:pPr>
        <w:spacing w:after="0" w:line="20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On February 18, 2021, the Company issued a Note in the amount of up to $750,000 to the Sponsor for general working capital purposes. The Note is non-interest bearing and payable upon the earlier to occur of (i) June 10, 2021 or (ii) the consummation of a Business Combination. If the Company does not consummate a Business Combination, the Company may use a portion of any funds held outside the Trust Account to repay the Note; however, no proceeds from the Trust Account may be used for such repayment. Up to $750,000 of the Note may be converted into warrants at a price of $1.00 per warrant at the option of the Sponsor. The warrants would be identical to the Private Placement Warrants.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Legal proceedings</w:t>
      </w:r>
    </w:p>
    <w:p>
      <w:pPr>
        <w:spacing w:after="0" w:line="233"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Beginning on January 27, 2021, purported stockholders of the Company filed or threatened to file lawsuits in connection with the Company’s prospective merger with WMH,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prospective Merger omits material information related to the proposed transaction, and asserts claims for breach of fiduciary duty against certain of the Company’s current officers and directors and for aiding and abetting breach of fiduciary duty against the Company. The Stout complaint also asserts aiding and abetting claims against WMH and Merger Sub. Plaintiffs seek injunctive relief to enjoin the proposed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the company,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proposed Merger, pending dissemination of supplemental disclosures, unspecified damages and attorneys’ fees and costs. The Company believes that these allegations are without merit.</w:t>
      </w:r>
    </w:p>
    <w:p>
      <w:pPr>
        <w:sectPr>
          <w:pgSz w:w="11900" w:h="16838" w:orient="portrait"/>
          <w:cols w:equalWidth="0" w:num="1">
            <w:col w:w="11240"/>
          </w:cols>
          <w:pgMar w:left="320" w:top="121" w:right="339" w:bottom="0" w:gutter="0" w:footer="0" w:header="0"/>
        </w:sectPr>
      </w:pPr>
    </w:p>
    <w:bookmarkStart w:id="101" w:name="page102"/>
    <w:bookmarkEnd w:id="101"/>
    <w:p>
      <w:pPr>
        <w:spacing w:after="0" w:line="251" w:lineRule="auto"/>
        <w:rPr>
          <w:sz w:val="20"/>
          <w:szCs w:val="20"/>
          <w:color w:val="auto"/>
        </w:rPr>
      </w:pPr>
      <w:r>
        <w:rPr>
          <w:rFonts w:ascii="Arial" w:cs="Arial" w:eastAsia="Arial" w:hAnsi="Arial"/>
          <w:sz w:val="22"/>
          <w:szCs w:val="22"/>
          <w:color w:val="auto"/>
        </w:rPr>
        <w:t>These matters are in the early stages and the Company is unable to reasonably determine the outcome or estimate the loss, if any, and as such, has not recorded a loss contingency.</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ind w:left="340" w:right="2760"/>
        <w:spacing w:after="0" w:line="239" w:lineRule="auto"/>
        <w:rPr>
          <w:sz w:val="20"/>
          <w:szCs w:val="20"/>
          <w:color w:val="auto"/>
        </w:rPr>
      </w:pPr>
      <w:r>
        <w:rPr>
          <w:rFonts w:ascii="Arial" w:cs="Arial" w:eastAsia="Arial" w:hAnsi="Arial"/>
          <w:sz w:val="22"/>
          <w:szCs w:val="22"/>
          <w:b w:val="1"/>
          <w:bCs w:val="1"/>
          <w:color w:val="auto"/>
        </w:rPr>
        <w:t>CERTIFICATION OF THE CHIEF EXECUTIVE OFFICER PURSUANT TO RULE 13a-14(a) 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I, Scott Gordon, certify that:</w:t>
      </w:r>
    </w:p>
    <w:p>
      <w:pPr>
        <w:spacing w:after="0" w:line="24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Silver Spike Acquisition Corp. (the “Company”);</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Arial" w:cs="Arial" w:eastAsia="Arial" w:hAnsi="Arial"/>
          <w:sz w:val="17"/>
          <w:szCs w:val="17"/>
          <w:color w:val="auto"/>
        </w:rPr>
      </w:pPr>
    </w:p>
    <w:p>
      <w:pPr>
        <w:ind w:left="660" w:right="10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 15(e) and 15d 15(e)) and internal control over financial reporting (as defined in Exchange Act Rules 13a 15(f) and 15d 15(f)) for the Company and have:</w:t>
      </w:r>
    </w:p>
    <w:p>
      <w:pPr>
        <w:spacing w:after="0" w:line="211" w:lineRule="exact"/>
        <w:rPr>
          <w:sz w:val="20"/>
          <w:szCs w:val="20"/>
          <w:color w:val="auto"/>
        </w:rPr>
      </w:pPr>
    </w:p>
    <w:p>
      <w:pPr>
        <w:ind w:left="1140" w:right="80" w:hanging="1132"/>
        <w:spacing w:after="0" w:line="263"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1132"/>
        <w:spacing w:after="0" w:line="263"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1132"/>
        <w:spacing w:after="0" w:line="342"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1132"/>
        <w:spacing w:after="0" w:line="263"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11" w:lineRule="exact"/>
        <w:rPr>
          <w:sz w:val="20"/>
          <w:szCs w:val="20"/>
          <w:color w:val="auto"/>
        </w:rPr>
      </w:pPr>
    </w:p>
    <w:p>
      <w:pPr>
        <w:ind w:left="66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3" w:lineRule="exact"/>
        <w:rPr>
          <w:sz w:val="20"/>
          <w:szCs w:val="20"/>
          <w:color w:val="auto"/>
        </w:rPr>
      </w:pPr>
    </w:p>
    <w:p>
      <w:pPr>
        <w:ind w:left="1140" w:right="620" w:hanging="1132"/>
        <w:spacing w:after="0" w:line="342" w:lineRule="auto"/>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0" w:lineRule="exact"/>
        <w:rPr>
          <w:rFonts w:ascii="Arial" w:cs="Arial" w:eastAsia="Arial" w:hAnsi="Arial"/>
          <w:sz w:val="16"/>
          <w:szCs w:val="16"/>
          <w:color w:val="auto"/>
        </w:rPr>
      </w:pPr>
    </w:p>
    <w:p>
      <w:pPr>
        <w:ind w:left="1140" w:right="300" w:hanging="1132"/>
        <w:spacing w:after="0" w:line="27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March 8, 2021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Gordon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Chariman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line="239" w:lineRule="auto"/>
        <w:rPr>
          <w:sz w:val="20"/>
          <w:szCs w:val="20"/>
          <w:color w:val="auto"/>
        </w:rPr>
      </w:pPr>
      <w:r>
        <w:rPr>
          <w:rFonts w:ascii="Arial" w:cs="Arial" w:eastAsia="Arial" w:hAnsi="Arial"/>
          <w:sz w:val="22"/>
          <w:szCs w:val="22"/>
          <w:b w:val="1"/>
          <w:bCs w:val="1"/>
          <w:color w:val="auto"/>
        </w:rPr>
        <w:t>CERTIFICATION OF THE CHIEF FINANCIAL OFFICER PURSUANT TO RULE 13a-14(a) 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I, Gregory M. Gentile, certify that:</w:t>
      </w:r>
    </w:p>
    <w:p>
      <w:pPr>
        <w:spacing w:after="0" w:line="24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Silver Spike Acquisition Corp. (the “Company”);</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Arial" w:cs="Arial" w:eastAsia="Arial" w:hAnsi="Arial"/>
          <w:sz w:val="17"/>
          <w:szCs w:val="17"/>
          <w:color w:val="auto"/>
        </w:rPr>
      </w:pPr>
    </w:p>
    <w:p>
      <w:pPr>
        <w:ind w:left="660" w:right="10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 15(e) and 15d 15(e)) and internal control over financial reporting (as defined in Exchange Act Rules 13a 15(f) and 15d 15(f)) for the Company and have:</w:t>
      </w:r>
    </w:p>
    <w:p>
      <w:pPr>
        <w:spacing w:after="0" w:line="211" w:lineRule="exact"/>
        <w:rPr>
          <w:sz w:val="20"/>
          <w:szCs w:val="20"/>
          <w:color w:val="auto"/>
        </w:rPr>
      </w:pPr>
    </w:p>
    <w:p>
      <w:pPr>
        <w:ind w:left="1140" w:right="80" w:hanging="1132"/>
        <w:spacing w:after="0" w:line="263"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1132"/>
        <w:spacing w:after="0" w:line="263"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1132"/>
        <w:spacing w:after="0" w:line="342"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1132"/>
        <w:spacing w:after="0" w:line="263"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11" w:lineRule="exact"/>
        <w:rPr>
          <w:sz w:val="20"/>
          <w:szCs w:val="20"/>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3" w:lineRule="exact"/>
        <w:rPr>
          <w:sz w:val="20"/>
          <w:szCs w:val="20"/>
          <w:color w:val="auto"/>
        </w:rPr>
      </w:pPr>
    </w:p>
    <w:p>
      <w:pPr>
        <w:ind w:left="1140" w:right="620" w:hanging="1132"/>
        <w:spacing w:after="0" w:line="342" w:lineRule="auto"/>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0" w:lineRule="exact"/>
        <w:rPr>
          <w:rFonts w:ascii="Arial" w:cs="Arial" w:eastAsia="Arial" w:hAnsi="Arial"/>
          <w:sz w:val="16"/>
          <w:szCs w:val="16"/>
          <w:color w:val="auto"/>
        </w:rPr>
      </w:pPr>
    </w:p>
    <w:p>
      <w:pPr>
        <w:ind w:left="1140" w:right="300" w:hanging="1132"/>
        <w:spacing w:after="0" w:line="277"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March 8, 2021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Gregory M.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Gregory M. Gentile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ind w:left="340" w:right="2760"/>
        <w:spacing w:after="0" w:line="239" w:lineRule="auto"/>
        <w:rPr>
          <w:sz w:val="20"/>
          <w:szCs w:val="20"/>
          <w:color w:val="auto"/>
        </w:rPr>
      </w:pPr>
      <w:r>
        <w:rPr>
          <w:rFonts w:ascii="Arial" w:cs="Arial" w:eastAsia="Arial" w:hAnsi="Arial"/>
          <w:sz w:val="22"/>
          <w:szCs w:val="22"/>
          <w:b w:val="1"/>
          <w:bCs w:val="1"/>
          <w:color w:val="auto"/>
        </w:rPr>
        <w:t>CERTIFICATION OF THE CHIEF EXECUTIVE OFFICER PURSUANT TO 18 U.S.C. § 1350 AS ADOPTED PURSUANT TO SECTION 906 OF THE SARBANES-OXLEY ACT OF 2002</w:t>
      </w:r>
    </w:p>
    <w:p>
      <w:pPr>
        <w:spacing w:after="0" w:line="21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I, Scott Gordon, Chief Executive Officer and Chairman of Silver Spike Acquisition Corp. (the “Company”), certify, pursuant to 18 U.S.C. § 1350, as adopted pursuant to Section 906 of the Sarbanes-Oxley Act of 2002, that, to my knowledge:</w:t>
      </w:r>
    </w:p>
    <w:p>
      <w:pPr>
        <w:spacing w:after="0" w:line="139" w:lineRule="exact"/>
        <w:rPr>
          <w:sz w:val="20"/>
          <w:szCs w:val="20"/>
          <w:color w:val="auto"/>
        </w:rPr>
      </w:pPr>
    </w:p>
    <w:p>
      <w:pPr>
        <w:ind w:left="660" w:right="32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2020 (the “Annual Report”) fully complies with the requirements of Section 13(a) or Section 15(d) of the Securities Exchange Act of 1934; and</w:t>
      </w:r>
    </w:p>
    <w:p>
      <w:pPr>
        <w:spacing w:after="0" w:line="197" w:lineRule="exact"/>
        <w:rPr>
          <w:rFonts w:ascii="Arial" w:cs="Arial" w:eastAsia="Arial" w:hAnsi="Arial"/>
          <w:sz w:val="18"/>
          <w:szCs w:val="18"/>
          <w:color w:val="auto"/>
        </w:rPr>
      </w:pPr>
    </w:p>
    <w:p>
      <w:pPr>
        <w:ind w:left="660" w:right="34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March 8, 2021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Gordon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certification accompanies the Report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line="239" w:lineRule="auto"/>
        <w:rPr>
          <w:sz w:val="20"/>
          <w:szCs w:val="20"/>
          <w:color w:val="auto"/>
        </w:rPr>
      </w:pPr>
      <w:r>
        <w:rPr>
          <w:rFonts w:ascii="Arial" w:cs="Arial" w:eastAsia="Arial" w:hAnsi="Arial"/>
          <w:sz w:val="22"/>
          <w:szCs w:val="22"/>
          <w:b w:val="1"/>
          <w:bCs w:val="1"/>
          <w:color w:val="auto"/>
        </w:rPr>
        <w:t>CERTIFICATION OF THE CHIEF FINANCIAL OFFICER PURSUANT TO 18 U.S.C. § 1350 AS ADOPTED PURSUANT TO 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I, Gregory M. Gentile, Chief Financial Officer of Silver Spike Acquisition Corp. (the “Company”), certify, pursuant to 18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1350, as adopted pursuant to Section 906 of the Sarbanes-Oxley Act of 2002, that, to my knowledge:</w:t>
      </w:r>
    </w:p>
    <w:p>
      <w:pPr>
        <w:spacing w:after="0" w:line="222" w:lineRule="exact"/>
        <w:rPr>
          <w:sz w:val="20"/>
          <w:szCs w:val="20"/>
          <w:color w:val="auto"/>
        </w:rPr>
      </w:pPr>
    </w:p>
    <w:p>
      <w:pPr>
        <w:ind w:left="660" w:right="32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2020 (the “Annual Report”) fully complies with the requirements of Section 13(a) or Section 15(d) of the Securities Exchange Act of 1934; and</w:t>
      </w:r>
    </w:p>
    <w:p>
      <w:pPr>
        <w:spacing w:after="0" w:line="197" w:lineRule="exact"/>
        <w:rPr>
          <w:rFonts w:ascii="Arial" w:cs="Arial" w:eastAsia="Arial" w:hAnsi="Arial"/>
          <w:sz w:val="18"/>
          <w:szCs w:val="18"/>
          <w:color w:val="auto"/>
        </w:rPr>
      </w:pPr>
    </w:p>
    <w:p>
      <w:pPr>
        <w:ind w:left="660" w:right="34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March 8, 2021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Gregory M.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Gregory M. Gentile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certification accompanies the Report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7"/>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lowerRoman"/>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lowerRoman"/>
      <w:start w:val="4"/>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lowerLetter"/>
      <w:start w:val="1"/>
    </w:lvl>
    <w:lvl w:ilvl="1">
      <w:lvlJc w:val="left"/>
      <w:lvlText w:val="(%2)"/>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93" Type="http://schemas.openxmlformats.org/officeDocument/2006/relationships/hyperlink" Target="https://www.sec.gov/Archives/edgar/data/1779474/000095010319009708/dp109955_ex0302.htm" TargetMode="External"/><Relationship Id="rId94" Type="http://schemas.openxmlformats.org/officeDocument/2006/relationships/hyperlink" Target="https://www.sec.gov/Archives/edgar/data/1779474/000095010321000525/dp144300_ex0301.htm" TargetMode="External"/><Relationship Id="rId95" Type="http://schemas.openxmlformats.org/officeDocument/2006/relationships/hyperlink" Target="https://www.sec.gov/Archives/edgar/data/1779474/000114036120007395/ex4_1.htm" TargetMode="External"/><Relationship Id="rId96" Type="http://schemas.openxmlformats.org/officeDocument/2006/relationships/hyperlink" Target="https://www.sec.gov/Archives/edgar/data/1779474/000095010319010751/dp111173_ex0401.htm" TargetMode="External"/><Relationship Id="rId97" Type="http://schemas.openxmlformats.org/officeDocument/2006/relationships/hyperlink" Target="https://www.sec.gov/Archives/edgar/data/1779474/000095010319010751/dp111173_ex1001.htm" TargetMode="External"/><Relationship Id="rId98" Type="http://schemas.openxmlformats.org/officeDocument/2006/relationships/hyperlink" Target="https://www.sec.gov/Archives/edgar/data/1779474/000095010319010751/dp111173_ex1002.htm" TargetMode="External"/><Relationship Id="rId99" Type="http://schemas.openxmlformats.org/officeDocument/2006/relationships/hyperlink" Target="https://www.sec.gov/Archives/edgar/data/1779474/000095010319010751/dp111173_ex1003.htm" TargetMode="External"/><Relationship Id="rId100" Type="http://schemas.openxmlformats.org/officeDocument/2006/relationships/hyperlink" Target="https://www.sec.gov/Archives/edgar/data/1779474/000095010319010751/dp111173_ex1004.htm" TargetMode="External"/><Relationship Id="rId101" Type="http://schemas.openxmlformats.org/officeDocument/2006/relationships/hyperlink" Target="https://www.sec.gov/Archives/edgar/data/1779474/000095010319010751/dp111173_ex1005.htm" TargetMode="External"/><Relationship Id="rId102" Type="http://schemas.openxmlformats.org/officeDocument/2006/relationships/hyperlink" Target="https://www.sec.gov/Archives/edgar/data/1779474/000095010320024045/dp142700_ex0201.htm" TargetMode="External"/><Relationship Id="rId103" Type="http://schemas.openxmlformats.org/officeDocument/2006/relationships/hyperlink" Target="https://www.sec.gov/Archives/edgar/data/1779474/000095010320024045/dp142700_ex1001.htm" TargetMode="External"/><Relationship Id="rId104" Type="http://schemas.openxmlformats.org/officeDocument/2006/relationships/hyperlink" Target="https://www.sec.gov/Archives/edgar/data/1779474/000095010320024284/dp142915_ex1002.htm" TargetMode="External"/><Relationship Id="rId105" Type="http://schemas.openxmlformats.org/officeDocument/2006/relationships/hyperlink" Target="https://www.sec.gov/Archives/edgar/data/1779474/000095010320024284/dp142915_ex1003.htm" TargetMode="External"/><Relationship Id="rId106" Type="http://schemas.openxmlformats.org/officeDocument/2006/relationships/hyperlink" Target="https://www.sec.gov/Archives/edgar/data/1779474/000095010321002510/dp146317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2021-03-09T05:20:41Z</dcterms:created>
  <dcterms:modified xsi:type="dcterms:W3CDTF">2021-03-09T05:20:41Z</dcterms:modified>
</cp:coreProperties>
</file>