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7505x1_posam_100-regcov_pg1"/>
        <w:bookmarkStart w:id="1" w:name="ny20047505x1_posam.htm"/>
        <w:bookmarkStart w:id="2" w:name="ksny20047505x1_posam"/>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4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As filed with the Securities and Exchange Commission on May 2, 2025 </w:t>
      </w:r>
    </w:p>
    <w:p>
      <w:pPr>
        <w:pStyle w:val="TextBody"/>
        <w:bidi w:val="0"/>
        <w:spacing w:before="40" w:after="283"/>
        <w:jc w:val="right"/>
        <w:rPr>
          <w:rFonts w:ascii="Times New Roman;Times;serif" w:hAnsi="Times New Roman;Times;serif"/>
          <w:color w:val="000000"/>
          <w:sz w:val="20"/>
        </w:rPr>
      </w:pPr>
      <w:r>
        <w:rPr>
          <w:rFonts w:ascii="Times New Roman;Times;serif" w:hAnsi="Times New Roman;Times;serif"/>
          <w:color w:val="000000"/>
          <w:sz w:val="20"/>
        </w:rPr>
        <w:t xml:space="preserve">Registration No. 333-257774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11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POST-EFFECTIVE AMENDMENT NO. 7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ON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FORM S-1 REGISTRATION STATEMENT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UNDER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THE SECURITIES ACT OF 1933 </w:t>
      </w:r>
    </w:p>
    <w:p>
      <w:pPr>
        <w:pStyle w:val="TextBody"/>
        <w:bidi w:val="0"/>
        <w:spacing w:before="1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WM Technology, Inc.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(Exact Name of Registrant as Specified in its Charter) </w:t>
      </w:r>
    </w:p>
    <w:tbl>
      <w:tblPr>
        <w:tblW w:w="6965" w:type="dxa"/>
        <w:jc w:val="left"/>
        <w:tblInd w:w="0" w:type="dxa"/>
        <w:tblLayout w:type="fixed"/>
        <w:tblCellMar>
          <w:top w:w="0" w:type="dxa"/>
          <w:left w:w="0" w:type="dxa"/>
          <w:bottom w:w="0" w:type="dxa"/>
          <w:right w:w="0" w:type="dxa"/>
        </w:tblCellMar>
      </w:tblPr>
      <w:tblGrid>
        <w:gridCol w:w="2525"/>
        <w:gridCol w:w="140"/>
        <w:gridCol w:w="140"/>
        <w:gridCol w:w="2345"/>
        <w:gridCol w:w="140"/>
        <w:gridCol w:w="140"/>
        <w:gridCol w:w="1535"/>
      </w:tblGrid>
      <w:tr>
        <w:trPr/>
        <w:tc>
          <w:tcPr>
            <w:tcW w:w="25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25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7372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98-1605615 </w:t>
            </w:r>
          </w:p>
        </w:tc>
      </w:tr>
      <w:tr>
        <w:trPr/>
        <w:tc>
          <w:tcPr>
            <w:tcW w:w="2525"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(State or Other Jurisdiction of </w:t>
            </w:r>
          </w:p>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(Primary Standard Industrial </w:t>
            </w:r>
          </w:p>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Classification Code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(I.R.S. Employer </w:t>
            </w:r>
          </w:p>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Identification No.)</w:t>
            </w:r>
          </w:p>
        </w:tc>
      </w:tr>
      <w:tr>
        <w:trPr/>
        <w:tc>
          <w:tcPr>
            <w:tcW w:w="25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41 Discovery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Irvine, California 92618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Tel: (844) 933-3627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(Address, Including Zip Code, and Telephone Number, Including Area Code, of Registrant’s Principal Executive Offices)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Brian Camire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Counsel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WM Technology,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41 Discovery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Irvine, California 92618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(844) 933-3627</w:t>
      </w:r>
    </w:p>
    <w:p>
      <w:pPr>
        <w:pStyle w:val="TextBody"/>
        <w:bidi w:val="0"/>
        <w:spacing w:before="6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Address, Including Zip Code, and Telephone Number, Including Area Code, of Agent for Service) </w:t>
      </w:r>
    </w:p>
    <w:p>
      <w:pPr>
        <w:pStyle w:val="TextBody"/>
        <w:bidi w:val="0"/>
        <w:spacing w:before="12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Copies to: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Dave Peinsipp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Kristin VanderPas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Peter Byrne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Cooley LLP </w:t>
      </w:r>
    </w:p>
    <w:p>
      <w:pPr>
        <w:pStyle w:val="TextBody"/>
        <w:bidi w:val="0"/>
        <w:spacing w:lineRule="auto" w:line="240"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3 Embarcadero Center, 20th Floor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San Francisco, California 94111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Tel: (415) 693-2000 </w:t>
      </w:r>
    </w:p>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Approximate date of commencement of proposed sale to the public: From time to time after the effective date of this registration statement. </w:t>
      </w:r>
    </w:p>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 </w:t>
      </w:r>
    </w:p>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 </w:t>
      </w:r>
    </w:p>
    <w:tbl>
      <w:tblPr>
        <w:tblW w:w="4955" w:type="dxa"/>
        <w:jc w:val="left"/>
        <w:tblInd w:w="0" w:type="dxa"/>
        <w:tblLayout w:type="fixed"/>
        <w:tblCellMar>
          <w:top w:w="0" w:type="dxa"/>
          <w:left w:w="0" w:type="dxa"/>
          <w:bottom w:w="0" w:type="dxa"/>
          <w:right w:w="0" w:type="dxa"/>
        </w:tblCellMar>
      </w:tblPr>
      <w:tblGrid>
        <w:gridCol w:w="1580"/>
        <w:gridCol w:w="140"/>
        <w:gridCol w:w="140"/>
        <w:gridCol w:w="275"/>
        <w:gridCol w:w="140"/>
        <w:gridCol w:w="140"/>
        <w:gridCol w:w="1955"/>
        <w:gridCol w:w="140"/>
        <w:gridCol w:w="140"/>
        <w:gridCol w:w="305"/>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47505x1_posam_101-not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EXPLANATORY NOTE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WM Technology, Inc., a Delaware corporation (the “Company”), filed a Registration Statement on Form S-1 (as amended and supplemented, the “Registration Statement”) on July 8, 2021, which was declared effective on July 20,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Post-Effective Amendment No. 4 was filed by the Company on July 29, 2024 to convert the Form S-3 Registration Statement into a registration statement on Form S-1 (“Post-Effective Amendment No. 4”). Post-Effective Amendment No. 5 (“Post-Effective Amendment No. 5”) was filed by the Company on September 3, 2024 to include our unaudited condensed consolidated financial statements as of and for the three and six months ended June 30, 2024. Post-Effective Amendment No. 6 (“Post-Effective Amendment No. 6”) was filed by the Company on December 9, 2024 to include our unaudited condensed consolidated financial statements as of and for the three and nine months ended September 30,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Post-Effective Amendment No. 7 (“Post-Effective Amendment No. 7”) is being filed to include our audited consolidated financial statements as of and for the year ended December 31,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included in this filing amends the Registration Statement and the prospectus contained therein. No additional securities are being registered under this Post-Effective Amendment No. 7. All applicable registration fees were paid at the time of the original filing of the Registration Statement.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47505x1_posam_102-cov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tbl>
      <w:tblPr>
        <w:tblW w:w="7835" w:type="dxa"/>
        <w:jc w:val="left"/>
        <w:tblInd w:w="0" w:type="dxa"/>
        <w:tblLayout w:type="fixed"/>
        <w:tblCellMar>
          <w:top w:w="0" w:type="dxa"/>
          <w:left w:w="0" w:type="dxa"/>
          <w:bottom w:w="0" w:type="dxa"/>
          <w:right w:w="0" w:type="dxa"/>
        </w:tblCellMar>
      </w:tblPr>
      <w:tblGrid>
        <w:gridCol w:w="2795"/>
        <w:gridCol w:w="140"/>
        <w:gridCol w:w="140"/>
        <w:gridCol w:w="4760"/>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 xml:space="preserve">PRELIMINARY PROSPECTUS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283"/>
              <w:jc w:val="right"/>
              <w:rPr>
                <w:rFonts w:ascii="Times New Roman;Times;serif" w:hAnsi="Times New Roman;Times;serif"/>
                <w:b/>
                <w:color w:val="FC0014"/>
                <w:sz w:val="20"/>
              </w:rPr>
            </w:pPr>
            <w:r>
              <w:rPr>
                <w:rFonts w:ascii="Times New Roman;Times;serif" w:hAnsi="Times New Roman;Times;serif"/>
                <w:b/>
                <w:color w:val="FC0014"/>
                <w:sz w:val="20"/>
              </w:rPr>
              <w:t>SUBJECT TO COMPLETION — DATED MAY 2, 2025</w:t>
            </w:r>
          </w:p>
        </w:tc>
      </w:tr>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0"/>
              <w:jc w:val="left"/>
              <w:rPr/>
            </w:pPr>
            <w:r>
              <w:rPr/>
              <w:t> </w:t>
            </w:r>
          </w:p>
        </w:tc>
      </w:tr>
    </w:tbl>
    <w:p>
      <w:pPr>
        <w:pStyle w:val="TextBody"/>
        <w:bidi w:val="0"/>
        <w:spacing w:before="320" w:after="283"/>
        <w:jc w:val="center"/>
        <w:rPr>
          <w:color w:val="000000"/>
        </w:rPr>
      </w:pPr>
      <w:r>
        <w:rPr>
          <w:color w:val="000000"/>
        </w:rPr>
        <w:drawing>
          <wp:inline distT="0" distB="0" distL="0" distR="0">
            <wp:extent cx="38100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1133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Up to 110,898,382 Shares of Class A 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and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Up to 105,014,011 Shares of Class A 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Up to 7,000,000 Warrants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Offered by the Selling Securityholders </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Class A Common Stock and Public Warrants are listed on The Nasdaq Global Select Market (“Nasdaq”) under the symbols “MAPS” and “MAPSW,” respectively. On May 1, 2025, the closing price of our Class A Common Stock was $1.26 and the closing price for our Public Warrants was $0.03. </w:t>
      </w:r>
    </w:p>
    <w:p>
      <w:pPr>
        <w:pStyle w:val="TextBody"/>
        <w:bidi w:val="0"/>
        <w:spacing w:before="120" w:after="283"/>
        <w:ind w:left="0" w:right="0" w:hanging="0"/>
        <w:jc w:val="both"/>
        <w:rPr/>
      </w:pPr>
      <w:r>
        <w:rPr>
          <w:rFonts w:ascii="Times New Roman;Times;serif" w:hAnsi="Times New Roman;Times;serif"/>
          <w:color w:val="000000"/>
          <w:sz w:val="20"/>
        </w:rPr>
        <w:t xml:space="preserve">See the section entitled “Risk Factors” beginning on page </w:t>
      </w:r>
      <w:hyperlink w:anchor="tRF">
        <w:r>
          <w:rPr>
            <w:rStyle w:val="InternetLink"/>
            <w:rFonts w:ascii="Times New Roman;Times;serif" w:hAnsi="Times New Roman;Times;serif"/>
            <w:color w:val="000080"/>
            <w:sz w:val="20"/>
          </w:rPr>
          <w:t>3</w:t>
        </w:r>
      </w:hyperlink>
      <w:r>
        <w:rPr>
          <w:rFonts w:ascii="Times New Roman;Times;serif" w:hAnsi="Times New Roman;Times;serif"/>
          <w:color w:val="000000"/>
          <w:sz w:val="20"/>
        </w:rPr>
        <w:t xml:space="preserve"> of this prospectus, and under similar headings in any amendments or supplements to this prospectus and the documents incorporated herein by reference, to read about factors you should consider before buying our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 2025.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47505x1_posam_103-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6980" w:type="dxa"/>
        <w:jc w:val="left"/>
        <w:tblInd w:w="0" w:type="dxa"/>
        <w:tblLayout w:type="fixed"/>
        <w:tblCellMar>
          <w:top w:w="0" w:type="dxa"/>
          <w:left w:w="0" w:type="dxa"/>
          <w:bottom w:w="0" w:type="dxa"/>
          <w:right w:w="0" w:type="dxa"/>
        </w:tblCellMar>
      </w:tblPr>
      <w:tblGrid>
        <w:gridCol w:w="6260"/>
        <w:gridCol w:w="140"/>
        <w:gridCol w:w="140"/>
        <w:gridCol w:w="440"/>
      </w:tblGrid>
      <w:tr>
        <w:trPr/>
        <w:tc>
          <w:tcPr>
            <w:tcW w:w="6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6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26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ii</w:t>
              </w:r>
            </w:hyperlink>
          </w:p>
        </w:tc>
      </w:tr>
      <w:tr>
        <w:trPr/>
        <w:tc>
          <w:tcPr>
            <w:tcW w:w="6260" w:type="dxa"/>
            <w:tcBorders/>
            <w:vAlign w:val="center"/>
          </w:tcPr>
          <w:p>
            <w:pPr>
              <w:pStyle w:val="TableContents"/>
              <w:bidi w:val="0"/>
              <w:spacing w:before="0" w:after="283"/>
              <w:ind w:left="0" w:right="0" w:hanging="0"/>
              <w:jc w:val="left"/>
              <w:rPr/>
            </w:pPr>
            <w:hyperlink w:anchor="tCNR">
              <w:r>
                <w:rPr>
                  <w:rStyle w:val="InternetLink"/>
                  <w:rFonts w:ascii="Times New Roman;Times;serif" w:hAnsi="Times New Roman;Times;serif"/>
                  <w:color w:val="000000"/>
                  <w:sz w:val="20"/>
                </w:rPr>
                <w:t>CAUTIONARY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NR">
              <w:r>
                <w:rPr>
                  <w:rStyle w:val="InternetLink"/>
                  <w:rFonts w:ascii="Times New Roman;Times;serif" w:hAnsi="Times New Roman;Times;serif"/>
                  <w:color w:val="000000"/>
                  <w:sz w:val="20"/>
                </w:rPr>
                <w:t>iii</w:t>
              </w:r>
            </w:hyperlink>
          </w:p>
        </w:tc>
      </w:tr>
      <w:tr>
        <w:trPr/>
        <w:tc>
          <w:tcPr>
            <w:tcW w:w="6260"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S">
              <w:r>
                <w:rPr>
                  <w:rStyle w:val="InternetLink"/>
                  <w:rFonts w:ascii="Times New Roman;Times;serif" w:hAnsi="Times New Roman;Times;serif"/>
                  <w:color w:val="000000"/>
                  <w:sz w:val="20"/>
                </w:rPr>
                <w:t>1</w:t>
              </w:r>
            </w:hyperlink>
          </w:p>
        </w:tc>
      </w:tr>
      <w:tr>
        <w:trPr/>
        <w:tc>
          <w:tcPr>
            <w:tcW w:w="6260" w:type="dxa"/>
            <w:tcBorders/>
            <w:vAlign w:val="center"/>
          </w:tcPr>
          <w:p>
            <w:pPr>
              <w:pStyle w:val="TableContents"/>
              <w:bidi w:val="0"/>
              <w:spacing w:before="0" w:after="283"/>
              <w:ind w:left="0" w:right="0" w:hanging="0"/>
              <w:jc w:val="left"/>
              <w:rPr/>
            </w:pPr>
            <w:hyperlink w:anchor="tTO">
              <w:r>
                <w:rPr>
                  <w:rStyle w:val="InternetLink"/>
                  <w:rFonts w:ascii="Times New Roman;Times;serif" w:hAnsi="Times New Roman;Times;serif"/>
                  <w:color w:val="000000"/>
                  <w:sz w:val="20"/>
                </w:rPr>
                <w:t>THE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O">
              <w:r>
                <w:rPr>
                  <w:rStyle w:val="InternetLink"/>
                  <w:rFonts w:ascii="Times New Roman;Times;serif" w:hAnsi="Times New Roman;Times;serif"/>
                  <w:color w:val="000000"/>
                  <w:sz w:val="20"/>
                </w:rPr>
                <w:t>2</w:t>
              </w:r>
            </w:hyperlink>
          </w:p>
        </w:tc>
      </w:tr>
      <w:tr>
        <w:trPr/>
        <w:tc>
          <w:tcPr>
            <w:tcW w:w="626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3</w:t>
              </w:r>
            </w:hyperlink>
          </w:p>
        </w:tc>
      </w:tr>
      <w:tr>
        <w:trPr/>
        <w:tc>
          <w:tcPr>
            <w:tcW w:w="6260"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4</w:t>
              </w:r>
            </w:hyperlink>
          </w:p>
        </w:tc>
      </w:tr>
      <w:tr>
        <w:trPr/>
        <w:tc>
          <w:tcPr>
            <w:tcW w:w="6260"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SECURITYHOLDERS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S">
              <w:r>
                <w:rPr>
                  <w:rStyle w:val="InternetLink"/>
                  <w:rFonts w:ascii="Times New Roman;Times;serif" w:hAnsi="Times New Roman;Times;serif"/>
                  <w:color w:val="000000"/>
                  <w:sz w:val="20"/>
                </w:rPr>
                <w:t>5</w:t>
              </w:r>
            </w:hyperlink>
          </w:p>
        </w:tc>
      </w:tr>
      <w:tr>
        <w:trPr/>
        <w:tc>
          <w:tcPr>
            <w:tcW w:w="6260" w:type="dxa"/>
            <w:tcBorders/>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DESCRIPTION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OS">
              <w:r>
                <w:rPr>
                  <w:rStyle w:val="InternetLink"/>
                  <w:rFonts w:ascii="Times New Roman;Times;serif" w:hAnsi="Times New Roman;Times;serif"/>
                  <w:color w:val="000000"/>
                  <w:sz w:val="20"/>
                </w:rPr>
                <w:t>12</w:t>
              </w:r>
            </w:hyperlink>
          </w:p>
        </w:tc>
      </w:tr>
      <w:tr>
        <w:trPr/>
        <w:tc>
          <w:tcPr>
            <w:tcW w:w="6260" w:type="dxa"/>
            <w:tcBorders/>
            <w:shd w:fill="CCEEFF" w:val="clear"/>
            <w:vAlign w:val="center"/>
          </w:tcPr>
          <w:p>
            <w:pPr>
              <w:pStyle w:val="TableContents"/>
              <w:bidi w:val="0"/>
              <w:spacing w:before="0" w:after="283"/>
              <w:ind w:left="0" w:right="0" w:hanging="0"/>
              <w:jc w:val="left"/>
              <w:rPr/>
            </w:pPr>
            <w:hyperlink w:anchor="tMUS">
              <w:r>
                <w:rPr>
                  <w:rStyle w:val="InternetLink"/>
                  <w:rFonts w:ascii="Times New Roman;Times;serif" w:hAnsi="Times New Roman;Times;serif"/>
                  <w:color w:val="000000"/>
                  <w:sz w:val="20"/>
                </w:rPr>
                <w:t>MATERIAL UNITED STATES FEDERAL INCOME TAX CONSEQUENCES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MUS">
              <w:r>
                <w:rPr>
                  <w:rStyle w:val="InternetLink"/>
                  <w:rFonts w:ascii="Times New Roman;Times;serif" w:hAnsi="Times New Roman;Times;serif"/>
                  <w:color w:val="000000"/>
                  <w:sz w:val="20"/>
                </w:rPr>
                <w:t>20</w:t>
              </w:r>
            </w:hyperlink>
          </w:p>
        </w:tc>
      </w:tr>
      <w:tr>
        <w:trPr/>
        <w:tc>
          <w:tcPr>
            <w:tcW w:w="6260"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25</w:t>
              </w:r>
            </w:hyperlink>
          </w:p>
        </w:tc>
      </w:tr>
      <w:tr>
        <w:trPr/>
        <w:tc>
          <w:tcPr>
            <w:tcW w:w="626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27</w:t>
              </w:r>
            </w:hyperlink>
          </w:p>
        </w:tc>
      </w:tr>
      <w:tr>
        <w:trPr/>
        <w:tc>
          <w:tcPr>
            <w:tcW w:w="626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27</w:t>
              </w:r>
            </w:hyperlink>
          </w:p>
        </w:tc>
      </w:tr>
      <w:tr>
        <w:trPr/>
        <w:tc>
          <w:tcPr>
            <w:tcW w:w="626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27</w:t>
              </w:r>
            </w:hyperlink>
          </w:p>
        </w:tc>
      </w:tr>
      <w:tr>
        <w:trPr/>
        <w:tc>
          <w:tcPr>
            <w:tcW w:w="6260" w:type="dxa"/>
            <w:tcBorders/>
            <w:vAlign w:val="center"/>
          </w:tcPr>
          <w:p>
            <w:pPr>
              <w:pStyle w:val="TableContents"/>
              <w:bidi w:val="0"/>
              <w:spacing w:before="0" w:after="283"/>
              <w:ind w:left="0" w:right="0" w:hanging="0"/>
              <w:jc w:val="left"/>
              <w:rPr/>
            </w:pPr>
            <w:hyperlink w:anchor="tIBR">
              <w:r>
                <w:rPr>
                  <w:rStyle w:val="InternetLink"/>
                  <w:rFonts w:ascii="Times New Roman;Times;serif" w:hAnsi="Times New Roman;Times;serif"/>
                  <w:color w:val="000000"/>
                  <w:sz w:val="20"/>
                </w:rPr>
                <w:t>INCORPORATION OF CERTAIN INFORMATION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BR">
              <w:r>
                <w:rPr>
                  <w:rStyle w:val="InternetLink"/>
                  <w:rFonts w:ascii="Times New Roman;Times;serif" w:hAnsi="Times New Roman;Times;serif"/>
                  <w:color w:val="000000"/>
                  <w:sz w:val="20"/>
                </w:rPr>
                <w:t>28</w:t>
              </w:r>
            </w:hyperlink>
          </w:p>
        </w:tc>
      </w:tr>
      <w:tr>
        <w:trPr/>
        <w:tc>
          <w:tcPr>
            <w:tcW w:w="6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47505x1_posam_104-about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ATP"/>
      <w:bookmarkEnd w:id="9"/>
      <w:r>
        <w:rPr>
          <w:rFonts w:ascii="Times New Roman;Times;serif" w:hAnsi="Times New Roman;Times;serif"/>
          <w:b/>
          <w:color w:val="000000"/>
          <w:sz w:val="20"/>
        </w:rPr>
        <w:t xml:space="preserve">ABOUT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47505x1_posam_105-f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CNR"/>
      <w:bookmarkEnd w:id="11"/>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in this prospectus may include, for example, statements about: </w:t>
      </w:r>
    </w:p>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financial and business performance, including key business metrics and any underlying assumptions thereunder; </w:t>
            </w:r>
          </w:p>
        </w:tc>
      </w:tr>
    </w:tbl>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market opportunity and our ability to acquire new clients and retain existing clients;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expectations and timing related to commercial product launches; </w:t>
            </w:r>
          </w:p>
        </w:tc>
      </w:tr>
    </w:tbl>
    <w:tbl>
      <w:tblPr>
        <w:tblW w:w="3445" w:type="dxa"/>
        <w:jc w:val="left"/>
        <w:tblInd w:w="0" w:type="dxa"/>
        <w:tblLayout w:type="fixed"/>
        <w:tblCellMar>
          <w:top w:w="0" w:type="dxa"/>
          <w:left w:w="0" w:type="dxa"/>
          <w:bottom w:w="0" w:type="dxa"/>
          <w:right w:w="0" w:type="dxa"/>
        </w:tblCellMar>
      </w:tblPr>
      <w:tblGrid>
        <w:gridCol w:w="110"/>
        <w:gridCol w:w="3335"/>
      </w:tblGrid>
      <w:tr>
        <w:trPr/>
        <w:tc>
          <w:tcPr>
            <w:tcW w:w="11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success of our go-to-market strategy;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scale our business and expand our offerings; </w:t>
            </w:r>
          </w:p>
        </w:tc>
      </w:tr>
    </w:tbl>
    <w:tbl>
      <w:tblPr>
        <w:tblW w:w="4255" w:type="dxa"/>
        <w:jc w:val="left"/>
        <w:tblInd w:w="0" w:type="dxa"/>
        <w:tblLayout w:type="fixed"/>
        <w:tblCellMar>
          <w:top w:w="0" w:type="dxa"/>
          <w:left w:w="0" w:type="dxa"/>
          <w:bottom w:w="0" w:type="dxa"/>
          <w:right w:w="0" w:type="dxa"/>
        </w:tblCellMar>
      </w:tblPr>
      <w:tblGrid>
        <w:gridCol w:w="110"/>
        <w:gridCol w:w="4145"/>
      </w:tblGrid>
      <w:tr>
        <w:trPr/>
        <w:tc>
          <w:tcPr>
            <w:tcW w:w="11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competitive advantages and growth strategies;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future capital requirements and sources and uses of cash;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funding for our future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material weaknesses in our internal controls and our ability to remediate any such material weakness on the timing we anticipate, or at all; </w:t>
            </w:r>
          </w:p>
        </w:tc>
      </w:tr>
    </w:tbl>
    <w:tbl>
      <w:tblPr>
        <w:tblW w:w="5515" w:type="dxa"/>
        <w:jc w:val="left"/>
        <w:tblInd w:w="0" w:type="dxa"/>
        <w:tblLayout w:type="fixed"/>
        <w:tblCellMar>
          <w:top w:w="0" w:type="dxa"/>
          <w:left w:w="0" w:type="dxa"/>
          <w:bottom w:w="0" w:type="dxa"/>
          <w:right w:w="0" w:type="dxa"/>
        </w:tblCellMar>
      </w:tblPr>
      <w:tblGrid>
        <w:gridCol w:w="110"/>
        <w:gridCol w:w="5405"/>
      </w:tblGrid>
      <w:tr>
        <w:trPr/>
        <w:tc>
          <w:tcPr>
            <w:tcW w:w="11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our listing on the Nasdaq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the restatement on our reputation and investor confidence in us and the increased possibility of legal proceedings and regulatory inquiries;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known and unknown litigation and regulatory proceedings; </w:t>
            </w:r>
          </w:p>
        </w:tc>
      </w:tr>
    </w:tbl>
    <w:tbl>
      <w:tblPr>
        <w:tblW w:w="7540" w:type="dxa"/>
        <w:jc w:val="left"/>
        <w:tblInd w:w="0" w:type="dxa"/>
        <w:tblLayout w:type="fixed"/>
        <w:tblCellMar>
          <w:top w:w="0" w:type="dxa"/>
          <w:left w:w="0" w:type="dxa"/>
          <w:bottom w:w="0" w:type="dxa"/>
          <w:right w:w="0" w:type="dxa"/>
        </w:tblCellMar>
      </w:tblPr>
      <w:tblGrid>
        <w:gridCol w:w="110"/>
        <w:gridCol w:w="7430"/>
      </w:tblGrid>
      <w:tr>
        <w:trPr/>
        <w:tc>
          <w:tcPr>
            <w:tcW w:w="110" w:type="dxa"/>
            <w:tcBorders/>
            <w:vAlign w:val="center"/>
          </w:tcPr>
          <w:p>
            <w:pPr>
              <w:pStyle w:val="TableContents"/>
              <w:bidi w:val="0"/>
              <w:spacing w:before="0" w:after="0"/>
              <w:jc w:val="left"/>
              <w:rPr>
                <w:color w:val="000000"/>
              </w:rPr>
            </w:pPr>
            <w:r>
              <w:rPr>
                <w:color w:val="000000"/>
              </w:rPr>
              <w:t>•</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domestic and foreign business, market, financial, political and legal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global, regional or local economic and market conditions affecting the cannabis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development, effects and enforcement of and changes to laws and regulations, including with respect to the cannabis industry;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47505x1_posam_105-fls_pg2"/>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successfully capitalize on new and existing cannabis markets, including our ability to successfully monetize our solutions in those markets; </w:t>
            </w:r>
          </w:p>
        </w:tc>
      </w:tr>
    </w:tbl>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manage future growth;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effectively anticipate and address changes in the end-user market in the cannabis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develop new products and solutions, bring them to market in a timely manner and make enhancements to our platform and our ability to maintain and grow our two-sided marketplace, including our ability to acquire and retain paying clients;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effects of competition on our future business;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success in retaining or recruiting, or changes required in, officers, key employees or directors; </w:t>
            </w:r>
          </w:p>
        </w:tc>
      </w:tr>
    </w:tbl>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cyber-attacks and security vulnerabilities; and </w:t>
            </w:r>
          </w:p>
        </w:tc>
      </w:tr>
    </w:tbl>
    <w:tbl>
      <w:tblPr>
        <w:tblW w:w="8320" w:type="dxa"/>
        <w:jc w:val="left"/>
        <w:tblInd w:w="0" w:type="dxa"/>
        <w:tblLayout w:type="fixed"/>
        <w:tblCellMar>
          <w:top w:w="0" w:type="dxa"/>
          <w:left w:w="0" w:type="dxa"/>
          <w:bottom w:w="0" w:type="dxa"/>
          <w:right w:w="0" w:type="dxa"/>
        </w:tblCellMar>
      </w:tblPr>
      <w:tblGrid>
        <w:gridCol w:w="110"/>
        <w:gridCol w:w="8210"/>
      </w:tblGrid>
      <w:tr>
        <w:trPr/>
        <w:tc>
          <w:tcPr>
            <w:tcW w:w="11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we may be adversely affected by other economic, business or competitive factors.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47505x1_posam_106-summary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4" w:name="tPS"/>
      <w:bookmarkEnd w:id="14"/>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mailing address of our principal executive office is 41 Discovery, Irvine, California 92618. Our telephone number is (844) 933-3627.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47505x1_posam_106-summar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6" w:name="tTO"/>
      <w:bookmarkEnd w:id="16"/>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Issuer</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WM Technology, Inc. (f/k/a Silver Spike Acquisition Corp.).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Issuance of Class A Common Stock Shares of Class A Common Stock Offered by us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Shares of Class A Common Stock Outstanding Prior to Exercise of All Warrants and Exchange of Paired Interests and Class P Units</w:t>
      </w:r>
    </w:p>
    <w:p>
      <w:pPr>
        <w:pStyle w:val="TextBody"/>
        <w:bidi w:val="0"/>
        <w:spacing w:before="0" w:after="240"/>
        <w:ind w:left="51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105,053,766 shares (as of April 28, 2025)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Shares of Class A Common Stock Outstanding Assuming Exercise of All Warrants and Exchange of Paired Interests and Class P Units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187,677,013 shares (based on total shares outstanding as of April 28, 2025)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Exercise Price of Warrants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$11.50 per share, subject to adjustment as described herein.</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Use of Proceeds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receive up to an aggregate of approximately $224.3 million from the exercise of the Warrants, assuming the exercise in full of all of the Warrants for cash. We expect to use the net proceeds from the exercise of the Warrants for general corporate purposes. See the section entitled “Use of Proceeds.”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Resale of Class A Common Stock and Warrants Shares of Class A Common Stock Offered by the Selling Securityholders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105,014,011 shares of Class A Common Stock,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Warrants Offered by the Selling Securityholders</w:t>
      </w:r>
    </w:p>
    <w:p>
      <w:pPr>
        <w:pStyle w:val="TextBody"/>
        <w:bidi w:val="0"/>
        <w:spacing w:before="0" w:after="240"/>
        <w:ind w:left="51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7,000,000 Private Placement Warrants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Redemption</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Warrants are redeemable in certain circumstances. See the section entitled “Description of Securities—Warrants” for further discussion.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Market for Class A Common Stock and Warrants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Class A Common Stock and Public Warrants are currently traded on Nasdaq under the symbols “MAPS” and “MAPSW,” respectively.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Risk Factors</w:t>
      </w:r>
    </w:p>
    <w:p>
      <w:pPr>
        <w:pStyle w:val="TextBody"/>
        <w:bidi w:val="0"/>
        <w:spacing w:before="0" w:after="240"/>
        <w:ind w:left="51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the section entitled “Risk Factors,” other information included in this prospectus, and under similar headings in any amendments or supplements to this prospectus and the documents incorporated herein by reference, for a discussion of factors you should consider before investing in our securities.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47505x1_posam_107-risk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RF"/>
      <w:bookmarkEnd w:id="18"/>
      <w:r>
        <w:rPr>
          <w:rFonts w:ascii="Times New Roman;Times;serif" w:hAnsi="Times New Roman;Times;serif"/>
          <w:b/>
          <w:color w:val="000000"/>
          <w:sz w:val="20"/>
        </w:rPr>
        <w:t xml:space="preserve">RISK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47505x1_posam_108-use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UOP"/>
      <w:bookmarkEnd w:id="20"/>
      <w:r>
        <w:rPr>
          <w:rFonts w:ascii="Times New Roman;Times;serif" w:hAnsi="Times New Roman;Times;serif"/>
          <w:b/>
          <w:color w:val="000000"/>
          <w:sz w:val="20"/>
        </w:rPr>
        <w:t>USE OF PROCEEDS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of the Class A Common Stock and Warrants offered by the Selling Securityholders pursuant to this prospectus will be sold by the Selling Securityholders for their respective accounts. We will not receive any of the proceeds from these sales.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47505x1_posam_109-selling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SS"/>
      <w:bookmarkEnd w:id="22"/>
      <w:r>
        <w:rPr>
          <w:rFonts w:ascii="Times New Roman;Times;serif" w:hAnsi="Times New Roman;Times;serif"/>
          <w:b/>
          <w:color w:val="000000"/>
          <w:sz w:val="20"/>
        </w:rPr>
        <w:t xml:space="preserve">SELLING SECURITYHOLDERS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 to 12,499,933 shares of Class A Common Stock issuable upon exercise of the Public Warrants are not included in the table below, unless specifically indicated in the footnotes therein. </w:t>
      </w:r>
    </w:p>
    <w:tbl>
      <w:tblPr>
        <w:tblW w:w="10205" w:type="dxa"/>
        <w:jc w:val="left"/>
        <w:tblInd w:w="0" w:type="dxa"/>
        <w:tblLayout w:type="fixed"/>
        <w:tblCellMar>
          <w:top w:w="0" w:type="dxa"/>
          <w:left w:w="0" w:type="dxa"/>
          <w:bottom w:w="0" w:type="dxa"/>
          <w:right w:w="0" w:type="dxa"/>
        </w:tblCellMar>
      </w:tblPr>
      <w:tblGrid>
        <w:gridCol w:w="1958"/>
        <w:gridCol w:w="140"/>
        <w:gridCol w:w="140"/>
        <w:gridCol w:w="874"/>
        <w:gridCol w:w="140"/>
        <w:gridCol w:w="140"/>
        <w:gridCol w:w="874"/>
        <w:gridCol w:w="140"/>
        <w:gridCol w:w="140"/>
        <w:gridCol w:w="830"/>
        <w:gridCol w:w="140"/>
        <w:gridCol w:w="140"/>
        <w:gridCol w:w="773"/>
        <w:gridCol w:w="140"/>
        <w:gridCol w:w="140"/>
        <w:gridCol w:w="662"/>
        <w:gridCol w:w="153"/>
        <w:gridCol w:w="153"/>
        <w:gridCol w:w="630"/>
        <w:gridCol w:w="140"/>
        <w:gridCol w:w="140"/>
        <w:gridCol w:w="654"/>
        <w:gridCol w:w="151"/>
        <w:gridCol w:w="151"/>
        <w:gridCol w:w="662"/>
      </w:tblGrid>
      <w:tr>
        <w:trPr/>
        <w:tc>
          <w:tcPr>
            <w:tcW w:w="19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gridSpan w:val="4"/>
            <w:tcBorders/>
            <w:vAlign w:val="center"/>
          </w:tcPr>
          <w:p>
            <w:pPr>
              <w:pStyle w:val="TableContents"/>
              <w:bidi w:val="0"/>
              <w:spacing w:before="0" w:after="0"/>
              <w:jc w:val="left"/>
              <w:rPr/>
            </w:pPr>
            <w:r>
              <w:rPr/>
              <w:t> </w:t>
            </w:r>
          </w:p>
        </w:tc>
      </w:tr>
      <w:tr>
        <w:trPr/>
        <w:tc>
          <w:tcPr>
            <w:tcW w:w="1958"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7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7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7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Offered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are Sold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the Offered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are Sold </w:t>
            </w:r>
          </w:p>
        </w:tc>
      </w:tr>
      <w:tr>
        <w:trPr/>
        <w:tc>
          <w:tcPr>
            <w:tcW w:w="1958"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7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7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73"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6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6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6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1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Christopher Beals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6,166,819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6,166,819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630"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340" w:right="0" w:hanging="0"/>
              <w:jc w:val="left"/>
              <w:rPr>
                <w:color w:val="000000"/>
              </w:rPr>
            </w:pPr>
            <w:r>
              <w:rPr>
                <w:color w:val="000000"/>
              </w:rPr>
              <w:t>—</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Brian Camire(1)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681,749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681,749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41" w:right="0" w:hanging="0"/>
              <w:jc w:val="left"/>
              <w:rPr>
                <w:color w:val="000000"/>
              </w:rPr>
            </w:pPr>
            <w:r>
              <w:rPr>
                <w:color w:val="000000"/>
              </w:rPr>
              <w:t>—</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340" w:right="0" w:hanging="0"/>
              <w:jc w:val="left"/>
              <w:rPr>
                <w:color w:val="000000"/>
              </w:rPr>
            </w:pPr>
            <w:r>
              <w:rPr>
                <w:color w:val="000000"/>
              </w:rPr>
              <w:t>—</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Justin Dean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619,772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619,772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630"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340" w:right="0" w:hanging="0"/>
              <w:jc w:val="left"/>
              <w:rPr>
                <w:color w:val="000000"/>
              </w:rPr>
            </w:pPr>
            <w:r>
              <w:rPr>
                <w:color w:val="000000"/>
              </w:rPr>
              <w:t>—</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Juanjo Feijoo-Osorio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681,749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681,749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41" w:right="0" w:hanging="0"/>
              <w:jc w:val="left"/>
              <w:rPr>
                <w:color w:val="000000"/>
              </w:rPr>
            </w:pPr>
            <w:r>
              <w:rPr>
                <w:color w:val="000000"/>
              </w:rPr>
              <w:t>—</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340" w:right="0" w:hanging="0"/>
              <w:jc w:val="left"/>
              <w:rPr>
                <w:color w:val="000000"/>
              </w:rPr>
            </w:pPr>
            <w:r>
              <w:rPr>
                <w:color w:val="000000"/>
              </w:rPr>
              <w:t>—</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Arden Lee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1,239,543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1,239,543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630"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340" w:right="0" w:hanging="0"/>
              <w:jc w:val="left"/>
              <w:rPr>
                <w:color w:val="000000"/>
              </w:rPr>
            </w:pPr>
            <w:r>
              <w:rPr>
                <w:color w:val="000000"/>
              </w:rPr>
              <w:t>—</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Steven Jung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1,314,411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1,314,411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41" w:right="0" w:hanging="0"/>
              <w:jc w:val="left"/>
              <w:rPr>
                <w:color w:val="000000"/>
              </w:rPr>
            </w:pPr>
            <w:r>
              <w:rPr>
                <w:color w:val="000000"/>
              </w:rPr>
              <w:t>—</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340" w:right="0" w:hanging="0"/>
              <w:jc w:val="left"/>
              <w:rPr>
                <w:color w:val="000000"/>
              </w:rPr>
            </w:pPr>
            <w:r>
              <w:rPr>
                <w:color w:val="000000"/>
              </w:rPr>
              <w:t>—</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Douglas Francis(2)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27,700,849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27,700,849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630"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340" w:right="0" w:hanging="0"/>
              <w:jc w:val="left"/>
              <w:rPr>
                <w:color w:val="000000"/>
              </w:rPr>
            </w:pPr>
            <w:r>
              <w:rPr>
                <w:color w:val="000000"/>
              </w:rPr>
              <w:t>—</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Justin Hartfield(3)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29,328,310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29,328,310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3" w:type="dxa"/>
            <w:tcBorders/>
            <w:vAlign w:val="center"/>
          </w:tcPr>
          <w:p>
            <w:pPr>
              <w:pStyle w:val="TableContents"/>
              <w:bidi w:val="0"/>
              <w:spacing w:before="0" w:after="283"/>
              <w:ind w:left="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41" w:right="0" w:hanging="0"/>
              <w:jc w:val="left"/>
              <w:rPr>
                <w:color w:val="000000"/>
              </w:rPr>
            </w:pPr>
            <w:r>
              <w:rPr>
                <w:color w:val="000000"/>
              </w:rPr>
              <w:t>—</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340" w:right="0" w:hanging="0"/>
              <w:jc w:val="left"/>
              <w:rPr>
                <w:color w:val="000000"/>
              </w:rPr>
            </w:pPr>
            <w:r>
              <w:rPr>
                <w:color w:val="000000"/>
              </w:rPr>
              <w:t>—</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Silver Spike Sponsor, LLC(4)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7,515,752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8"/>
              </w:rPr>
            </w:pPr>
            <w:r>
              <w:rPr>
                <w:rFonts w:ascii="Times New Roman;Times;serif" w:hAnsi="Times New Roman;Times;serif"/>
                <w:color w:val="000000"/>
                <w:sz w:val="18"/>
              </w:rPr>
              <w:t>7,000,000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7,515,752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8"/>
              </w:rPr>
            </w:pPr>
            <w:r>
              <w:rPr>
                <w:rFonts w:ascii="Times New Roman;Times;serif" w:hAnsi="Times New Roman;Times;serif"/>
                <w:color w:val="000000"/>
                <w:sz w:val="18"/>
              </w:rPr>
              <w:t>7,000,000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630"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340" w:right="0" w:hanging="0"/>
              <w:jc w:val="left"/>
              <w:rPr>
                <w:color w:val="000000"/>
              </w:rPr>
            </w:pPr>
            <w:r>
              <w:rPr>
                <w:color w:val="000000"/>
              </w:rPr>
              <w:t>—</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19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6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6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47505x1_posam_109-selling_pg2"/>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26"/>
        <w:gridCol w:w="140"/>
        <w:gridCol w:w="140"/>
        <w:gridCol w:w="871"/>
        <w:gridCol w:w="140"/>
        <w:gridCol w:w="140"/>
        <w:gridCol w:w="871"/>
        <w:gridCol w:w="140"/>
        <w:gridCol w:w="140"/>
        <w:gridCol w:w="754"/>
        <w:gridCol w:w="140"/>
        <w:gridCol w:w="140"/>
        <w:gridCol w:w="754"/>
        <w:gridCol w:w="140"/>
        <w:gridCol w:w="140"/>
        <w:gridCol w:w="649"/>
        <w:gridCol w:w="150"/>
        <w:gridCol w:w="150"/>
        <w:gridCol w:w="616"/>
        <w:gridCol w:w="140"/>
        <w:gridCol w:w="140"/>
        <w:gridCol w:w="643"/>
        <w:gridCol w:w="148"/>
        <w:gridCol w:w="148"/>
        <w:gridCol w:w="645"/>
      </w:tblGrid>
      <w:tr>
        <w:trPr/>
        <w:tc>
          <w:tcPr>
            <w:tcW w:w="21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4" w:type="dxa"/>
            <w:gridSpan w:val="4"/>
            <w:tcBorders/>
            <w:vAlign w:val="center"/>
          </w:tcPr>
          <w:p>
            <w:pPr>
              <w:pStyle w:val="TableContents"/>
              <w:bidi w:val="0"/>
              <w:spacing w:before="0" w:after="0"/>
              <w:jc w:val="left"/>
              <w:rPr/>
            </w:pPr>
            <w:r>
              <w:rPr/>
              <w:t> </w:t>
            </w:r>
          </w:p>
        </w:tc>
      </w:tr>
      <w:tr>
        <w:trPr/>
        <w:tc>
          <w:tcPr>
            <w:tcW w:w="2126"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7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7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5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5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Offered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are Sold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the Offered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are Sold </w:t>
            </w:r>
          </w:p>
        </w:tc>
      </w:tr>
      <w:tr>
        <w:trPr/>
        <w:tc>
          <w:tcPr>
            <w:tcW w:w="2126"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7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7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5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5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6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2012 Grassie Family Delaware Dynasty Trust(5)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2019 Alternative Public Investments, LLC(6)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231,123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231,123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8704856 Canada Inc.(7)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Adam L. Reeder(8)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Aguila Ventures LLC(9)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 xml:space="preserve">AHPPCB Legacy Trust dated February 1, 2014(10)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Alasdair I.C. Grassie 2012 Delaware Trust(11)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Amer Bisat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Ansari 3 Twelve LLC II(12)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18"/>
              </w:rPr>
            </w:pPr>
            <w:r>
              <w:rPr>
                <w:rFonts w:ascii="Times New Roman;Times;serif" w:hAnsi="Times New Roman;Times;serif"/>
                <w:color w:val="000000"/>
                <w:sz w:val="18"/>
              </w:rPr>
              <w:t>91,666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91,666</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 xml:space="preserve">Entities affiliated with Anthony Aquila(13)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Asia Pacific On-Line Limited(14)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Monashee Investment Management, LLC(15)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Bernardino Colonna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Cavenham Private Equity and Directs(16)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Citadel Multi-Strategy Equities Master Fund Ltd.(17)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Behdad Eghbali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1,225,000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1,225,000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Jose E. Feliciano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Chalten Investments Ltd(18)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Craig Schlanger Trust UAD 8/31/1979(19)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CVI Investments, Inc.(20)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Lazarus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12,150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12,150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M. Baron(21)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Mayer de Rothschild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Morrill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Todd Posen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Debra Shemesh-Joester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Doug Kaplan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Eric Aroesty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Eric Hirschfield(22)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Euan C.A. Grassie 2012 Delaware Trust(23)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Federated Funds(24)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Final Word Investments LLC(25)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Granite Point Master Fund, LP(26)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437,500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437,500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Gregor C.A. Grassie 2012 Delaware Trust(27)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1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341" w:right="0" w:hanging="0"/>
              <w:jc w:val="left"/>
              <w:rPr>
                <w:color w:val="000000"/>
              </w:rPr>
            </w:pPr>
            <w:r>
              <w:rPr>
                <w:color w:val="000000"/>
              </w:rPr>
              <w:t>—</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3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182" w:right="0" w:hanging="0"/>
              <w:jc w:val="left"/>
              <w:rPr>
                <w:color w:val="000000"/>
              </w:rPr>
            </w:pPr>
            <w:r>
              <w:rPr>
                <w:color w:val="000000"/>
              </w:rPr>
              <w:t>—</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45" w:type="dxa"/>
            <w:tcBorders/>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GS+A Global Special Situations Fund(28)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1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283"/>
              <w:ind w:left="341" w:right="0" w:hanging="0"/>
              <w:jc w:val="left"/>
              <w:rPr>
                <w:color w:val="000000"/>
              </w:rPr>
            </w:pPr>
            <w:r>
              <w:rPr>
                <w:color w:val="000000"/>
              </w:rPr>
              <w:t>—</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3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182" w:right="0" w:hanging="0"/>
              <w:jc w:val="left"/>
              <w:rPr>
                <w:color w:val="000000"/>
              </w:rPr>
            </w:pPr>
            <w:r>
              <w:rPr>
                <w:color w:val="000000"/>
              </w:rPr>
              <w:t>—</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283"/>
              <w:ind w:left="316" w:right="0" w:hanging="0"/>
              <w:jc w:val="left"/>
              <w:rPr>
                <w:color w:val="000000"/>
              </w:rPr>
            </w:pPr>
            <w:r>
              <w:rPr>
                <w:color w:val="000000"/>
              </w:rPr>
              <w:t xml:space="preserve">— </w:t>
            </w:r>
          </w:p>
        </w:tc>
      </w:tr>
      <w:tr>
        <w:trPr/>
        <w:tc>
          <w:tcPr>
            <w:tcW w:w="212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9"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6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47505x1_posam_109-selling_pg3"/>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50"/>
        <w:gridCol w:w="140"/>
        <w:gridCol w:w="140"/>
        <w:gridCol w:w="869"/>
        <w:gridCol w:w="140"/>
        <w:gridCol w:w="140"/>
        <w:gridCol w:w="869"/>
        <w:gridCol w:w="140"/>
        <w:gridCol w:w="140"/>
        <w:gridCol w:w="753"/>
        <w:gridCol w:w="140"/>
        <w:gridCol w:w="140"/>
        <w:gridCol w:w="751"/>
        <w:gridCol w:w="140"/>
        <w:gridCol w:w="140"/>
        <w:gridCol w:w="770"/>
        <w:gridCol w:w="145"/>
        <w:gridCol w:w="145"/>
        <w:gridCol w:w="598"/>
        <w:gridCol w:w="140"/>
        <w:gridCol w:w="140"/>
        <w:gridCol w:w="638"/>
        <w:gridCol w:w="147"/>
        <w:gridCol w:w="147"/>
        <w:gridCol w:w="643"/>
      </w:tblGrid>
      <w:tr>
        <w:trPr/>
        <w:tc>
          <w:tcPr>
            <w:tcW w:w="20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5" w:type="dxa"/>
            <w:gridSpan w:val="4"/>
            <w:tcBorders/>
            <w:vAlign w:val="center"/>
          </w:tcPr>
          <w:p>
            <w:pPr>
              <w:pStyle w:val="TableContents"/>
              <w:bidi w:val="0"/>
              <w:spacing w:before="0" w:after="0"/>
              <w:jc w:val="left"/>
              <w:rPr/>
            </w:pPr>
            <w:r>
              <w:rPr/>
              <w:t> </w:t>
            </w:r>
          </w:p>
        </w:tc>
      </w:tr>
      <w:tr>
        <w:trPr/>
        <w:tc>
          <w:tcPr>
            <w:tcW w:w="2050"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69"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69"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5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5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Offered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are Sold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the Offered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are Sold </w:t>
            </w:r>
          </w:p>
        </w:tc>
      </w:tr>
      <w:tr>
        <w:trPr/>
        <w:tc>
          <w:tcPr>
            <w:tcW w:w="205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69"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69"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53"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5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Harbert Stoneview Master Fund, Ltd.(29)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Homer Parkhill(30)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Hoplite Capital Series LLC – Kerdos(31)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Interward Capital Corp(32)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James Ben(33)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James Neissa(34)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Jeffrey Jagid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27,650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27,650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Jonathan Jagid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Joshua Jagid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Joshua Samuelson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91,250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91,250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Kaitlin Carey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Katz 2014 Limited Partnership(35)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Keith F. Overlander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Lachlan S.H. Grassie 2012 Delaware Trust(36)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Landis Capital LLC(37)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Laurence Russian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Laurence Schreiber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Luxor Capital(38)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5,147,524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rFonts w:ascii="Times New Roman;Times;serif" w:hAnsi="Times New Roman;Times;serif"/>
                <w:color w:val="000000"/>
                <w:sz w:val="18"/>
              </w:rPr>
            </w:pPr>
            <w:r>
              <w:rPr>
                <w:rFonts w:ascii="Times New Roman;Times;serif" w:hAnsi="Times New Roman;Times;serif"/>
                <w:color w:val="000000"/>
                <w:sz w:val="18"/>
              </w:rPr>
              <w:t>369,756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2,700,000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2,447,524</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rFonts w:ascii="Times New Roman;Times;serif" w:hAnsi="Times New Roman;Times;serif"/>
                <w:color w:val="000000"/>
                <w:sz w:val="18"/>
              </w:rPr>
            </w:pPr>
            <w:r>
              <w:rPr>
                <w:rFonts w:ascii="Times New Roman;Times;serif" w:hAnsi="Times New Roman;Times;serif"/>
                <w:color w:val="000000"/>
                <w:sz w:val="18"/>
              </w:rPr>
              <w:t>2.76%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rFonts w:ascii="Times New Roman;Times;serif" w:hAnsi="Times New Roman;Times;serif"/>
                <w:color w:val="000000"/>
                <w:sz w:val="18"/>
              </w:rPr>
            </w:pPr>
            <w:r>
              <w:rPr>
                <w:rFonts w:ascii="Times New Roman;Times;serif" w:hAnsi="Times New Roman;Times;serif"/>
                <w:color w:val="000000"/>
                <w:sz w:val="18"/>
              </w:rPr>
              <w:t>369,756</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1.90%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Manatuck Hill(39)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Marc Sontrop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Matthew Tomasino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Measure 8 Full Spectrum, LP(40)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Ninepoint Alternative Health Fund(41)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Paul A. Halpern Trust date July 24, 2000(42)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Perch Bay Group, LLC(43)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Peter J. Moses(44)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the Polar Funds(45)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Ponya Asset Management LLC(46)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Ray E. Newton III Revocable Trust UAD 10/11/12 as amended 7/23/19(47)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8"/>
              </w:rPr>
            </w:pPr>
            <w:r>
              <w:rPr>
                <w:rFonts w:ascii="Times New Roman;Times;serif" w:hAnsi="Times New Roman;Times;serif"/>
                <w:color w:val="000000"/>
                <w:sz w:val="18"/>
              </w:rPr>
              <w:t>7,550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8"/>
              </w:rPr>
            </w:pPr>
            <w:r>
              <w:rPr>
                <w:rFonts w:ascii="Times New Roman;Times;serif" w:hAnsi="Times New Roman;Times;serif"/>
                <w:color w:val="000000"/>
                <w:sz w:val="18"/>
              </w:rPr>
              <w:t>7,550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 </w:t>
            </w:r>
          </w:p>
        </w:tc>
      </w:tr>
      <w:tr>
        <w:trPr/>
        <w:tc>
          <w:tcPr>
            <w:tcW w:w="20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Richard Goldman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Richard Prager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Robinson Family Trust 2016(48)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Rock J. Eiden &amp; Sandra K. Eiden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Rothschild &amp; Co US Inc.(49)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190,000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Roystone Capital Master Fund Ltd.(50)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699,437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8"/>
              </w:rPr>
            </w:pPr>
            <w:r>
              <w:rPr>
                <w:rFonts w:ascii="Times New Roman;Times;serif" w:hAnsi="Times New Roman;Times;serif"/>
                <w:color w:val="000000"/>
                <w:sz w:val="18"/>
              </w:rPr>
              <w:t>297,000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1"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49,437</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18"/>
              </w:rPr>
            </w:pP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37" w:right="0" w:hanging="0"/>
              <w:jc w:val="left"/>
              <w:rPr>
                <w:rFonts w:ascii="Times New Roman;Times;serif" w:hAnsi="Times New Roman;Times;serif"/>
                <w:color w:val="000000"/>
                <w:sz w:val="18"/>
              </w:rPr>
            </w:pPr>
            <w:r>
              <w:rPr>
                <w:rFonts w:ascii="Times New Roman;Times;serif" w:hAnsi="Times New Roman;Times;serif"/>
                <w:color w:val="000000"/>
                <w:sz w:val="18"/>
              </w:rPr>
              <w:t>297,000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43"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1.52% </w:t>
            </w:r>
          </w:p>
        </w:tc>
      </w:tr>
      <w:tr>
        <w:trPr/>
        <w:tc>
          <w:tcPr>
            <w:tcW w:w="20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Samantha Lewis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10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37"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249" w:right="0" w:hanging="0"/>
              <w:jc w:val="left"/>
              <w:rPr>
                <w:color w:val="000000"/>
              </w:rPr>
            </w:pPr>
            <w:r>
              <w:rPr>
                <w:color w:val="000000"/>
              </w:rPr>
              <w:t xml:space="preserve">— </w:t>
            </w:r>
          </w:p>
        </w:tc>
      </w:tr>
      <w:tr>
        <w:trPr/>
        <w:tc>
          <w:tcPr>
            <w:tcW w:w="20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47505x1_posam_109-selling_pg4"/>
        <w:bookmarkEnd w:id="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94"/>
        <w:gridCol w:w="140"/>
        <w:gridCol w:w="140"/>
        <w:gridCol w:w="872"/>
        <w:gridCol w:w="140"/>
        <w:gridCol w:w="140"/>
        <w:gridCol w:w="872"/>
        <w:gridCol w:w="140"/>
        <w:gridCol w:w="140"/>
        <w:gridCol w:w="756"/>
        <w:gridCol w:w="140"/>
        <w:gridCol w:w="140"/>
        <w:gridCol w:w="758"/>
        <w:gridCol w:w="140"/>
        <w:gridCol w:w="140"/>
        <w:gridCol w:w="778"/>
        <w:gridCol w:w="147"/>
        <w:gridCol w:w="147"/>
        <w:gridCol w:w="604"/>
        <w:gridCol w:w="140"/>
        <w:gridCol w:w="140"/>
        <w:gridCol w:w="771"/>
        <w:gridCol w:w="145"/>
        <w:gridCol w:w="145"/>
        <w:gridCol w:w="636"/>
      </w:tblGrid>
      <w:tr>
        <w:trPr/>
        <w:tc>
          <w:tcPr>
            <w:tcW w:w="18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6"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7" w:type="dxa"/>
            <w:gridSpan w:val="4"/>
            <w:tcBorders/>
            <w:vAlign w:val="center"/>
          </w:tcPr>
          <w:p>
            <w:pPr>
              <w:pStyle w:val="TableContents"/>
              <w:bidi w:val="0"/>
              <w:spacing w:before="0" w:after="0"/>
              <w:jc w:val="left"/>
              <w:rPr/>
            </w:pPr>
            <w:r>
              <w:rPr/>
              <w:t> </w:t>
            </w:r>
          </w:p>
        </w:tc>
      </w:tr>
      <w:tr>
        <w:trPr/>
        <w:tc>
          <w:tcPr>
            <w:tcW w:w="1894"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7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7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5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5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After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Offered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are Sold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the Offered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are Sold </w:t>
            </w:r>
          </w:p>
        </w:tc>
      </w:tr>
      <w:tr>
        <w:trPr/>
        <w:tc>
          <w:tcPr>
            <w:tcW w:w="1894"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72"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72"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56"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758"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7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18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Scott J. Taylor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Pura Vida Investments, LLC(51)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Seawolf Capital LLC(52)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43,750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43,750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Entities affiliated with Senvest Management LLC(53)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5,584,975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rFonts w:ascii="Times New Roman;Times;serif" w:hAnsi="Times New Roman;Times;serif"/>
                <w:color w:val="000000"/>
                <w:sz w:val="18"/>
              </w:rPr>
            </w:pPr>
            <w:r>
              <w:rPr>
                <w:rFonts w:ascii="Times New Roman;Times;serif" w:hAnsi="Times New Roman;Times;serif"/>
                <w:color w:val="000000"/>
                <w:sz w:val="18"/>
              </w:rPr>
              <w:t>3,468,682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1,584,975</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rFonts w:ascii="Times New Roman;Times;serif" w:hAnsi="Times New Roman;Times;serif"/>
                <w:color w:val="000000"/>
                <w:sz w:val="18"/>
              </w:rPr>
            </w:pPr>
            <w:r>
              <w:rPr>
                <w:rFonts w:ascii="Times New Roman;Times;serif" w:hAnsi="Times New Roman;Times;serif"/>
                <w:color w:val="000000"/>
                <w:sz w:val="18"/>
              </w:rPr>
              <w:t>1.78%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rFonts w:ascii="Times New Roman;Times;serif" w:hAnsi="Times New Roman;Times;serif"/>
                <w:color w:val="000000"/>
                <w:sz w:val="18"/>
              </w:rPr>
            </w:pPr>
            <w:r>
              <w:rPr>
                <w:rFonts w:ascii="Times New Roman;Times;serif" w:hAnsi="Times New Roman;Times;serif"/>
                <w:color w:val="000000"/>
                <w:sz w:val="18"/>
              </w:rPr>
              <w:t>3,468,682</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17.79%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SOJE Fund LP(54)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65,625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65,625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SRC WM LP(55)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J. Antinelli(56)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Stuart Spodek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Sunshine Charitable Foundation(57)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Susan Nappan Cocke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Tauro Investments, LLC(58)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TCCS I, LP(59)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Teak Fund, LP(60)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70,000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70,000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Teton Fund, LP(61)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The Vorfeld Family Trust(62)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Marino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Troy Gregory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TLP Investment Partners LLC(63)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TUP Investments, L.P.(64)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Vobren Limited(65)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2"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8" w:type="dxa"/>
            <w:tcBorders/>
            <w:vAlign w:val="center"/>
          </w:tcPr>
          <w:p>
            <w:pPr>
              <w:pStyle w:val="TableContents"/>
              <w:bidi w:val="0"/>
              <w:spacing w:before="0" w:after="283"/>
              <w:ind w:left="28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71" w:right="0" w:hanging="0"/>
              <w:jc w:val="left"/>
              <w:rPr>
                <w:color w:val="000000"/>
              </w:rPr>
            </w:pPr>
            <w:r>
              <w:rPr>
                <w:color w:val="000000"/>
              </w:rPr>
              <w:t>—</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604" w:type="dxa"/>
            <w:tcBorders/>
            <w:vAlign w:val="center"/>
          </w:tcPr>
          <w:p>
            <w:pPr>
              <w:pStyle w:val="TableContents"/>
              <w:bidi w:val="0"/>
              <w:spacing w:before="0" w:after="283"/>
              <w:ind w:left="25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70" w:right="0" w:hanging="0"/>
              <w:jc w:val="left"/>
              <w:rPr>
                <w:color w:val="000000"/>
              </w:rPr>
            </w:pPr>
            <w:r>
              <w:rPr>
                <w:color w:val="000000"/>
              </w:rPr>
              <w:t>—</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4" w:right="0" w:hanging="0"/>
              <w:jc w:val="left"/>
              <w:rPr>
                <w:color w:val="000000"/>
              </w:rPr>
            </w:pPr>
            <w:r>
              <w:rPr>
                <w:color w:val="000000"/>
              </w:rPr>
              <w:t xml:space="preserve">— </w:t>
            </w:r>
          </w:p>
        </w:tc>
      </w:tr>
      <w:tr>
        <w:trPr/>
        <w:tc>
          <w:tcPr>
            <w:tcW w:w="18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William James Pade III.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283"/>
              <w:ind w:left="28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70" w:right="0" w:hanging="0"/>
              <w:jc w:val="left"/>
              <w:rPr>
                <w:color w:val="000000"/>
              </w:rPr>
            </w:pPr>
            <w:r>
              <w:rPr>
                <w:color w:val="000000"/>
              </w:rPr>
              <w:t>—</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4" w:right="0" w:hanging="0"/>
              <w:jc w:val="left"/>
              <w:rPr>
                <w:color w:val="000000"/>
              </w:rPr>
            </w:pPr>
            <w:r>
              <w:rPr>
                <w:color w:val="000000"/>
              </w:rPr>
              <w:t>—</w:t>
            </w:r>
          </w:p>
        </w:tc>
      </w:tr>
      <w:tr>
        <w:trPr/>
        <w:tc>
          <w:tcPr>
            <w:tcW w:w="189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60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0"/>
              <w:jc w:val="left"/>
              <w:rPr/>
            </w:pPr>
            <w:r>
              <w:rPr/>
              <w:t> </w:t>
            </w:r>
          </w:p>
        </w:tc>
      </w:tr>
    </w:tbl>
    <w:tbl>
      <w:tblPr>
        <w:tblW w:w="5380" w:type="dxa"/>
        <w:jc w:val="left"/>
        <w:tblInd w:w="0" w:type="dxa"/>
        <w:tblLayout w:type="fixed"/>
        <w:tblCellMar>
          <w:top w:w="0" w:type="dxa"/>
          <w:left w:w="0" w:type="dxa"/>
          <w:bottom w:w="0" w:type="dxa"/>
          <w:right w:w="0" w:type="dxa"/>
        </w:tblCellMar>
      </w:tblPr>
      <w:tblGrid>
        <w:gridCol w:w="230"/>
        <w:gridCol w:w="51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Camire serves as the General Counsel and Secretary of the Company.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Francis serves as the Chief Executive Officer of the Company and a member of the Company’s board of directors. 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Hartfield is a co-founder of the Company and served as a member of the Company’s board of directors until August 2023. 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 </w:t>
            </w:r>
          </w:p>
        </w:tc>
      </w:tr>
    </w:tbl>
    <w:tbl>
      <w:tblPr>
        <w:tblW w:w="6190" w:type="dxa"/>
        <w:jc w:val="left"/>
        <w:tblInd w:w="0" w:type="dxa"/>
        <w:tblLayout w:type="fixed"/>
        <w:tblCellMar>
          <w:top w:w="0" w:type="dxa"/>
          <w:left w:w="0" w:type="dxa"/>
          <w:bottom w:w="0" w:type="dxa"/>
          <w:right w:w="0" w:type="dxa"/>
        </w:tblCellMar>
      </w:tblPr>
      <w:tblGrid>
        <w:gridCol w:w="230"/>
        <w:gridCol w:w="59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Paul Mower is deemed to have power to vote or dispose of the Registrable Securities. </w:t>
            </w:r>
          </w:p>
        </w:tc>
      </w:tr>
    </w:tbl>
    <w:tbl>
      <w:tblPr>
        <w:tblW w:w="6295" w:type="dxa"/>
        <w:jc w:val="left"/>
        <w:tblInd w:w="0" w:type="dxa"/>
        <w:tblLayout w:type="fixed"/>
        <w:tblCellMar>
          <w:top w:w="0" w:type="dxa"/>
          <w:left w:w="0" w:type="dxa"/>
          <w:bottom w:w="0" w:type="dxa"/>
          <w:right w:w="0" w:type="dxa"/>
        </w:tblCellMar>
      </w:tblPr>
      <w:tblGrid>
        <w:gridCol w:w="230"/>
        <w:gridCol w:w="60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Vince Maglio is deemed to have power to vote or dispose of the Registrable Securities. </w:t>
            </w:r>
          </w:p>
        </w:tc>
      </w:tr>
    </w:tbl>
    <w:tbl>
      <w:tblPr>
        <w:tblW w:w="6565" w:type="dxa"/>
        <w:jc w:val="left"/>
        <w:tblInd w:w="0" w:type="dxa"/>
        <w:tblLayout w:type="fixed"/>
        <w:tblCellMar>
          <w:top w:w="0" w:type="dxa"/>
          <w:left w:w="0" w:type="dxa"/>
          <w:bottom w:w="0" w:type="dxa"/>
          <w:right w:w="0" w:type="dxa"/>
        </w:tblCellMar>
      </w:tblPr>
      <w:tblGrid>
        <w:gridCol w:w="230"/>
        <w:gridCol w:w="63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6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Robert Josephson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47505x1_posam_109-selling_pg5"/>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bl>
      <w:tblPr>
        <w:tblW w:w="7045" w:type="dxa"/>
        <w:jc w:val="left"/>
        <w:tblInd w:w="0" w:type="dxa"/>
        <w:tblLayout w:type="fixed"/>
        <w:tblCellMar>
          <w:top w:w="0" w:type="dxa"/>
          <w:left w:w="0" w:type="dxa"/>
          <w:bottom w:w="0" w:type="dxa"/>
          <w:right w:w="0" w:type="dxa"/>
        </w:tblCellMar>
      </w:tblPr>
      <w:tblGrid>
        <w:gridCol w:w="230"/>
        <w:gridCol w:w="68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8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Jaroslav Enrique Alonso is deemed to have power to vote or dispose of the Registrable Securities. </w:t>
            </w:r>
          </w:p>
        </w:tc>
      </w:tr>
    </w:tbl>
    <w:tbl>
      <w:tblPr>
        <w:tblW w:w="6280" w:type="dxa"/>
        <w:jc w:val="left"/>
        <w:tblInd w:w="0" w:type="dxa"/>
        <w:tblLayout w:type="fixed"/>
        <w:tblCellMar>
          <w:top w:w="0" w:type="dxa"/>
          <w:left w:w="0" w:type="dxa"/>
          <w:bottom w:w="0" w:type="dxa"/>
          <w:right w:w="0" w:type="dxa"/>
        </w:tblCellMar>
      </w:tblPr>
      <w:tblGrid>
        <w:gridCol w:w="320"/>
        <w:gridCol w:w="59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Sanjay Patel is deemed to have power to vote or dispose of the Registrable Securities. </w:t>
            </w:r>
          </w:p>
        </w:tc>
      </w:tr>
    </w:tbl>
    <w:tbl>
      <w:tblPr>
        <w:tblW w:w="6280" w:type="dxa"/>
        <w:jc w:val="left"/>
        <w:tblInd w:w="0" w:type="dxa"/>
        <w:tblLayout w:type="fixed"/>
        <w:tblCellMar>
          <w:top w:w="0" w:type="dxa"/>
          <w:left w:w="0" w:type="dxa"/>
          <w:bottom w:w="0" w:type="dxa"/>
          <w:right w:w="0" w:type="dxa"/>
        </w:tblCellMar>
      </w:tblPr>
      <w:tblGrid>
        <w:gridCol w:w="320"/>
        <w:gridCol w:w="59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Paul Mower is deemed to have power to vote or dispose of the Registrable Securities. </w:t>
            </w:r>
          </w:p>
        </w:tc>
      </w:tr>
    </w:tbl>
    <w:tbl>
      <w:tblPr>
        <w:tblW w:w="6865" w:type="dxa"/>
        <w:jc w:val="left"/>
        <w:tblInd w:w="0" w:type="dxa"/>
        <w:tblLayout w:type="fixed"/>
        <w:tblCellMar>
          <w:top w:w="0" w:type="dxa"/>
          <w:left w:w="0" w:type="dxa"/>
          <w:bottom w:w="0" w:type="dxa"/>
          <w:right w:w="0" w:type="dxa"/>
        </w:tblCellMar>
      </w:tblPr>
      <w:tblGrid>
        <w:gridCol w:w="320"/>
        <w:gridCol w:w="65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65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Mohsinuddin Ansari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 </w:t>
            </w:r>
          </w:p>
        </w:tc>
      </w:tr>
    </w:tbl>
    <w:tbl>
      <w:tblPr>
        <w:tblW w:w="6115" w:type="dxa"/>
        <w:jc w:val="left"/>
        <w:tblInd w:w="0" w:type="dxa"/>
        <w:tblLayout w:type="fixed"/>
        <w:tblCellMar>
          <w:top w:w="0" w:type="dxa"/>
          <w:left w:w="0" w:type="dxa"/>
          <w:bottom w:w="0" w:type="dxa"/>
          <w:right w:w="0" w:type="dxa"/>
        </w:tblCellMar>
      </w:tblPr>
      <w:tblGrid>
        <w:gridCol w:w="320"/>
        <w:gridCol w:w="579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57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Kelly Yip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3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 </w:t>
            </w:r>
          </w:p>
        </w:tc>
      </w:tr>
    </w:tbl>
    <w:tbl>
      <w:tblPr>
        <w:tblW w:w="6310" w:type="dxa"/>
        <w:jc w:val="left"/>
        <w:tblInd w:w="0" w:type="dxa"/>
        <w:tblLayout w:type="fixed"/>
        <w:tblCellMar>
          <w:top w:w="0" w:type="dxa"/>
          <w:left w:w="0" w:type="dxa"/>
          <w:bottom w:w="0" w:type="dxa"/>
          <w:right w:w="0" w:type="dxa"/>
        </w:tblCellMar>
      </w:tblPr>
      <w:tblGrid>
        <w:gridCol w:w="320"/>
        <w:gridCol w:w="59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5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Amy Collins is deemed to have power to vote or dispose of the Registrable Securities. </w:t>
            </w:r>
          </w:p>
        </w:tc>
      </w:tr>
    </w:tbl>
    <w:tbl>
      <w:tblPr>
        <w:tblW w:w="6550" w:type="dxa"/>
        <w:jc w:val="left"/>
        <w:tblInd w:w="0" w:type="dxa"/>
        <w:tblLayout w:type="fixed"/>
        <w:tblCellMar>
          <w:top w:w="0" w:type="dxa"/>
          <w:left w:w="0" w:type="dxa"/>
          <w:bottom w:w="0" w:type="dxa"/>
          <w:right w:w="0" w:type="dxa"/>
        </w:tblCellMar>
      </w:tblPr>
      <w:tblGrid>
        <w:gridCol w:w="320"/>
        <w:gridCol w:w="623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6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Craig Schlanger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93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9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9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6280" w:type="dxa"/>
        <w:jc w:val="left"/>
        <w:tblInd w:w="0" w:type="dxa"/>
        <w:tblLayout w:type="fixed"/>
        <w:tblCellMar>
          <w:top w:w="0" w:type="dxa"/>
          <w:left w:w="0" w:type="dxa"/>
          <w:bottom w:w="0" w:type="dxa"/>
          <w:right w:w="0" w:type="dxa"/>
        </w:tblCellMar>
      </w:tblPr>
      <w:tblGrid>
        <w:gridCol w:w="320"/>
        <w:gridCol w:w="59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(23)</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Paul Mower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(24)</w:t>
            </w:r>
          </w:p>
        </w:tc>
        <w:tc>
          <w:tcPr>
            <w:tcW w:w="99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47505x1_posam_109-selling_pg6"/>
        <w:bookmarkEnd w:id="27"/>
        <w:r>
          <w:rPr>
            <w:rStyle w:val="InternetLink"/>
            <w:rFonts w:ascii="Times New Roman;Times;Serif" w:hAnsi="Times New Roman;Times;Serif"/>
            <w:b/>
            <w:caps w:val="false"/>
            <w:smallCaps w:val="false"/>
            <w:color w:val="000000"/>
            <w:sz w:val="16"/>
          </w:rPr>
          <w:t>TABLE OF CONTENTS</w:t>
        </w:r>
      </w:hyperlink>
    </w:p>
    <w:tbl>
      <w:tblPr>
        <w:tblW w:w="6685" w:type="dxa"/>
        <w:jc w:val="left"/>
        <w:tblInd w:w="0" w:type="dxa"/>
        <w:tblLayout w:type="fixed"/>
        <w:tblCellMar>
          <w:top w:w="0" w:type="dxa"/>
          <w:left w:w="0" w:type="dxa"/>
          <w:bottom w:w="0" w:type="dxa"/>
          <w:right w:w="0" w:type="dxa"/>
        </w:tblCellMar>
      </w:tblPr>
      <w:tblGrid>
        <w:gridCol w:w="320"/>
        <w:gridCol w:w="636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(25)</w:t>
            </w:r>
          </w:p>
        </w:tc>
        <w:tc>
          <w:tcPr>
            <w:tcW w:w="63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Budd S. Goldman is deemed to have power to vote or dispose of the Registrable Securities. </w:t>
            </w:r>
          </w:p>
        </w:tc>
      </w:tr>
    </w:tbl>
    <w:tbl>
      <w:tblPr>
        <w:tblW w:w="6580" w:type="dxa"/>
        <w:jc w:val="left"/>
        <w:tblInd w:w="0" w:type="dxa"/>
        <w:tblLayout w:type="fixed"/>
        <w:tblCellMar>
          <w:top w:w="0" w:type="dxa"/>
          <w:left w:w="0" w:type="dxa"/>
          <w:bottom w:w="0" w:type="dxa"/>
          <w:right w:w="0" w:type="dxa"/>
        </w:tblCellMar>
      </w:tblPr>
      <w:tblGrid>
        <w:gridCol w:w="320"/>
        <w:gridCol w:w="62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(26)</w:t>
            </w:r>
          </w:p>
        </w:tc>
        <w:tc>
          <w:tcPr>
            <w:tcW w:w="6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 Scott Bushley is deemed to have power to vote or dispose of the Registrable Securities. </w:t>
            </w:r>
          </w:p>
        </w:tc>
      </w:tr>
    </w:tbl>
    <w:tbl>
      <w:tblPr>
        <w:tblW w:w="6280" w:type="dxa"/>
        <w:jc w:val="left"/>
        <w:tblInd w:w="0" w:type="dxa"/>
        <w:tblLayout w:type="fixed"/>
        <w:tblCellMar>
          <w:top w:w="0" w:type="dxa"/>
          <w:left w:w="0" w:type="dxa"/>
          <w:bottom w:w="0" w:type="dxa"/>
          <w:right w:w="0" w:type="dxa"/>
        </w:tblCellMar>
      </w:tblPr>
      <w:tblGrid>
        <w:gridCol w:w="320"/>
        <w:gridCol w:w="59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(27)</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Paul Mower is deemed to have power to vote or dispose of the Registrable Securities. </w:t>
            </w:r>
          </w:p>
        </w:tc>
      </w:tr>
    </w:tbl>
    <w:tbl>
      <w:tblPr>
        <w:tblW w:w="6550" w:type="dxa"/>
        <w:jc w:val="left"/>
        <w:tblInd w:w="0" w:type="dxa"/>
        <w:tblLayout w:type="fixed"/>
        <w:tblCellMar>
          <w:top w:w="0" w:type="dxa"/>
          <w:left w:w="0" w:type="dxa"/>
          <w:bottom w:w="0" w:type="dxa"/>
          <w:right w:w="0" w:type="dxa"/>
        </w:tblCellMar>
      </w:tblPr>
      <w:tblGrid>
        <w:gridCol w:w="320"/>
        <w:gridCol w:w="623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(28)</w:t>
            </w:r>
          </w:p>
        </w:tc>
        <w:tc>
          <w:tcPr>
            <w:tcW w:w="6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Robert Fournier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(29)</w:t>
            </w:r>
          </w:p>
        </w:tc>
        <w:tc>
          <w:tcPr>
            <w:tcW w:w="993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(30)</w:t>
            </w:r>
          </w:p>
        </w:tc>
        <w:tc>
          <w:tcPr>
            <w:tcW w:w="99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6880" w:type="dxa"/>
        <w:jc w:val="left"/>
        <w:tblInd w:w="0" w:type="dxa"/>
        <w:tblLayout w:type="fixed"/>
        <w:tblCellMar>
          <w:top w:w="0" w:type="dxa"/>
          <w:left w:w="0" w:type="dxa"/>
          <w:bottom w:w="0" w:type="dxa"/>
          <w:right w:w="0" w:type="dxa"/>
        </w:tblCellMar>
      </w:tblPr>
      <w:tblGrid>
        <w:gridCol w:w="320"/>
        <w:gridCol w:w="65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(31)</w:t>
            </w:r>
          </w:p>
        </w:tc>
        <w:tc>
          <w:tcPr>
            <w:tcW w:w="65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John T. Lkyouretzos is deemed to have power to vote or dispose of the Registrable Securities. </w:t>
            </w:r>
          </w:p>
        </w:tc>
      </w:tr>
    </w:tbl>
    <w:tbl>
      <w:tblPr>
        <w:tblW w:w="6400" w:type="dxa"/>
        <w:jc w:val="left"/>
        <w:tblInd w:w="0" w:type="dxa"/>
        <w:tblLayout w:type="fixed"/>
        <w:tblCellMar>
          <w:top w:w="0" w:type="dxa"/>
          <w:left w:w="0" w:type="dxa"/>
          <w:bottom w:w="0" w:type="dxa"/>
          <w:right w:w="0" w:type="dxa"/>
        </w:tblCellMar>
      </w:tblPr>
      <w:tblGrid>
        <w:gridCol w:w="320"/>
        <w:gridCol w:w="608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(32)</w:t>
            </w:r>
          </w:p>
        </w:tc>
        <w:tc>
          <w:tcPr>
            <w:tcW w:w="6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Marc Sontrop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(33)</w:t>
            </w:r>
          </w:p>
        </w:tc>
        <w:tc>
          <w:tcPr>
            <w:tcW w:w="99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(34)</w:t>
            </w:r>
          </w:p>
        </w:tc>
        <w:tc>
          <w:tcPr>
            <w:tcW w:w="993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(35)</w:t>
            </w:r>
          </w:p>
        </w:tc>
        <w:tc>
          <w:tcPr>
            <w:tcW w:w="98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Raanan Katz is the Partner of Katz 2014 Limited Partnership and may be deemed to be the beneficial owner of the Registrable Securities held by Katz 2014 Limited Partnership. </w:t>
            </w:r>
          </w:p>
        </w:tc>
      </w:tr>
    </w:tbl>
    <w:tbl>
      <w:tblPr>
        <w:tblW w:w="6280" w:type="dxa"/>
        <w:jc w:val="left"/>
        <w:tblInd w:w="0" w:type="dxa"/>
        <w:tblLayout w:type="fixed"/>
        <w:tblCellMar>
          <w:top w:w="0" w:type="dxa"/>
          <w:left w:w="0" w:type="dxa"/>
          <w:bottom w:w="0" w:type="dxa"/>
          <w:right w:w="0" w:type="dxa"/>
        </w:tblCellMar>
      </w:tblPr>
      <w:tblGrid>
        <w:gridCol w:w="320"/>
        <w:gridCol w:w="59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(36)</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Paul Mower is deemed to have power to vote or dispose of the Registrable Securities. </w:t>
            </w:r>
          </w:p>
        </w:tc>
      </w:tr>
    </w:tbl>
    <w:tbl>
      <w:tblPr>
        <w:tblW w:w="6535" w:type="dxa"/>
        <w:jc w:val="left"/>
        <w:tblInd w:w="0" w:type="dxa"/>
        <w:tblLayout w:type="fixed"/>
        <w:tblCellMar>
          <w:top w:w="0" w:type="dxa"/>
          <w:left w:w="0" w:type="dxa"/>
          <w:bottom w:w="0" w:type="dxa"/>
          <w:right w:w="0" w:type="dxa"/>
        </w:tblCellMar>
      </w:tblPr>
      <w:tblGrid>
        <w:gridCol w:w="320"/>
        <w:gridCol w:w="621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(37)</w:t>
            </w:r>
          </w:p>
        </w:tc>
        <w:tc>
          <w:tcPr>
            <w:tcW w:w="6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Kenneth Landis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(38)</w:t>
            </w:r>
          </w:p>
        </w:tc>
        <w:tc>
          <w:tcPr>
            <w:tcW w:w="99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(39)</w:t>
            </w:r>
          </w:p>
        </w:tc>
        <w:tc>
          <w:tcPr>
            <w:tcW w:w="99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 </w:t>
            </w:r>
          </w:p>
        </w:tc>
      </w:tr>
    </w:tbl>
    <w:tbl>
      <w:tblPr>
        <w:tblW w:w="6100" w:type="dxa"/>
        <w:jc w:val="left"/>
        <w:tblInd w:w="0" w:type="dxa"/>
        <w:tblLayout w:type="fixed"/>
        <w:tblCellMar>
          <w:top w:w="0" w:type="dxa"/>
          <w:left w:w="0" w:type="dxa"/>
          <w:bottom w:w="0" w:type="dxa"/>
          <w:right w:w="0" w:type="dxa"/>
        </w:tblCellMar>
      </w:tblPr>
      <w:tblGrid>
        <w:gridCol w:w="320"/>
        <w:gridCol w:w="578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(40)</w:t>
            </w:r>
          </w:p>
        </w:tc>
        <w:tc>
          <w:tcPr>
            <w:tcW w:w="57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Justin Ort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(41)</w:t>
            </w:r>
          </w:p>
        </w:tc>
        <w:tc>
          <w:tcPr>
            <w:tcW w:w="99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Jayvee &amp; Co is the registered holder. The beneficial holder is Ninepoint Alternative Health Fund. Douglas Waterson has investment control through an investment advisory agreement. </w:t>
            </w:r>
          </w:p>
        </w:tc>
      </w:tr>
    </w:tbl>
    <w:tbl>
      <w:tblPr>
        <w:tblW w:w="6550" w:type="dxa"/>
        <w:jc w:val="left"/>
        <w:tblInd w:w="0" w:type="dxa"/>
        <w:tblLayout w:type="fixed"/>
        <w:tblCellMar>
          <w:top w:w="0" w:type="dxa"/>
          <w:left w:w="0" w:type="dxa"/>
          <w:bottom w:w="0" w:type="dxa"/>
          <w:right w:w="0" w:type="dxa"/>
        </w:tblCellMar>
      </w:tblPr>
      <w:tblGrid>
        <w:gridCol w:w="320"/>
        <w:gridCol w:w="623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(42)</w:t>
            </w:r>
          </w:p>
        </w:tc>
        <w:tc>
          <w:tcPr>
            <w:tcW w:w="6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Paul A. Halpern is deemed to have power to vote or dispose of the Registrable Securities. </w:t>
            </w:r>
          </w:p>
        </w:tc>
      </w:tr>
    </w:tbl>
    <w:tbl>
      <w:tblPr>
        <w:tblW w:w="7165" w:type="dxa"/>
        <w:jc w:val="left"/>
        <w:tblInd w:w="0" w:type="dxa"/>
        <w:tblLayout w:type="fixed"/>
        <w:tblCellMar>
          <w:top w:w="0" w:type="dxa"/>
          <w:left w:w="0" w:type="dxa"/>
          <w:bottom w:w="0" w:type="dxa"/>
          <w:right w:w="0" w:type="dxa"/>
        </w:tblCellMar>
      </w:tblPr>
      <w:tblGrid>
        <w:gridCol w:w="320"/>
        <w:gridCol w:w="68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(43)</w:t>
            </w:r>
          </w:p>
        </w:tc>
        <w:tc>
          <w:tcPr>
            <w:tcW w:w="68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Curtis F. Brockelman, Jr.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(44)</w:t>
            </w:r>
          </w:p>
        </w:tc>
        <w:tc>
          <w:tcPr>
            <w:tcW w:w="99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(45)</w:t>
            </w:r>
          </w:p>
        </w:tc>
        <w:tc>
          <w:tcPr>
            <w:tcW w:w="993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 </w:t>
            </w:r>
          </w:p>
        </w:tc>
      </w:tr>
    </w:tbl>
    <w:tbl>
      <w:tblPr>
        <w:tblW w:w="6310" w:type="dxa"/>
        <w:jc w:val="left"/>
        <w:tblInd w:w="0" w:type="dxa"/>
        <w:tblLayout w:type="fixed"/>
        <w:tblCellMar>
          <w:top w:w="0" w:type="dxa"/>
          <w:left w:w="0" w:type="dxa"/>
          <w:bottom w:w="0" w:type="dxa"/>
          <w:right w:w="0" w:type="dxa"/>
        </w:tblCellMar>
      </w:tblPr>
      <w:tblGrid>
        <w:gridCol w:w="320"/>
        <w:gridCol w:w="59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(46)</w:t>
            </w:r>
          </w:p>
        </w:tc>
        <w:tc>
          <w:tcPr>
            <w:tcW w:w="5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John J Adair is deemed to have power to vote or dispose of the Registrable Securities. </w:t>
            </w:r>
          </w:p>
        </w:tc>
      </w:tr>
    </w:tbl>
    <w:tbl>
      <w:tblPr>
        <w:tblW w:w="6715" w:type="dxa"/>
        <w:jc w:val="left"/>
        <w:tblInd w:w="0" w:type="dxa"/>
        <w:tblLayout w:type="fixed"/>
        <w:tblCellMar>
          <w:top w:w="0" w:type="dxa"/>
          <w:left w:w="0" w:type="dxa"/>
          <w:bottom w:w="0" w:type="dxa"/>
          <w:right w:w="0" w:type="dxa"/>
        </w:tblCellMar>
      </w:tblPr>
      <w:tblGrid>
        <w:gridCol w:w="320"/>
        <w:gridCol w:w="639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(47)</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Ray E. Newton III is deemed to have power to vote or dispose of the Registrable Securities. </w:t>
            </w:r>
          </w:p>
        </w:tc>
      </w:tr>
    </w:tbl>
    <w:tbl>
      <w:tblPr>
        <w:tblW w:w="6625" w:type="dxa"/>
        <w:jc w:val="left"/>
        <w:tblInd w:w="0" w:type="dxa"/>
        <w:tblLayout w:type="fixed"/>
        <w:tblCellMar>
          <w:top w:w="0" w:type="dxa"/>
          <w:left w:w="0" w:type="dxa"/>
          <w:bottom w:w="0" w:type="dxa"/>
          <w:right w:w="0" w:type="dxa"/>
        </w:tblCellMar>
      </w:tblPr>
      <w:tblGrid>
        <w:gridCol w:w="320"/>
        <w:gridCol w:w="630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(48)</w:t>
            </w:r>
          </w:p>
        </w:tc>
        <w:tc>
          <w:tcPr>
            <w:tcW w:w="6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Patrick Robinson is deemed to have power to vote or dispose of the Registrable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47505x1_posam_109-selling_pg7"/>
        <w:bookmarkEnd w:id="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(49)</w:t>
            </w:r>
          </w:p>
        </w:tc>
        <w:tc>
          <w:tcPr>
            <w:tcW w:w="993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6310" w:type="dxa"/>
        <w:jc w:val="left"/>
        <w:tblInd w:w="0" w:type="dxa"/>
        <w:tblLayout w:type="fixed"/>
        <w:tblCellMar>
          <w:top w:w="0" w:type="dxa"/>
          <w:left w:w="0" w:type="dxa"/>
          <w:bottom w:w="0" w:type="dxa"/>
          <w:right w:w="0" w:type="dxa"/>
        </w:tblCellMar>
      </w:tblPr>
      <w:tblGrid>
        <w:gridCol w:w="320"/>
        <w:gridCol w:w="59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(50)</w:t>
            </w:r>
          </w:p>
        </w:tc>
        <w:tc>
          <w:tcPr>
            <w:tcW w:w="5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Rich Barrera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(51)</w:t>
            </w:r>
          </w:p>
        </w:tc>
        <w:tc>
          <w:tcPr>
            <w:tcW w:w="994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 </w:t>
            </w:r>
          </w:p>
        </w:tc>
      </w:tr>
    </w:tbl>
    <w:tbl>
      <w:tblPr>
        <w:tblW w:w="6475" w:type="dxa"/>
        <w:jc w:val="left"/>
        <w:tblInd w:w="0" w:type="dxa"/>
        <w:tblLayout w:type="fixed"/>
        <w:tblCellMar>
          <w:top w:w="0" w:type="dxa"/>
          <w:left w:w="0" w:type="dxa"/>
          <w:bottom w:w="0" w:type="dxa"/>
          <w:right w:w="0" w:type="dxa"/>
        </w:tblCellMar>
      </w:tblPr>
      <w:tblGrid>
        <w:gridCol w:w="320"/>
        <w:gridCol w:w="615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(52)</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Vincent Daniel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(53)</w:t>
            </w:r>
          </w:p>
        </w:tc>
        <w:tc>
          <w:tcPr>
            <w:tcW w:w="993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 </w:t>
            </w:r>
          </w:p>
        </w:tc>
      </w:tr>
    </w:tbl>
    <w:tbl>
      <w:tblPr>
        <w:tblW w:w="6325" w:type="dxa"/>
        <w:jc w:val="left"/>
        <w:tblInd w:w="0" w:type="dxa"/>
        <w:tblLayout w:type="fixed"/>
        <w:tblCellMar>
          <w:top w:w="0" w:type="dxa"/>
          <w:left w:w="0" w:type="dxa"/>
          <w:bottom w:w="0" w:type="dxa"/>
          <w:right w:w="0" w:type="dxa"/>
        </w:tblCellMar>
      </w:tblPr>
      <w:tblGrid>
        <w:gridCol w:w="320"/>
        <w:gridCol w:w="600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(54)</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John J. Pinto is deemed to have power to vote or dispose of the Registrable Securities. </w:t>
            </w:r>
          </w:p>
        </w:tc>
      </w:tr>
    </w:tbl>
    <w:tbl>
      <w:tblPr>
        <w:tblW w:w="6085" w:type="dxa"/>
        <w:jc w:val="left"/>
        <w:tblInd w:w="0" w:type="dxa"/>
        <w:tblLayout w:type="fixed"/>
        <w:tblCellMar>
          <w:top w:w="0" w:type="dxa"/>
          <w:left w:w="0" w:type="dxa"/>
          <w:bottom w:w="0" w:type="dxa"/>
          <w:right w:w="0" w:type="dxa"/>
        </w:tblCellMar>
      </w:tblPr>
      <w:tblGrid>
        <w:gridCol w:w="320"/>
        <w:gridCol w:w="576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(55)</w:t>
            </w:r>
          </w:p>
        </w:tc>
        <w:tc>
          <w:tcPr>
            <w:tcW w:w="57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Peter Lee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(56)</w:t>
            </w:r>
          </w:p>
        </w:tc>
        <w:tc>
          <w:tcPr>
            <w:tcW w:w="993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 </w:t>
            </w:r>
          </w:p>
        </w:tc>
      </w:tr>
    </w:tbl>
    <w:tbl>
      <w:tblPr>
        <w:tblW w:w="8995" w:type="dxa"/>
        <w:jc w:val="left"/>
        <w:tblInd w:w="0" w:type="dxa"/>
        <w:tblLayout w:type="fixed"/>
        <w:tblCellMar>
          <w:top w:w="0" w:type="dxa"/>
          <w:left w:w="0" w:type="dxa"/>
          <w:bottom w:w="0" w:type="dxa"/>
          <w:right w:w="0" w:type="dxa"/>
        </w:tblCellMar>
      </w:tblPr>
      <w:tblGrid>
        <w:gridCol w:w="320"/>
        <w:gridCol w:w="86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(57)</w:t>
            </w:r>
          </w:p>
        </w:tc>
        <w:tc>
          <w:tcPr>
            <w:tcW w:w="8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David G. Bunning and Michael J. Bunning is deemed to have power to vote or dispose of the Registrable Securities. </w:t>
            </w:r>
          </w:p>
        </w:tc>
      </w:tr>
    </w:tbl>
    <w:tbl>
      <w:tblPr>
        <w:tblW w:w="6280" w:type="dxa"/>
        <w:jc w:val="left"/>
        <w:tblInd w:w="0" w:type="dxa"/>
        <w:tblLayout w:type="fixed"/>
        <w:tblCellMar>
          <w:top w:w="0" w:type="dxa"/>
          <w:left w:w="0" w:type="dxa"/>
          <w:bottom w:w="0" w:type="dxa"/>
          <w:right w:w="0" w:type="dxa"/>
        </w:tblCellMar>
      </w:tblPr>
      <w:tblGrid>
        <w:gridCol w:w="320"/>
        <w:gridCol w:w="59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(58)</w:t>
            </w:r>
          </w:p>
        </w:tc>
        <w:tc>
          <w:tcPr>
            <w:tcW w:w="5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Scot Fischer is deemed to have power to vote or dispose of the Registrable Securities. </w:t>
            </w:r>
          </w:p>
        </w:tc>
      </w:tr>
    </w:tbl>
    <w:tbl>
      <w:tblPr>
        <w:tblW w:w="6340" w:type="dxa"/>
        <w:jc w:val="left"/>
        <w:tblInd w:w="0" w:type="dxa"/>
        <w:tblLayout w:type="fixed"/>
        <w:tblCellMar>
          <w:top w:w="0" w:type="dxa"/>
          <w:left w:w="0" w:type="dxa"/>
          <w:bottom w:w="0" w:type="dxa"/>
          <w:right w:w="0" w:type="dxa"/>
        </w:tblCellMar>
      </w:tblPr>
      <w:tblGrid>
        <w:gridCol w:w="320"/>
        <w:gridCol w:w="602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(59)</w:t>
            </w:r>
          </w:p>
        </w:tc>
        <w:tc>
          <w:tcPr>
            <w:tcW w:w="6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Vikram Patel is deemed to have power to vote or dispose of the Registrable Securities. </w:t>
            </w:r>
          </w:p>
        </w:tc>
      </w:tr>
    </w:tbl>
    <w:tbl>
      <w:tblPr>
        <w:tblW w:w="6505" w:type="dxa"/>
        <w:jc w:val="left"/>
        <w:tblInd w:w="0" w:type="dxa"/>
        <w:tblLayout w:type="fixed"/>
        <w:tblCellMar>
          <w:top w:w="0" w:type="dxa"/>
          <w:left w:w="0" w:type="dxa"/>
          <w:bottom w:w="0" w:type="dxa"/>
          <w:right w:w="0" w:type="dxa"/>
        </w:tblCellMar>
      </w:tblPr>
      <w:tblGrid>
        <w:gridCol w:w="320"/>
        <w:gridCol w:w="61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(60)</w:t>
            </w:r>
          </w:p>
        </w:tc>
        <w:tc>
          <w:tcPr>
            <w:tcW w:w="6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Glen Schneider is deemed to have power to vote or dispose of the Registrable Securities. </w:t>
            </w:r>
          </w:p>
        </w:tc>
      </w:tr>
    </w:tbl>
    <w:tbl>
      <w:tblPr>
        <w:tblW w:w="6505" w:type="dxa"/>
        <w:jc w:val="left"/>
        <w:tblInd w:w="0" w:type="dxa"/>
        <w:tblLayout w:type="fixed"/>
        <w:tblCellMar>
          <w:top w:w="0" w:type="dxa"/>
          <w:left w:w="0" w:type="dxa"/>
          <w:bottom w:w="0" w:type="dxa"/>
          <w:right w:w="0" w:type="dxa"/>
        </w:tblCellMar>
      </w:tblPr>
      <w:tblGrid>
        <w:gridCol w:w="320"/>
        <w:gridCol w:w="61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(61)</w:t>
            </w:r>
          </w:p>
        </w:tc>
        <w:tc>
          <w:tcPr>
            <w:tcW w:w="6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Glen Schneider is deemed to have power to vote or dispose of the Registrable Securities. </w:t>
            </w:r>
          </w:p>
        </w:tc>
      </w:tr>
    </w:tbl>
    <w:tbl>
      <w:tblPr>
        <w:tblW w:w="8560" w:type="dxa"/>
        <w:jc w:val="left"/>
        <w:tblInd w:w="0" w:type="dxa"/>
        <w:tblLayout w:type="fixed"/>
        <w:tblCellMar>
          <w:top w:w="0" w:type="dxa"/>
          <w:left w:w="0" w:type="dxa"/>
          <w:bottom w:w="0" w:type="dxa"/>
          <w:right w:w="0" w:type="dxa"/>
        </w:tblCellMar>
      </w:tblPr>
      <w:tblGrid>
        <w:gridCol w:w="320"/>
        <w:gridCol w:w="82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(62)</w:t>
            </w:r>
          </w:p>
        </w:tc>
        <w:tc>
          <w:tcPr>
            <w:tcW w:w="8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Rodney Hodges and Fabrice Dupont is deemed to have power to vote or dispose of the Registrable Securities. </w:t>
            </w:r>
          </w:p>
        </w:tc>
      </w:tr>
    </w:tbl>
    <w:tbl>
      <w:tblPr>
        <w:tblW w:w="8995" w:type="dxa"/>
        <w:jc w:val="left"/>
        <w:tblInd w:w="0" w:type="dxa"/>
        <w:tblLayout w:type="fixed"/>
        <w:tblCellMar>
          <w:top w:w="0" w:type="dxa"/>
          <w:left w:w="0" w:type="dxa"/>
          <w:bottom w:w="0" w:type="dxa"/>
          <w:right w:w="0" w:type="dxa"/>
        </w:tblCellMar>
      </w:tblPr>
      <w:tblGrid>
        <w:gridCol w:w="320"/>
        <w:gridCol w:w="86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(63)</w:t>
            </w:r>
          </w:p>
        </w:tc>
        <w:tc>
          <w:tcPr>
            <w:tcW w:w="8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David G. Bunning and Michael J. Bunning is deemed to have power to vote or dispose of the Registrable Securities. </w:t>
            </w:r>
          </w:p>
        </w:tc>
      </w:tr>
    </w:tbl>
    <w:tbl>
      <w:tblPr>
        <w:tblW w:w="6340" w:type="dxa"/>
        <w:jc w:val="left"/>
        <w:tblInd w:w="0" w:type="dxa"/>
        <w:tblLayout w:type="fixed"/>
        <w:tblCellMar>
          <w:top w:w="0" w:type="dxa"/>
          <w:left w:w="0" w:type="dxa"/>
          <w:bottom w:w="0" w:type="dxa"/>
          <w:right w:w="0" w:type="dxa"/>
        </w:tblCellMar>
      </w:tblPr>
      <w:tblGrid>
        <w:gridCol w:w="320"/>
        <w:gridCol w:w="602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(64)</w:t>
            </w:r>
          </w:p>
        </w:tc>
        <w:tc>
          <w:tcPr>
            <w:tcW w:w="6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Vikram Patel is deemed to have power to vote or dispose of the Registrable Securities.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(65)</w:t>
            </w:r>
          </w:p>
        </w:tc>
        <w:tc>
          <w:tcPr>
            <w:tcW w:w="98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Pericles Spyrou, Sigthor Sigmarsson, Jan Rottiers and Melina Panagi are deemed to have power to vote or dispose of the Registrable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47505x1_posam_110-description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DOS"/>
      <w:bookmarkEnd w:id="30"/>
      <w:r>
        <w:rPr>
          <w:rFonts w:ascii="Times New Roman;Times;serif" w:hAnsi="Times New Roman;Times;serif"/>
          <w:b/>
          <w:color w:val="000000"/>
          <w:sz w:val="20"/>
        </w:rPr>
        <w:t xml:space="preserve">DESCRIPTION OF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and Outstanding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April 28, 2025, there were (1) 105,053,766 shares of Class A Common Stock, (2) 49,319,542 shares of Class V Common Stock and no shares of preferred stock outstanding.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A Common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upon Liquidation, Dissolution and Winding-Up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Preemptive or Other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V Common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47505x1_posam_110-description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the Class V Common Stock will not participate in any dividends declared by our board of directors.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upon Liquidation, Dissolution and Winding-Up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voluntary or involuntary liquidation, dissolution or winding up of our affairs, the holders of Class V Common Stock are not entitled to receive any of our assets.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Preemptive or Other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shares of Class V Common Stock do not have preemptive, subscription, redemption or conversion rights. There will be no redemption or sinking fund provisions applicable to the Class V Common Stock.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Issuance and Retirement of Class V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Warrants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47505x1_posam_110-description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redeem the Public Warrants for redemption: </w:t>
      </w:r>
    </w:p>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whole and not in part; </w:t>
            </w:r>
          </w:p>
        </w:tc>
      </w:tr>
    </w:tbl>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price of $0.01 per Public Warrant;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not less than 30 days’ prior written notice of redemption to each holder of Public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and when the Public Warrants become redeemable by us, we may exercise our redemption right even if we are unable to register or qualify the underlying securities for sale under all applicable state securities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47505x1_posam_110-description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47505x1_posam_110-description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April 28, 2025 there were 12,499,973 Public Warrants outstanding.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Private Placement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April 28, 2025, there were 7,000,000 Private Placement Warrants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47505x1_posam_110-description_pg6"/>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Anti-Takeover Provisions of Delaware Law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Meetings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Advance Notice Requirements for Stockholder Proposals and Director Nominations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90th day nor earlier than the open of business on the 120th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120th day prior to such annual meeting and no later than the close of business on the latter of the 90th day prior to such annual meeting or the 10th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Staggered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is divided into three classes, with the number of directors in each class as nearly equal in size as is practicable. The directors in each class will serve for a three-year term, one class being elected each year by our stockholders.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Authorized but Unissued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Forum Selection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47505x1_posam_110-description_pg7"/>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203 of the Delaware General Corporation Law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opt out of Section 203 of the DGCL under our Certificate of Incorporation.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Limitation on Liability and Indemnification of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 </w:t>
      </w:r>
    </w:p>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any transaction from which the director derives an improper personal benefit;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any act or omission not in good faith or that involves intentional misconduct or a knowing violation of law;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any unlawful payment of dividends or redemption of shares; or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any breach of a director’s duty of loyalty to the corporation or its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DGCL is amended to authorize corporate action further eliminating or limiting the personal liability of directors, then the liability of our directors will be eliminated or limited to the fullest extent permitted by the DGCL, as so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or control persons, in the opinion of the SEC, such indemnification is against public policy as expressed in the Securities Act and is therefore unenforceable.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47505x1_posam_110-description_pg8"/>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144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 </w:t>
      </w:r>
    </w:p>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that was formerly a shell company has ceased to be a shell company;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issuer of the securities is subject to the reporting requirements of Section 13 or 15(d) of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issuer of the securities has filed all Exchange Act reports and material required to be filed, as applicable, during the preceding 12 months (or such shorter period that the issuer was required to file such reports and materials), other than Form 8-K reports;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the Closing, we ceased to be a shell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one percent (1%) of the total number of shares of Class A Common Stock then outstanding;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average weekly reported trading volume of the Class A Common Stock during the four calendar weeks preceding the filing of a notice on Form 144 with respect to the sale.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Sales by our affiliates under Rule 144 will also be limited by manner of sale provisions and notice requirements and to the availability of current public information about 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Warrant Agent and Registrar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transfer agent, warrant agent and registrar for our Class A Common Stock, Class V Common Stock and Warrants is Continental Stock Transfer &amp; Trust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of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Class A Common Stock and Public Warrants are listed on Nasdaq under the symbols “MAPS” and “MAPW,”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47505x1_posam_111-tax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MUS"/>
      <w:bookmarkEnd w:id="39"/>
      <w:r>
        <w:rPr>
          <w:rFonts w:ascii="Times New Roman;Times;serif" w:hAnsi="Times New Roman;Times;serif"/>
          <w:b/>
          <w:color w:val="000000"/>
          <w:sz w:val="20"/>
        </w:rPr>
        <w:t xml:space="preserve">MATERIAL UNITED STATES FEDERAL INCOME TAX CONSEQUENCES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exercise, disposition or lapse of our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not a complete analysis of all potential U.S. federal income tax consequences relating purchase, ownership, exercise, disposition or lapse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exercise, disposition or lapse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exercise, disposition or lapse of our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our securities (other than a partnership or an entity or arrangement treated as a partnership for U.S. federal income tax purposes) that is, for U.S. federal income tax purposes: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an entity treated as a corporation for U.S. federal income tax purposes, created or organized in the United States or under the laws of the United States or of any state thereof or the District of Columbia;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is a beneficial owner of our securities that is neither a U.S. Holder nor a partnership or an entity or arrangement treated as a partnership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47505x1_posam_111-tax_pg2"/>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U.S. Holders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Gain or Loss on Sale, Taxable Exchange or Other Taxable Disposition of Class A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Exercise of a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 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47505x1_posam_111-tax_pg3"/>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Exchange, Redemption or Expiration of a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Possible Constructive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Non-U.S. Holders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Taxation of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47505x1_posam_111-tax_pg4"/>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which will be treated as described under “Tax Considerations Applicable to Non-U.S. Holders—Gain on Sale, Exchange 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Exercise of a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Gain on Sale, Exchange or Other Taxable Disposition of Class A Common Stock and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generally will not be subject to U.S. federal income or withholding tax in respect of gain recognized on a sale, taxable exchange or other taxable disposition of our Class A Common Stock or Warrants or an expiration or redemption of our Warrants,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conduct of a trade or business by the non-U.S. Holder within the United States (and, if an applicable tax treaty so requires, is attributable to a U.S. permanent establishment or fixed base maintained by the non-U.S. 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an individual who is present in the United States for 183 days or more in the taxable year of disposition and certain other conditions are met;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third bullet point above applies to a non-U.S. Holder and applicable exceptions are not available, gain recognized by such holder on the sale, exchange or other disposition of our Class A Common Stock or Warrants,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47505x1_posam_111-tax_pg5"/>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Constructive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returns will be filed with the IRS in connection with payments of distributions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47505x1_posam_112-plan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POD"/>
      <w:bookmarkEnd w:id="45"/>
      <w:r>
        <w:rPr>
          <w:rFonts w:ascii="Times New Roman;Times;serif" w:hAnsi="Times New Roman;Times;serif"/>
          <w:b/>
          <w:color w:val="000000"/>
          <w:sz w:val="20"/>
        </w:rPr>
        <w:t xml:space="preserve">PLAN OF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 (a) 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pay all fees and expenses incident to the registration of the securities to be offered and sold pursuant to this prospectus. The Selling Securityholders will bear all commissions and discounts, if any, attributable to their sale of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such broker-dealer for its own account pursuant to this prospectus; </w:t>
            </w:r>
          </w:p>
        </w:tc>
      </w:tr>
    </w:tbl>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so engaged will attempt to sell the shares as agent but may position and resell a portion of the block as principal to facilitate the transaction;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over-the-counter distribution in accordance with the rules of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tbl>
      <w:tblPr>
        <w:tblW w:w="1075" w:type="dxa"/>
        <w:jc w:val="left"/>
        <w:tblInd w:w="0" w:type="dxa"/>
        <w:tblLayout w:type="fixed"/>
        <w:tblCellMar>
          <w:top w:w="0" w:type="dxa"/>
          <w:left w:w="0" w:type="dxa"/>
          <w:bottom w:w="0" w:type="dxa"/>
          <w:right w:w="0" w:type="dxa"/>
        </w:tblCellMar>
      </w:tblPr>
      <w:tblGrid>
        <w:gridCol w:w="110"/>
        <w:gridCol w:w="965"/>
      </w:tblGrid>
      <w:tr>
        <w:trPr/>
        <w:tc>
          <w:tcPr>
            <w:tcW w:w="110" w:type="dxa"/>
            <w:tcBorders/>
            <w:vAlign w:val="center"/>
          </w:tcPr>
          <w:p>
            <w:pPr>
              <w:pStyle w:val="TableContents"/>
              <w:bidi w:val="0"/>
              <w:spacing w:before="0" w:after="0"/>
              <w:jc w:val="left"/>
              <w:rPr>
                <w:color w:val="000000"/>
              </w:rPr>
            </w:pPr>
            <w:r>
              <w:rPr>
                <w:color w:val="000000"/>
              </w:rPr>
              <w:t>•</w:t>
            </w:r>
          </w:p>
        </w:tc>
        <w:tc>
          <w:tcPr>
            <w:tcW w:w="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short sales;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distribution to employees, members, limited partners or stockholders of the Selling Securityholders;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 whether through an options exchange or otherwise;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pledge to secured debts and other obligations; </w:t>
            </w:r>
          </w:p>
        </w:tc>
      </w:tr>
    </w:tbl>
    <w:tbl>
      <w:tblPr>
        <w:tblW w:w="2725" w:type="dxa"/>
        <w:jc w:val="left"/>
        <w:tblInd w:w="0" w:type="dxa"/>
        <w:tblLayout w:type="fixed"/>
        <w:tblCellMar>
          <w:top w:w="0" w:type="dxa"/>
          <w:left w:w="0" w:type="dxa"/>
          <w:bottom w:w="0" w:type="dxa"/>
          <w:right w:w="0" w:type="dxa"/>
        </w:tblCellMar>
      </w:tblPr>
      <w:tblGrid>
        <w:gridCol w:w="110"/>
        <w:gridCol w:w="2615"/>
      </w:tblGrid>
      <w:tr>
        <w:trPr/>
        <w:tc>
          <w:tcPr>
            <w:tcW w:w="11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delayed delivery arrangements;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or through underwriters or broker-dealers;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47505x1_posam_112-plan_pg2"/>
        <w:bookmarkEnd w:id="46"/>
        <w:r>
          <w:rPr>
            <w:rStyle w:val="InternetLink"/>
            <w:rFonts w:ascii="Times New Roman;Times;Serif" w:hAnsi="Times New Roman;Times;Serif"/>
            <w:b/>
            <w:caps w:val="false"/>
            <w:smallCaps w:val="false"/>
            <w:color w:val="000000"/>
            <w:sz w:val="16"/>
          </w:rPr>
          <w:t>TABLE OF CONTENTS</w:t>
        </w:r>
      </w:hyperlink>
    </w:p>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privately negotiated transactions; </w:t>
            </w:r>
          </w:p>
        </w:tc>
      </w:tr>
    </w:tbl>
    <w:tbl>
      <w:tblPr>
        <w:tblW w:w="2080" w:type="dxa"/>
        <w:jc w:val="left"/>
        <w:tblInd w:w="0" w:type="dxa"/>
        <w:tblLayout w:type="fixed"/>
        <w:tblCellMar>
          <w:top w:w="0" w:type="dxa"/>
          <w:left w:w="0" w:type="dxa"/>
          <w:bottom w:w="0" w:type="dxa"/>
          <w:right w:w="0" w:type="dxa"/>
        </w:tblCellMar>
      </w:tblPr>
      <w:tblGrid>
        <w:gridCol w:w="110"/>
        <w:gridCol w:w="1970"/>
      </w:tblGrid>
      <w:tr>
        <w:trPr/>
        <w:tc>
          <w:tcPr>
            <w:tcW w:w="11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options transactions;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 above methods of sale;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securities that qualify for sale pursuant to Rule 144 or another exemption from registration under the Securities Act or other such exemption may be sold under Rule 144 rather than pursuant to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47505x1_posam_113-legal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LM"/>
      <w:bookmarkEnd w:id="48"/>
      <w:r>
        <w:rPr>
          <w:rFonts w:ascii="Times New Roman;Times;serif" w:hAnsi="Times New Roman;Times;serif"/>
          <w:b/>
          <w:color w:val="000000"/>
          <w:sz w:val="20"/>
        </w:rPr>
        <w:t xml:space="preserve">LEGAL MATTERS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any securities offered by this prospectus herein has been passed upon for us by Cooley LLP. </w:t>
      </w:r>
    </w:p>
    <w:p>
      <w:pPr>
        <w:pStyle w:val="TextBody"/>
        <w:bidi w:val="0"/>
        <w:spacing w:before="410" w:after="283"/>
        <w:jc w:val="center"/>
        <w:rPr>
          <w:rFonts w:ascii="Times New Roman;Times;serif" w:hAnsi="Times New Roman;Times;serif"/>
          <w:b/>
          <w:color w:val="000000"/>
          <w:sz w:val="20"/>
        </w:rPr>
      </w:pPr>
      <w:bookmarkStart w:id="49" w:name="tEXP"/>
      <w:bookmarkEnd w:id="49"/>
      <w:r>
        <w:rPr>
          <w:rFonts w:ascii="Times New Roman;Times;serif" w:hAnsi="Times New Roman;Times;serif"/>
          <w:b/>
          <w:color w:val="000000"/>
          <w:sz w:val="20"/>
        </w:rPr>
        <w:t xml:space="preserve">EXPERTS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pStyle w:val="TextBody"/>
        <w:bidi w:val="0"/>
        <w:spacing w:before="410" w:after="283"/>
        <w:jc w:val="center"/>
        <w:rPr>
          <w:rFonts w:ascii="Times New Roman;Times;serif" w:hAnsi="Times New Roman;Times;serif"/>
          <w:b/>
          <w:color w:val="000000"/>
          <w:sz w:val="20"/>
        </w:rPr>
      </w:pPr>
      <w:bookmarkStart w:id="50" w:name="tWYC"/>
      <w:bookmarkEnd w:id="50"/>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i/>
          <w:color w:val="000000"/>
          <w:sz w:val="20"/>
        </w:rPr>
        <w:t>http://www.sec.gov</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website address is </w:t>
      </w:r>
      <w:r>
        <w:rPr>
          <w:rFonts w:ascii="Times New Roman;Times;serif" w:hAnsi="Times New Roman;Times;serif"/>
          <w:i/>
          <w:color w:val="000000"/>
          <w:sz w:val="20"/>
        </w:rPr>
        <w:t>www.weedmaps.com</w:t>
      </w:r>
      <w:r>
        <w:rPr>
          <w:rFonts w:ascii="Times New Roman;Times;serif" w:hAnsi="Times New Roman;Times;serif"/>
          <w:color w:val="000000"/>
          <w:sz w:val="20"/>
        </w:rPr>
        <w:t xml:space="preserve">.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47505x1_posam_113-legal_pg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IBR"/>
      <w:bookmarkEnd w:id="52"/>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 </w:t>
      </w:r>
    </w:p>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year ended December 31, 2024, filed with the SEC on </w:t>
            </w:r>
            <w:hyperlink r:id="rId3">
              <w:r>
                <w:rPr>
                  <w:rStyle w:val="InternetLink"/>
                  <w:rFonts w:ascii="Times New Roman;Times;serif" w:hAnsi="Times New Roman;Times;serif"/>
                  <w:color w:val="000080"/>
                  <w:sz w:val="20"/>
                </w:rPr>
                <w:t>March 13, 2025</w:t>
              </w:r>
            </w:hyperlink>
            <w:r>
              <w:rPr>
                <w:rFonts w:ascii="Times New Roman;Times;serif" w:hAnsi="Times New Roman;Times;serif"/>
                <w:color w:val="000000"/>
                <w:sz w:val="20"/>
              </w:rPr>
              <w:t xml:space="preserve">;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pPr>
            <w:r>
              <w:rPr>
                <w:rFonts w:ascii="Times New Roman;Times;serif" w:hAnsi="Times New Roman;Times;serif"/>
                <w:color w:val="000000"/>
                <w:sz w:val="20"/>
              </w:rPr>
              <w:t xml:space="preserve">our Definitive Proxy Statement on Form DEF 14A for the year ended December 31, 2024, filed on </w:t>
            </w:r>
            <w:hyperlink r:id="rId4">
              <w:r>
                <w:rPr>
                  <w:rStyle w:val="InternetLink"/>
                  <w:rFonts w:ascii="Times New Roman;Times;serif" w:hAnsi="Times New Roman;Times;serif"/>
                  <w:color w:val="000080"/>
                  <w:sz w:val="20"/>
                </w:rPr>
                <w:t>April 29, 2025</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securities contained in Exhibit 4.5 of our Annual Report on Form 10-K for the year ended December 31, 2021 filed with the SEC on </w:t>
            </w:r>
            <w:hyperlink r:id="rId5">
              <w:r>
                <w:rPr>
                  <w:rStyle w:val="InternetLink"/>
                  <w:rFonts w:ascii="Times New Roman;Times;serif" w:hAnsi="Times New Roman;Times;serif"/>
                  <w:color w:val="000080"/>
                  <w:sz w:val="20"/>
                </w:rPr>
                <w:t>February 25, 2022</w:t>
              </w:r>
            </w:hyperlink>
            <w:r>
              <w:rPr>
                <w:rFonts w:ascii="Times New Roman;Times;serif" w:hAnsi="Times New Roman;Times;serif"/>
                <w:color w:val="000000"/>
                <w:sz w:val="20"/>
              </w:rPr>
              <w:t xml:space="preserve">, and any amendment or report filed with the SEC for the purpose of updating such description.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WM Technology,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41 Discovery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Irvine, California 92618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(844) 933-3627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47505x1_posam_300-part2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PIN"/>
      <w:bookmarkEnd w:id="54"/>
      <w:r>
        <w:rPr>
          <w:rFonts w:ascii="Times New Roman;Times;serif" w:hAnsi="Times New Roman;Times;serif"/>
          <w:b/>
          <w:color w:val="000000"/>
          <w:sz w:val="20"/>
        </w:rPr>
        <w:t xml:space="preserve">PART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540" w:type="dxa"/>
        <w:jc w:val="left"/>
        <w:tblInd w:w="0" w:type="dxa"/>
        <w:tblLayout w:type="fixed"/>
        <w:tblCellMar>
          <w:top w:w="0" w:type="dxa"/>
          <w:left w:w="0" w:type="dxa"/>
          <w:bottom w:w="0" w:type="dxa"/>
          <w:right w:w="0" w:type="dxa"/>
        </w:tblCellMar>
      </w:tblPr>
      <w:tblGrid>
        <w:gridCol w:w="710"/>
        <w:gridCol w:w="383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13.</w:t>
            </w:r>
          </w:p>
        </w:tc>
        <w:tc>
          <w:tcPr>
            <w:tcW w:w="38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all costs and expenses, other than underwriting discounts and commissions, payable by us in connection with the sale of the securities being registered. All amounts shown are estimates except for the SEC registration fee. </w:t>
      </w:r>
    </w:p>
    <w:tbl>
      <w:tblPr>
        <w:tblW w:w="3725" w:type="dxa"/>
        <w:jc w:val="left"/>
        <w:tblInd w:w="0" w:type="dxa"/>
        <w:tblLayout w:type="fixed"/>
        <w:tblCellMar>
          <w:top w:w="0" w:type="dxa"/>
          <w:left w:w="0" w:type="dxa"/>
          <w:bottom w:w="0" w:type="dxa"/>
          <w:right w:w="0" w:type="dxa"/>
        </w:tblCellMar>
      </w:tblPr>
      <w:tblGrid>
        <w:gridCol w:w="2480"/>
        <w:gridCol w:w="140"/>
        <w:gridCol w:w="140"/>
        <w:gridCol w:w="965"/>
      </w:tblGrid>
      <w:tr>
        <w:trPr/>
        <w:tc>
          <w:tcPr>
            <w:tcW w:w="2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$401,800+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Previously paid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 </w:t>
            </w:r>
          </w:p>
        </w:tc>
      </w:tr>
    </w:tbl>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47505x1_posam_300-part2_pg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 </w:t>
      </w:r>
    </w:p>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any transaction from which the director derives an improper personal benefit;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any act or omission not in good faith or that involves intentional misconduct or a knowing violation of law;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any unlawful payment of dividends or redemption of shares; or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any breach of a director’s duty of loyalty to the corporation or its stockholders.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DGCL is amended to authorize corporate action further eliminating or limiting the personal liability of directors, then the liability of the Company’s directors will be eliminated or limited to the fullest extent permitted by the DGCL, as so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directors’ and officers’ insurance policy pursuant to which our directors and officers are insured against liability for actions taken in their capacities as directors and officers. </w:t>
      </w:r>
    </w:p>
    <w:tbl>
      <w:tblPr>
        <w:tblW w:w="4090" w:type="dxa"/>
        <w:jc w:val="left"/>
        <w:tblInd w:w="0" w:type="dxa"/>
        <w:tblLayout w:type="fixed"/>
        <w:tblCellMar>
          <w:top w:w="0" w:type="dxa"/>
          <w:left w:w="0" w:type="dxa"/>
          <w:bottom w:w="0" w:type="dxa"/>
          <w:right w:w="0" w:type="dxa"/>
        </w:tblCellMar>
      </w:tblPr>
      <w:tblGrid>
        <w:gridCol w:w="710"/>
        <w:gridCol w:w="338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3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Recent Sales of Unregistered Securities.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the past three years, the Company did not sell any unregistered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47505x1_posam_301-exindex_pg1"/>
        <w:bookmarkEnd w:id="56"/>
        <w:r>
          <w:rPr>
            <w:rStyle w:val="InternetLink"/>
            <w:rFonts w:ascii="Times New Roman;Times;Serif" w:hAnsi="Times New Roman;Times;Serif"/>
            <w:b/>
            <w:caps w:val="false"/>
            <w:smallCaps w:val="false"/>
            <w:color w:val="000000"/>
            <w:sz w:val="16"/>
          </w:rPr>
          <w:t>TABLE OF CONTENTS</w:t>
        </w:r>
      </w:hyperlink>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tbl>
      <w:tblPr>
        <w:tblW w:w="10205" w:type="dxa"/>
        <w:jc w:val="left"/>
        <w:tblInd w:w="0" w:type="dxa"/>
        <w:tblLayout w:type="fixed"/>
        <w:tblCellMar>
          <w:top w:w="0" w:type="dxa"/>
          <w:left w:w="0" w:type="dxa"/>
          <w:bottom w:w="0" w:type="dxa"/>
          <w:right w:w="0" w:type="dxa"/>
        </w:tblCellMar>
      </w:tblPr>
      <w:tblGrid>
        <w:gridCol w:w="860"/>
        <w:gridCol w:w="140"/>
        <w:gridCol w:w="140"/>
        <w:gridCol w:w="5127"/>
        <w:gridCol w:w="140"/>
        <w:gridCol w:w="140"/>
        <w:gridCol w:w="425"/>
        <w:gridCol w:w="140"/>
        <w:gridCol w:w="140"/>
        <w:gridCol w:w="607"/>
        <w:gridCol w:w="140"/>
        <w:gridCol w:w="140"/>
        <w:gridCol w:w="555"/>
        <w:gridCol w:w="140"/>
        <w:gridCol w:w="140"/>
        <w:gridCol w:w="1231"/>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0"/>
              <w:jc w:val="left"/>
              <w:rPr/>
            </w:pPr>
            <w:r>
              <w:rPr/>
              <w:t> </w:t>
            </w:r>
          </w:p>
        </w:tc>
      </w:tr>
      <w:tr>
        <w:trPr/>
        <w:tc>
          <w:tcPr>
            <w:tcW w:w="8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File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Filing Date </w:t>
            </w:r>
          </w:p>
        </w:tc>
      </w:tr>
      <w:tr>
        <w:trPr/>
        <w:tc>
          <w:tcPr>
            <w:tcW w:w="860" w:type="dxa"/>
            <w:tcBorders/>
            <w:shd w:fill="CCEEFF" w:val="clear"/>
            <w:vAlign w:val="center"/>
          </w:tcPr>
          <w:p>
            <w:pPr>
              <w:pStyle w:val="TableContents"/>
              <w:bidi w:val="0"/>
              <w:spacing w:before="0" w:after="283"/>
              <w:ind w:left="0" w:right="0" w:hanging="0"/>
              <w:jc w:val="left"/>
              <w:rPr/>
            </w:pPr>
            <w:hyperlink r:id="rId6">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 and Plan of Merger, dated December 10, 2020, by and among Silver Spike, Merger Sub, WMH, and the Holder Representative named therein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10, 2020 </w:t>
            </w:r>
          </w:p>
        </w:tc>
      </w:tr>
      <w:tr>
        <w:trPr/>
        <w:tc>
          <w:tcPr>
            <w:tcW w:w="860" w:type="dxa"/>
            <w:tcBorders/>
            <w:vAlign w:val="center"/>
          </w:tcPr>
          <w:p>
            <w:pPr>
              <w:pStyle w:val="TableContents"/>
              <w:bidi w:val="0"/>
              <w:spacing w:before="0" w:after="283"/>
              <w:ind w:left="0" w:right="0" w:hanging="0"/>
              <w:jc w:val="left"/>
              <w:rPr/>
            </w:pPr>
            <w:hyperlink r:id="rId7">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8">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the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9">
              <w:r>
                <w:rPr>
                  <w:rStyle w:val="InternetLink"/>
                  <w:rFonts w:ascii="Times New Roman;Times;serif" w:hAnsi="Times New Roman;Times;serif"/>
                  <w:color w:val="000000"/>
                  <w:sz w:val="20"/>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Common Stock Certificate of the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Warrant Certificate of the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Agreement, dated as of August 7, 2019, by and between the Company and Continental Stock Transfer &amp; Trust Company, as warrant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12, 2019 </w:t>
            </w:r>
          </w:p>
        </w:tc>
      </w:tr>
      <w:tr>
        <w:trPr/>
        <w:tc>
          <w:tcPr>
            <w:tcW w:w="860"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4.5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Description of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February 25, 2022 </w:t>
            </w:r>
          </w:p>
        </w:tc>
      </w:tr>
      <w:tr>
        <w:trPr/>
        <w:tc>
          <w:tcPr>
            <w:tcW w:w="860" w:type="dxa"/>
            <w:tcBorders/>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Cooley LLP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0"/>
              <w:jc w:val="center"/>
              <w:rPr>
                <w:color w:val="000000"/>
              </w:rPr>
            </w:pPr>
            <w:r>
              <w:rPr>
                <w:color w:val="000000"/>
              </w:rPr>
              <w:t> </w:t>
            </w:r>
          </w:p>
        </w:tc>
      </w:tr>
      <w:tr>
        <w:trPr/>
        <w:tc>
          <w:tcPr>
            <w:tcW w:w="860"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00"/>
                  <w:sz w:val="20"/>
                </w:rPr>
                <w:t>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Agreement, dated as of June 16, 2021, by and among the Company, Silver Spike Sponsor and the other parties thereto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00"/>
                  <w:sz w:val="20"/>
                </w:rPr>
                <w:t>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Receivable Agreement, dated as of June 16, 2021, by and among the Company and the other parties thereto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Amended and Restated Operating Agreement of WMH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Subscription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Registration Rights Agreement, dated as of June 16, 2021, by and among the Company, Silver Spike Sponsor and the other parties thereto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10.6#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Indemnification Agreement by and between the Company and its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WM Technology, Inc. 2021 Equity Incentive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10.7(a)(#)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Stock Option Grant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00"/>
                  <w:sz w:val="20"/>
                </w:rPr>
                <w:t>10.7(b)#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RSU Award Grant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10.8#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WM Technology, Inc. 2021 Employee Stock Purchase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10.9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dated as of November 11, 2013, by and between the Irvine Company LLC and Ghost Media Group, LLC, as amended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10.10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to Lease and Consent to Assignment, dated as of January 27, 2016, by and between Discovery Business Center LLC, as successor-in-interest to the Irvine Company LLC, and Ghost Management Group, LLC, as successor-in-interest to Ghost Media Group,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10.11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to Lease, dated as of April 7, 2017, by and between Discovery Business Center LLC and Ghost Management Group,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10.12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Amendment to Lease, dated as of December 29, 2017, by and between Discovery Business Center LLC and Ghost Management Group,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00"/>
                  <w:sz w:val="20"/>
                </w:rPr>
                <w:t>10.13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Amendment to Lease, dated May 3, 2018, by and between Discovery Business Center LLC and Ghost Management Group,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22, 2021 </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2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47505x1_posam_301-exindex_pg2"/>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68"/>
        <w:gridCol w:w="140"/>
        <w:gridCol w:w="140"/>
        <w:gridCol w:w="4890"/>
        <w:gridCol w:w="140"/>
        <w:gridCol w:w="140"/>
        <w:gridCol w:w="425"/>
        <w:gridCol w:w="140"/>
        <w:gridCol w:w="140"/>
        <w:gridCol w:w="756"/>
        <w:gridCol w:w="140"/>
        <w:gridCol w:w="140"/>
        <w:gridCol w:w="545"/>
        <w:gridCol w:w="140"/>
        <w:gridCol w:w="140"/>
        <w:gridCol w:w="1321"/>
      </w:tblGrid>
      <w:tr>
        <w:trPr/>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0"/>
              <w:jc w:val="left"/>
              <w:rPr/>
            </w:pPr>
            <w:r>
              <w:rPr/>
              <w:t> </w:t>
            </w:r>
          </w:p>
        </w:tc>
      </w:tr>
      <w:tr>
        <w:trPr/>
        <w:tc>
          <w:tcPr>
            <w:tcW w:w="868"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File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Filing Date </w:t>
            </w:r>
          </w:p>
        </w:tc>
      </w:tr>
      <w:tr>
        <w:trPr/>
        <w:tc>
          <w:tcPr>
            <w:tcW w:w="868" w:type="dxa"/>
            <w:tcBorders/>
            <w:shd w:fill="CCEEFF" w:val="clear"/>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00"/>
                  <w:sz w:val="20"/>
                </w:rPr>
                <w:t>10.14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Fifth Amendment to Lease, dated as of September 30, 2024, by and between Discovery Business Center LLC and Ghost Management Group,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November 12, 2024 </w:t>
            </w:r>
          </w:p>
        </w:tc>
      </w:tr>
      <w:tr>
        <w:trPr/>
        <w:tc>
          <w:tcPr>
            <w:tcW w:w="868" w:type="dxa"/>
            <w:tcBorders/>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00"/>
                  <w:sz w:val="20"/>
                </w:rPr>
                <w:t>10.15#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WM Technology, Inc. Non-Employee Director Compensation Policy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October 06, 2023 </w:t>
            </w:r>
          </w:p>
        </w:tc>
      </w:tr>
      <w:tr>
        <w:trPr/>
        <w:tc>
          <w:tcPr>
            <w:tcW w:w="868" w:type="dxa"/>
            <w:tcBorders/>
            <w:shd w:fill="CCEEFF" w:val="clear"/>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00"/>
                  <w:sz w:val="20"/>
                </w:rPr>
                <w:t>10.16#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Separation and Release Agreement, by and between Duncan Grazier and WM Technology, Inc, dated August 07,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November 12, 2024 </w:t>
            </w:r>
          </w:p>
        </w:tc>
      </w:tr>
      <w:tr>
        <w:trPr/>
        <w:tc>
          <w:tcPr>
            <w:tcW w:w="868" w:type="dxa"/>
            <w:tcBorders/>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00"/>
                  <w:sz w:val="20"/>
                </w:rPr>
                <w:t>10.17#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Employment Agreement, dated August 23, 2019, by and between Ghost Management Group, LLC and Duncan Grazier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16, 2023 </w:t>
            </w:r>
          </w:p>
        </w:tc>
      </w:tr>
      <w:tr>
        <w:trPr/>
        <w:tc>
          <w:tcPr>
            <w:tcW w:w="868" w:type="dxa"/>
            <w:tcBorders/>
            <w:shd w:fill="CCEEFF" w:val="clear"/>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10.18#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Employment Agreement, dated November 7, 2024, by and between Ghost Management Group, LLC, a subsidiary of WM Technology, Inc. and Douglas Francis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November 12, 2024 </w:t>
            </w:r>
          </w:p>
        </w:tc>
      </w:tr>
      <w:tr>
        <w:trPr/>
        <w:tc>
          <w:tcPr>
            <w:tcW w:w="868" w:type="dxa"/>
            <w:tcBorders/>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10.19#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Employment Agreement, dated December 2, 2024, by and between Ghost Management Group, LLC, a subsidiary of WM Technology, Inc. and Sarah Griffis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March 13, 2025</w:t>
            </w:r>
          </w:p>
        </w:tc>
      </w:tr>
      <w:tr>
        <w:trPr/>
        <w:tc>
          <w:tcPr>
            <w:tcW w:w="868" w:type="dxa"/>
            <w:tcBorders/>
            <w:shd w:fill="CCEEFF" w:val="clear"/>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10.20#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Employment Agreement, dated April 4, 2019, by and between the Company and Brian Camire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24, 2024 </w:t>
            </w:r>
          </w:p>
        </w:tc>
      </w:tr>
      <w:tr>
        <w:trPr/>
        <w:tc>
          <w:tcPr>
            <w:tcW w:w="868" w:type="dxa"/>
            <w:tcBorders/>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10.21#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Services Agreement, dated July 16, 2023, by and between SeatonHill Partners, L.P. and WM Technology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09, 2023 </w:t>
            </w:r>
          </w:p>
        </w:tc>
      </w:tr>
      <w:tr>
        <w:trPr/>
        <w:tc>
          <w:tcPr>
            <w:tcW w:w="868"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00"/>
                  <w:sz w:val="20"/>
                </w:rPr>
                <w:t>10.22#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Executive Services Agreement, by and between SeatonHill Partners, L.P. and WM Technology Inc., dated February 26,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24, 2024 </w:t>
            </w:r>
          </w:p>
        </w:tc>
      </w:tr>
      <w:tr>
        <w:trPr/>
        <w:tc>
          <w:tcPr>
            <w:tcW w:w="868"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21.1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List of Subsidiaries of the Registrant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001-39012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March 13, 2025</w:t>
            </w:r>
          </w:p>
        </w:tc>
      </w:tr>
      <w:tr>
        <w:trPr/>
        <w:tc>
          <w:tcPr>
            <w:tcW w:w="868" w:type="dxa"/>
            <w:tcBorders/>
            <w:shd w:fill="CCEEFF" w:val="clear"/>
            <w:vAlign w:val="center"/>
          </w:tcPr>
          <w:p>
            <w:pPr>
              <w:pStyle w:val="TableContents"/>
              <w:bidi w:val="0"/>
              <w:spacing w:before="0" w:after="283"/>
              <w:ind w:left="0" w:right="0" w:hanging="0"/>
              <w:jc w:val="left"/>
              <w:rPr/>
            </w:pPr>
            <w:hyperlink w:anchor="ny20047505x1_ex23-1.htm">
              <w:r>
                <w:rPr>
                  <w:rStyle w:val="InternetLink"/>
                  <w:rFonts w:ascii="Times New Roman;Times;serif" w:hAnsi="Times New Roman;Times;serif"/>
                  <w:color w:val="000000"/>
                  <w:sz w:val="20"/>
                </w:rPr>
                <w:t>23.1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Moss Adams, LLP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0"/>
              <w:jc w:val="center"/>
              <w:rPr>
                <w:color w:val="000000"/>
              </w:rPr>
            </w:pPr>
            <w:r>
              <w:rPr>
                <w:color w:val="000000"/>
              </w:rPr>
              <w:t> </w:t>
            </w:r>
          </w:p>
        </w:tc>
      </w:tr>
      <w:tr>
        <w:trPr/>
        <w:tc>
          <w:tcPr>
            <w:tcW w:w="868" w:type="dxa"/>
            <w:tcBorders/>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23.2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Cooley LLP (included in Exhibit 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0"/>
              <w:jc w:val="center"/>
              <w:rPr>
                <w:color w:val="000000"/>
              </w:rPr>
            </w:pPr>
            <w:r>
              <w:rPr>
                <w:color w:val="000000"/>
              </w:rPr>
              <w:t> </w:t>
            </w:r>
          </w:p>
        </w:tc>
      </w:tr>
      <w:tr>
        <w:trPr/>
        <w:tc>
          <w:tcPr>
            <w:tcW w:w="868"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"https://www.sec.gov/Archives/edgar/data/1779474/000114036121023775/nt10026588x1_s1.htm" \l "tPA"</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24.1</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of Attorney (included on signature page of Registration Statement on Form S-1 filed on July 8, 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0"/>
              <w:jc w:val="center"/>
              <w:rPr>
                <w:color w:val="000000"/>
              </w:rPr>
            </w:pPr>
            <w:r>
              <w:rPr>
                <w:color w:val="000000"/>
              </w:rPr>
              <w:t> </w:t>
            </w:r>
          </w:p>
        </w:tc>
      </w:tr>
      <w:tr>
        <w:trPr/>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Instance Document (the instance document does not appear in the Interactive Data File because its XBRL tags are embedded within the Inline XBRL document)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0"/>
              <w:jc w:val="center"/>
              <w:rPr>
                <w:color w:val="000000"/>
              </w:rPr>
            </w:pPr>
            <w:r>
              <w:rPr>
                <w:color w:val="000000"/>
              </w:rPr>
              <w:t> </w:t>
            </w:r>
          </w:p>
        </w:tc>
      </w:tr>
      <w:tr>
        <w:trPr/>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101.SCH*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Schema Document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0"/>
              <w:jc w:val="center"/>
              <w:rPr>
                <w:color w:val="000000"/>
              </w:rPr>
            </w:pPr>
            <w:r>
              <w:rPr>
                <w:color w:val="000000"/>
              </w:rPr>
              <w:t> </w:t>
            </w:r>
          </w:p>
        </w:tc>
      </w:tr>
      <w:tr>
        <w:trPr/>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Calculation Linkbase Document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0"/>
              <w:jc w:val="center"/>
              <w:rPr>
                <w:color w:val="000000"/>
              </w:rPr>
            </w:pPr>
            <w:r>
              <w:rPr>
                <w:color w:val="000000"/>
              </w:rPr>
              <w:t> </w:t>
            </w:r>
          </w:p>
        </w:tc>
      </w:tr>
      <w:tr>
        <w:trPr/>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101.DEF*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Definition Linkbase Document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0"/>
              <w:jc w:val="center"/>
              <w:rPr>
                <w:color w:val="000000"/>
              </w:rPr>
            </w:pPr>
            <w:r>
              <w:rPr>
                <w:color w:val="000000"/>
              </w:rPr>
              <w:t> </w:t>
            </w:r>
          </w:p>
        </w:tc>
      </w:tr>
      <w:tr>
        <w:trPr/>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101.LAB*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Label Linkbase Document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0"/>
              <w:jc w:val="center"/>
              <w:rPr>
                <w:color w:val="000000"/>
              </w:rPr>
            </w:pPr>
            <w:r>
              <w:rPr>
                <w:color w:val="000000"/>
              </w:rPr>
              <w:t> </w:t>
            </w:r>
          </w:p>
        </w:tc>
      </w:tr>
      <w:tr>
        <w:trPr/>
        <w:tc>
          <w:tcPr>
            <w:tcW w:w="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101.PRE*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Presentation Linkbase Document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0"/>
              <w:jc w:val="center"/>
              <w:rPr>
                <w:color w:val="000000"/>
              </w:rPr>
            </w:pPr>
            <w:r>
              <w:rPr>
                <w:color w:val="000000"/>
              </w:rPr>
              <w:t> </w:t>
            </w:r>
          </w:p>
        </w:tc>
      </w:tr>
      <w:tr>
        <w:trPr/>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Cover Page Interactive Data File (formatted as Inline XBRL and contained in Exhibit 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1" w:type="dxa"/>
            <w:tcBorders/>
            <w:vAlign w:val="center"/>
          </w:tcPr>
          <w:p>
            <w:pPr>
              <w:pStyle w:val="TableContents"/>
              <w:bidi w:val="0"/>
              <w:spacing w:before="0" w:after="0"/>
              <w:jc w:val="center"/>
              <w:rPr>
                <w:color w:val="000000"/>
              </w:rPr>
            </w:pPr>
            <w:r>
              <w:rPr>
                <w:color w:val="000000"/>
              </w:rPr>
              <w:t> </w:t>
            </w:r>
          </w:p>
        </w:tc>
      </w:tr>
      <w:tr>
        <w:trPr/>
        <w:tc>
          <w:tcPr>
            <w:tcW w:w="868" w:type="dxa"/>
            <w:tcBorders/>
            <w:shd w:fill="CCEEFF" w:val="clear"/>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333-257774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July 8, 2021</w:t>
            </w:r>
          </w:p>
        </w:tc>
      </w:tr>
      <w:tr>
        <w:trPr/>
        <w:tc>
          <w:tcPr>
            <w:tcW w:w="86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schedules and exhibits to this agreement have been omitted pursuant to Item 601(a)(5) of Regulation S-K. A copy of any omitted schedule and/or exhibit will be furnished to the SEC upon request.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4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management contract or compensatory plan, contract or agreement. </w:t>
            </w:r>
          </w:p>
        </w:tc>
      </w:tr>
    </w:tbl>
    <w:tbl>
      <w:tblPr>
        <w:tblW w:w="1270" w:type="dxa"/>
        <w:jc w:val="left"/>
        <w:tblInd w:w="0" w:type="dxa"/>
        <w:tblLayout w:type="fixed"/>
        <w:tblCellMar>
          <w:top w:w="0" w:type="dxa"/>
          <w:left w:w="0" w:type="dxa"/>
          <w:bottom w:w="0" w:type="dxa"/>
          <w:right w:w="0" w:type="dxa"/>
        </w:tblCellMar>
      </w:tblPr>
      <w:tblGrid>
        <w:gridCol w:w="110"/>
        <w:gridCol w:w="116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Previously filed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47505x1_posam_301-exindex_pg3"/>
        <w:bookmarkEnd w:id="58"/>
        <w:r>
          <w:rPr>
            <w:rStyle w:val="InternetLink"/>
            <w:rFonts w:ascii="Times New Roman;Times;Serif" w:hAnsi="Times New Roman;Times;Serif"/>
            <w:b/>
            <w:caps w:val="false"/>
            <w:smallCaps w:val="false"/>
            <w:color w:val="000000"/>
            <w:sz w:val="16"/>
          </w:rPr>
          <w:t>TABLE OF CONTENTS</w:t>
        </w:r>
      </w:hyperlink>
    </w:p>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415" w:type="dxa"/>
        <w:jc w:val="left"/>
        <w:tblInd w:w="0" w:type="dxa"/>
        <w:tblLayout w:type="fixed"/>
        <w:tblCellMar>
          <w:top w:w="0" w:type="dxa"/>
          <w:left w:w="0" w:type="dxa"/>
          <w:bottom w:w="0" w:type="dxa"/>
          <w:right w:w="0" w:type="dxa"/>
        </w:tblCellMar>
      </w:tblPr>
      <w:tblGrid>
        <w:gridCol w:w="200"/>
        <w:gridCol w:w="62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47505x1_posam_301-exindex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47505x1_posam_400-sig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SIG"/>
      <w:bookmarkEnd w:id="61"/>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S-1 and has duly caused this Post-Effective Amendment No. 7 to Registration Statement to be signed on its behalf by the undersigned, thereunto duly authorized in the City of Irvine, State of California on May 2, 2025. </w:t>
      </w:r>
    </w:p>
    <w:tbl>
      <w:tblPr>
        <w:tblW w:w="2885" w:type="dxa"/>
        <w:jc w:val="left"/>
        <w:tblInd w:w="0" w:type="dxa"/>
        <w:tblLayout w:type="fixed"/>
        <w:tblCellMar>
          <w:top w:w="0" w:type="dxa"/>
          <w:left w:w="0" w:type="dxa"/>
          <w:bottom w:w="0" w:type="dxa"/>
          <w:right w:w="0" w:type="dxa"/>
        </w:tblCellMar>
      </w:tblPr>
      <w:tblGrid>
        <w:gridCol w:w="155"/>
        <w:gridCol w:w="140"/>
        <w:gridCol w:w="140"/>
        <w:gridCol w:w="24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WM TECHNOLOGY,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Douglas Francis</w:t>
            </w:r>
            <w:r>
              <w:rPr>
                <w:rFonts w:ascii="Times New Roman;Times;serif" w:hAnsi="Times New Roman;Times;serif"/>
                <w:i/>
                <w:caps w:val="false"/>
                <w:smallCaps w:val="false"/>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Douglas Francis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Post-Effective Amendment No. 7 on Form S-1 has been signed by the following persons in the capacities and on the dates indicated. </w:t>
      </w:r>
    </w:p>
    <w:tbl>
      <w:tblPr>
        <w:tblW w:w="8270" w:type="dxa"/>
        <w:jc w:val="left"/>
        <w:tblInd w:w="0" w:type="dxa"/>
        <w:tblLayout w:type="fixed"/>
        <w:tblCellMar>
          <w:top w:w="0" w:type="dxa"/>
          <w:left w:w="0" w:type="dxa"/>
          <w:bottom w:w="0" w:type="dxa"/>
          <w:right w:w="0" w:type="dxa"/>
        </w:tblCellMar>
      </w:tblPr>
      <w:tblGrid>
        <w:gridCol w:w="1580"/>
        <w:gridCol w:w="140"/>
        <w:gridCol w:w="140"/>
        <w:gridCol w:w="5015"/>
        <w:gridCol w:w="140"/>
        <w:gridCol w:w="140"/>
        <w:gridCol w:w="1115"/>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Douglas Francis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Douglas Francis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Susan Echard</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 and 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Susan Echard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Tony Aquila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Anthony Bay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Brenda Freeman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Olga Gonzalez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 Gordon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15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50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May 2, 2025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Glen Ibbott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501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tbl>
      <w:tblPr>
        <w:tblW w:w="4490" w:type="dxa"/>
        <w:jc w:val="left"/>
        <w:tblInd w:w="0" w:type="dxa"/>
        <w:tblLayout w:type="fixed"/>
        <w:tblCellMar>
          <w:top w:w="0" w:type="dxa"/>
          <w:left w:w="0" w:type="dxa"/>
          <w:bottom w:w="0" w:type="dxa"/>
          <w:right w:w="0" w:type="dxa"/>
        </w:tblCellMar>
      </w:tblPr>
      <w:tblGrid>
        <w:gridCol w:w="440"/>
        <w:gridCol w:w="140"/>
        <w:gridCol w:w="140"/>
        <w:gridCol w:w="3335"/>
        <w:gridCol w:w="140"/>
        <w:gridCol w:w="140"/>
        <w:gridCol w:w="155"/>
      </w:tblGrid>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Douglas Francis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Douglas Francis, Attorney-in-Fact</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jc w:val="left"/>
        <w:rPr/>
      </w:pPr>
      <w:r>
        <w:rPr/>
      </w:r>
      <w:bookmarkStart w:id="62" w:name="ny20047505x1_ex23-1.htm"/>
      <w:bookmarkStart w:id="63" w:name="ksny20047505x1_ex231"/>
      <w:bookmarkStart w:id="64" w:name="ny20047505x1_ex23-1.htm"/>
      <w:bookmarkStart w:id="65" w:name="ksny20047505x1_ex231"/>
      <w:bookmarkEnd w:id="64"/>
      <w:bookmarkEnd w:id="6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this Post-Effective Amendment No. 7 to Registration Statement on Form S-1 (No. 333-257774) of WM Technology, Inc. (the “Company”) of our report dated March 13, 2025, relating to the consolidated financial statements of the Company and the effectiveness of internal control over financial reporting of the Company as of December 31, 2024 (which report expresses an unqualified opinion on the consolidated financial statements and an adverse opinion on the effectiveness of internal control over financial reporting due to material weaknesses), appearing in the Annual Report on Form 10-K of the Company for the year ended December 31, 2024, filed with the Securities and Exchange Commission. We also consent to the reference to us under the heading “Experts” in such Registration Statement.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Moss Adams LLP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Irvine,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May 2, 2025</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20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79474/000177947425000007/maps-20241231.htm" TargetMode="External"/><Relationship Id="rId4" Type="http://schemas.openxmlformats.org/officeDocument/2006/relationships/hyperlink" Target="https://www.sec.gov/ix?doc=/Archives/edgar/data/1779474/000114036125016331/ny20043216x1_def14a.htm" TargetMode="External"/><Relationship Id="rId5" Type="http://schemas.openxmlformats.org/officeDocument/2006/relationships/hyperlink" Target="https://www.sec.gov/Archives/edgar/data/1779474/000177947422000010/exhibit45descriptionofsecu.htm" TargetMode="External"/><Relationship Id="rId6" Type="http://schemas.openxmlformats.org/officeDocument/2006/relationships/hyperlink" Target="https://www.sec.gov/Archives/edgar/data/1779474/000095010320024045/dp142700_ex0201.htm" TargetMode="External"/><Relationship Id="rId7" Type="http://schemas.openxmlformats.org/officeDocument/2006/relationships/hyperlink" Target="https://www.sec.gov/Archives/edgar/data/1779474/000114036121021785/brhc10025756_ex3-1.htm" TargetMode="External"/><Relationship Id="rId8" Type="http://schemas.openxmlformats.org/officeDocument/2006/relationships/hyperlink" Target="https://www.sec.gov/Archives/edgar/data/1779474/000114036121021785/brhc10025756_ex3-2.htm" TargetMode="External"/><Relationship Id="rId9" Type="http://schemas.openxmlformats.org/officeDocument/2006/relationships/hyperlink" Target="https://www.sec.gov/Archives/edgar/data/1779474/000114036121021785/brhc10025756_ex4-1.htm" TargetMode="External"/><Relationship Id="rId10" Type="http://schemas.openxmlformats.org/officeDocument/2006/relationships/hyperlink" Target="https://www.sec.gov/Archives/edgar/data/1779474/000114036121021785/brhc10025756_ex4-2.htm" TargetMode="External"/><Relationship Id="rId11" Type="http://schemas.openxmlformats.org/officeDocument/2006/relationships/hyperlink" Target="https://www.sec.gov/Archives/edgar/data/1779474/000095010319010751/dp111173_ex0401.htm" TargetMode="External"/><Relationship Id="rId12" Type="http://schemas.openxmlformats.org/officeDocument/2006/relationships/hyperlink" Target="https://www.sec.gov/Archives/edgar/data/1779474/000177947422000010/exhibit45descriptionofsecu.htm" TargetMode="External"/><Relationship Id="rId13" Type="http://schemas.openxmlformats.org/officeDocument/2006/relationships/hyperlink" Target="https://www.sec.gov/Archives/edgar/data/1779474/000114036121040114/brhc10031383_ex5-1.htm" TargetMode="External"/><Relationship Id="rId14" Type="http://schemas.openxmlformats.org/officeDocument/2006/relationships/hyperlink" Target="https://www.sec.gov/Archives/edgar/data/1779474/000114036121021785/brhc10025756_ex10-1.htm" TargetMode="External"/><Relationship Id="rId15" Type="http://schemas.openxmlformats.org/officeDocument/2006/relationships/hyperlink" Target="https://www.sec.gov/Archives/edgar/data/1779474/000114036121021785/brhc10025756_ex10-2.htm" TargetMode="External"/><Relationship Id="rId16" Type="http://schemas.openxmlformats.org/officeDocument/2006/relationships/hyperlink" Target="https://www.sec.gov/Archives/edgar/data/1779474/000114036121021785/brhc10025756_ex10-3.htm" TargetMode="External"/><Relationship Id="rId17" Type="http://schemas.openxmlformats.org/officeDocument/2006/relationships/hyperlink" Target="https://www.sec.gov/Archives/edgar/data/1779474/000095010320024045/dp142700_ex1001.htm" TargetMode="External"/><Relationship Id="rId18" Type="http://schemas.openxmlformats.org/officeDocument/2006/relationships/hyperlink" Target="https://www.sec.gov/Archives/edgar/data/1779474/000114036121021785/brhc10025756_ex10-5.htm" TargetMode="External"/><Relationship Id="rId19" Type="http://schemas.openxmlformats.org/officeDocument/2006/relationships/hyperlink" Target="https://www.sec.gov/Archives/edgar/data/1779474/000114036121021785/brhc10025756_ex10-6.htm" TargetMode="External"/><Relationship Id="rId20" Type="http://schemas.openxmlformats.org/officeDocument/2006/relationships/hyperlink" Target="https://www.sec.gov/Archives/edgar/data/1779474/000114036121021785/brhc10025756_ex10-7.htm" TargetMode="External"/><Relationship Id="rId21" Type="http://schemas.openxmlformats.org/officeDocument/2006/relationships/hyperlink" Target="https://www.sec.gov/Archives/edgar/data/1779474/000114036121021785/brhc10025756_ex10-7a.htm" TargetMode="External"/><Relationship Id="rId22" Type="http://schemas.openxmlformats.org/officeDocument/2006/relationships/hyperlink" Target="https://www.sec.gov/Archives/edgar/data/1779474/000114036121021785/brhc10025756_ex10-7b.htm" TargetMode="External"/><Relationship Id="rId23" Type="http://schemas.openxmlformats.org/officeDocument/2006/relationships/hyperlink" Target="https://www.sec.gov/Archives/edgar/data/1779474/000114036121021785/brhc10025756_ex10-8.htm" TargetMode="External"/><Relationship Id="rId24" Type="http://schemas.openxmlformats.org/officeDocument/2006/relationships/hyperlink" Target="https://www.sec.gov/Archives/edgar/data/1779474/000114036121021785/brhc10025756_ex10-12.htm" TargetMode="External"/><Relationship Id="rId25" Type="http://schemas.openxmlformats.org/officeDocument/2006/relationships/hyperlink" Target="https://www.sec.gov/Archives/edgar/data/1779474/000114036121021785/brhc10025756_ex10-13.htm" TargetMode="External"/><Relationship Id="rId26" Type="http://schemas.openxmlformats.org/officeDocument/2006/relationships/hyperlink" Target="https://www.sec.gov/Archives/edgar/data/1779474/000114036121021785/brhc10025756_ex10-14.htm" TargetMode="External"/><Relationship Id="rId27" Type="http://schemas.openxmlformats.org/officeDocument/2006/relationships/hyperlink" Target="https://www.sec.gov/Archives/edgar/data/1779474/000114036121021785/brhc10025756_ex10-15.htm" TargetMode="External"/><Relationship Id="rId28" Type="http://schemas.openxmlformats.org/officeDocument/2006/relationships/hyperlink" Target="https://www.sec.gov/Archives/edgar/data/1779474/000114036121021785/brhc10025756_ex10-16.htm" TargetMode="External"/><Relationship Id="rId29" Type="http://schemas.openxmlformats.org/officeDocument/2006/relationships/hyperlink" Target="https://www.sec.gov/Archives/edgar/data/1779474/000177947424000062/a102fifthamendmenttoleaseb.htm" TargetMode="External"/><Relationship Id="rId30" Type="http://schemas.openxmlformats.org/officeDocument/2006/relationships/hyperlink" Target="https://www.sec.gov/Archives/edgar/data/1779474/000177947423000072/exhibit102amendedandrestat.htm" TargetMode="External"/><Relationship Id="rId31" Type="http://schemas.openxmlformats.org/officeDocument/2006/relationships/hyperlink" Target="https://www.sec.gov/Archives/edgar/data/1779474/000177947424000062/a101separationandreleaseag.htm" TargetMode="External"/><Relationship Id="rId32" Type="http://schemas.openxmlformats.org/officeDocument/2006/relationships/hyperlink" Target="https://www.sec.gov/Archives/edgar/data/1779474/000177947423000023/exhibit1019dgrazier_offerl.htm" TargetMode="External"/><Relationship Id="rId33" Type="http://schemas.openxmlformats.org/officeDocument/2006/relationships/hyperlink" Target="https://www.sec.gov/Archives/edgar/data/1779474/000177947424000062/a103offerofemployment-fran.htm" TargetMode="External"/><Relationship Id="rId34" Type="http://schemas.openxmlformats.org/officeDocument/2006/relationships/hyperlink" Target="https://www.sec.gov/Archives/edgar/data/1779474/000177947425000007/exhibit1019sarahgriffisoff.htm" TargetMode="External"/><Relationship Id="rId35" Type="http://schemas.openxmlformats.org/officeDocument/2006/relationships/hyperlink" Target="https://www.sec.gov/Archives/edgar/data/1779474/000177947424000023/exhibit1020briancamiresoff.htm" TargetMode="External"/><Relationship Id="rId36" Type="http://schemas.openxmlformats.org/officeDocument/2006/relationships/hyperlink" Target="https://www.sec.gov/Archives/edgar/data/1779474/000177947423000062/exhibit101q223.htm" TargetMode="External"/><Relationship Id="rId37" Type="http://schemas.openxmlformats.org/officeDocument/2006/relationships/hyperlink" Target="https://www.sec.gov/Archives/edgar/data/1779474/000177947424000023/exhibit1023seatonhillresou.htm" TargetMode="External"/><Relationship Id="rId38" Type="http://schemas.openxmlformats.org/officeDocument/2006/relationships/hyperlink" Target="https://www.sec.gov/Archives/edgar/data/1779474/000177947425000007/exhibit211listofsubsidiari.htm" TargetMode="External"/><Relationship Id="rId39" Type="http://schemas.openxmlformats.org/officeDocument/2006/relationships/hyperlink" Target="https://www.sec.gov/Archives/edgar/data/1779474/000114036121040114/brhc10031383_ex5-1.htm" TargetMode="External"/><Relationship Id="rId40" Type="http://schemas.openxmlformats.org/officeDocument/2006/relationships/hyperlink" Target="https://www.sec.gov/Archives/edgar/data/1779474/000114036121023775/nt10026588x1_s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26302</Words>
  <Characters>139810</Characters>
  <CharactersWithSpaces>168040</CharactersWithSpaces>
  <Paragraphs>4815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