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November 8, 2023</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WM Technology, Inc. (the "Company") announced its financial results for the third quarter ended September 30, 2023. The full text of the press release issued in connection with the announcement is furnished as Exhibit 99.1 to this Current Report on Form 8-K and is incorporated by reference.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917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51"/>
        <w:gridCol w:w="2151"/>
        <w:gridCol w:w="306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earningsrel.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mtechnologyincearningsrel.htm">
              <w:r>
                <w:rPr>
                  <w:rStyle w:val="InternetLink"/>
                  <w:rFonts w:ascii="Times New Roman;sans-serif" w:hAnsi="Times New Roman;sans-serif"/>
                  <w:b w:val="false"/>
                  <w:color w:val="000080"/>
                  <w:sz w:val="20"/>
                  <w:u w:val="single"/>
                </w:rPr>
                <w:t xml:space="preserve">Press Release dated </w:t>
              </w:r>
            </w:hyperlink>
            <w:hyperlink w:anchor="wmtechnologyincearningsrel.htm">
              <w:r>
                <w:rPr>
                  <w:rStyle w:val="InternetLink"/>
                  <w:rFonts w:ascii="Times New Roman;sans-serif" w:hAnsi="Times New Roman;sans-serif"/>
                  <w:b w:val="false"/>
                  <w:color w:val="000080"/>
                  <w:sz w:val="20"/>
                  <w:u w:val="single"/>
                </w:rPr>
                <w:t>November</w:t>
              </w:r>
            </w:hyperlink>
            <w:hyperlink w:anchor="wmtechnologyincearningsrel.htm">
              <w:r>
                <w:rPr>
                  <w:rStyle w:val="InternetLink"/>
                  <w:rFonts w:ascii="Times New Roman;sans-serif" w:hAnsi="Times New Roman;sans-serif"/>
                  <w:b w:val="false"/>
                  <w:color w:val="000080"/>
                  <w:sz w:val="20"/>
                  <w:u w:val="single"/>
                </w:rPr>
                <w:t xml:space="preserve"> </w:t>
              </w:r>
            </w:hyperlink>
            <w:hyperlink w:anchor="wmtechnologyincearningsrel.htm">
              <w:r>
                <w:rPr>
                  <w:rStyle w:val="InternetLink"/>
                  <w:rFonts w:ascii="Times New Roman;sans-serif" w:hAnsi="Times New Roman;sans-serif"/>
                  <w:b w:val="false"/>
                  <w:color w:val="000080"/>
                  <w:sz w:val="20"/>
                  <w:u w:val="single"/>
                </w:rPr>
                <w:t>8</w:t>
              </w:r>
            </w:hyperlink>
            <w:hyperlink w:anchor="wmtechnologyincearningsrel.htm">
              <w:r>
                <w:rPr>
                  <w:rStyle w:val="InternetLink"/>
                  <w:rFonts w:ascii="Times New Roman;sans-serif" w:hAnsi="Times New Roman;sans-serif"/>
                  <w:b w:val="false"/>
                  <w:color w:val="000080"/>
                  <w:sz w:val="20"/>
                  <w:u w:val="single"/>
                </w:rPr>
                <w:t>, 2023</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included as Exhibit 101)</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991" w:type="dxa"/>
        <w:jc w:val="left"/>
        <w:tblInd w:w="0" w:type="dxa"/>
        <w:tblLayout w:type="fixed"/>
        <w:tblCellMar>
          <w:top w:w="28" w:type="dxa"/>
          <w:left w:w="28" w:type="dxa"/>
          <w:bottom w:w="28" w:type="dxa"/>
          <w:right w:w="28" w:type="dxa"/>
        </w:tblCellMar>
      </w:tblPr>
      <w:tblGrid>
        <w:gridCol w:w="408"/>
        <w:gridCol w:w="359"/>
        <w:gridCol w:w="359"/>
        <w:gridCol w:w="359"/>
        <w:gridCol w:w="359"/>
        <w:gridCol w:w="359"/>
        <w:gridCol w:w="383"/>
        <w:gridCol w:w="383"/>
        <w:gridCol w:w="383"/>
        <w:gridCol w:w="771"/>
        <w:gridCol w:w="771"/>
        <w:gridCol w:w="1097"/>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20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8, 2023</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Hoitt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Hoitt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1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120" w:after="283"/>
        <w:jc w:val="left"/>
        <w:rPr/>
      </w:pPr>
      <w:r>
        <w:rPr/>
        <w:drawing>
          <wp:inline distT="0" distB="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before="120" w:after="283"/>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WM Technology, Inc. Reports Third Quarter 2023 Financial Results</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Announces Third Quarter 2023 Financial Results with Revenue of $47.7 million, Net Loss of $2.5 million and </w:t>
        <w:br/>
        <w:t>Adjusted EBITDA of $10.7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color w:val="000000"/>
          <w:sz w:val="20"/>
        </w:rPr>
        <w:t xml:space="preserve">Irvine, Calif. -- November 8, 2023 -- </w:t>
      </w:r>
      <w:r>
        <w:rPr>
          <w:rFonts w:ascii="Times New Roman;sans-serif" w:hAnsi="Times New Roman;sans-serif"/>
          <w:b w:val="false"/>
          <w:color w:val="000000"/>
          <w:sz w:val="20"/>
        </w:rPr>
        <w:t xml:space="preserve">WM Technology, Inc. (“WM Technology” or the “Company”) (Nasdaq: MAPS), a leading technology and software infrastructure provider to the cannabis industry, today announced its financial results for the third quarter ended September 30, 2023. </w:t>
      </w:r>
    </w:p>
    <w:p>
      <w:pPr>
        <w:pStyle w:val="TextBody"/>
        <w:bidi w:val="0"/>
        <w:spacing w:before="0" w:after="0"/>
        <w:jc w:val="both"/>
        <w:rPr/>
      </w:pPr>
      <w:r>
        <w:rPr/>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pleased with our third quarter results as they reflect our commitment to operational efficiency in what continues to be constrained end markets," said Doug Francis, Executive Chair of WM Technology. "I am proud of our team for their continued focus and discipline, allowing us to drive a strong bottom line this quarter." </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Third Quarter 2023 Financial Highlights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Revenue was $47.7 million as compared to $50.5 million in the third quarter of 2022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paying clients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5,414, as compared to 5,576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revenue per paying client</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$2,938, as compared to $3,019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Net loss was $2.5 million as compared to net loss of $10.5 million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was $10.7 million as compared to $(9.6) million from the prior year period.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Basic and diluted net loss per share were both $0.02 based on 93.7 million of Class A Common Stock weighted average basic and diluted shares outstanding, respectively.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Total shares outstanding across Class A and Class V Common Stock were 149.4 million as of September 30, 2023.</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Cash totaled $27.7 million as of September 30, 2023, with no debt.</w:t>
      </w:r>
    </w:p>
    <w:p>
      <w:pPr>
        <w:pStyle w:val="TextBody"/>
        <w:bidi w:val="0"/>
        <w:spacing w:before="0" w:after="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GAAP to non-GAAP financial measures have been provided in the tables included in this release.</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(1)Average monthly paying clients are defined as the average of the number of paying clients billed in a month across a particular period (and for which services were provided).</w:t>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(2)Average monthly revenue per paying client is defined as the average monthly revenue for any particular period divided by the average monthly paying clients in the same respective period.</w:t>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further information about how we calculate EBITDA and Adjusted EBITDA as well as limitations of their use and a reconciliation of EBITDA and Adjusted EBITDA to net income (loss), see “Reconciliation of Net Income (Loss) to EBITDA and Adjusted EBITDA” below.</w:t>
      </w:r>
    </w:p>
    <w:p>
      <w:pPr>
        <w:pStyle w:val="TextBody"/>
        <w:bidi w:val="0"/>
        <w:spacing w:before="0" w:after="0"/>
        <w:jc w:val="both"/>
        <w:rPr/>
      </w:pPr>
      <w:r>
        <w:rPr/>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Business Outlook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information available as of November 8, 2023, WM Technology is issuing guidance for the fourth quarter of 2023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Revenue is estimated to be $47 million.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Non-GAAP 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is estimated to be approximately $5 million. </w:t>
      </w:r>
    </w:p>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guidance provided above is only an estimate of what we believe is realizable as of the date of this release. We are not readily able to provide a reconciliation of projected Non-GAAP Adjusted EBITDA to projected net income (loss) without </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Investor Call and Webcasts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host a conference call and webcast today, Wednesday, November 8, 2023, at 2:00 p.m. Pacific Time (5:00 p.m. Eastern Time) at https://edge.media-server.com/mmc/p/u6ey6dpj. A replay of the webcast will also be archived at ir.weedmaps.com.</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used, and intends to continue to use, the investor relations portion of its website as a means of disclosing material non-public information and for complying with disclosure obligations under Regulation FD.</w:t>
      </w:r>
    </w:p>
    <w:p>
      <w:pPr>
        <w:pStyle w:val="TextBody"/>
        <w:bidi w:val="0"/>
        <w:spacing w:before="0" w:after="0"/>
        <w:jc w:val="both"/>
        <w:rPr/>
      </w:pPr>
      <w:r>
        <w:rPr/>
      </w:r>
    </w:p>
    <w:p>
      <w:pPr>
        <w:pStyle w:val="TextBody"/>
        <w:bidi w:val="0"/>
        <w:jc w:val="both"/>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About WM Technology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2008, WM Technology operates the leading online cannabis marketplace for consumers together with a comprehensive set of eCommerce and compliance software solutions for cannabis businesses, which are sold to retailers and brands in the U.S. state-legal and Canadian cannabis markets. The Company is driven by a passion for the plant, and is on a mission to champion the truth and stand with all who believe in open access to cannabis.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technology addresses the challenges facing both consumers seeking to understand cannabis products and businesses who serve cannabis users in a legally compliant fashion. Over the past 15 years, the Weedmaps marketplace has become the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Irvine, California, WM Technology supports remote work for all eligible employees. Visit us at www.weedmaps.com.</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impact of the material weakness in our internal controls and our ability to remediate this material weakness on the timing we anticipate, or at all; the outcome of any known and unknown litigation and regulatory proceedings; changes in domestic and foreign business, market, financial, political and legal conditions; the effect of macroeconomic conditions, including but not limited to health crises like the COVID-19 pandemic, inflation, uncertain credit and global financial markets, recent and potential future disruptions in access to bank deposits or lending commitments due to bank failures and geopolitical events, including the military conflict between Russia and Ukraine or the recent state of war between Israel and Hamas and the related risk of a larger regional conflict;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and the Company’s ability to maintain and grow its two-sided marketplace, including its ability to acquire and retain paying clients; the effects of competition on the Company’s future business; the Company’s success in retaining or recruiting, or changes required in, officers, key employees or directors; cyber-attacks and security vulnerabilities; the possibility that we may be adversely affected by other economic, business or competitive factors; the possibility that the Company may be adversely affected by other economic, business or competitive and those factors discussed in the Company’s 2022 Annual Report on Form 10-K filed with Securities and Exchange Commission (the “SEC”) on March 16, 2023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w:t>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including net income (loss), are prepared in accordance with principles generally accepted in the United States of America (“GAAP”).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impairment of right-of-use asset and investment securities, transaction costs, change in tax receivable agreement liability and other non-cash, unusual and/or infrequent costs in the case of Adjusted EBITDA. Below we have provided a reconciliation of net loss (the most directly comparable GAAP financial measure) to EBITDA; and from EBITDA to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 to 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bidi w:val="0"/>
        <w:spacing w:before="120" w:after="1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Definition of Key Operating and Financial Metrics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Average Monthly Revenue Per Paying Client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Average Monthly Paying Clients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define average monthly paying clients as the monthly average of clients billed each month over a particular period (and for which services were provided).</w:t>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664"/>
        <w:gridCol w:w="2087"/>
        <w:gridCol w:w="2054"/>
        <w:gridCol w:w="109"/>
        <w:gridCol w:w="109"/>
        <w:gridCol w:w="109"/>
        <w:gridCol w:w="250"/>
        <w:gridCol w:w="978"/>
        <w:gridCol w:w="129"/>
        <w:gridCol w:w="109"/>
        <w:gridCol w:w="109"/>
        <w:gridCol w:w="109"/>
        <w:gridCol w:w="245"/>
        <w:gridCol w:w="962"/>
        <w:gridCol w:w="182"/>
      </w:tblGrid>
      <w:tr>
        <w:trPr/>
        <w:tc>
          <w:tcPr>
            <w:tcW w:w="2664"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$0.0001 par value; 75,000,000 shares authorized; no shares issued and outstanding at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$0.0001 par value; 1,500,000,000 shares authorized; 93,881,130 shares issued and outstanding at September 30, 2023 and 92,062,468 shares issued and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 $0.0001 par value; 500,000,000 shares authorized, 55,486,361 shares issued and outstanding at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1647"/>
        <w:gridCol w:w="1217"/>
        <w:gridCol w:w="1219"/>
        <w:gridCol w:w="273"/>
        <w:gridCol w:w="867"/>
        <w:gridCol w:w="124"/>
        <w:gridCol w:w="124"/>
        <w:gridCol w:w="124"/>
        <w:gridCol w:w="124"/>
        <w:gridCol w:w="273"/>
        <w:gridCol w:w="867"/>
        <w:gridCol w:w="124"/>
        <w:gridCol w:w="109"/>
        <w:gridCol w:w="109"/>
        <w:gridCol w:w="109"/>
        <w:gridCol w:w="241"/>
        <w:gridCol w:w="889"/>
        <w:gridCol w:w="116"/>
        <w:gridCol w:w="116"/>
        <w:gridCol w:w="116"/>
        <w:gridCol w:w="116"/>
        <w:gridCol w:w="241"/>
        <w:gridCol w:w="889"/>
        <w:gridCol w:w="171"/>
      </w:tblGrid>
      <w:tr>
        <w:trPr/>
        <w:tc>
          <w:tcPr>
            <w:tcW w:w="164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net</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and diluted shares outstanding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93,651,871 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89,552,914 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92,947,191 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82,872,137 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90"/>
        <w:gridCol w:w="2278"/>
        <w:gridCol w:w="2294"/>
        <w:gridCol w:w="253"/>
        <w:gridCol w:w="867"/>
        <w:gridCol w:w="130"/>
        <w:gridCol w:w="130"/>
        <w:gridCol w:w="130"/>
        <w:gridCol w:w="130"/>
        <w:gridCol w:w="253"/>
        <w:gridCol w:w="957"/>
        <w:gridCol w:w="193"/>
      </w:tblGrid>
      <w:tr>
        <w:trPr/>
        <w:tc>
          <w:tcPr>
            <w:tcW w:w="259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right-of-use asset and investment securities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Discharge of holdback obligation related to prior acquisition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 holdback</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insurance premium financing</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related party note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beginning of period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end of period</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TO EBITDA AND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65"/>
        <w:gridCol w:w="1254"/>
        <w:gridCol w:w="1233"/>
        <w:gridCol w:w="250"/>
        <w:gridCol w:w="856"/>
        <w:gridCol w:w="128"/>
        <w:gridCol w:w="128"/>
        <w:gridCol w:w="128"/>
        <w:gridCol w:w="128"/>
        <w:gridCol w:w="250"/>
        <w:gridCol w:w="930"/>
        <w:gridCol w:w="128"/>
        <w:gridCol w:w="109"/>
        <w:gridCol w:w="109"/>
        <w:gridCol w:w="109"/>
        <w:gridCol w:w="242"/>
        <w:gridCol w:w="829"/>
        <w:gridCol w:w="125"/>
        <w:gridCol w:w="125"/>
        <w:gridCol w:w="125"/>
        <w:gridCol w:w="125"/>
        <w:gridCol w:w="242"/>
        <w:gridCol w:w="899"/>
        <w:gridCol w:w="188"/>
      </w:tblGrid>
      <w:tr>
        <w:trPr/>
        <w:tc>
          <w:tcPr>
            <w:tcW w:w="156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bonus (recovery) expense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 and other legal costs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Discharge of holdback obligation related to prior acquisition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force (recovery) expense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right-of-use asset and investment securities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68" w:before="0" w:after="0"/>
        <w:ind w:left="0" w:right="0" w:hanging="360"/>
        <w:jc w:val="both"/>
        <w:rPr/>
      </w:pPr>
      <w:r>
        <w:rPr>
          <w:rFonts w:ascii="Times New Roman;sans-serif" w:hAnsi="Times New Roman;sans-serif"/>
          <w:b w:val="false"/>
          <w:color w:val="000000"/>
          <w:sz w:val="16"/>
        </w:rPr>
        <w:t>(1)    </w:t>
      </w:r>
      <w:r>
        <w:rPr>
          <w:rFonts w:ascii="Times New Roman;sans-serif" w:hAnsi="Times New Roman;sans-serif"/>
          <w:b w:val="false"/>
          <w:color w:val="000000"/>
          <w:sz w:val="20"/>
        </w:rPr>
        <w:t>Stock-based compensation expense is recorded in the following expense categories on the accompanying consolidated statements of operations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352"/>
        <w:gridCol w:w="1188"/>
        <w:gridCol w:w="1196"/>
        <w:gridCol w:w="298"/>
        <w:gridCol w:w="871"/>
        <w:gridCol w:w="153"/>
        <w:gridCol w:w="153"/>
        <w:gridCol w:w="153"/>
        <w:gridCol w:w="153"/>
        <w:gridCol w:w="298"/>
        <w:gridCol w:w="871"/>
        <w:gridCol w:w="153"/>
        <w:gridCol w:w="109"/>
        <w:gridCol w:w="109"/>
        <w:gridCol w:w="109"/>
        <w:gridCol w:w="260"/>
        <w:gridCol w:w="892"/>
        <w:gridCol w:w="134"/>
        <w:gridCol w:w="134"/>
        <w:gridCol w:w="134"/>
        <w:gridCol w:w="134"/>
        <w:gridCol w:w="260"/>
        <w:gridCol w:w="892"/>
        <w:gridCol w:w="199"/>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capitalized to software development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16380"/>
                <wp:effectExtent l="0" t="0" r="0" b="0"/>
                <wp:wrapNone/>
                <wp:docPr id="12" name="Frame11"/>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SELECTED KEY OPERATING METRICS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Selected Key Operating Metrics</w:t>
      </w:r>
    </w:p>
    <w:p>
      <w:pPr>
        <w:pStyle w:val="TextBody"/>
        <w:bidi w:val="0"/>
        <w:spacing w:before="120" w:after="120"/>
        <w:jc w:val="left"/>
        <w:rPr/>
      </w:pPr>
      <w:r>
        <w:rPr/>
      </w:r>
    </w:p>
    <w:tbl>
      <w:tblPr>
        <w:tblW w:w="10129" w:type="dxa"/>
        <w:jc w:val="left"/>
        <w:tblInd w:w="0" w:type="dxa"/>
        <w:tblLayout w:type="fixed"/>
        <w:tblCellMar>
          <w:top w:w="28" w:type="dxa"/>
          <w:left w:w="28" w:type="dxa"/>
          <w:bottom w:w="28" w:type="dxa"/>
          <w:right w:w="28" w:type="dxa"/>
        </w:tblCellMar>
      </w:tblPr>
      <w:tblGrid>
        <w:gridCol w:w="1322"/>
        <w:gridCol w:w="1159"/>
        <w:gridCol w:w="1164"/>
        <w:gridCol w:w="299"/>
        <w:gridCol w:w="874"/>
        <w:gridCol w:w="154"/>
        <w:gridCol w:w="154"/>
        <w:gridCol w:w="154"/>
        <w:gridCol w:w="154"/>
        <w:gridCol w:w="299"/>
        <w:gridCol w:w="874"/>
        <w:gridCol w:w="154"/>
        <w:gridCol w:w="109"/>
        <w:gridCol w:w="109"/>
        <w:gridCol w:w="109"/>
        <w:gridCol w:w="286"/>
        <w:gridCol w:w="836"/>
        <w:gridCol w:w="147"/>
        <w:gridCol w:w="147"/>
        <w:gridCol w:w="147"/>
        <w:gridCol w:w="147"/>
        <w:gridCol w:w="286"/>
        <w:gridCol w:w="836"/>
        <w:gridCol w:w="209"/>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w:t>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investors@weedmaps.com</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Media Contract:</w:t>
      </w:r>
    </w:p>
    <w:p>
      <w:pPr>
        <w:pStyle w:val="TextBody"/>
        <w:bidi w:val="0"/>
        <w:spacing w:lineRule="auto" w:line="288" w:before="12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press@weedmaps.com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16380"/>
                <wp:effectExtent l="0" t="0" r="0" b="0"/>
                <wp:wrapNone/>
                <wp:docPr id="13" name="Frame12"/>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3742</Words>
  <Characters>21438</Characters>
  <CharactersWithSpaces>24817</CharactersWithSpaces>
  <Paragraphs>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