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14,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SILVER SPIKE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Cayman Islands</w:t>
            </w:r>
          </w:p>
        </w:tc>
        <w:tc>
          <w:tcPr>
            <w:tcW w:w="28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001-39021</w:t>
            </w: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22"/>
        </w:trPr>
        <w:tc>
          <w:tcPr>
            <w:tcW w:w="4840" w:type="dxa"/>
            <w:vAlign w:val="bottom"/>
            <w:gridSpan w:val="3"/>
          </w:tcPr>
          <w:p>
            <w:pPr>
              <w:jc w:val="center"/>
              <w:ind w:right="940"/>
              <w:spacing w:after="0"/>
              <w:rPr>
                <w:sz w:val="20"/>
                <w:szCs w:val="20"/>
                <w:color w:val="auto"/>
              </w:rPr>
            </w:pPr>
            <w:r>
              <w:rPr>
                <w:rFonts w:ascii="Arial" w:cs="Arial" w:eastAsia="Arial" w:hAnsi="Arial"/>
                <w:sz w:val="18"/>
                <w:szCs w:val="18"/>
                <w:color w:val="auto"/>
                <w:w w:val="92"/>
              </w:rPr>
              <w:t>(State or other jurisdiction</w:t>
            </w:r>
          </w:p>
        </w:tc>
        <w:tc>
          <w:tcPr>
            <w:tcW w:w="2940" w:type="dxa"/>
            <w:vAlign w:val="bottom"/>
            <w:gridSpan w:val="4"/>
          </w:tcPr>
          <w:p>
            <w:pPr>
              <w:jc w:val="center"/>
              <w:ind w:right="940"/>
              <w:spacing w:after="0"/>
              <w:rPr>
                <w:sz w:val="20"/>
                <w:szCs w:val="20"/>
                <w:color w:val="auto"/>
              </w:rPr>
            </w:pPr>
            <w:r>
              <w:rPr>
                <w:rFonts w:ascii="Arial" w:cs="Arial" w:eastAsia="Arial" w:hAnsi="Arial"/>
                <w:sz w:val="18"/>
                <w:szCs w:val="18"/>
                <w:color w:val="auto"/>
                <w:w w:val="91"/>
              </w:rPr>
              <w:t>(Commission</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84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of incorporation)</w:t>
            </w:r>
          </w:p>
        </w:tc>
        <w:tc>
          <w:tcPr>
            <w:tcW w:w="294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95"/>
        </w:trPr>
        <w:tc>
          <w:tcPr>
            <w:tcW w:w="4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1114 6th Ave, 41st Floor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10036</w:t>
            </w:r>
          </w:p>
        </w:tc>
      </w:tr>
      <w:tr>
        <w:trPr>
          <w:trHeight w:val="234"/>
        </w:trPr>
        <w:tc>
          <w:tcPr>
            <w:tcW w:w="48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3"/>
              </w:rPr>
              <w:t>New York, New York</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7"/>
        </w:trPr>
        <w:tc>
          <w:tcPr>
            <w:tcW w:w="4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+1 212-905-4923</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ind w:left="40"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4" w:lineRule="exact"/>
        <w:rPr>
          <w:sz w:val="24"/>
          <w:szCs w:val="24"/>
          <w:color w:val="auto"/>
        </w:rPr>
      </w:pPr>
    </w:p>
    <w:p>
      <w:pPr>
        <w:ind w:left="240" w:hanging="205"/>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40" w:hanging="205"/>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40" w:hanging="205"/>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40" w:hanging="205"/>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59"/>
        </w:trPr>
        <w:tc>
          <w:tcPr>
            <w:tcW w:w="4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Class A ordinary shares, par value $0.0001 per share</w:t>
            </w:r>
          </w:p>
        </w:tc>
        <w:tc>
          <w:tcPr>
            <w:tcW w:w="3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SSPK</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Redeemable warrants, each whole warrant exercisable for</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SSPKW</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9"/>
        </w:trPr>
        <w:tc>
          <w:tcPr>
            <w:tcW w:w="4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Units, each consisting of one Class A ordinary share and</w:t>
            </w:r>
          </w:p>
        </w:tc>
        <w:tc>
          <w:tcPr>
            <w:tcW w:w="3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SSPKU</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one-half of one redeemable warrant</w:t>
            </w: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pacing w:after="0" w:line="200" w:lineRule="exact"/>
        <w:rPr>
          <w:sz w:val="24"/>
          <w:szCs w:val="24"/>
          <w:color w:val="auto"/>
        </w:rPr>
      </w:pPr>
    </w:p>
    <w:p>
      <w:pPr>
        <w:spacing w:after="0" w:line="21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Chief Operating Officer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14, 2020, Silver Spike Acquisition Corp. (the “Company”) announced that it had received notice from Mohammed Grimeh of his decision to resign as the Company’s Chief Operating Officer, effective on or about February 18, 2020. The Company has allocated the responsibilities of the Chief Operating Officer among its remaining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Scott Gordon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47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2020-02-14T16:12:21Z</dcterms:created>
  <dcterms:modified xsi:type="dcterms:W3CDTF">2020-02-14T16:12:21Z</dcterms:modified>
</cp:coreProperties>
</file>