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30" w:lineRule="auto"/>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16, 2021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WM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001-39021</w:t>
            </w:r>
          </w:p>
        </w:tc>
        <w:tc>
          <w:tcPr>
            <w:tcW w:w="220" w:type="dxa"/>
            <w:vAlign w:val="bottom"/>
          </w:tcPr>
          <w:p>
            <w:pPr>
              <w:spacing w:after="0"/>
              <w:rPr>
                <w:sz w:val="20"/>
                <w:szCs w:val="20"/>
                <w:color w:val="auto"/>
              </w:rPr>
            </w:pPr>
          </w:p>
        </w:tc>
        <w:tc>
          <w:tcPr>
            <w:tcW w:w="3620" w:type="dxa"/>
            <w:vAlign w:val="bottom"/>
          </w:tcPr>
          <w:p>
            <w:pPr>
              <w:jc w:val="right"/>
              <w:ind w:right="1290"/>
              <w:spacing w:after="0"/>
              <w:rPr>
                <w:sz w:val="20"/>
                <w:szCs w:val="20"/>
                <w:color w:val="auto"/>
              </w:rPr>
            </w:pPr>
            <w:r>
              <w:rPr>
                <w:rFonts w:ascii="Arial" w:cs="Arial" w:eastAsia="Arial" w:hAnsi="Arial"/>
                <w:sz w:val="18"/>
                <w:szCs w:val="18"/>
                <w:b w:val="1"/>
                <w:bCs w:val="1"/>
                <w:color w:val="auto"/>
              </w:rPr>
              <w:t>98-1605615</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6"/>
        </w:trPr>
        <w:tc>
          <w:tcPr>
            <w:tcW w:w="44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41 Discovery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4"/>
              </w:rPr>
              <w:t>Irvine, California</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92618</w:t>
            </w:r>
          </w:p>
        </w:tc>
      </w:tr>
      <w:tr>
        <w:trPr>
          <w:trHeight w:val="230"/>
        </w:trPr>
        <w:tc>
          <w:tcPr>
            <w:tcW w:w="440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jc w:val="center"/>
              <w:ind w:right="1830"/>
              <w:spacing w:after="0"/>
              <w:rPr>
                <w:sz w:val="20"/>
                <w:szCs w:val="20"/>
                <w:color w:val="auto"/>
              </w:rPr>
            </w:pPr>
            <w:r>
              <w:rPr>
                <w:rFonts w:ascii="Arial" w:cs="Arial" w:eastAsia="Arial" w:hAnsi="Arial"/>
                <w:sz w:val="18"/>
                <w:szCs w:val="18"/>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145415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(844) 933-3627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Silver Spike Acquisition Corp.</w:t>
      </w:r>
    </w:p>
    <w:p>
      <w:pPr>
        <w:jc w:val="center"/>
        <w:spacing w:after="0" w:line="231" w:lineRule="auto"/>
        <w:rPr>
          <w:sz w:val="20"/>
          <w:szCs w:val="20"/>
          <w:color w:val="auto"/>
        </w:rPr>
      </w:pPr>
      <w:r>
        <w:rPr>
          <w:rFonts w:ascii="Arial" w:cs="Arial" w:eastAsia="Arial" w:hAnsi="Arial"/>
          <w:sz w:val="22"/>
          <w:szCs w:val="22"/>
          <w:b w:val="1"/>
          <w:bCs w:val="1"/>
          <w:color w:val="auto"/>
        </w:rPr>
        <w:t>660 Madison Ave., Suite 1600</w:t>
      </w:r>
    </w:p>
    <w:p>
      <w:pPr>
        <w:jc w:val="center"/>
        <w:spacing w:after="0" w:line="230" w:lineRule="auto"/>
        <w:rPr>
          <w:sz w:val="20"/>
          <w:szCs w:val="20"/>
          <w:color w:val="auto"/>
        </w:rPr>
      </w:pPr>
      <w:r>
        <w:rPr>
          <w:rFonts w:ascii="Arial" w:cs="Arial" w:eastAsia="Arial" w:hAnsi="Arial"/>
          <w:sz w:val="22"/>
          <w:szCs w:val="22"/>
          <w:b w:val="1"/>
          <w:bCs w:val="1"/>
          <w:color w:val="auto"/>
        </w:rPr>
        <w:t>New York, New York 10065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jc w:val="both"/>
        <w:ind w:firstLine="324"/>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obligations of the registrant under any of the following provisions:</w:t>
      </w:r>
    </w:p>
    <w:p>
      <w:pPr>
        <w:spacing w:after="0" w:line="20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ind w:left="34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Class A Common Stock, $0.0001 par value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MAPS</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The 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MAPSW</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Class A Common Stock at an exercise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jc w:val="both"/>
        <w:ind w:firstLine="324"/>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05"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jc w:val="both"/>
        <w:ind w:firstLine="324"/>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INTRODUCTORY NOTE</w:t>
      </w:r>
    </w:p>
    <w:p>
      <w:pPr>
        <w:spacing w:after="0" w:line="24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Due to the large number of events reported under the specified items of Form 8-K, this Current Report on Form 8-K is being filed in two parts. An amendment to this Form 8-K is being submitted for filing on the same date to include additional matters under Items 3.03, 5.03, 5.05 and 8.01 of Form 8-K.</w:t>
      </w:r>
    </w:p>
    <w:p>
      <w:pPr>
        <w:spacing w:after="0" w:line="2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On June 16, 2021 (the “Closing Date”), WM Technology, Inc., a Delaware corporation (the “Company” or “WM Technology”) (f/k/a Silver Spike Acquisition Corp. (“Silver Spike”)), consummated the previously announced merger (the “Closing”)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The Company’s shareholders approved the business combination (the “Business Combination”) and the change of Silver Spike’s jurisdiction of incorporation from the Cayman Islands to the State of Delaware by deregistering as an exempted company in the Cayman Islands and domesticating and continuing as a corporation formed under the laws of the State of Delaware (the “Domestication”) at a special meeting of stockholders held on June 10, 2021 (the “Second Special Meeting”). Prior to the Second Special Meeting, the Company’s shareholders approved an amendment to the Amended and Restated Memorandum and Articles of Association of the Company to extend the date by which, if the Company has not consummated a merger, amalgamation, share exchange, asset acquisition, share purchase, reorganization or similar business combination with one or more businesses, the Company must (i) cease all operations except for the purpose of winding up, (ii) redeem all of the Company’s Class A ordinary shares included as part of the units sold in the Company’s initial public offering that was consummated on August 19, 2019 and (iii) liquidate and dissolve, from February 12, 2021 to July 10, 2021 at a special meeting of stockholders held on January 13, 2021 (the “First Special Meeting”). In connection with the First Special Meeting, the Second Special Meeting and the Business Combination, holders of 11,437 Silver Spike’s Class A ordinary shares (“Class A Ordinary Shares”), or 0.05% of the shares with redemption rights, exercised their right to redeem their shares for cash at a redemption price of approximately $10.17 per share, for an aggregate redemption amount of $116,314.29.</w:t>
      </w: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Pursuant to the terms of the Merger Agreement, the Business Combination was effected through the merger (the “Merger”) of Merger Sub with and into Legacy WMH, with Legacy WMH surviving as a subsidiary of Silver Spike (when referred to in its post-Business Combination capacity, “WMH LLC”). On the Closing Date, the Company changed its name from Silver Spike Acquisition Corp. to WM Technology, Inc.</w:t>
      </w:r>
    </w:p>
    <w:p>
      <w:pPr>
        <w:spacing w:after="0" w:line="21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Upon the consummation of the Domestication, each of Silver Spike’s currently issued and outstanding Class A Ordinary Shares and Class B ordinary shares (“Class B Ordinary Shares”) automatically converted by operation of law, on a one-for-one basis, into shares of Class A common stock of the Company (“Class A Common Stock”). Similarly, all of Silver Spike’s outstanding warrants became warrants to acquire shares of Class A Common Stock, and no other changes were made to the terms of any outstanding warrants.</w:t>
      </w:r>
    </w:p>
    <w:p>
      <w:pPr>
        <w:spacing w:after="0" w:line="21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WMH LLC Class A units (“Class A Units”) and WMH LLC Class P units (“Class P Units”) and provides potential future tax benefits for both the Company and the WMH LLC equity holders when they ultimately exchange their pass-through interests for shares of Class A Common Stock. The Company is a holding company, and immediately after the consummation of the Business Combination, its principal asset is its ownership interest and managing member interest in WMH LLC.</w:t>
      </w:r>
    </w:p>
    <w:p>
      <w:pPr>
        <w:spacing w:after="0" w:line="21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 description of the Business Combination and the terms of the Merger Agreement are included in the final prospectus and definitive proxy statement, dated May 25, 2021 (the “Proxy Statement/Prospectus”) filed by the Company with the Securities and Exchange Commission (the “SEC”) in the section entitled “</w:t>
      </w:r>
      <w:r>
        <w:rPr>
          <w:rFonts w:ascii="Arial" w:cs="Arial" w:eastAsia="Arial" w:hAnsi="Arial"/>
          <w:sz w:val="22"/>
          <w:szCs w:val="22"/>
          <w:i w:val="1"/>
          <w:iCs w:val="1"/>
          <w:color w:val="auto"/>
        </w:rPr>
        <w:t>Proposal No. 1—The Business Combination Proposal</w:t>
      </w:r>
      <w:r>
        <w:rPr>
          <w:rFonts w:ascii="Arial" w:cs="Arial" w:eastAsia="Arial" w:hAnsi="Arial"/>
          <w:sz w:val="22"/>
          <w:szCs w:val="22"/>
          <w:color w:val="auto"/>
        </w:rPr>
        <w:t>” beginning on page 160 of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ind w:firstLine="324"/>
        <w:spacing w:after="0" w:line="274" w:lineRule="auto"/>
        <w:rPr>
          <w:sz w:val="20"/>
          <w:szCs w:val="20"/>
          <w:color w:val="auto"/>
        </w:rPr>
      </w:pPr>
      <w:r>
        <w:rPr>
          <w:rFonts w:ascii="Arial" w:cs="Arial" w:eastAsia="Arial" w:hAnsi="Arial"/>
          <w:sz w:val="21"/>
          <w:szCs w:val="21"/>
          <w:color w:val="auto"/>
        </w:rPr>
        <w:t>The foregoing description of the Merger Agreement is a summary only and is qualified in its entirety by the full text of the Merger Agreement, a copy of which is attached hereto as Exhibit 2.1, which is incorporated herein by reference.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On December 10, 2020, a number of purchasers subscribed to purchase from the Company an aggregate of 32,500,000 shares of the Company’s Class A Common Stock (the “PIPE Shares”), for a purchase price of $10.00 per share and an aggregate purchase price of $325,000,000, pursuant to separate subscription agreements (each, a “Subscription Agreement”). The sale of PIPE Shares was consummated concurrently with the Closing. A description of the Subscription Agreements is included in the Proxy Statement/Prospectus in the section entitled “</w:t>
      </w:r>
      <w:r>
        <w:rPr>
          <w:rFonts w:ascii="Arial" w:cs="Arial" w:eastAsia="Arial" w:hAnsi="Arial"/>
          <w:sz w:val="19"/>
          <w:szCs w:val="19"/>
          <w:i w:val="1"/>
          <w:iCs w:val="1"/>
          <w:color w:val="auto"/>
        </w:rPr>
        <w:t>The Business Combination—Related Agreements—PIPE Subscription</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beginning on page 125 of the Proxy Statement/Prospectus.</w:t>
      </w:r>
    </w:p>
    <w:p>
      <w:pPr>
        <w:spacing w:after="0" w:line="177"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The foregoing description of the Subscription Agreements is a summary only and is qualified in its entirety by the full text of the Form of Subscription Agreement, a copy of the form of which is attached hereto as Exhibit 10.4, which is incorporated herein by reference.</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Agreement</w:t>
      </w:r>
    </w:p>
    <w:p>
      <w:pPr>
        <w:spacing w:after="0" w:line="2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The Company, WMH LLC and the WMH LLC equity holders entered into an exchange agreement (the “Exchange Agreement”) at the time of the Business Combination. The terms of the Exchange Agreement provide the WMH LLC equity holders (or certain permitted transferees thereof) with the right from time to time at and after 180 days following the Business Combination to exchange their Class A Units (together with an equal number of shares of Class V common stock of the Company (the “Class V Common Stock” and together with the Class A Common Stock, the “Common Stock”))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A description of the Exchange Agreement is included in the Proxy Statement/Prospectus in the section entitled “</w:t>
      </w:r>
      <w:r>
        <w:rPr>
          <w:rFonts w:ascii="Arial" w:cs="Arial" w:eastAsia="Arial" w:hAnsi="Arial"/>
          <w:sz w:val="21"/>
          <w:szCs w:val="21"/>
          <w:i w:val="1"/>
          <w:iCs w:val="1"/>
          <w:color w:val="auto"/>
        </w:rPr>
        <w:t>The Business Combination—Related Agreements—Exchange Agreement</w:t>
      </w:r>
      <w:r>
        <w:rPr>
          <w:rFonts w:ascii="Arial" w:cs="Arial" w:eastAsia="Arial" w:hAnsi="Arial"/>
          <w:sz w:val="21"/>
          <w:szCs w:val="21"/>
          <w:color w:val="auto"/>
        </w:rPr>
        <w:t>” beginning on page 122 of the Proxy Statement/Prospectus.</w:t>
      </w:r>
    </w:p>
    <w:p>
      <w:pPr>
        <w:spacing w:after="0" w:line="21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foregoing description of the Exchange Agreement is qualified in its entirety by the full text of the form of Exchange Agreement, a copy of which is attached hereto as Exhibit 4.4 and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and Restated Registration Rights Agreement</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In connection with the Closing, Silver Spike Sponsor, LLC (“Silver Spike Sponsor”) and certain WMH LLC equity holders entered into an amended and restated registration rights agreement (the “Amended and Restated Registration Rights Agreement”). The terms of the Amended &amp; Restated Registration Rights Agreement are described in the Proxy Statement/Prospectus in the section entitled “</w:t>
      </w:r>
      <w:r>
        <w:rPr>
          <w:rFonts w:ascii="Arial" w:cs="Arial" w:eastAsia="Arial" w:hAnsi="Arial"/>
          <w:sz w:val="21"/>
          <w:szCs w:val="21"/>
          <w:i w:val="1"/>
          <w:iCs w:val="1"/>
          <w:color w:val="auto"/>
        </w:rPr>
        <w:t>Business Combination—Related Agreements—Amended and Restated Registration</w:t>
      </w:r>
      <w:r>
        <w:rPr>
          <w:rFonts w:ascii="Arial" w:cs="Arial" w:eastAsia="Arial" w:hAnsi="Arial"/>
          <w:sz w:val="21"/>
          <w:szCs w:val="21"/>
          <w:color w:val="auto"/>
        </w:rPr>
        <w:t xml:space="preserve"> </w:t>
      </w:r>
      <w:r>
        <w:rPr>
          <w:rFonts w:ascii="Arial" w:cs="Arial" w:eastAsia="Arial" w:hAnsi="Arial"/>
          <w:sz w:val="21"/>
          <w:szCs w:val="21"/>
          <w:i w:val="1"/>
          <w:iCs w:val="1"/>
          <w:color w:val="auto"/>
        </w:rPr>
        <w:t>Rights Agreement</w:t>
      </w:r>
      <w:r>
        <w:rPr>
          <w:rFonts w:ascii="Arial" w:cs="Arial" w:eastAsia="Arial" w:hAnsi="Arial"/>
          <w:sz w:val="21"/>
          <w:szCs w:val="21"/>
          <w:color w:val="auto"/>
        </w:rPr>
        <w:t>” beginning on page 123 of the Proxy Statement/Prospectus.</w:t>
      </w:r>
    </w:p>
    <w:p>
      <w:pPr>
        <w:spacing w:after="0" w:line="20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foregoing description of the Amended and Restated Registration Rights Agreement is qualified in its entirety by the full text of the Amended and Restated Registration Rights Agreement, a copy of which is attached hereto as Exhibit 4.2 and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Receivable Agreement</w:t>
      </w:r>
    </w:p>
    <w:p>
      <w:pPr>
        <w:spacing w:after="0" w:line="2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Upon the consummation of the Business Combination, the Company, the Holder Representative and the Class A Unit holders entered into the tax receivable agreement, (the “Tax Receivable Agreement”). The terms of the Tax Receivable Agreement are described in the Proxy Statement/Prospectus in the section entitled “</w:t>
      </w:r>
      <w:r>
        <w:rPr>
          <w:rFonts w:ascii="Arial" w:cs="Arial" w:eastAsia="Arial" w:hAnsi="Arial"/>
          <w:sz w:val="21"/>
          <w:szCs w:val="21"/>
          <w:i w:val="1"/>
          <w:iCs w:val="1"/>
          <w:color w:val="auto"/>
        </w:rPr>
        <w:t>Business Combination—Related Agreements— Tax</w:t>
      </w:r>
      <w:r>
        <w:rPr>
          <w:rFonts w:ascii="Arial" w:cs="Arial" w:eastAsia="Arial" w:hAnsi="Arial"/>
          <w:sz w:val="21"/>
          <w:szCs w:val="21"/>
          <w:color w:val="auto"/>
        </w:rPr>
        <w:t xml:space="preserve"> </w:t>
      </w:r>
      <w:r>
        <w:rPr>
          <w:rFonts w:ascii="Arial" w:cs="Arial" w:eastAsia="Arial" w:hAnsi="Arial"/>
          <w:sz w:val="21"/>
          <w:szCs w:val="21"/>
          <w:i w:val="1"/>
          <w:iCs w:val="1"/>
          <w:color w:val="auto"/>
        </w:rPr>
        <w:t>Receivable Agreement</w:t>
      </w:r>
      <w:r>
        <w:rPr>
          <w:rFonts w:ascii="Arial" w:cs="Arial" w:eastAsia="Arial" w:hAnsi="Arial"/>
          <w:sz w:val="21"/>
          <w:szCs w:val="21"/>
          <w:color w:val="auto"/>
        </w:rPr>
        <w:t>” beginning on page 124 of the Proxy Statement/Prospectus.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both"/>
        <w:ind w:firstLine="324"/>
        <w:spacing w:after="0" w:line="251" w:lineRule="auto"/>
        <w:rPr>
          <w:sz w:val="20"/>
          <w:szCs w:val="20"/>
          <w:color w:val="auto"/>
        </w:rPr>
      </w:pPr>
      <w:r>
        <w:rPr>
          <w:rFonts w:ascii="Arial" w:cs="Arial" w:eastAsia="Arial" w:hAnsi="Arial"/>
          <w:sz w:val="22"/>
          <w:szCs w:val="22"/>
          <w:color w:val="auto"/>
        </w:rPr>
        <w:t>The foregoing description of the Tax Receivable Agreement is qualified in its entirety by the full text of the Tax Receivable Agreement, a copy of which is attached hereto as Exhibit 4.5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Operating Agreement</w:t>
      </w: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Concurrently with the Closing, the Legacy WMH operating agreement was amended and restated in its entirety to become the Fourth Amended and Restated Operating Agreement (the “Amended Operating Agreement”). The terms of the Amended Operating Agreement are described in the Proxy Statement/Prospectus in the section entitled “</w:t>
      </w:r>
      <w:r>
        <w:rPr>
          <w:rFonts w:ascii="Arial" w:cs="Arial" w:eastAsia="Arial" w:hAnsi="Arial"/>
          <w:sz w:val="19"/>
          <w:szCs w:val="19"/>
          <w:i w:val="1"/>
          <w:iCs w:val="1"/>
          <w:color w:val="auto"/>
        </w:rPr>
        <w:t>Business Combination—Related</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Agreements— Amended Operating Agreement</w:t>
      </w:r>
      <w:r>
        <w:rPr>
          <w:rFonts w:ascii="Arial" w:cs="Arial" w:eastAsia="Arial" w:hAnsi="Arial"/>
          <w:sz w:val="19"/>
          <w:szCs w:val="19"/>
          <w:color w:val="auto"/>
        </w:rPr>
        <w:t>” beginning on page 125 of the Proxy Statement/Prospectus.</w:t>
      </w:r>
    </w:p>
    <w:p>
      <w:pPr>
        <w:spacing w:after="0" w:line="170"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21"/>
          <w:szCs w:val="21"/>
          <w:color w:val="auto"/>
        </w:rPr>
        <w:t>The foregoing description of the Amended Operating Agreement is qualified in its entirety by the full text of the Amended Operating Agreement, a copy of which is attached hereto as Exhibit 4.6 and incorporated herein by reference.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disclosure set forth in the “</w:t>
      </w:r>
      <w:r>
        <w:rPr>
          <w:rFonts w:ascii="Arial" w:cs="Arial" w:eastAsia="Arial" w:hAnsi="Arial"/>
          <w:sz w:val="22"/>
          <w:szCs w:val="22"/>
          <w:i w:val="1"/>
          <w:iCs w:val="1"/>
          <w:color w:val="auto"/>
        </w:rPr>
        <w:t>Introductory Note</w:t>
      </w:r>
      <w:r>
        <w:rPr>
          <w:rFonts w:ascii="Arial" w:cs="Arial" w:eastAsia="Arial" w:hAnsi="Arial"/>
          <w:sz w:val="22"/>
          <w:szCs w:val="22"/>
          <w:color w:val="auto"/>
        </w:rPr>
        <w:t>” above is incorporated by reference into this Item 2.01.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 INFORMATION</w:t>
      </w:r>
    </w:p>
    <w:p>
      <w:pPr>
        <w:spacing w:after="0" w:line="23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Prior to the Closing, the Company was a shell company (as defined in Rule 12b-2 of the Securities Exchange Act of 1934, as amended (the “Exchange Act”)) with no operations, formed as a vehicle to effect a business combination with one or more operating businesses. After the Closing, the Company became a holding company whose only assets consist of equity interests in WMH LLC. Item 2.01(f) of Form 8-K states that if the registrant was a shell company, as the Company was immediately before the Merger, then the registrant must disclose the information that would be required if the registrant were filing a general form for registration of securities on Form 10. Accordingly, the Company is providing below the information that would be included in a Form 10 if it were to file a Form 10. Please note that the information provided below relates to the combined company after the consummation of the Business Combination, unless otherwise specifically indicated or the context otherwise requires.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This Current Report on Form 8-K and in documents incorporated herein by reference may contain “forward-looking statements” within the meaning of Section 27A of the Securities Act of 1933, as amended (the “Securities Act”) and Section 21E of the Exchange Act. The Company’s forward-looking statements include, but are not limited to, statements regarding the Company’s or its management team’s expectations, hopes, beliefs, intentions or strategies regarding the future.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The forward-looking statements contained in this Current Report on Form 8-K and in documents incorporated herein are based on the Company’s current expectations and beliefs concerning future developments and their potential effects on us taking into account information currently available to us. There can be no assurance that future developments affecting us will be those that we have anticipated. These forward-looking statements involve a number of risks, uncertainties (many of which are difficult to predict and beyond the Company’s control) or other assumptions that may cause actual results or performance to be materially different from those expressed or implied by these forward-looking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ind w:firstLine="324"/>
        <w:spacing w:after="0"/>
        <w:rPr>
          <w:sz w:val="20"/>
          <w:szCs w:val="20"/>
          <w:color w:val="auto"/>
        </w:rPr>
      </w:pPr>
      <w:r>
        <w:rPr>
          <w:rFonts w:ascii="Arial" w:cs="Arial" w:eastAsia="Arial" w:hAnsi="Arial"/>
          <w:sz w:val="22"/>
          <w:szCs w:val="22"/>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2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recognize the anticipated benefits of the Business Combination, which may be affected by, among other things, competition and the ability of the Company to grow and manage growth profitably following the Closing;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legal proceedings against the Company;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and business performance of the Company, including financial projections and business metrics and any underlying assumptions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effects and enforcement of laws and regulations, including with respect to the cannabis industry;</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capitalize on new and existing cannabis markets, including its ability to successfully monetize its solutions in those markets;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develop new products and solutions, bring them to market in a timely manner, and make enhancements to its platform and the Company’s ability to maintain and grow its two sided digital network, including its ability to acquire and retain paying customers; the effects of competition on the Company’s future business;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Company’s strategy, future operations, financial position, estimated revenues and losses, projected costs, prospects and plans;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and projections relating to the Company’s competitors and industry;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the Company’s business and the actions the Company may take in response thereto;</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regarding the time during which we will be an emerging growth company under the Jumpstart Our Business Startups Act of 2012, as amended;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future capital requirements and sources and uses of cash;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obtain funding for its future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business, expansion plans and opportunities;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set forth in the Proxy Statement/Prospectus in the section entitled “Risk Factors” beginning on page 55 of the Proxy Statement/Prospectus, which is incorporated herein by reference.</w:t>
      </w:r>
    </w:p>
    <w:p>
      <w:pPr>
        <w:spacing w:after="0" w:line="1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These forward-looking statements are based on information available as of the date of this Current Report on Form 8-K, and current expectations, forecasts and assumptions, and involve a number of risks and uncertainties. Accordingly, forward-looking statements in this Current Report on Form 8-K and in any document incorporated herein by reference should not be relied upon as representing the Company’s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ectPr>
          <w:pgSz w:w="11900" w:h="16838" w:orient="portrait"/>
          <w:cols w:equalWidth="0" w:num="1">
            <w:col w:w="11240"/>
          </w:cols>
          <w:pgMar w:left="320" w:top="118"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Business and Properties</w:t>
      </w:r>
    </w:p>
    <w:p>
      <w:pPr>
        <w:spacing w:after="0" w:line="2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business and properties of Silver Spike and Legacy WMH prior to the Business Combination are described in the Proxy Statement/Prospectus in the sections entitled “</w:t>
      </w:r>
      <w:r>
        <w:rPr>
          <w:rFonts w:ascii="Arial" w:cs="Arial" w:eastAsia="Arial" w:hAnsi="Arial"/>
          <w:sz w:val="21"/>
          <w:szCs w:val="21"/>
          <w:i w:val="1"/>
          <w:iCs w:val="1"/>
          <w:color w:val="auto"/>
        </w:rPr>
        <w:t>Business of Silver Spike</w:t>
      </w:r>
      <w:r>
        <w:rPr>
          <w:rFonts w:ascii="Arial" w:cs="Arial" w:eastAsia="Arial" w:hAnsi="Arial"/>
          <w:sz w:val="21"/>
          <w:szCs w:val="21"/>
          <w:color w:val="auto"/>
        </w:rPr>
        <w:t>” beginning on page 199 and “</w:t>
      </w:r>
      <w:r>
        <w:rPr>
          <w:rFonts w:ascii="Arial" w:cs="Arial" w:eastAsia="Arial" w:hAnsi="Arial"/>
          <w:sz w:val="21"/>
          <w:szCs w:val="21"/>
          <w:i w:val="1"/>
          <w:iCs w:val="1"/>
          <w:color w:val="auto"/>
        </w:rPr>
        <w:t>Business of WMH</w:t>
      </w:r>
      <w:r>
        <w:rPr>
          <w:rFonts w:ascii="Arial" w:cs="Arial" w:eastAsia="Arial" w:hAnsi="Arial"/>
          <w:sz w:val="21"/>
          <w:szCs w:val="21"/>
          <w:color w:val="auto"/>
        </w:rPr>
        <w:t>” beginning on page 201 of the Proxy Statement/Prospectus, which are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w:t>
      </w:r>
    </w:p>
    <w:p>
      <w:pPr>
        <w:spacing w:after="0" w:line="239" w:lineRule="exact"/>
        <w:rPr>
          <w:sz w:val="20"/>
          <w:szCs w:val="20"/>
          <w:color w:val="auto"/>
        </w:rPr>
      </w:pPr>
    </w:p>
    <w:p>
      <w:pPr>
        <w:jc w:val="both"/>
        <w:ind w:right="20" w:firstLine="324"/>
        <w:spacing w:after="0" w:line="328" w:lineRule="auto"/>
        <w:rPr>
          <w:sz w:val="20"/>
          <w:szCs w:val="20"/>
          <w:color w:val="auto"/>
        </w:rPr>
      </w:pPr>
      <w:r>
        <w:rPr>
          <w:rFonts w:ascii="Arial" w:cs="Arial" w:eastAsia="Arial" w:hAnsi="Arial"/>
          <w:sz w:val="19"/>
          <w:szCs w:val="19"/>
          <w:color w:val="auto"/>
        </w:rPr>
        <w:t>The risks associated with the Company’s business are described in the Proxy Statement/Prospectus in the section entitled “</w:t>
      </w:r>
      <w:r>
        <w:rPr>
          <w:rFonts w:ascii="Arial" w:cs="Arial" w:eastAsia="Arial" w:hAnsi="Arial"/>
          <w:sz w:val="19"/>
          <w:szCs w:val="19"/>
          <w:i w:val="1"/>
          <w:iCs w:val="1"/>
          <w:color w:val="auto"/>
        </w:rPr>
        <w:t>Risk Factors</w:t>
      </w:r>
      <w:r>
        <w:rPr>
          <w:rFonts w:ascii="Arial" w:cs="Arial" w:eastAsia="Arial" w:hAnsi="Arial"/>
          <w:sz w:val="19"/>
          <w:szCs w:val="19"/>
          <w:color w:val="auto"/>
        </w:rPr>
        <w:t>” beginning on page 55 of the Proxy Statement/Prospectus, which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Historical Financial Information</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selected historical consolidated financial information and other data for the three months ended March 31, 2021 and 2020 and the years ended December 31, 2020 and 2019 for Legacy WMH is included in the Proxy Statement/Prospectus in the section entitled “</w:t>
      </w:r>
      <w:r>
        <w:rPr>
          <w:rFonts w:ascii="Arial" w:cs="Arial" w:eastAsia="Arial" w:hAnsi="Arial"/>
          <w:sz w:val="22"/>
          <w:szCs w:val="22"/>
          <w:i w:val="1"/>
          <w:iCs w:val="1"/>
          <w:color w:val="auto"/>
        </w:rPr>
        <w:t>Selected Historical Consolidated Financial and Operating Data of WMH</w:t>
      </w:r>
      <w:r>
        <w:rPr>
          <w:rFonts w:ascii="Arial" w:cs="Arial" w:eastAsia="Arial" w:hAnsi="Arial"/>
          <w:sz w:val="22"/>
          <w:szCs w:val="22"/>
          <w:color w:val="auto"/>
        </w:rPr>
        <w:t>” beginning on page 49 of the Proxy Statement/Prospectus, which is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Financial Statements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unaudited condensed consolidated financial statements as of and for the three months ended March 31, 2021 of Legacy WMH have been prepared in accordance with U.S. generally accepted accounting principles and pursuant to the regulations of the SEC and are included in the Proxy Statement/Prospectus beginning on page FS-18 of the Proxy Statement/Prospectus, which are incorporated herein by reference.</w:t>
      </w:r>
    </w:p>
    <w:p>
      <w:pPr>
        <w:spacing w:after="0" w:line="21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These unaudited condensed consolidated financial statements should be read in conjunction with the historical audited financial statements of Legacy WMH as of and for the year ended December 31, 2020 and the related notes included in the Proxy Statement/Prospectus beginning on page F-3 of the Proxy Statement/Prospectus, which are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unaudited pro forma condensed combined financial information of the Company as of and for the three months ended March 31, 2021 and for the year ended December 31, 2020 is set forth in Exhibit 99.1 hereto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Management’s Discussion and Analysis of Financial Condition and Results of Operations of Legacy WMH prior to the Business Combination are described in the Proxy Statement/Prospectus in the section entitled “</w:t>
      </w:r>
      <w:r>
        <w:rPr>
          <w:rFonts w:ascii="Arial" w:cs="Arial" w:eastAsia="Arial" w:hAnsi="Arial"/>
          <w:sz w:val="22"/>
          <w:szCs w:val="22"/>
          <w:i w:val="1"/>
          <w:iCs w:val="1"/>
          <w:color w:val="auto"/>
        </w:rPr>
        <w:t>Management’s Discussion and</w:t>
      </w:r>
      <w:r>
        <w:rPr>
          <w:rFonts w:ascii="Arial" w:cs="Arial" w:eastAsia="Arial" w:hAnsi="Arial"/>
          <w:sz w:val="22"/>
          <w:szCs w:val="22"/>
          <w:color w:val="auto"/>
        </w:rPr>
        <w:t xml:space="preserve"> </w:t>
      </w:r>
      <w:r>
        <w:rPr>
          <w:rFonts w:ascii="Arial" w:cs="Arial" w:eastAsia="Arial" w:hAnsi="Arial"/>
          <w:sz w:val="22"/>
          <w:szCs w:val="22"/>
          <w:i w:val="1"/>
          <w:iCs w:val="1"/>
          <w:color w:val="auto"/>
        </w:rPr>
        <w:t>Analysis of Financial Condition and Results of Operations of WMH</w:t>
      </w:r>
      <w:r>
        <w:rPr>
          <w:rFonts w:ascii="Arial" w:cs="Arial" w:eastAsia="Arial" w:hAnsi="Arial"/>
          <w:sz w:val="22"/>
          <w:szCs w:val="22"/>
          <w:color w:val="auto"/>
        </w:rPr>
        <w:t>” beginning on page 218 of the Proxy Statement/Prospectus,</w:t>
      </w:r>
      <w:r>
        <w:rPr>
          <w:rFonts w:ascii="Arial" w:cs="Arial" w:eastAsia="Arial" w:hAnsi="Arial"/>
          <w:sz w:val="22"/>
          <w:szCs w:val="22"/>
          <w:i w:val="1"/>
          <w:iCs w:val="1"/>
          <w:color w:val="auto"/>
        </w:rPr>
        <w:t xml:space="preserve"> </w:t>
      </w:r>
      <w:r>
        <w:rPr>
          <w:rFonts w:ascii="Arial" w:cs="Arial" w:eastAsia="Arial" w:hAnsi="Arial"/>
          <w:sz w:val="22"/>
          <w:szCs w:val="22"/>
          <w:color w:val="auto"/>
        </w:rPr>
        <w:t>which is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Information with respect to the Company’s directors and executive officers after the Closing is set forth in the Proxy Statement/Prospectus in the sections entitled “</w:t>
      </w:r>
      <w:r>
        <w:rPr>
          <w:rFonts w:ascii="Arial" w:cs="Arial" w:eastAsia="Arial" w:hAnsi="Arial"/>
          <w:sz w:val="22"/>
          <w:szCs w:val="22"/>
          <w:i w:val="1"/>
          <w:iCs w:val="1"/>
          <w:color w:val="auto"/>
        </w:rPr>
        <w:t>Management After the Business Combination</w:t>
      </w:r>
      <w:r>
        <w:rPr>
          <w:rFonts w:ascii="Arial" w:cs="Arial" w:eastAsia="Arial" w:hAnsi="Arial"/>
          <w:sz w:val="22"/>
          <w:szCs w:val="22"/>
          <w:color w:val="auto"/>
        </w:rPr>
        <w:t>” and “</w:t>
      </w:r>
      <w:r>
        <w:rPr>
          <w:rFonts w:ascii="Arial" w:cs="Arial" w:eastAsia="Arial" w:hAnsi="Arial"/>
          <w:sz w:val="22"/>
          <w:szCs w:val="22"/>
          <w:i w:val="1"/>
          <w:iCs w:val="1"/>
          <w:color w:val="auto"/>
        </w:rPr>
        <w:t>Executive Compensation</w:t>
      </w:r>
      <w:r>
        <w:rPr>
          <w:rFonts w:ascii="Arial" w:cs="Arial" w:eastAsia="Arial" w:hAnsi="Arial"/>
          <w:sz w:val="22"/>
          <w:szCs w:val="22"/>
          <w:color w:val="auto"/>
        </w:rPr>
        <w:t>” beginning on page 243 and page 250, respectively, of the Proxy Statement/Prospectus, which are incorporated herein by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Directors</w:t>
      </w:r>
    </w:p>
    <w:p>
      <w:pPr>
        <w:spacing w:after="0" w:line="24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Upon the Closing, the size of the board of directors of the Company (the “Board”) was set at nine members. Upon the Closing, each of William Healy, Orrin Devinsky, Richard M. Goldman and Kenneth H. Landis resigned as directors of the Company, and each of Tony Aquila, Christopher Beals, Douglas Francis, Brenda Freeman, Olga Gonzalez, Scott Gordon, Justin Hartfield and Fiona Tan were elected to serve as directors on the Board. In addition, there was one vacancy on the Board upon the Closing.</w:t>
      </w:r>
    </w:p>
    <w:p>
      <w:pPr>
        <w:spacing w:after="0" w:line="21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Mr. Beals and Ms. Tan were appointed to serve as Class I directors, with terms expiring at the Company’s 2021 annual meeting of stockholders; Mr. Aquila, Mses. Freeman and Gonzalez were appointed to serve as Class II directors, with terms expiring at the Company’s 2022 annual meeting of stockholders; and Messrs. Francis, Gordon and Hartfield were appointed to serve as Class III directors, with terms expiring at the Company’s 2023 annual meeting of stockholders. Biographical information for these individuals is set forth in the Proxy Statement/Prospectus in the section entitled “</w:t>
      </w:r>
      <w:r>
        <w:rPr>
          <w:rFonts w:ascii="Arial" w:cs="Arial" w:eastAsia="Arial" w:hAnsi="Arial"/>
          <w:sz w:val="21"/>
          <w:szCs w:val="21"/>
          <w:i w:val="1"/>
          <w:iCs w:val="1"/>
          <w:color w:val="auto"/>
        </w:rPr>
        <w:t>Management After the Business</w:t>
      </w:r>
      <w:r>
        <w:rPr>
          <w:rFonts w:ascii="Arial" w:cs="Arial" w:eastAsia="Arial" w:hAnsi="Arial"/>
          <w:sz w:val="21"/>
          <w:szCs w:val="21"/>
          <w:color w:val="auto"/>
        </w:rPr>
        <w:t xml:space="preserve"> </w:t>
      </w:r>
      <w:r>
        <w:rPr>
          <w:rFonts w:ascii="Arial" w:cs="Arial" w:eastAsia="Arial" w:hAnsi="Arial"/>
          <w:sz w:val="21"/>
          <w:szCs w:val="21"/>
          <w:i w:val="1"/>
          <w:iCs w:val="1"/>
          <w:color w:val="auto"/>
        </w:rPr>
        <w:t>Combination—Executive Officers and Directors</w:t>
      </w:r>
      <w:r>
        <w:rPr>
          <w:rFonts w:ascii="Arial" w:cs="Arial" w:eastAsia="Arial" w:hAnsi="Arial"/>
          <w:sz w:val="21"/>
          <w:szCs w:val="21"/>
          <w:color w:val="auto"/>
        </w:rPr>
        <w:t>” beginning on page 243 of the Proxy Statement/Prospectus, which is</w:t>
      </w:r>
      <w:r>
        <w:rPr>
          <w:rFonts w:ascii="Arial" w:cs="Arial" w:eastAsia="Arial" w:hAnsi="Arial"/>
          <w:sz w:val="21"/>
          <w:szCs w:val="21"/>
          <w:i w:val="1"/>
          <w:iCs w:val="1"/>
          <w:color w:val="auto"/>
        </w:rPr>
        <w:t xml:space="preserve"> </w:t>
      </w:r>
      <w:r>
        <w:rPr>
          <w:rFonts w:ascii="Arial" w:cs="Arial" w:eastAsia="Arial" w:hAnsi="Arial"/>
          <w:sz w:val="21"/>
          <w:szCs w:val="21"/>
          <w:color w:val="auto"/>
        </w:rPr>
        <w:t>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Independence of Directors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Board has determined that each of the directors of the Company other than Messrs. Beals and Francis qualify as independent directors, as defined under the listing rules of The Nasdaq Stock Market LLC (the “Nasdaq listing rules”), and that the Board consists of a majority of “independent directors,” as defined under the rules of the SEC and Nasdaq listing rules relating to director independence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Committees of the Board of Directors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Effective upon the consummation of the Business Combination, the standing committees of the Board consist of an audit committee (the “Audit Committee”), a compensation committee (the “Compensation Committee”) and a nominating and corporate governance committee (the “Nominating and Corporate Governance Committee”). Each of the committees reports to the Board.</w:t>
      </w:r>
    </w:p>
    <w:p>
      <w:pPr>
        <w:spacing w:after="0" w:line="21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Effective upon the consummation of the Business Combination, the Board appointed Mses. Gonzalez, Freeman and Mr. Gordon to serve on the Audit Committee, with Ms. Gonzalez as chair of the Audit Committee. The Board appointed Messrs. Aquila, Gordon and Francis to serve on the Compensation Committee, with Messr. Aquila as chair of the Compensation Committee. The Board appointed Mses. Tan and Freeman to serve on the Nominating and Corporate Governance Committee, with Ms. Freeman as chair of the Nominating and Corporate Governance Committee.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Effective upon the consummation of the Business Combination, the Board appointed the following individuals as the Company’s executive officers: Christopher Beals to serve as Chief Executive Officer, Steven Jung to serve as Chief Operations Officer, Arden Lee to serve as Chief Financial Officer, Juanjo Feijoo to serve as Chief Marketing Officer, Justin Dean to serve as Chief Technology Officer and Brian Camire to serve as General Counsel. Effective upon the consummation of the Business Combination, each of Scott Gordon, William Healy and Gregory M. Gentile resigned as the Chief Executive Officer, President and Chief Financial Officer, respectively. The biographical information for the new executive officers set forth in the Proxy Statement/Prospectus in the section entitled “</w:t>
      </w:r>
      <w:r>
        <w:rPr>
          <w:rFonts w:ascii="Arial" w:cs="Arial" w:eastAsia="Arial" w:hAnsi="Arial"/>
          <w:sz w:val="21"/>
          <w:szCs w:val="21"/>
          <w:i w:val="1"/>
          <w:iCs w:val="1"/>
          <w:color w:val="auto"/>
        </w:rPr>
        <w:t>Management After the Business Combination</w:t>
      </w:r>
      <w:r>
        <w:rPr>
          <w:rFonts w:ascii="Arial" w:cs="Arial" w:eastAsia="Arial" w:hAnsi="Arial"/>
          <w:sz w:val="21"/>
          <w:szCs w:val="21"/>
          <w:color w:val="auto"/>
        </w:rPr>
        <w:t>” beginning on page 243 of the Proxy Statement/Prospectus, is incorporated herein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Director Compensation</w:t>
      </w:r>
    </w:p>
    <w:p>
      <w:pPr>
        <w:spacing w:after="0" w:line="23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Information with respect to the compensation of the Company’s directors is set forth in the Proxy Statement/Prospectus in the sections entitled “</w:t>
      </w:r>
      <w:r>
        <w:rPr>
          <w:rFonts w:ascii="Arial" w:cs="Arial" w:eastAsia="Arial" w:hAnsi="Arial"/>
          <w:sz w:val="22"/>
          <w:szCs w:val="22"/>
          <w:i w:val="1"/>
          <w:iCs w:val="1"/>
          <w:color w:val="auto"/>
        </w:rPr>
        <w:t>Executive Compensation—Director Compensation</w:t>
      </w:r>
      <w:r>
        <w:rPr>
          <w:rFonts w:ascii="Arial" w:cs="Arial" w:eastAsia="Arial" w:hAnsi="Arial"/>
          <w:sz w:val="22"/>
          <w:szCs w:val="22"/>
          <w:color w:val="auto"/>
        </w:rPr>
        <w:t>” beginning on page 253 of the Proxy Statement/Prospectus, which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Compensation</w:t>
      </w:r>
    </w:p>
    <w:p>
      <w:pPr>
        <w:spacing w:after="0" w:line="23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Information with respect to the compensation of Company’s executive officers is set forth in the Proxy Statement in the section entitled “Executive Compensation” beginning on page 250 of the Proxy Statement, which is incorporated herein by reference. The foregoing description of the compensation of the Company’s executive officers is qualified in its entirety by the full text of the offer letters of Messrs. Beals, Dean and Jung, copies of which are attached hereto as Exhibit 10.9, Exhibit 10.10 and Exhibit 10.11, respectively, and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Strategic Advisor Agreement</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connection with the Closing, Mr. Jung entered into a Strategic Advisor Agreement (the “Strategic Advisor Agreement”) with Ghost Management Group, LLC (“Ghost Management”), an indirect subsidiary of the Company. Pursuant to the Strategic Advisor Agreement, Mr. Jung’s last day of active employment in his current role as President and Chief Operating Officer of the Company and Ghost Management will be June 30, 2021, and he will transition to a paid employee advisory role from July 1, 2021 through July 6, 2022 (the “Advisory Services Period”). The Strategic Advisor Agreement provides for Mr. Jung to be paid his regular salary during the Advisory Services Period and the continued vesting of the Class P units of WMH LLC held by Mr. Jung during the Advisory Services Period, each subject to a maximum aggregate amount, and a general release of claims in favor of Ghost Management.</w:t>
      </w:r>
    </w:p>
    <w:p>
      <w:pPr>
        <w:spacing w:after="0" w:line="207"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21"/>
          <w:szCs w:val="21"/>
          <w:color w:val="auto"/>
        </w:rPr>
        <w:t>The foregoing description of the Strategic Advisor Agreement is qualified in its entirety by the full text of the Strategic Advisor Agreement, a copy of which is attached hereto as Exhibit 10.17 and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Beneficial Ownership of Securities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following table sets forth information known to the Company regarding (i) the actual beneficial ownership of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Company’s Common Stock as of the Closing Date, after giving effect to the Closing, by:</w:t>
      </w:r>
    </w:p>
    <w:p>
      <w:pPr>
        <w:spacing w:after="0" w:line="22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person known by the Company to be the beneficial owner of more than 5% of the Company’s outstanding shares of Common Stock;</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4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both"/>
        <w:ind w:firstLine="324"/>
        <w:spacing w:after="0" w:line="247" w:lineRule="auto"/>
        <w:rPr>
          <w:sz w:val="20"/>
          <w:szCs w:val="20"/>
          <w:color w:val="auto"/>
        </w:rPr>
      </w:pPr>
      <w:r>
        <w:rPr>
          <w:rFonts w:ascii="Arial" w:cs="Arial" w:eastAsia="Arial" w:hAnsi="Arial"/>
          <w:sz w:val="21"/>
          <w:szCs w:val="21"/>
          <w:color w:val="auto"/>
        </w:rPr>
        <w:t>The beneficial ownership percentages set forth in the table below are based on 129,240,912 shares of the Company’s Common Stock issued and outstanding as of the Closing Date and do not take into account the issuance of any shares of Class A Common Stock upon (i) the exercise of 19,500,000 warrants, each exercisable for one share of Class A Common Stock at a price of $11.50 per share (the “Warrants”) to purchase an aggregate of 19,500,000 shares of Class A Common Stock or (ii) the exchange of Class P Units.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 of</w:t>
            </w: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Number of Shares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Common</w:t>
            </w: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Class V Common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6"/>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29"/>
                <w:szCs w:val="29"/>
                <w:color w:val="auto"/>
                <w:vertAlign w:val="superscript"/>
              </w:rPr>
              <w:t>(1)</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Beneficially</w:t>
            </w: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Beneficially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6400" w:type="dxa"/>
            <w:vAlign w:val="bottom"/>
            <w:vMerge w:val="continue"/>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6,166,819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Justin Dean</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Steven Jung</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Arial" w:cs="Arial" w:eastAsia="Arial" w:hAnsi="Arial"/>
                <w:sz w:val="16"/>
                <w:szCs w:val="16"/>
                <w:color w:val="auto"/>
              </w:rPr>
              <w:t>Tony Aquila</w:t>
            </w:r>
            <w:r>
              <w:rPr>
                <w:rFonts w:ascii="Arial" w:cs="Arial" w:eastAsia="Arial" w:hAnsi="Arial"/>
                <w:sz w:val="25"/>
                <w:szCs w:val="25"/>
                <w:color w:val="auto"/>
                <w:vertAlign w:val="superscript"/>
              </w:rPr>
              <w:t>(2)</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Douglas Francis</w:t>
            </w:r>
            <w:r>
              <w:rPr>
                <w:rFonts w:ascii="Arial" w:cs="Arial" w:eastAsia="Arial" w:hAnsi="Arial"/>
                <w:sz w:val="25"/>
                <w:szCs w:val="25"/>
                <w:color w:val="auto"/>
                <w:vertAlign w:val="superscript"/>
              </w:rPr>
              <w:t>(3)</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27,700,849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Arial" w:cs="Arial" w:eastAsia="Arial" w:hAnsi="Arial"/>
                <w:sz w:val="16"/>
                <w:szCs w:val="16"/>
                <w:color w:val="auto"/>
              </w:rPr>
              <w:t>Justin Hartfield</w:t>
            </w:r>
            <w:r>
              <w:rPr>
                <w:rFonts w:ascii="Arial" w:cs="Arial" w:eastAsia="Arial" w:hAnsi="Arial"/>
                <w:sz w:val="25"/>
                <w:szCs w:val="25"/>
                <w:color w:val="auto"/>
                <w:vertAlign w:val="superscript"/>
              </w:rPr>
              <w:t>(4)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29,328,310</w:t>
            </w:r>
          </w:p>
        </w:tc>
        <w:tc>
          <w:tcPr>
            <w:tcW w:w="13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Scott Gordon</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Fiona Tan</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Olga Gonzalez</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Brenda Freeman</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All Directors and Executive Officers of the Company as a Group (10 Individuals)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54,726,787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Arial" w:cs="Arial" w:eastAsia="Arial" w:hAnsi="Arial"/>
                <w:sz w:val="16"/>
                <w:szCs w:val="16"/>
                <w:color w:val="auto"/>
              </w:rPr>
              <w:t>Silver Spike Sponsor, LLC</w:t>
            </w:r>
            <w:r>
              <w:rPr>
                <w:rFonts w:ascii="Arial" w:cs="Arial" w:eastAsia="Arial" w:hAnsi="Arial"/>
                <w:sz w:val="25"/>
                <w:szCs w:val="25"/>
                <w:color w:val="auto"/>
                <w:vertAlign w:val="superscript"/>
              </w:rPr>
              <w:t>(5)</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9,750,000</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Ghost Media Group, LLC</w:t>
            </w:r>
            <w:r>
              <w:rPr>
                <w:rFonts w:ascii="Arial" w:cs="Arial" w:eastAsia="Arial" w:hAnsi="Arial"/>
                <w:sz w:val="25"/>
                <w:szCs w:val="25"/>
                <w:color w:val="auto"/>
                <w:vertAlign w:val="superscript"/>
              </w:rPr>
              <w:t>(3)(4)</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8,469,191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41 Discovery, Irvine, California 92618.</w:t>
      </w:r>
    </w:p>
    <w:p>
      <w:pPr>
        <w:spacing w:after="0" w:line="252"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193" w:lineRule="exact"/>
        <w:rPr>
          <w:rFonts w:ascii="Arial" w:cs="Arial" w:eastAsia="Arial" w:hAnsi="Arial"/>
          <w:sz w:val="16"/>
          <w:szCs w:val="16"/>
          <w:color w:val="auto"/>
        </w:rPr>
      </w:pPr>
    </w:p>
    <w:p>
      <w:pPr>
        <w:jc w:val="both"/>
        <w:ind w:left="660" w:hanging="652"/>
        <w:spacing w:after="0" w:line="27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203"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98"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6,250,000 shares of Class A common stock held by Silver Spike Sponsor, LLC and 3,500,000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shares held by Silver Spike Sponsor, LLC and the shares held by the SPV.</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4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certain relationships and related party transactions of the Company are described in the Proxy Statement/Prospectus in the section entitled “</w:t>
      </w:r>
      <w:r>
        <w:rPr>
          <w:rFonts w:ascii="Arial" w:cs="Arial" w:eastAsia="Arial" w:hAnsi="Arial"/>
          <w:sz w:val="22"/>
          <w:szCs w:val="22"/>
          <w:i w:val="1"/>
          <w:iCs w:val="1"/>
          <w:color w:val="auto"/>
        </w:rPr>
        <w:t>Certain WMH Relationships and Related Party Transactions</w:t>
      </w:r>
      <w:r>
        <w:rPr>
          <w:rFonts w:ascii="Arial" w:cs="Arial" w:eastAsia="Arial" w:hAnsi="Arial"/>
          <w:sz w:val="22"/>
          <w:szCs w:val="22"/>
          <w:color w:val="auto"/>
        </w:rPr>
        <w:t>” beginning on page 259 of the Proxy Statement/Prospectus,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Information about legal proceedings is set forth in the Proxy Statement/Prospectus in the section “</w:t>
      </w:r>
      <w:r>
        <w:rPr>
          <w:rFonts w:ascii="Arial" w:cs="Arial" w:eastAsia="Arial" w:hAnsi="Arial"/>
          <w:sz w:val="22"/>
          <w:szCs w:val="22"/>
          <w:i w:val="1"/>
          <w:iCs w:val="1"/>
          <w:color w:val="auto"/>
        </w:rPr>
        <w:t>Annex I—Silver Spike’s</w:t>
      </w:r>
      <w:r>
        <w:rPr>
          <w:rFonts w:ascii="Arial" w:cs="Arial" w:eastAsia="Arial" w:hAnsi="Arial"/>
          <w:sz w:val="22"/>
          <w:szCs w:val="22"/>
          <w:color w:val="auto"/>
        </w:rPr>
        <w:t xml:space="preserve"> </w:t>
      </w:r>
      <w:r>
        <w:rPr>
          <w:rFonts w:ascii="Arial" w:cs="Arial" w:eastAsia="Arial" w:hAnsi="Arial"/>
          <w:sz w:val="22"/>
          <w:szCs w:val="22"/>
          <w:i w:val="1"/>
          <w:iCs w:val="1"/>
          <w:color w:val="auto"/>
        </w:rPr>
        <w:t>Annual Report on Form 10-K/A, filed with the SEC on May 12, 2021</w:t>
      </w:r>
      <w:r>
        <w:rPr>
          <w:rFonts w:ascii="Arial" w:cs="Arial" w:eastAsia="Arial" w:hAnsi="Arial"/>
          <w:sz w:val="22"/>
          <w:szCs w:val="22"/>
          <w:color w:val="auto"/>
        </w:rPr>
        <w:t>” on page I-52 of the Proxy Statement/Prospectus, which is</w:t>
      </w:r>
      <w:r>
        <w:rPr>
          <w:rFonts w:ascii="Arial" w:cs="Arial" w:eastAsia="Arial" w:hAnsi="Arial"/>
          <w:sz w:val="22"/>
          <w:szCs w:val="22"/>
          <w:i w:val="1"/>
          <w:iCs w:val="1"/>
          <w:color w:val="auto"/>
        </w:rPr>
        <w:t xml:space="preserve"> </w:t>
      </w:r>
      <w:r>
        <w:rPr>
          <w:rFonts w:ascii="Arial" w:cs="Arial" w:eastAsia="Arial" w:hAnsi="Arial"/>
          <w:sz w:val="22"/>
          <w:szCs w:val="22"/>
          <w:color w:val="auto"/>
        </w:rPr>
        <w:t>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Price of and Dividends on the Registrant’s Common Equity and Related Stockholder Matters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Information and Holders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Prior to the Business Combination, the Class A Common Stock and the Warrants were historically quoted on The Nasdaq Stock Market under the symbols “SSPKU” and “SSPKW,” respectively. On June 16, 2021, the Class A Common Stock and Warrants began trading on The Nasdaq Global Select Market under the new trading symbols “MAPS” and “MAPSW,” respectively.</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As of the Closing Date and following the consummation of the Business Combination, the Company had 63,738,563 shares of Class A Common Stock issued and outstanding held of record by 70 holders, 65,502,347 shares of Class V Common Stock issued and outstanding held of record by 23 holders and 19,499,993 Warrants outstanding held of record by two holders. No market exists for the Class V Common Stock.</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On June 16, 2021, in connection with the Closing, all of the units previously issued by Silver Spike separated into their component parts of one share of Class A Common Stock and one half (1/2) of one Warrant to purchase one share of Class A Common Stock, and the units ceased trading on The Nasdaq Capital Market.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The Company has not paid any cash dividends on the Class A Ordinary Shares, Class A Common Stock or Class V Common Stock to date. The payment of cash dividends in the future will be dependent upon the Company’s revenues and earnings, if any, capital requirements, general financial condition, contractual restrictions and other factors that the Board may deem relevant and will be within the discretion of the Board at such time. In addition, the Company’s ability to pay dividends may be limited by covenants of any existing and future outstanding indebtedness the Company or its subsidiaries incur. The Company does not anticipate declaring any cash dividends to holders of Common Stock in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Sales of Unregistered Securities</w:t>
      </w:r>
    </w:p>
    <w:p>
      <w:pPr>
        <w:spacing w:after="0" w:line="23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Reference is made to the disclosure set forth below under Item 3.02 of this Current Report on Form 8-K concerning the issuance and sale by the Company of certain unregistered securities, which is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Registrant’s Securities to be Registered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 description of the Class A Common Stock is included in the Proxy Statement/Prospectus in the section entitled “</w:t>
      </w:r>
      <w:r>
        <w:rPr>
          <w:rFonts w:ascii="Arial" w:cs="Arial" w:eastAsia="Arial" w:hAnsi="Arial"/>
          <w:sz w:val="22"/>
          <w:szCs w:val="22"/>
          <w:i w:val="1"/>
          <w:iCs w:val="1"/>
          <w:color w:val="auto"/>
        </w:rPr>
        <w:t>Description of Securities—Authorized and Outstanding Stock—Class A Common Stock</w:t>
      </w:r>
      <w:r>
        <w:rPr>
          <w:rFonts w:ascii="Arial" w:cs="Arial" w:eastAsia="Arial" w:hAnsi="Arial"/>
          <w:sz w:val="22"/>
          <w:szCs w:val="22"/>
          <w:color w:val="auto"/>
        </w:rPr>
        <w:t>” beginning on page 261 of the Proxy Statement/Prospectus, which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233"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A description of the Company’s warrants is included in the Proxy Statement/Prospectus in the section entitled “</w:t>
      </w:r>
      <w:r>
        <w:rPr>
          <w:rFonts w:ascii="Arial" w:cs="Arial" w:eastAsia="Arial" w:hAnsi="Arial"/>
          <w:sz w:val="19"/>
          <w:szCs w:val="19"/>
          <w:i w:val="1"/>
          <w:iCs w:val="1"/>
          <w:color w:val="auto"/>
        </w:rPr>
        <w:t>Description of</w:t>
      </w:r>
      <w:r>
        <w:rPr>
          <w:rFonts w:ascii="Arial" w:cs="Arial" w:eastAsia="Arial" w:hAnsi="Arial"/>
          <w:sz w:val="19"/>
          <w:szCs w:val="19"/>
          <w:color w:val="auto"/>
        </w:rPr>
        <w:t xml:space="preserve"> </w:t>
      </w:r>
      <w:r>
        <w:rPr>
          <w:rFonts w:ascii="Arial" w:cs="Arial" w:eastAsia="Arial" w:hAnsi="Arial"/>
          <w:sz w:val="19"/>
          <w:szCs w:val="19"/>
          <w:i w:val="1"/>
          <w:iCs w:val="1"/>
          <w:color w:val="auto"/>
        </w:rPr>
        <w:t>Securities—Warrants</w:t>
      </w:r>
      <w:r>
        <w:rPr>
          <w:rFonts w:ascii="Arial" w:cs="Arial" w:eastAsia="Arial" w:hAnsi="Arial"/>
          <w:sz w:val="19"/>
          <w:szCs w:val="19"/>
          <w:color w:val="auto"/>
        </w:rPr>
        <w:t>” beginning on page 263 of the Proxy Statement/Prospectus, which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of Directors and Officers</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Information about indemnification of the Company’s directors and officers is set forth in the Proxy Statement/Prospectus in the section entitled “</w:t>
      </w:r>
      <w:r>
        <w:rPr>
          <w:rFonts w:ascii="Arial" w:cs="Arial" w:eastAsia="Arial" w:hAnsi="Arial"/>
          <w:sz w:val="22"/>
          <w:szCs w:val="22"/>
          <w:i w:val="1"/>
          <w:iCs w:val="1"/>
          <w:color w:val="auto"/>
        </w:rPr>
        <w:t>Management After the Business Combination—Limitation of Liability and Indemnification</w:t>
      </w:r>
      <w:r>
        <w:rPr>
          <w:rFonts w:ascii="Arial" w:cs="Arial" w:eastAsia="Arial" w:hAnsi="Arial"/>
          <w:sz w:val="22"/>
          <w:szCs w:val="22"/>
          <w:color w:val="auto"/>
        </w:rPr>
        <w:t>” beginning on page 248 of the Proxy Statement/Prospectus, which is incorporated herein by reference. The disclosure set forth in Item 1.01 of this Current Report on Form 8-K under the section entitled “</w:t>
      </w:r>
      <w:r>
        <w:rPr>
          <w:rFonts w:ascii="Arial" w:cs="Arial" w:eastAsia="Arial" w:hAnsi="Arial"/>
          <w:sz w:val="22"/>
          <w:szCs w:val="22"/>
          <w:i w:val="1"/>
          <w:iCs w:val="1"/>
          <w:color w:val="auto"/>
        </w:rPr>
        <w:t>Indemnification Agreements</w:t>
      </w:r>
      <w:r>
        <w:rPr>
          <w:rFonts w:ascii="Arial" w:cs="Arial" w:eastAsia="Arial" w:hAnsi="Arial"/>
          <w:sz w:val="22"/>
          <w:szCs w:val="22"/>
          <w:color w:val="auto"/>
        </w:rPr>
        <w:t>” is incorporated by reference into this Item 2.01.</w:t>
      </w:r>
    </w:p>
    <w:p>
      <w:pPr>
        <w:sectPr>
          <w:pgSz w:w="11900" w:h="16838" w:orient="portrait"/>
          <w:cols w:equalWidth="0" w:num="1">
            <w:col w:w="11240"/>
          </w:cols>
          <w:pgMar w:left="320" w:top="111" w:right="339" w:bottom="21"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21"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Financial Statements and Supplementary Data</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information set forth in Item 9.01 of this Current Report on Form 8-K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and Disagreements with Accountants on Accounting and Financial Disclosure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Reference is made to the disclosure set forth under Item 4.01 of this Report relating to the changes in certifying accountant.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Statements and Exhibits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information set forth in Item 9.01 of this Current Report on Form 8-K is incorporated herein by reference.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disclosure set forth in the “</w:t>
      </w:r>
      <w:r>
        <w:rPr>
          <w:rFonts w:ascii="Arial" w:cs="Arial" w:eastAsia="Arial" w:hAnsi="Arial"/>
          <w:sz w:val="22"/>
          <w:szCs w:val="22"/>
          <w:i w:val="1"/>
          <w:iCs w:val="1"/>
          <w:color w:val="auto"/>
        </w:rPr>
        <w:t>Introductory Note</w:t>
      </w:r>
      <w:r>
        <w:rPr>
          <w:rFonts w:ascii="Arial" w:cs="Arial" w:eastAsia="Arial" w:hAnsi="Arial"/>
          <w:sz w:val="22"/>
          <w:szCs w:val="22"/>
          <w:color w:val="auto"/>
        </w:rPr>
        <w:t>” above is incorporated by reference into this Item 3.02.</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securities issued in connection with the Business Combination Agreement and Subscription Agreements have not been registered under the Securities Act in reliance on the exemption from registration provided by Section 4(a)(2) of the Securities Act.</w:t>
      </w:r>
    </w:p>
    <w:p>
      <w:pPr>
        <w:spacing w:after="0" w:line="2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issuance of Class A Common Stock upon automatic conversion of Class B ordinary shares at the Closing and the issuance of Class V Common Stock to WMH LLC equity holders have not been registered under the Securities Act in reliance on the exemption from registration provided by Rule 506(b) of Regulation D under the Securities Act.</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On June 16, 2021, the Board approved the engagement of Baker Tilly US, LLP (“Baker Tilly”) as the Company’s independent registered public accounting firm to audit the Company’s consolidated financial statements for the year ending December 31, 2021. Baker Tilly served as the independent registered public accounting firm of Legacy WMH prior to the Business Combination. Accordingly, Marcum LLP (“Marcum”), the Company’s independent registered public accounting firm prior to the Business Combination, was informed on the Closing Date that it would be dismissed and replaced by Baker Tilly as the Company’s independent registered public accounting firm.</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Marcum’s report on the Company’s balance sheets as of December 31, 2020 and 2019, the related statements of operations, stockholders’ equity and cash flows for the year ended December 31, 2020 and for the period from June 7, 2019 (inception) to December 31, 2019,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the Company's ability to continue as a going concern.</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During the period from June 7, 2019 (inception) to December 31, 2020 and the subsequent interim period through June 21, 2021, there were no: (i) disagreements with Marcum on any matter of accounting principles or practices, financial statement disclosures or audited scope or procedures, which disagreements if not resolved to Marcum’s satisfaction would have caused Marcum to make reference to the subject matter of the disagreement in connection with its report or (ii) reportable events as defined in Item 304(a)(1)(v) of Regulation S-K under the Exchange Act.</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During the period from June 7, 2019 (inception) to December 31, 2020, and the interim period through March 31, 2021, the Company did not consult Baker Tilly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Baker Tilly that Baker Tilly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ectPr>
          <w:pgSz w:w="11900" w:h="16838" w:orient="portrait"/>
          <w:cols w:equalWidth="0" w:num="1">
            <w:col w:w="11240"/>
          </w:cols>
          <w:pgMar w:left="320" w:top="112"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1" w:name="page12"/>
    <w:bookmarkEnd w:id="11"/>
    <w:p>
      <w:pPr>
        <w:jc w:val="both"/>
        <w:ind w:firstLine="324"/>
        <w:spacing w:after="0" w:line="238" w:lineRule="auto"/>
        <w:rPr>
          <w:sz w:val="20"/>
          <w:szCs w:val="20"/>
          <w:color w:val="auto"/>
        </w:rPr>
      </w:pPr>
      <w:r>
        <w:rPr>
          <w:rFonts w:ascii="Arial" w:cs="Arial" w:eastAsia="Arial" w:hAnsi="Arial"/>
          <w:sz w:val="22"/>
          <w:szCs w:val="22"/>
          <w:color w:val="auto"/>
        </w:rPr>
        <w:t>The Company has provided Marcum with a copy of the disclosures made by the Company in response to this Item 4.01 and has requested that Marcum furnish the Company with a letter addressed to the SEC stating whether it agrees with the statements made by the Company in response to this Item 4.01 and, if not, stating the respects in which it does not agree. A letter from Marcum is attached hereto as Exhibit 16.1.</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the Registrant.</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information set forth in the section entitled “</w:t>
      </w:r>
      <w:r>
        <w:rPr>
          <w:rFonts w:ascii="Arial" w:cs="Arial" w:eastAsia="Arial" w:hAnsi="Arial"/>
          <w:sz w:val="22"/>
          <w:szCs w:val="22"/>
          <w:i w:val="1"/>
          <w:iCs w:val="1"/>
          <w:color w:val="auto"/>
        </w:rPr>
        <w:t>Introductory Note</w:t>
      </w:r>
      <w:r>
        <w:rPr>
          <w:rFonts w:ascii="Arial" w:cs="Arial" w:eastAsia="Arial" w:hAnsi="Arial"/>
          <w:sz w:val="22"/>
          <w:szCs w:val="22"/>
          <w:color w:val="auto"/>
        </w:rPr>
        <w:t>” and in the section entitled “</w:t>
      </w:r>
      <w:r>
        <w:rPr>
          <w:rFonts w:ascii="Arial" w:cs="Arial" w:eastAsia="Arial" w:hAnsi="Arial"/>
          <w:sz w:val="22"/>
          <w:szCs w:val="22"/>
          <w:i w:val="1"/>
          <w:iCs w:val="1"/>
          <w:color w:val="auto"/>
        </w:rPr>
        <w:t>Security Ownership of</w:t>
      </w:r>
      <w:r>
        <w:rPr>
          <w:rFonts w:ascii="Arial" w:cs="Arial" w:eastAsia="Arial" w:hAnsi="Arial"/>
          <w:sz w:val="22"/>
          <w:szCs w:val="22"/>
          <w:color w:val="auto"/>
        </w:rPr>
        <w:t xml:space="preserve"> </w:t>
      </w:r>
      <w:r>
        <w:rPr>
          <w:rFonts w:ascii="Arial" w:cs="Arial" w:eastAsia="Arial" w:hAnsi="Arial"/>
          <w:sz w:val="22"/>
          <w:szCs w:val="22"/>
          <w:i w:val="1"/>
          <w:iCs w:val="1"/>
          <w:color w:val="auto"/>
        </w:rPr>
        <w:t>Certain Beneficial Owners and Management</w:t>
      </w:r>
      <w:r>
        <w:rPr>
          <w:rFonts w:ascii="Arial" w:cs="Arial" w:eastAsia="Arial" w:hAnsi="Arial"/>
          <w:sz w:val="22"/>
          <w:szCs w:val="22"/>
          <w:color w:val="auto"/>
        </w:rPr>
        <w:t>” in Item 2.01 of this Current Report on Form 8-K is incorporated herein by</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As a result of the consummation of the Business Combination , a change of control of Silver Spike has occurred, and the stockholders of Silver Spike as of immediately prior to the Closing held 49.3% of the outstanding voting power and shares of Common Stock immediately following the Closing.</w:t>
      </w:r>
    </w:p>
    <w:p>
      <w:pPr>
        <w:spacing w:after="0" w:line="216"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set forth in the sections entitled “</w:t>
      </w:r>
      <w:r>
        <w:rPr>
          <w:rFonts w:ascii="Arial" w:cs="Arial" w:eastAsia="Arial" w:hAnsi="Arial"/>
          <w:sz w:val="22"/>
          <w:szCs w:val="22"/>
          <w:i w:val="1"/>
          <w:iCs w:val="1"/>
          <w:color w:val="auto"/>
        </w:rPr>
        <w:t>Directors and Executive Officers</w:t>
      </w:r>
      <w:r>
        <w:rPr>
          <w:rFonts w:ascii="Arial" w:cs="Arial" w:eastAsia="Arial" w:hAnsi="Arial"/>
          <w:sz w:val="22"/>
          <w:szCs w:val="22"/>
          <w:color w:val="auto"/>
        </w:rPr>
        <w:t>” and “</w:t>
      </w:r>
      <w:r>
        <w:rPr>
          <w:rFonts w:ascii="Arial" w:cs="Arial" w:eastAsia="Arial" w:hAnsi="Arial"/>
          <w:sz w:val="22"/>
          <w:szCs w:val="22"/>
          <w:i w:val="1"/>
          <w:iCs w:val="1"/>
          <w:color w:val="auto"/>
        </w:rPr>
        <w:t>Certain Relationships and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Transactions</w:t>
      </w:r>
      <w:r>
        <w:rPr>
          <w:rFonts w:ascii="Arial" w:cs="Arial" w:eastAsia="Arial" w:hAnsi="Arial"/>
          <w:sz w:val="22"/>
          <w:szCs w:val="22"/>
          <w:color w:val="auto"/>
        </w:rPr>
        <w:t>” in Item 2.01 of this Current Report on Form 8-K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WM Technology, Inc. 2021 Equity Incentive Plan</w:t>
      </w:r>
    </w:p>
    <w:p>
      <w:pPr>
        <w:spacing w:after="0" w:line="239"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22"/>
          <w:szCs w:val="22"/>
          <w:color w:val="auto"/>
        </w:rPr>
        <w:t>At the Second Special Meeting, the stockholders of the Company considered and approved the WM Technology, Inc. 2021 Equity Incentive Plan (the “</w:t>
      </w:r>
      <w:r>
        <w:rPr>
          <w:rFonts w:ascii="Arial" w:cs="Arial" w:eastAsia="Arial" w:hAnsi="Arial"/>
          <w:sz w:val="22"/>
          <w:szCs w:val="22"/>
          <w:u w:val="single" w:color="auto"/>
          <w:color w:val="auto"/>
        </w:rPr>
        <w:t>2021 Plan</w:t>
      </w:r>
      <w:r>
        <w:rPr>
          <w:rFonts w:ascii="Arial" w:cs="Arial" w:eastAsia="Arial" w:hAnsi="Arial"/>
          <w:sz w:val="22"/>
          <w:szCs w:val="22"/>
          <w:color w:val="auto"/>
        </w:rPr>
        <w:t>”). The 2021 Plan was previously approved, subject to stockholder approval, by the board of directors of Silver Spike on December 9, 2020, and on the Closing Date, the Board ratified the approval of the 2021 Plan. The 2021 Plan became effective immediately upon the Closing.</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 description of the 2021 Plan is included in the Proxy Statement/Prospectus in the section entitled “</w:t>
      </w:r>
      <w:r>
        <w:rPr>
          <w:rFonts w:ascii="Arial" w:cs="Arial" w:eastAsia="Arial" w:hAnsi="Arial"/>
          <w:sz w:val="22"/>
          <w:szCs w:val="22"/>
          <w:i w:val="1"/>
          <w:iCs w:val="1"/>
          <w:color w:val="auto"/>
        </w:rPr>
        <w:t>Proposal No. 11—The</w:t>
      </w:r>
      <w:r>
        <w:rPr>
          <w:rFonts w:ascii="Arial" w:cs="Arial" w:eastAsia="Arial" w:hAnsi="Arial"/>
          <w:sz w:val="22"/>
          <w:szCs w:val="22"/>
          <w:color w:val="auto"/>
        </w:rPr>
        <w:t xml:space="preserve"> </w:t>
      </w:r>
      <w:r>
        <w:rPr>
          <w:rFonts w:ascii="Arial" w:cs="Arial" w:eastAsia="Arial" w:hAnsi="Arial"/>
          <w:sz w:val="22"/>
          <w:szCs w:val="22"/>
          <w:i w:val="1"/>
          <w:iCs w:val="1"/>
          <w:color w:val="auto"/>
        </w:rPr>
        <w:t>Equity Incentive Plan Proposal</w:t>
      </w:r>
      <w:r>
        <w:rPr>
          <w:rFonts w:ascii="Arial" w:cs="Arial" w:eastAsia="Arial" w:hAnsi="Arial"/>
          <w:sz w:val="22"/>
          <w:szCs w:val="22"/>
          <w:color w:val="auto"/>
        </w:rPr>
        <w:t>” beginning on page 174 of the Proxy Statement/Prospectus, which is incorporated herein by</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 The foregoing description of the 2021 Plan is qualified in its entirety by the full text of the 2021 Plan, which is attached hereto as Exhibit 10.7 and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WM Technology, Inc. 2021 Employee Stock Purchase Plan</w:t>
      </w:r>
    </w:p>
    <w:p>
      <w:pPr>
        <w:spacing w:after="0" w:line="2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At the Second Special Meeting, the stockholders of the Company considered and approved the WM Technology, Inc. 2021 Employee Stock Purchase Plan (the “</w:t>
      </w:r>
      <w:r>
        <w:rPr>
          <w:rFonts w:ascii="Arial" w:cs="Arial" w:eastAsia="Arial" w:hAnsi="Arial"/>
          <w:sz w:val="21"/>
          <w:szCs w:val="21"/>
          <w:u w:val="single" w:color="auto"/>
          <w:color w:val="auto"/>
        </w:rPr>
        <w:t>2021 ESPP</w:t>
      </w:r>
      <w:r>
        <w:rPr>
          <w:rFonts w:ascii="Arial" w:cs="Arial" w:eastAsia="Arial" w:hAnsi="Arial"/>
          <w:sz w:val="21"/>
          <w:szCs w:val="21"/>
          <w:color w:val="auto"/>
        </w:rPr>
        <w:t>”). The 2021 ESPP was previously approved, subject to stockholder approval, by the board of directors of Silver Spike on December 9, 2020, and on the Closing Date, the Board ratified the approval of the 2021 ESPP. The 2021 ESPP became effective immediately upon the Closing.</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 description of the 2021 ESPP is included in the Proxy Statement/Prospectus in the section entitled “</w:t>
      </w:r>
      <w:r>
        <w:rPr>
          <w:rFonts w:ascii="Arial" w:cs="Arial" w:eastAsia="Arial" w:hAnsi="Arial"/>
          <w:sz w:val="22"/>
          <w:szCs w:val="22"/>
          <w:i w:val="1"/>
          <w:iCs w:val="1"/>
          <w:color w:val="auto"/>
        </w:rPr>
        <w:t>Proposal No. 12—The</w:t>
      </w:r>
      <w:r>
        <w:rPr>
          <w:rFonts w:ascii="Arial" w:cs="Arial" w:eastAsia="Arial" w:hAnsi="Arial"/>
          <w:sz w:val="22"/>
          <w:szCs w:val="22"/>
          <w:color w:val="auto"/>
        </w:rPr>
        <w:t xml:space="preserve"> </w:t>
      </w:r>
      <w:r>
        <w:rPr>
          <w:rFonts w:ascii="Arial" w:cs="Arial" w:eastAsia="Arial" w:hAnsi="Arial"/>
          <w:sz w:val="22"/>
          <w:szCs w:val="22"/>
          <w:i w:val="1"/>
          <w:iCs w:val="1"/>
          <w:color w:val="auto"/>
        </w:rPr>
        <w:t>Employee Stock Purchase Plan Proposal</w:t>
      </w:r>
      <w:r>
        <w:rPr>
          <w:rFonts w:ascii="Arial" w:cs="Arial" w:eastAsia="Arial" w:hAnsi="Arial"/>
          <w:sz w:val="22"/>
          <w:szCs w:val="22"/>
          <w:color w:val="auto"/>
        </w:rPr>
        <w:t>” beginning on page 180 of the Proxy Statement/Prospectus, which is incorporated</w:t>
      </w:r>
      <w:r>
        <w:rPr>
          <w:rFonts w:ascii="Arial" w:cs="Arial" w:eastAsia="Arial" w:hAnsi="Arial"/>
          <w:sz w:val="22"/>
          <w:szCs w:val="22"/>
          <w:i w:val="1"/>
          <w:iCs w:val="1"/>
          <w:color w:val="auto"/>
        </w:rPr>
        <w:t xml:space="preserve"> </w:t>
      </w:r>
      <w:r>
        <w:rPr>
          <w:rFonts w:ascii="Arial" w:cs="Arial" w:eastAsia="Arial" w:hAnsi="Arial"/>
          <w:sz w:val="22"/>
          <w:szCs w:val="22"/>
          <w:color w:val="auto"/>
        </w:rPr>
        <w:t>herein by reference. The foregoing description of the 2021 ESPP is qualified in its entirety by the full text of the 2021 ESPP, which is attached hereto as Exhibit 10.8 and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As a result of the Merger, which fulfilled the definition of a business combination as required by the Amended and Restated Certificate of Incorporation of the Company, as in effect immediately prior to the Closing, the Company ceased to be a shell company (as defined in Rule 12b-2 of the Exchange Act) as of the Closing. A description of the Business Combination and the terms of the Merger Agreement are included in the Proxy Statement/Prospectus in the section entitled “</w:t>
      </w:r>
      <w:r>
        <w:rPr>
          <w:rFonts w:ascii="Arial" w:cs="Arial" w:eastAsia="Arial" w:hAnsi="Arial"/>
          <w:sz w:val="22"/>
          <w:szCs w:val="22"/>
          <w:i w:val="1"/>
          <w:iCs w:val="1"/>
          <w:color w:val="auto"/>
        </w:rPr>
        <w:t>Proposal No. 1—The</w:t>
      </w:r>
      <w:r>
        <w:rPr>
          <w:rFonts w:ascii="Arial" w:cs="Arial" w:eastAsia="Arial" w:hAnsi="Arial"/>
          <w:sz w:val="22"/>
          <w:szCs w:val="22"/>
          <w:color w:val="auto"/>
        </w:rPr>
        <w:t xml:space="preserve"> </w:t>
      </w:r>
      <w:r>
        <w:rPr>
          <w:rFonts w:ascii="Arial" w:cs="Arial" w:eastAsia="Arial" w:hAnsi="Arial"/>
          <w:sz w:val="22"/>
          <w:szCs w:val="22"/>
          <w:i w:val="1"/>
          <w:iCs w:val="1"/>
          <w:color w:val="auto"/>
        </w:rPr>
        <w:t>Business Combination Proposal</w:t>
      </w:r>
      <w:r>
        <w:rPr>
          <w:rFonts w:ascii="Arial" w:cs="Arial" w:eastAsia="Arial" w:hAnsi="Arial"/>
          <w:sz w:val="22"/>
          <w:szCs w:val="22"/>
          <w:color w:val="auto"/>
        </w:rPr>
        <w:t>” beginning on page 160 of the Proxy Statement/Prospectus, which is incorporated herein by</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Businesses Acquired.</w:t>
      </w:r>
    </w:p>
    <w:p>
      <w:pPr>
        <w:spacing w:after="0" w:line="2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unaudited condensed consolidated financial statements of Legacy WMH as of March 31, 2021 and for the three months ended March 31, 2021 and 2020 and the related notes are included in the Proxy Statement/Prospectus beginning on page F-18 of the Proxy Statement/Prospectus and are incorporated herein by reference.</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audited consolidated financial statements of WMH as of and for the year ended December 31, 2021 and December 31, 2020 and the related notes are included in the Proxy Statement/Prospectus beginning on page F-3 of the Proxy Statement/Prospectus and are incorporated herein by reference.</w:t>
      </w:r>
    </w:p>
    <w:p>
      <w:pPr>
        <w:spacing w:after="0" w:line="2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The unaudited condensed consolidated financial statements of Silver Spike as of March 31, 2021 and for the three months ended March 31, 2021 and 2010 and the related notes are included in the Proxy Statement/Prospectus beginning on page J-1 of the Proxy Statement/Prospectus and are incorporated herein by reference.</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audited consolidated financial statements of Silver Spike as of and for the year ended December 31, 2020 and December 31, 2021 and the related notes are included in the Proxy Statement/Prospectus beginning on page I-82 of the Proxy Statement/Prospectus and are incorporated herein by reference.</w:t>
      </w:r>
    </w:p>
    <w:p>
      <w:pPr>
        <w:spacing w:after="0" w:line="216" w:lineRule="exact"/>
        <w:rPr>
          <w:sz w:val="20"/>
          <w:szCs w:val="20"/>
          <w:color w:val="auto"/>
        </w:rPr>
      </w:pPr>
    </w:p>
    <w:p>
      <w:pPr>
        <w:ind w:left="980" w:hanging="972"/>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unaudited pro forma condensed combined financial information of the Company as of and for the three months ended March 31, 2021 and for the year ended December 31, 2021 is set forth in Exhibit 99.1 hereto and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980" w:hanging="972"/>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gridSpan w:val="8"/>
          </w:tcPr>
          <w:p>
            <w:pPr>
              <w:spacing w:after="0"/>
              <w:rPr>
                <w:sz w:val="20"/>
                <w:szCs w:val="20"/>
                <w:color w:val="auto"/>
              </w:rPr>
            </w:pPr>
            <w:r>
              <w:rPr>
                <w:rFonts w:ascii="Arial" w:cs="Arial" w:eastAsia="Arial" w:hAnsi="Arial"/>
                <w:sz w:val="18"/>
                <w:szCs w:val="18"/>
                <w:b w:val="1"/>
                <w:bCs w:val="1"/>
                <w:color w:val="auto"/>
              </w:rPr>
              <w:t>Exhibit No.</w:t>
            </w:r>
          </w:p>
        </w:tc>
        <w:tc>
          <w:tcPr>
            <w:tcW w:w="99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420" w:type="dxa"/>
            <w:vAlign w:val="bottom"/>
            <w:tcBorders>
              <w:top w:val="single" w:sz="8" w:color="auto"/>
            </w:tcBorders>
            <w:gridSpan w:val="4"/>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Agreement and Plan of Merger, dated December 10, 2020, by and among Silver Spike, Merger Sub, WMH, and the Holder</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1"/>
              </w:rPr>
              <w:t>Representative named therein (incorporated by reference to Exhibit 2.1 to the Current Report on Form 8-K filed on December 10, 2020).</w:t>
            </w:r>
          </w:p>
        </w:tc>
      </w:tr>
      <w:tr>
        <w:trPr>
          <w:trHeight w:val="190"/>
        </w:trPr>
        <w:tc>
          <w:tcPr>
            <w:tcW w:w="24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Certificate of Incorporation of the Company, dated June 15, 2021.</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Amended and Restated Bylaws of the Company, dated June 16, 2021.</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Form of Common Stock Certificate of the Company.</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Form of Warrant Certificate of the Company.</w:t>
            </w: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2"/>
              </w:rPr>
              <w:t>Warrant Agreement, dated August 7, 2019, between the Company and Continental Stock Transfer &amp; Trust Company, as warrant agent</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6"/>
              </w:rPr>
              <w:t>(incorporated by reference to Exhibit 4.1 filed on Silver Spike’s Current Report on Form 8-K, filed by the Company on August 12,</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2019).</w:t>
            </w:r>
          </w:p>
        </w:tc>
      </w:tr>
      <w:tr>
        <w:trPr>
          <w:trHeight w:val="190"/>
        </w:trPr>
        <w:tc>
          <w:tcPr>
            <w:tcW w:w="320" w:type="dxa"/>
            <w:vAlign w:val="bottom"/>
            <w:tcBorders>
              <w:bottom w:val="single" w:sz="8" w:color="0000EE"/>
            </w:tcBorders>
            <w:gridSpan w:val="2"/>
          </w:tcPr>
          <w:p>
            <w:pPr>
              <w:spacing w:after="0" w:line="190"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w w:val="94"/>
              </w:rPr>
              <w:t>Exchange Agreement, dated as of June 16, 2021, by and among the Company, Silver Spike Sponsor and the other parties thereto.</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Tax Receivable Agreement, dated as of June 16, 2021, by and among the Company and the other parties thereto.</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3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Fourth Amended and Restated Operating Agreement of WMH LLC.</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3"/>
              </w:rPr>
              <w:t>Form of Subscription Agreement (incorporated by reference to Exhibit 10.1 to the Current Report on Form 8-K filed on December 10,</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2020).</w:t>
            </w:r>
          </w:p>
        </w:tc>
      </w:tr>
      <w:tr>
        <w:trPr>
          <w:trHeight w:val="190"/>
        </w:trPr>
        <w:tc>
          <w:tcPr>
            <w:tcW w:w="320" w:type="dxa"/>
            <w:vAlign w:val="bottom"/>
            <w:tcBorders>
              <w:bottom w:val="single" w:sz="8" w:color="0000EE"/>
            </w:tcBorders>
            <w:gridSpan w:val="2"/>
          </w:tcPr>
          <w:p>
            <w:pPr>
              <w:spacing w:after="0" w:line="190" w:lineRule="exact"/>
              <w:rPr>
                <w:rFonts w:ascii="Arial" w:cs="Arial" w:eastAsia="Arial" w:hAnsi="Arial"/>
                <w:sz w:val="18"/>
                <w:szCs w:val="18"/>
                <w:color w:val="0000EE"/>
                <w:w w:val="85"/>
              </w:rPr>
            </w:pPr>
            <w:hyperlink w:anchor="page2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w w:val="89"/>
              </w:rPr>
              <w:t>Amended and Restated Registration Rights Agreement, dated as of June 16, 2021, by and among the Company, Silver Spike Sponsor and</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the other parties thereto.</w:t>
            </w: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Form of Indemnification Agreement by and between the Company and its directors and officers.</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WM Technology, Inc. 2021 Equity Incentive Plan.</w:t>
            </w: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0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7(a)#</w:t>
              </w:r>
            </w:hyperlink>
          </w:p>
        </w:tc>
        <w:tc>
          <w:tcPr>
            <w:tcW w:w="720" w:type="dxa"/>
            <w:vAlign w:val="bottom"/>
            <w:gridSpan w:val="2"/>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Form of Stock Option Grant Notice.</w:t>
            </w:r>
          </w:p>
        </w:tc>
      </w:tr>
      <w:tr>
        <w:trPr>
          <w:trHeight w:val="196"/>
        </w:trPr>
        <w:tc>
          <w:tcPr>
            <w:tcW w:w="1340" w:type="dxa"/>
            <w:vAlign w:val="bottom"/>
            <w:gridSpan w:val="8"/>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10.</w:t>
              </w:r>
              <w:r>
                <w:rPr>
                  <w:rFonts w:ascii="Arial" w:cs="Arial" w:eastAsia="Arial" w:hAnsi="Arial"/>
                  <w:sz w:val="18"/>
                  <w:szCs w:val="18"/>
                  <w:u w:val="single" w:color="auto"/>
                  <w:color w:val="0000EE"/>
                </w:rPr>
                <w:t>7(b)#</w:t>
              </w:r>
            </w:hyperlink>
          </w:p>
        </w:tc>
        <w:tc>
          <w:tcPr>
            <w:tcW w:w="9900" w:type="dxa"/>
            <w:vAlign w:val="bottom"/>
          </w:tcPr>
          <w:p>
            <w:pPr>
              <w:spacing w:after="0" w:line="196" w:lineRule="exact"/>
              <w:rPr>
                <w:sz w:val="20"/>
                <w:szCs w:val="20"/>
                <w:color w:val="auto"/>
              </w:rPr>
            </w:pPr>
            <w:r>
              <w:rPr>
                <w:rFonts w:ascii="Arial" w:cs="Arial" w:eastAsia="Arial" w:hAnsi="Arial"/>
                <w:sz w:val="18"/>
                <w:szCs w:val="18"/>
                <w:color w:val="auto"/>
              </w:rPr>
              <w:t>Form of RSU Award Grant Notice.</w:t>
            </w:r>
          </w:p>
        </w:tc>
      </w:tr>
      <w:tr>
        <w:trPr>
          <w:trHeight w:val="196"/>
        </w:trPr>
        <w:tc>
          <w:tcPr>
            <w:tcW w:w="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1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w:t>
              </w:r>
            </w:hyperlink>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WM Technology, Inc. 2021 Employee Stock Purchase Plan.</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Offer letter by and between Ghost Management Group, LLC and Christopher Beals, dated July 31, 2015.</w:t>
            </w:r>
          </w:p>
        </w:tc>
      </w:tr>
      <w:tr>
        <w:trPr>
          <w:trHeight w:val="196"/>
        </w:trPr>
        <w:tc>
          <w:tcPr>
            <w:tcW w:w="620" w:type="dxa"/>
            <w:vAlign w:val="bottom"/>
            <w:gridSpan w:val="6"/>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Offer letter by and between Ghost Management Group, LLC and Justin Dean, dated October 3, 2018.</w:t>
            </w:r>
          </w:p>
        </w:tc>
      </w:tr>
      <w:tr>
        <w:trPr>
          <w:trHeight w:val="196"/>
        </w:trPr>
        <w:tc>
          <w:tcPr>
            <w:tcW w:w="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3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11#</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Offer letter by and between Ghost Management Group, LLC and Steven Jung, dated May 17, 2017.</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Lease by and between the Irvine Company LLC and Ghost Media Group, LLC, dated November 11, 2013, as amended.</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1"/>
              </w:rPr>
              <w:t>First Amendment to Lease and Consent to Assignment by and between Discovery Business Center LLC, as successor-in-interest to the</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4"/>
              </w:rPr>
              <w:t>Irvine Company LLC, and Ghost Management Group, LLC, as successor-in-interest to Ghost Media Group, LLC, dated January 27,</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2016.</w:t>
            </w: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3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w w:val="94"/>
              </w:rPr>
              <w:t>Second Amendment to Lease, by and between Discovery Business Center LLC and Ghost Management Group, LLC, dated April 7,</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2017.</w:t>
            </w: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39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w w:val="91"/>
              </w:rPr>
              <w:t>Third Amendment to Lease, by and between Discovery Business Center LLC and Ghost Management Group, LLC, dated December 29,</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2017.</w:t>
            </w: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41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w w:val="91"/>
              </w:rPr>
              <w:t>Fourth Amendment to Lease, by and between Discovery Business Center LLC and Ghost Management Group, LLC, dated May 3, 2018.</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Strategic Advisor Agreement, by and between the Company and Steven Jung, dated June 21, 2021.</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28">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Letter from Marcum LLP to the SEC, dated June 21, 2021.</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29">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rPr>
              <w:t>List of Subsidiaries</w:t>
            </w: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3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2"/>
              </w:rPr>
              <w:t>Unaudited pro forma condensed combined financial information of the Company as of and for the three months ended March 31, 2021</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and for the year ended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601(a)(5) of Regulation S-K. A copy of any omitted schedule and/or exhibit will be furnished to the SEC upon request.</w:t>
      </w:r>
    </w:p>
    <w:p>
      <w:pPr>
        <w:spacing w:after="0" w:line="1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June 21,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WM TECHNOLOGY, INC.</w:t>
      </w:r>
    </w:p>
    <w:p>
      <w:pPr>
        <w:spacing w:after="0" w:line="229"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Arden Lee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239" w:lineRule="exact"/>
        <w:rPr>
          <w:sz w:val="20"/>
          <w:szCs w:val="20"/>
          <w:color w:val="auto"/>
        </w:rPr>
      </w:pPr>
    </w:p>
    <w:p>
      <w:pPr>
        <w:ind w:left="2060" w:hanging="756"/>
        <w:spacing w:after="0"/>
        <w:tabs>
          <w:tab w:leader="none" w:pos="206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Name</w:t>
      </w:r>
      <w:r>
        <w:rPr>
          <w:rFonts w:ascii="Arial" w:cs="Arial" w:eastAsia="Arial" w:hAnsi="Arial"/>
          <w:sz w:val="22"/>
          <w:szCs w:val="22"/>
          <w:color w:val="auto"/>
        </w:rPr>
        <w:t>. The name of the Corporation is WM Technology, Inc.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right="180" w:firstLine="1304"/>
        <w:spacing w:after="0" w:line="297" w:lineRule="auto"/>
        <w:tabs>
          <w:tab w:leader="none" w:pos="2052"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Address; Registered Office and Agent</w:t>
      </w:r>
      <w:r>
        <w:rPr>
          <w:rFonts w:ascii="Arial" w:cs="Arial" w:eastAsia="Arial" w:hAnsi="Arial"/>
          <w:sz w:val="19"/>
          <w:szCs w:val="19"/>
          <w:color w:val="auto"/>
        </w:rPr>
        <w:t>. The address of the Corporation’s registered office in the State of Delaware is c/o Corporation Service Company, 251 Little Falls Drive, City of Wilmington, County of New Castle, State of Delaware 19808 and the name of its registered agent at such address is Corporation Service Company.</w:t>
      </w:r>
    </w:p>
    <w:p>
      <w:pPr>
        <w:spacing w:after="0" w:line="160" w:lineRule="exact"/>
        <w:rPr>
          <w:rFonts w:ascii="Arial" w:cs="Arial" w:eastAsia="Arial" w:hAnsi="Arial"/>
          <w:sz w:val="19"/>
          <w:szCs w:val="19"/>
          <w:color w:val="auto"/>
        </w:rPr>
      </w:pPr>
    </w:p>
    <w:p>
      <w:pPr>
        <w:ind w:right="260" w:firstLine="1304"/>
        <w:spacing w:after="0"/>
        <w:tabs>
          <w:tab w:leader="none" w:pos="205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Purposes</w:t>
      </w:r>
      <w:r>
        <w:rPr>
          <w:rFonts w:ascii="Arial" w:cs="Arial" w:eastAsia="Arial" w:hAnsi="Arial"/>
          <w:sz w:val="22"/>
          <w:szCs w:val="22"/>
          <w:color w:val="auto"/>
        </w:rPr>
        <w:t>. The purpose of the Corporation is to engage in any lawful act or activity for which corporations may be organized under the General Corporation Law of the State of Delaware (as from time to time in effect, the “</w:t>
      </w:r>
      <w:r>
        <w:rPr>
          <w:rFonts w:ascii="Arial" w:cs="Arial" w:eastAsia="Arial" w:hAnsi="Arial"/>
          <w:sz w:val="22"/>
          <w:szCs w:val="22"/>
          <w:u w:val="single" w:color="auto"/>
          <w:color w:val="auto"/>
        </w:rPr>
        <w:t>General Corporation Law</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2060" w:hanging="756"/>
        <w:spacing w:after="0"/>
        <w:tabs>
          <w:tab w:leader="none" w:pos="206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w:t>
      </w:r>
    </w:p>
    <w:p>
      <w:pPr>
        <w:spacing w:after="0" w:line="233" w:lineRule="exact"/>
        <w:rPr>
          <w:sz w:val="20"/>
          <w:szCs w:val="20"/>
          <w:color w:val="auto"/>
        </w:rPr>
      </w:pPr>
    </w:p>
    <w:p>
      <w:pPr>
        <w:ind w:right="60" w:firstLine="1944"/>
        <w:spacing w:after="0" w:line="235" w:lineRule="auto"/>
        <w:rPr>
          <w:sz w:val="20"/>
          <w:szCs w:val="20"/>
          <w:color w:val="auto"/>
        </w:rPr>
      </w:pPr>
      <w:r>
        <w:rPr>
          <w:rFonts w:ascii="Arial" w:cs="Arial" w:eastAsia="Arial" w:hAnsi="Arial"/>
          <w:sz w:val="22"/>
          <w:szCs w:val="22"/>
          <w:color w:val="auto"/>
        </w:rPr>
        <w:t>4.1 The total number of shares of all classes of stock that the Corporation shall have authority to issue is 2,075,000,000 shares, consisting of: (i) 2,000,000,000 shares of common stock, divided into (a) 1,500,000,000 shares of Class A common stock, with the par value of $0.0001 per share (the “</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and (b) 500,000,000 shares of Class V common stock, with the par value of $0.0001 per share (the “</w:t>
      </w:r>
      <w:r>
        <w:rPr>
          <w:rFonts w:ascii="Arial" w:cs="Arial" w:eastAsia="Arial" w:hAnsi="Arial"/>
          <w:sz w:val="22"/>
          <w:szCs w:val="22"/>
          <w:u w:val="single" w:color="auto"/>
          <w:color w:val="auto"/>
        </w:rPr>
        <w:t>Class V Common Stock</w:t>
      </w:r>
      <w:r>
        <w:rPr>
          <w:rFonts w:ascii="Arial" w:cs="Arial" w:eastAsia="Arial" w:hAnsi="Arial"/>
          <w:sz w:val="22"/>
          <w:szCs w:val="22"/>
          <w:color w:val="auto"/>
        </w:rPr>
        <w:t>” and, together with Class A Common Stock, the “</w:t>
      </w:r>
      <w:r>
        <w:rPr>
          <w:rFonts w:ascii="Arial" w:cs="Arial" w:eastAsia="Arial" w:hAnsi="Arial"/>
          <w:sz w:val="22"/>
          <w:szCs w:val="22"/>
          <w:u w:val="single" w:color="auto"/>
          <w:color w:val="auto"/>
        </w:rPr>
        <w:t>Common Stock</w:t>
      </w:r>
      <w:r>
        <w:rPr>
          <w:rFonts w:ascii="Arial" w:cs="Arial" w:eastAsia="Arial" w:hAnsi="Arial"/>
          <w:sz w:val="22"/>
          <w:szCs w:val="22"/>
          <w:color w:val="auto"/>
        </w:rPr>
        <w:t>”); and (ii) 75,000,000 shares of preferred stock, with the par value of $0.0001 per share (the “</w:t>
      </w:r>
      <w:r>
        <w:rPr>
          <w:rFonts w:ascii="Arial" w:cs="Arial" w:eastAsia="Arial" w:hAnsi="Arial"/>
          <w:sz w:val="22"/>
          <w:szCs w:val="22"/>
          <w:u w:val="single" w:color="auto"/>
          <w:color w:val="auto"/>
        </w:rPr>
        <w:t>Preferred Stock</w:t>
      </w:r>
      <w:r>
        <w:rPr>
          <w:rFonts w:ascii="Arial" w:cs="Arial" w:eastAsia="Arial" w:hAnsi="Arial"/>
          <w:sz w:val="22"/>
          <w:szCs w:val="22"/>
          <w:color w:val="auto"/>
        </w:rPr>
        <w:t>”).</w:t>
      </w:r>
    </w:p>
    <w:p>
      <w:pPr>
        <w:spacing w:after="0" w:line="215" w:lineRule="exact"/>
        <w:rPr>
          <w:sz w:val="20"/>
          <w:szCs w:val="20"/>
          <w:color w:val="auto"/>
        </w:rPr>
      </w:pPr>
    </w:p>
    <w:p>
      <w:pPr>
        <w:ind w:right="60" w:firstLine="1944"/>
        <w:spacing w:after="0" w:line="277" w:lineRule="auto"/>
        <w:rPr>
          <w:sz w:val="20"/>
          <w:szCs w:val="20"/>
          <w:color w:val="auto"/>
        </w:rPr>
      </w:pPr>
      <w:r>
        <w:rPr>
          <w:rFonts w:ascii="Arial" w:cs="Arial" w:eastAsia="Arial" w:hAnsi="Arial"/>
          <w:sz w:val="19"/>
          <w:szCs w:val="19"/>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color w:val="auto"/>
        </w:rPr>
        <w:t>2</w:t>
      </w:r>
    </w:p>
    <w:p>
      <w:pPr>
        <w:spacing w:after="0" w:line="160" w:lineRule="exact"/>
        <w:rPr>
          <w:sz w:val="20"/>
          <w:szCs w:val="20"/>
          <w:color w:val="auto"/>
        </w:rPr>
      </w:pPr>
    </w:p>
    <w:p>
      <w:pPr>
        <w:ind w:right="240" w:firstLine="2600"/>
        <w:spacing w:after="0" w:line="279" w:lineRule="auto"/>
        <w:tabs>
          <w:tab w:leader="none" w:pos="3336"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the case of Class A Common Stock, the number of shares of Class A Common Stock issuable in connection with (x) the exchange of all outstanding shares of Class V Common Stock, together with the corresponding Class A LLC Units, pursuant to the Exchange Agreement (y) the exchange of all Class A LLC Units issuable to holders of Class P LLC Units upon conversion pursuant to the Exchange Agreement (assuming for this purpose that the Participation Threshold of each Class P LLC Unit is zero at the time of conversion) and (z) the exercise of outstanding options, warrants, exchange rights, conversion rights or similar rights for Class A Common Stock;</w:t>
      </w:r>
    </w:p>
    <w:p>
      <w:pPr>
        <w:spacing w:after="0" w:line="177" w:lineRule="exact"/>
        <w:rPr>
          <w:rFonts w:ascii="Arial" w:cs="Arial" w:eastAsia="Arial" w:hAnsi="Arial"/>
          <w:sz w:val="19"/>
          <w:szCs w:val="19"/>
          <w:color w:val="auto"/>
        </w:rPr>
      </w:pPr>
    </w:p>
    <w:p>
      <w:pPr>
        <w:jc w:val="both"/>
        <w:ind w:right="320" w:firstLine="2600"/>
        <w:spacing w:after="0" w:line="238" w:lineRule="auto"/>
        <w:tabs>
          <w:tab w:leader="none" w:pos="3342"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the case of Class V Common Stock, the number of shares of Class V Common Stock issuable in connection with the exercise of outstanding options, warrants, exchange rights, conversion rights or similar rights, including upon conversion of LTIP LLC Units pursuant to the Fourth Amended and Restated Operating Agreement of WM Holding Company, LLC, for Class V Common Stock.</w:t>
      </w:r>
    </w:p>
    <w:p>
      <w:pPr>
        <w:spacing w:after="0" w:line="212" w:lineRule="exact"/>
        <w:rPr>
          <w:sz w:val="20"/>
          <w:szCs w:val="20"/>
          <w:color w:val="auto"/>
        </w:rPr>
      </w:pPr>
    </w:p>
    <w:p>
      <w:pPr>
        <w:ind w:left="2060" w:hanging="756"/>
        <w:spacing w:after="0"/>
        <w:tabs>
          <w:tab w:leader="none" w:pos="206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Classes of Shares</w:t>
      </w:r>
      <w:r>
        <w:rPr>
          <w:rFonts w:ascii="Arial" w:cs="Arial" w:eastAsia="Arial" w:hAnsi="Arial"/>
          <w:sz w:val="19"/>
          <w:szCs w:val="19"/>
          <w:color w:val="auto"/>
        </w:rPr>
        <w:t>. The designation, relative rights, preferences and limitations of the shares of each class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stock are as follows:</w:t>
      </w:r>
    </w:p>
    <w:p>
      <w:pPr>
        <w:spacing w:after="0" w:line="215"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33" w:lineRule="exact"/>
        <w:rPr>
          <w:sz w:val="20"/>
          <w:szCs w:val="20"/>
          <w:color w:val="auto"/>
        </w:rPr>
      </w:pPr>
    </w:p>
    <w:p>
      <w:pPr>
        <w:ind w:left="3340" w:hanging="740"/>
        <w:spacing w:after="0"/>
        <w:tabs>
          <w:tab w:leader="none" w:pos="334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20" w:firstLine="3248"/>
        <w:spacing w:after="0" w:line="274" w:lineRule="auto"/>
        <w:tabs>
          <w:tab w:leader="none" w:pos="4032" w:val="left"/>
        </w:tabs>
        <w:numPr>
          <w:ilvl w:val="1"/>
          <w:numId w:val="13"/>
        </w:numPr>
        <w:rPr>
          <w:rFonts w:ascii="Arial" w:cs="Arial" w:eastAsia="Arial" w:hAnsi="Arial"/>
          <w:sz w:val="19"/>
          <w:szCs w:val="19"/>
          <w:color w:val="auto"/>
        </w:rPr>
      </w:pPr>
      <w:r>
        <w:rPr>
          <w:rFonts w:ascii="Arial" w:cs="Arial" w:eastAsia="Arial" w:hAnsi="Arial"/>
          <w:sz w:val="19"/>
          <w:szCs w:val="19"/>
          <w:color w:val="auto"/>
        </w:rPr>
        <w:t>Each holder of Class A Common Stock will be entitled to one vote for each share of Class A Common Stock held of record by such holder on all matters on which stockholders generally are entitled to vote, and each holder of Class V Common Stock will be entitled to one vote for each share of Class V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Certificate of Incorporation (including any certificate of designations relating to any series of Preferred Stock) or under the General Corporation Law.</w:t>
      </w:r>
    </w:p>
    <w:p>
      <w:pPr>
        <w:spacing w:after="0" w:line="185" w:lineRule="exact"/>
        <w:rPr>
          <w:rFonts w:ascii="Arial" w:cs="Arial" w:eastAsia="Arial" w:hAnsi="Arial"/>
          <w:sz w:val="19"/>
          <w:szCs w:val="19"/>
          <w:color w:val="auto"/>
        </w:rPr>
      </w:pPr>
    </w:p>
    <w:p>
      <w:pPr>
        <w:ind w:left="4040" w:hanging="792"/>
        <w:spacing w:after="0"/>
        <w:tabs>
          <w:tab w:leader="none" w:pos="4040" w:val="left"/>
        </w:tabs>
        <w:numPr>
          <w:ilvl w:val="1"/>
          <w:numId w:val="13"/>
        </w:numPr>
        <w:rPr>
          <w:rFonts w:ascii="Arial" w:cs="Arial" w:eastAsia="Arial" w:hAnsi="Arial"/>
          <w:sz w:val="21"/>
          <w:szCs w:val="21"/>
          <w:color w:val="auto"/>
        </w:rPr>
      </w:pPr>
      <w:r>
        <w:rPr>
          <w:rFonts w:ascii="Arial" w:cs="Arial" w:eastAsia="Arial" w:hAnsi="Arial"/>
          <w:sz w:val="21"/>
          <w:szCs w:val="21"/>
          <w:color w:val="auto"/>
        </w:rPr>
        <w:t>(a) The holders of the outstanding shares of Class A Common Stock shall be</w:t>
      </w:r>
    </w:p>
    <w:p>
      <w:pPr>
        <w:spacing w:after="0" w:line="19" w:lineRule="exact"/>
        <w:rPr>
          <w:rFonts w:ascii="Arial" w:cs="Arial" w:eastAsia="Arial" w:hAnsi="Arial"/>
          <w:sz w:val="21"/>
          <w:szCs w:val="21"/>
          <w:color w:val="auto"/>
        </w:rPr>
      </w:pPr>
    </w:p>
    <w:p>
      <w:pPr>
        <w:ind w:right="20"/>
        <w:spacing w:after="0" w:line="272" w:lineRule="auto"/>
        <w:rPr>
          <w:rFonts w:ascii="Arial" w:cs="Arial" w:eastAsia="Arial" w:hAnsi="Arial"/>
          <w:sz w:val="21"/>
          <w:szCs w:val="21"/>
          <w:color w:val="auto"/>
        </w:rPr>
      </w:pPr>
      <w:r>
        <w:rPr>
          <w:rFonts w:ascii="Arial" w:cs="Arial" w:eastAsia="Arial" w:hAnsi="Arial"/>
          <w:sz w:val="19"/>
          <w:szCs w:val="19"/>
          <w:color w:val="auto"/>
        </w:rPr>
        <w:t>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 and (b) the holders of the outstanding shares of Class V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business combination shall not be deemed an amendment hereof if such merger, consolidation or other business combination constitutes a “Termination Transaction” permitted by Section 3.07 of the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3</w:t>
      </w:r>
    </w:p>
    <w:p>
      <w:pPr>
        <w:spacing w:after="0" w:line="160" w:lineRule="exact"/>
        <w:rPr>
          <w:sz w:val="20"/>
          <w:szCs w:val="20"/>
          <w:color w:val="auto"/>
        </w:rPr>
      </w:pPr>
    </w:p>
    <w:p>
      <w:pPr>
        <w:ind w:left="4040" w:hanging="792"/>
        <w:spacing w:after="0"/>
        <w:tabs>
          <w:tab w:leader="none" w:pos="4040" w:val="left"/>
        </w:tabs>
        <w:numPr>
          <w:ilvl w:val="2"/>
          <w:numId w:val="14"/>
        </w:numPr>
        <w:rPr>
          <w:rFonts w:ascii="Arial" w:cs="Arial" w:eastAsia="Arial" w:hAnsi="Arial"/>
          <w:sz w:val="19"/>
          <w:szCs w:val="19"/>
          <w:color w:val="auto"/>
        </w:rPr>
      </w:pPr>
      <w:r>
        <w:rPr>
          <w:rFonts w:ascii="Arial" w:cs="Arial" w:eastAsia="Arial" w:hAnsi="Arial"/>
          <w:sz w:val="19"/>
          <w:szCs w:val="19"/>
          <w:color w:val="auto"/>
        </w:rPr>
        <w:t>Except as otherwise required in this Certificate of Incorporation or by applicable</w:t>
      </w:r>
    </w:p>
    <w:p>
      <w:pPr>
        <w:spacing w:after="0" w:line="42" w:lineRule="exact"/>
        <w:rPr>
          <w:rFonts w:ascii="Arial" w:cs="Arial" w:eastAsia="Arial" w:hAnsi="Arial"/>
          <w:sz w:val="19"/>
          <w:szCs w:val="19"/>
          <w:color w:val="auto"/>
        </w:rPr>
      </w:pPr>
    </w:p>
    <w:p>
      <w:pPr>
        <w:ind w:right="460"/>
        <w:spacing w:after="0" w:line="308" w:lineRule="auto"/>
        <w:rPr>
          <w:rFonts w:ascii="Arial" w:cs="Arial" w:eastAsia="Arial" w:hAnsi="Arial"/>
          <w:sz w:val="19"/>
          <w:szCs w:val="19"/>
          <w:color w:val="auto"/>
        </w:rPr>
      </w:pPr>
      <w:r>
        <w:rPr>
          <w:rFonts w:ascii="Arial" w:cs="Arial" w:eastAsia="Arial" w:hAnsi="Arial"/>
          <w:sz w:val="19"/>
          <w:szCs w:val="19"/>
          <w:color w:val="auto"/>
        </w:rPr>
        <w:t>law, the holders of Common Stock will vote together as a single class on all matters (or, if any holders of Preferred Stock are entitled to vote together with the holders of Common Stock, as a single class with the holders of Preferred Stock).</w:t>
      </w:r>
    </w:p>
    <w:p>
      <w:pPr>
        <w:spacing w:after="0" w:line="150" w:lineRule="exact"/>
        <w:rPr>
          <w:rFonts w:ascii="Arial" w:cs="Arial" w:eastAsia="Arial" w:hAnsi="Arial"/>
          <w:sz w:val="19"/>
          <w:szCs w:val="19"/>
          <w:color w:val="auto"/>
        </w:rPr>
      </w:pPr>
    </w:p>
    <w:p>
      <w:pPr>
        <w:ind w:left="3340" w:hanging="740"/>
        <w:spacing w:after="0"/>
        <w:tabs>
          <w:tab w:leader="none" w:pos="334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Dividends; Stock Splits or Combinations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160" w:firstLine="3248"/>
        <w:spacing w:after="0" w:line="282" w:lineRule="auto"/>
        <w:tabs>
          <w:tab w:leader="none" w:pos="4032" w:val="left"/>
        </w:tabs>
        <w:numPr>
          <w:ilvl w:val="2"/>
          <w:numId w:val="15"/>
        </w:numPr>
        <w:rPr>
          <w:rFonts w:ascii="Arial" w:cs="Arial" w:eastAsia="Arial" w:hAnsi="Arial"/>
          <w:sz w:val="19"/>
          <w:szCs w:val="19"/>
          <w:color w:val="auto"/>
        </w:rPr>
      </w:pPr>
      <w:r>
        <w:rPr>
          <w:rFonts w:ascii="Arial" w:cs="Arial" w:eastAsia="Arial" w:hAnsi="Arial"/>
          <w:sz w:val="19"/>
          <w:szCs w:val="19"/>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such dividends and other distributions of cash, stock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in its discretion may determine.</w:t>
      </w:r>
    </w:p>
    <w:p>
      <w:pPr>
        <w:spacing w:after="0" w:line="174" w:lineRule="exact"/>
        <w:rPr>
          <w:rFonts w:ascii="Arial" w:cs="Arial" w:eastAsia="Arial" w:hAnsi="Arial"/>
          <w:sz w:val="19"/>
          <w:szCs w:val="19"/>
          <w:color w:val="auto"/>
        </w:rPr>
      </w:pPr>
    </w:p>
    <w:p>
      <w:pPr>
        <w:ind w:left="4040" w:hanging="792"/>
        <w:spacing w:after="0"/>
        <w:tabs>
          <w:tab w:leader="none" w:pos="4040" w:val="left"/>
        </w:tabs>
        <w:numPr>
          <w:ilvl w:val="2"/>
          <w:numId w:val="15"/>
        </w:numPr>
        <w:rPr>
          <w:rFonts w:ascii="Arial" w:cs="Arial" w:eastAsia="Arial" w:hAnsi="Arial"/>
          <w:sz w:val="19"/>
          <w:szCs w:val="19"/>
          <w:color w:val="auto"/>
        </w:rPr>
      </w:pPr>
      <w:r>
        <w:rPr>
          <w:rFonts w:ascii="Arial" w:cs="Arial" w:eastAsia="Arial" w:hAnsi="Arial"/>
          <w:sz w:val="19"/>
          <w:szCs w:val="19"/>
          <w:color w:val="auto"/>
        </w:rPr>
        <w:t>Except as provided in Section 5.1(ii)(3) with respect to stock dividends, dividends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cash or property may not be declared or paid on shares of Class V Common Stock.</w:t>
      </w:r>
    </w:p>
    <w:p>
      <w:pPr>
        <w:spacing w:after="0" w:line="215" w:lineRule="exact"/>
        <w:rPr>
          <w:rFonts w:ascii="Arial" w:cs="Arial" w:eastAsia="Arial" w:hAnsi="Arial"/>
          <w:sz w:val="19"/>
          <w:szCs w:val="19"/>
          <w:color w:val="auto"/>
        </w:rPr>
      </w:pPr>
    </w:p>
    <w:p>
      <w:pPr>
        <w:jc w:val="both"/>
        <w:ind w:firstLine="3248"/>
        <w:spacing w:after="0" w:line="276" w:lineRule="auto"/>
        <w:tabs>
          <w:tab w:leader="none" w:pos="4032" w:val="left"/>
        </w:tabs>
        <w:numPr>
          <w:ilvl w:val="2"/>
          <w:numId w:val="15"/>
        </w:numPr>
        <w:rPr>
          <w:rFonts w:ascii="Arial" w:cs="Arial" w:eastAsia="Arial" w:hAnsi="Arial"/>
          <w:sz w:val="19"/>
          <w:szCs w:val="19"/>
          <w:color w:val="auto"/>
        </w:rPr>
      </w:pPr>
      <w:r>
        <w:rPr>
          <w:rFonts w:ascii="Arial" w:cs="Arial" w:eastAsia="Arial" w:hAnsi="Arial"/>
          <w:sz w:val="19"/>
          <w:szCs w:val="19"/>
          <w:color w:val="auto"/>
        </w:rPr>
        <w:t>In no event will any stock dividend, stock split, reverse stock split, combination of stock, reclassification or recapitalization be declared or made on any class of Common Stock (each, a “</w:t>
      </w:r>
      <w:r>
        <w:rPr>
          <w:rFonts w:ascii="Arial" w:cs="Arial" w:eastAsia="Arial" w:hAnsi="Arial"/>
          <w:sz w:val="19"/>
          <w:szCs w:val="19"/>
          <w:u w:val="single" w:color="auto"/>
          <w:color w:val="auto"/>
        </w:rPr>
        <w:t>Stock Adjustment</w:t>
      </w:r>
      <w:r>
        <w:rPr>
          <w:rFonts w:ascii="Arial" w:cs="Arial" w:eastAsia="Arial" w:hAnsi="Arial"/>
          <w:sz w:val="19"/>
          <w:szCs w:val="19"/>
          <w:color w:val="auto"/>
        </w:rPr>
        <w:t>”) unless</w:t>
      </w:r>
    </w:p>
    <w:p>
      <w:pPr>
        <w:spacing w:after="0" w:line="1" w:lineRule="exact"/>
        <w:rPr>
          <w:rFonts w:ascii="Arial" w:cs="Arial" w:eastAsia="Arial" w:hAnsi="Arial"/>
          <w:sz w:val="19"/>
          <w:szCs w:val="19"/>
          <w:color w:val="auto"/>
        </w:rPr>
      </w:pPr>
    </w:p>
    <w:p>
      <w:pPr>
        <w:jc w:val="both"/>
        <w:ind w:right="80" w:firstLine="8"/>
        <w:spacing w:after="0" w:line="233" w:lineRule="auto"/>
        <w:tabs>
          <w:tab w:leader="none" w:pos="294"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corresponding Stock Adjustment for all other classes of Common Stock not so adjusted at the time outstanding is made in the same proportion and the same manner and (b) the Stock Adjustment has been reflected in the same economically equivalent manner on all Class A LLC Units. Stock dividends with respect to each class of Common Stock may only be paid with shares of stock of the same class of Common Stock.</w:t>
      </w:r>
    </w:p>
    <w:p>
      <w:pPr>
        <w:spacing w:after="0" w:line="214" w:lineRule="exact"/>
        <w:rPr>
          <w:rFonts w:ascii="Arial" w:cs="Arial" w:eastAsia="Arial" w:hAnsi="Arial"/>
          <w:sz w:val="22"/>
          <w:szCs w:val="22"/>
          <w:color w:val="auto"/>
        </w:rPr>
      </w:pPr>
    </w:p>
    <w:p>
      <w:pPr>
        <w:ind w:right="40" w:firstLine="2600"/>
        <w:spacing w:after="0" w:line="272" w:lineRule="auto"/>
        <w:tabs>
          <w:tab w:leader="none" w:pos="334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w:t>
      </w:r>
      <w:r>
        <w:rPr>
          <w:rFonts w:ascii="Arial" w:cs="Arial" w:eastAsia="Arial" w:hAnsi="Arial"/>
          <w:sz w:val="19"/>
          <w:szCs w:val="19"/>
          <w:i w:val="1"/>
          <w:iCs w:val="1"/>
          <w:color w:val="auto"/>
        </w:rPr>
        <w:t>pari passu</w:t>
      </w:r>
      <w:r>
        <w:rPr>
          <w:rFonts w:ascii="Arial" w:cs="Arial" w:eastAsia="Arial" w:hAnsi="Arial"/>
          <w:sz w:val="19"/>
          <w:szCs w:val="19"/>
          <w:color w:val="auto"/>
        </w:rPr>
        <w:t>, an amount per share equal to the par value thereof, and thereafter the holders of all outstanding shares of Class A Common Stock will be entitled to receive the remaining assets of the Corporation available for distribution ratably in proportion to the number of shares of Class A Common Stock. Without limiting the rights of the holders of Class V Common Stock to exchange their shares of Class V Common Stock, together with the corresponding Class A LLC Units constituting the remainder of any Paired Interests in which such shares are included, for shares of Class A Common Stock in accordance with the Exchange Agreement (or for the consideration payable in respect of shares of Class A Common Stock in such voluntary or involuntary liquidation, dissolution or winding-up), the holders of shares of Class V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color w:val="auto"/>
        </w:rPr>
        <w:t>4</w:t>
      </w:r>
    </w:p>
    <w:p>
      <w:pPr>
        <w:spacing w:after="0" w:line="160" w:lineRule="exact"/>
        <w:rPr>
          <w:sz w:val="20"/>
          <w:szCs w:val="20"/>
          <w:color w:val="auto"/>
        </w:rPr>
      </w:pPr>
    </w:p>
    <w:p>
      <w:pPr>
        <w:ind w:right="100" w:firstLine="1944"/>
        <w:spacing w:after="0" w:line="27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Shares of Preferred Stock may be issued from time to time in one or more series of any number of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85" w:lineRule="exact"/>
        <w:rPr>
          <w:sz w:val="20"/>
          <w:szCs w:val="20"/>
          <w:color w:val="auto"/>
        </w:rPr>
      </w:pPr>
    </w:p>
    <w:p>
      <w:pPr>
        <w:ind w:left="2060" w:hanging="756"/>
        <w:spacing w:after="0"/>
        <w:tabs>
          <w:tab w:leader="none" w:pos="20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Class V Common Stock</w:t>
      </w:r>
      <w:r>
        <w:rPr>
          <w:rFonts w:ascii="Arial" w:cs="Arial" w:eastAsia="Arial" w:hAnsi="Arial"/>
          <w:sz w:val="22"/>
          <w:szCs w:val="22"/>
          <w:color w:val="auto"/>
        </w:rPr>
        <w:t>.</w:t>
      </w:r>
    </w:p>
    <w:p>
      <w:pPr>
        <w:spacing w:after="0" w:line="233" w:lineRule="exact"/>
        <w:rPr>
          <w:sz w:val="20"/>
          <w:szCs w:val="20"/>
          <w:color w:val="auto"/>
        </w:rPr>
      </w:pPr>
    </w:p>
    <w:p>
      <w:pPr>
        <w:ind w:right="20" w:firstLine="1944"/>
        <w:spacing w:after="0" w:line="24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Retirement of Class V Shares</w:t>
      </w:r>
      <w:r>
        <w:rPr>
          <w:rFonts w:ascii="Arial" w:cs="Arial" w:eastAsia="Arial" w:hAnsi="Arial"/>
          <w:sz w:val="21"/>
          <w:szCs w:val="21"/>
          <w:color w:val="auto"/>
        </w:rPr>
        <w:t>. No holder of Class V Common Stock may transfer shares of Class V Common Stock to any person unless such holder transfers a corresponding number of Class A LLC Units to the same person in accordance with the provisions of the Fourth Amended and Restated Operating Agreement of WM Holding Company, LLC, as such agreement may be amended from time to time in accordance with the terms thereof. If any outstanding share of Class V Common Stock ceases to be held by a holder of the corresponding Class A LLC Unit, such share shall automatically and without further action on the part of the Corporation or any holder of Class V Common Stock be transferred to the Corporation for no consideration and retired.</w:t>
      </w:r>
    </w:p>
    <w:p>
      <w:pPr>
        <w:spacing w:after="0" w:line="211" w:lineRule="exact"/>
        <w:rPr>
          <w:sz w:val="20"/>
          <w:szCs w:val="20"/>
          <w:color w:val="auto"/>
        </w:rPr>
      </w:pPr>
    </w:p>
    <w:p>
      <w:pPr>
        <w:ind w:right="200" w:firstLine="1944"/>
        <w:spacing w:after="0" w:line="27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Reservation of Shares of Class A Common Stock</w:t>
      </w:r>
      <w:r>
        <w:rPr>
          <w:rFonts w:ascii="Arial" w:cs="Arial" w:eastAsia="Arial" w:hAnsi="Arial"/>
          <w:sz w:val="19"/>
          <w:szCs w:val="19"/>
          <w:color w:val="auto"/>
        </w:rPr>
        <w:t>. The Corporation will at all times reserve and keep available out of its authorized and unissued shares of Class A Common Stock, solely for the purpose of the issuance in connection with (i) the exchange of Paired Interests, the number of shares of Class A Common Stock that are issuable upon conversion of all outstanding Paired Interests, pursuant to the Exchange Agreement and (ii) the exchange of Class A LLC Units issuable to holders of Class P LLC Units upon conversion pursuant to the Exchange Agreement (assuming for this purpose that the Participation Threshold of each Class P LLC Unit is zero at the time of conversion). The Corporation covenants that all the shares of Class A Common Stock that are issued upon the exchange of such Paired Interests or Class P LLC Units will, upon issuance,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5</w:t>
      </w:r>
    </w:p>
    <w:p>
      <w:pPr>
        <w:spacing w:after="0" w:line="160" w:lineRule="exact"/>
        <w:rPr>
          <w:sz w:val="20"/>
          <w:szCs w:val="20"/>
          <w:color w:val="auto"/>
        </w:rPr>
      </w:pPr>
    </w:p>
    <w:p>
      <w:pPr>
        <w:ind w:right="80" w:firstLine="1944"/>
        <w:spacing w:after="0" w:line="27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The issuance of shares of Class A Common Stock upon the exercise by holders of LLC Units of their right under the Exchange Agreement to exchange Paired Interests or Class P LLC Units for shares of Class A Common Stock will be made without charge to such holders for any transfer taxes, stamp taxes or duties or other similar tax in respect of the issuance;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such shares of Class A Common Stock are to be issued in a name other than that of the then record holder of the Paired Interests or Class P LLC Units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85" w:lineRule="exact"/>
        <w:rPr>
          <w:sz w:val="20"/>
          <w:szCs w:val="20"/>
          <w:color w:val="auto"/>
        </w:rPr>
      </w:pPr>
    </w:p>
    <w:p>
      <w:pPr>
        <w:ind w:right="200" w:firstLine="1944"/>
        <w:spacing w:after="0" w:line="252"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Preemptive Rights</w:t>
      </w:r>
      <w:r>
        <w:rPr>
          <w:rFonts w:ascii="Arial" w:cs="Arial" w:eastAsia="Arial" w:hAnsi="Arial"/>
          <w:sz w:val="21"/>
          <w:szCs w:val="21"/>
          <w:color w:val="auto"/>
        </w:rPr>
        <w:t>. To the extent Class A LLC Units are issued pursuant to the Fourth Amended and Restated Operating Agreement of WM Holding Company, LLC to anyone other than the Corporation or a wholly owned subsidiary of the Corporation, an equivalent number of shares of Class V Common Stock (subject to adjustment as set forth herein) shall be issued to the same Person to which such Class A LLC Units are issued at par.</w:t>
      </w:r>
    </w:p>
    <w:p>
      <w:pPr>
        <w:spacing w:after="0" w:line="201" w:lineRule="exact"/>
        <w:rPr>
          <w:sz w:val="20"/>
          <w:szCs w:val="20"/>
          <w:color w:val="auto"/>
        </w:rPr>
      </w:pPr>
    </w:p>
    <w:p>
      <w:pPr>
        <w:ind w:left="2060" w:hanging="756"/>
        <w:spacing w:after="0"/>
        <w:tabs>
          <w:tab w:leader="none" w:pos="20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Board of Directors</w:t>
      </w:r>
      <w:r>
        <w:rPr>
          <w:rFonts w:ascii="Arial" w:cs="Arial" w:eastAsia="Arial" w:hAnsi="Arial"/>
          <w:sz w:val="22"/>
          <w:szCs w:val="22"/>
          <w:color w:val="auto"/>
        </w:rPr>
        <w:t>.</w:t>
      </w:r>
    </w:p>
    <w:p>
      <w:pPr>
        <w:spacing w:after="0" w:line="233"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Number of Directors</w:t>
      </w:r>
      <w:r>
        <w:rPr>
          <w:rFonts w:ascii="Arial" w:cs="Arial" w:eastAsia="Arial" w:hAnsi="Arial"/>
          <w:sz w:val="19"/>
          <w:szCs w:val="19"/>
          <w:color w:val="auto"/>
        </w:rPr>
        <w:t>.</w:t>
      </w:r>
    </w:p>
    <w:p>
      <w:pPr>
        <w:spacing w:after="0" w:line="233" w:lineRule="exact"/>
        <w:rPr>
          <w:sz w:val="20"/>
          <w:szCs w:val="20"/>
          <w:color w:val="auto"/>
        </w:rPr>
      </w:pPr>
    </w:p>
    <w:p>
      <w:pPr>
        <w:ind w:right="80" w:firstLine="2600"/>
        <w:spacing w:after="0" w:line="277" w:lineRule="auto"/>
        <w:tabs>
          <w:tab w:leader="none" w:pos="3332"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shall so require, the election of the directors of the Corporation (the “</w:t>
      </w:r>
      <w:r>
        <w:rPr>
          <w:rFonts w:ascii="Arial" w:cs="Arial" w:eastAsia="Arial" w:hAnsi="Arial"/>
          <w:sz w:val="19"/>
          <w:szCs w:val="19"/>
          <w:u w:val="single" w:color="auto"/>
          <w:color w:val="auto"/>
        </w:rPr>
        <w:t>Directors</w:t>
      </w:r>
      <w:r>
        <w:rPr>
          <w:rFonts w:ascii="Arial" w:cs="Arial" w:eastAsia="Arial" w:hAnsi="Arial"/>
          <w:sz w:val="19"/>
          <w:szCs w:val="19"/>
          <w:color w:val="auto"/>
        </w:rPr>
        <w:t>”) need not be by written ballot. Except as otherwise provided for or fixed pursuant to the provisions of Section 5.2 of this Certificate of Incorporation relating to the rights of the holders of any series of Preferred Stock to elect additional Directors, the total number of Directors constituting the entire Board shall, (a) as of the date of this Certificate of Incorporation, be nine (9) and (b) thereafter, shall be fixed exclusively by one or more resolutions adopted from time to time by the Board.</w:t>
      </w:r>
    </w:p>
    <w:p>
      <w:pPr>
        <w:spacing w:after="0" w:line="178" w:lineRule="exact"/>
        <w:rPr>
          <w:rFonts w:ascii="Arial" w:cs="Arial" w:eastAsia="Arial" w:hAnsi="Arial"/>
          <w:sz w:val="19"/>
          <w:szCs w:val="19"/>
          <w:color w:val="auto"/>
        </w:rPr>
      </w:pPr>
    </w:p>
    <w:p>
      <w:pPr>
        <w:ind w:right="60" w:firstLine="2600"/>
        <w:spacing w:after="0" w:line="272" w:lineRule="auto"/>
        <w:tabs>
          <w:tab w:leader="none" w:pos="33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During any period when the holders of any series of Preferred Stock have the right to elect additional Directors as provided for or fixed pursuant to the provisions of Section 5.2 (“</w:t>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 upon the commencement, and for the duration, of the period during which such right continues: (i) the then total authorized number of Directors shall automatically be increased by such specified number of Preferred Stock Directors, and the holders of the related Preferred Stock shall be entitled to elect the Preferred Stock Directors pursuant to the provisions of the Board’s designation for the series of Preferred Stock and (ii)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color w:val="auto"/>
        </w:rPr>
        <w:t>6</w:t>
      </w:r>
    </w:p>
    <w:p>
      <w:pPr>
        <w:spacing w:after="0" w:line="160" w:lineRule="exact"/>
        <w:rPr>
          <w:sz w:val="20"/>
          <w:szCs w:val="20"/>
          <w:color w:val="auto"/>
        </w:rPr>
      </w:pPr>
    </w:p>
    <w:p>
      <w:pPr>
        <w:ind w:right="20" w:firstLine="1944"/>
        <w:spacing w:after="0" w:line="27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Staggered Board</w:t>
      </w:r>
      <w:r>
        <w:rPr>
          <w:rFonts w:ascii="Arial" w:cs="Arial" w:eastAsia="Arial" w:hAnsi="Arial"/>
          <w:sz w:val="19"/>
          <w:szCs w:val="19"/>
          <w:color w:val="auto"/>
        </w:rPr>
        <w:t>. The Board (other than Preferred Stock Directors) shall be divided into three (3) classes, as nearly equal in number as possible, designated Class I, Class II and Class III. Class I Directors shall initially serve until the first annual meeting of stockholders following the adoption of this Certificate of Incorporation; Class II Directors shall initially serve until the second annual meeting of stockholders following the adoption of this Certificate of Incorporation; and Class III Directors shall initially serve until the third annual meeting of stockholders following the adoption of this Certificate of Incorporation. Each Director of each class the term of which shall then expire shall be elected to hold office for a term ending on the date of the third annual meeting of stockholders next following the annual meeting at which such director was elected. In case of any increase or decrease, from time to time, in the number of Directors (other than Preferred Stock Directors), the number of Directors in each class shall be apportioned as nearly equal as possible. In the event of any change in the number of directors, the Board shall apportion any newly created directorships among, or reduce the number of directorships in, such class or classes as shall equalize, as nearly as possible, the number of directors in each class. In no event will a decrease in the number of directors shorten the term of any incumbent director. As of the date of this Certificate of Incorporation, the names and mailing addresses of the persons who are to serve initially as directors of each Class 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100" w:type="dxa"/>
            <w:vAlign w:val="bottom"/>
          </w:tcPr>
          <w:p>
            <w:pPr>
              <w:ind w:left="820"/>
              <w:spacing w:after="0"/>
              <w:rPr>
                <w:sz w:val="20"/>
                <w:szCs w:val="20"/>
                <w:color w:val="auto"/>
              </w:rPr>
            </w:pPr>
            <w:r>
              <w:rPr>
                <w:rFonts w:ascii="Arial" w:cs="Arial" w:eastAsia="Arial" w:hAnsi="Arial"/>
                <w:sz w:val="18"/>
                <w:szCs w:val="18"/>
                <w:b w:val="1"/>
                <w:bCs w:val="1"/>
                <w:color w:val="auto"/>
              </w:rPr>
              <w:t>Name</w:t>
            </w:r>
          </w:p>
        </w:tc>
        <w:tc>
          <w:tcPr>
            <w:tcW w:w="6700" w:type="dxa"/>
            <w:vAlign w:val="bottom"/>
          </w:tcPr>
          <w:p>
            <w:pPr>
              <w:ind w:left="1080"/>
              <w:spacing w:after="0"/>
              <w:rPr>
                <w:sz w:val="20"/>
                <w:szCs w:val="20"/>
                <w:color w:val="auto"/>
              </w:rPr>
            </w:pPr>
            <w:r>
              <w:rPr>
                <w:rFonts w:ascii="Arial" w:cs="Arial" w:eastAsia="Arial" w:hAnsi="Arial"/>
                <w:sz w:val="18"/>
                <w:szCs w:val="18"/>
                <w:b w:val="1"/>
                <w:bCs w:val="1"/>
                <w:color w:val="auto"/>
              </w:rPr>
              <w:t>Mailing Address</w:t>
            </w:r>
          </w:p>
        </w:tc>
      </w:tr>
      <w:tr>
        <w:trPr>
          <w:trHeight w:val="216"/>
        </w:trPr>
        <w:tc>
          <w:tcPr>
            <w:tcW w:w="1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Class I</w:t>
            </w: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Chris Beal</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tcPr>
          <w:p>
            <w:pPr>
              <w:spacing w:after="0"/>
              <w:rPr>
                <w:sz w:val="18"/>
                <w:szCs w:val="18"/>
                <w:color w:val="auto"/>
              </w:rPr>
            </w:pPr>
          </w:p>
        </w:tc>
        <w:tc>
          <w:tcPr>
            <w:tcW w:w="3100" w:type="dxa"/>
            <w:vAlign w:val="bottom"/>
          </w:tcPr>
          <w:p>
            <w:pPr>
              <w:ind w:left="820"/>
              <w:spacing w:after="0"/>
              <w:rPr>
                <w:sz w:val="20"/>
                <w:szCs w:val="20"/>
                <w:color w:val="auto"/>
              </w:rPr>
            </w:pPr>
            <w:r>
              <w:rPr>
                <w:rFonts w:ascii="Arial" w:cs="Arial" w:eastAsia="Arial" w:hAnsi="Arial"/>
                <w:sz w:val="18"/>
                <w:szCs w:val="18"/>
                <w:color w:val="auto"/>
              </w:rPr>
              <w:t>Fiona Tan</w:t>
            </w:r>
          </w:p>
        </w:tc>
        <w:tc>
          <w:tcPr>
            <w:tcW w:w="6700" w:type="dxa"/>
            <w:vAlign w:val="bottom"/>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shd w:val="clear" w:color="auto" w:fill="CCEEFF"/>
          </w:tcPr>
          <w:p>
            <w:pPr>
              <w:spacing w:after="0"/>
              <w:rPr>
                <w:sz w:val="18"/>
                <w:szCs w:val="18"/>
                <w:color w:val="auto"/>
              </w:rPr>
            </w:pP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Vacancy</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N/A</w:t>
            </w:r>
          </w:p>
        </w:tc>
      </w:tr>
      <w:tr>
        <w:trPr>
          <w:trHeight w:val="216"/>
        </w:trPr>
        <w:tc>
          <w:tcPr>
            <w:tcW w:w="1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Class II</w:t>
            </w: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Olga Gonzalez</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tcPr>
          <w:p>
            <w:pPr>
              <w:spacing w:after="0"/>
              <w:rPr>
                <w:sz w:val="18"/>
                <w:szCs w:val="18"/>
                <w:color w:val="auto"/>
              </w:rPr>
            </w:pPr>
          </w:p>
        </w:tc>
        <w:tc>
          <w:tcPr>
            <w:tcW w:w="3100" w:type="dxa"/>
            <w:vAlign w:val="bottom"/>
          </w:tcPr>
          <w:p>
            <w:pPr>
              <w:ind w:left="820"/>
              <w:spacing w:after="0"/>
              <w:rPr>
                <w:sz w:val="20"/>
                <w:szCs w:val="20"/>
                <w:color w:val="auto"/>
              </w:rPr>
            </w:pPr>
            <w:r>
              <w:rPr>
                <w:rFonts w:ascii="Arial" w:cs="Arial" w:eastAsia="Arial" w:hAnsi="Arial"/>
                <w:sz w:val="18"/>
                <w:szCs w:val="18"/>
                <w:color w:val="auto"/>
              </w:rPr>
              <w:t>Tony Aquila</w:t>
            </w:r>
          </w:p>
        </w:tc>
        <w:tc>
          <w:tcPr>
            <w:tcW w:w="6700" w:type="dxa"/>
            <w:vAlign w:val="bottom"/>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shd w:val="clear" w:color="auto" w:fill="CCEEFF"/>
          </w:tcPr>
          <w:p>
            <w:pPr>
              <w:spacing w:after="0"/>
              <w:rPr>
                <w:sz w:val="18"/>
                <w:szCs w:val="18"/>
                <w:color w:val="auto"/>
              </w:rPr>
            </w:pP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Brenda Freeman</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Class III</w:t>
            </w: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Justin Hartfield</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tcPr>
          <w:p>
            <w:pPr>
              <w:spacing w:after="0"/>
              <w:rPr>
                <w:sz w:val="18"/>
                <w:szCs w:val="18"/>
                <w:color w:val="auto"/>
              </w:rPr>
            </w:pPr>
          </w:p>
        </w:tc>
        <w:tc>
          <w:tcPr>
            <w:tcW w:w="3100" w:type="dxa"/>
            <w:vAlign w:val="bottom"/>
          </w:tcPr>
          <w:p>
            <w:pPr>
              <w:ind w:left="820"/>
              <w:spacing w:after="0"/>
              <w:rPr>
                <w:sz w:val="20"/>
                <w:szCs w:val="20"/>
                <w:color w:val="auto"/>
              </w:rPr>
            </w:pPr>
            <w:r>
              <w:rPr>
                <w:rFonts w:ascii="Arial" w:cs="Arial" w:eastAsia="Arial" w:hAnsi="Arial"/>
                <w:sz w:val="18"/>
                <w:szCs w:val="18"/>
                <w:color w:val="auto"/>
              </w:rPr>
              <w:t>Douglas Francis</w:t>
            </w:r>
          </w:p>
        </w:tc>
        <w:tc>
          <w:tcPr>
            <w:tcW w:w="6700" w:type="dxa"/>
            <w:vAlign w:val="bottom"/>
          </w:tcPr>
          <w:p>
            <w:pPr>
              <w:ind w:left="1080"/>
              <w:spacing w:after="0"/>
              <w:rPr>
                <w:sz w:val="20"/>
                <w:szCs w:val="20"/>
                <w:color w:val="auto"/>
              </w:rPr>
            </w:pPr>
            <w:r>
              <w:rPr>
                <w:rFonts w:ascii="Arial" w:cs="Arial" w:eastAsia="Arial" w:hAnsi="Arial"/>
                <w:sz w:val="18"/>
                <w:szCs w:val="18"/>
                <w:color w:val="auto"/>
              </w:rPr>
              <w:t>41 Discovery, Irvine, California 92618</w:t>
            </w:r>
          </w:p>
        </w:tc>
      </w:tr>
      <w:tr>
        <w:trPr>
          <w:trHeight w:val="216"/>
        </w:trPr>
        <w:tc>
          <w:tcPr>
            <w:tcW w:w="1440" w:type="dxa"/>
            <w:vAlign w:val="bottom"/>
            <w:shd w:val="clear" w:color="auto" w:fill="CCEEFF"/>
          </w:tcPr>
          <w:p>
            <w:pPr>
              <w:spacing w:after="0"/>
              <w:rPr>
                <w:sz w:val="18"/>
                <w:szCs w:val="18"/>
                <w:color w:val="auto"/>
              </w:rPr>
            </w:pPr>
          </w:p>
        </w:tc>
        <w:tc>
          <w:tcPr>
            <w:tcW w:w="3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Scott Gordon</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41 Discovery, Irvine, California 92618</w:t>
            </w:r>
          </w:p>
        </w:tc>
      </w:tr>
    </w:tbl>
    <w:p>
      <w:pPr>
        <w:spacing w:after="0" w:line="222" w:lineRule="exact"/>
        <w:rPr>
          <w:sz w:val="20"/>
          <w:szCs w:val="20"/>
          <w:color w:val="auto"/>
        </w:rPr>
      </w:pPr>
    </w:p>
    <w:p>
      <w:pPr>
        <w:ind w:right="20" w:firstLine="1944"/>
        <w:spacing w:after="0" w:line="245"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Vacancies and Newly Created Directorships</w:t>
      </w:r>
      <w:r>
        <w:rPr>
          <w:rFonts w:ascii="Arial" w:cs="Arial" w:eastAsia="Arial" w:hAnsi="Arial"/>
          <w:sz w:val="21"/>
          <w:szCs w:val="21"/>
          <w:color w:val="auto"/>
        </w:rPr>
        <w:t>.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w:t>
      </w:r>
    </w:p>
    <w:p>
      <w:pPr>
        <w:spacing w:after="0" w:line="208" w:lineRule="exact"/>
        <w:rPr>
          <w:sz w:val="20"/>
          <w:szCs w:val="20"/>
          <w:color w:val="auto"/>
        </w:rPr>
      </w:pPr>
    </w:p>
    <w:p>
      <w:pPr>
        <w:ind w:right="100" w:firstLine="1944"/>
        <w:spacing w:after="0" w:line="252"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Removal of Directors</w:t>
      </w:r>
      <w:r>
        <w:rPr>
          <w:rFonts w:ascii="Arial" w:cs="Arial" w:eastAsia="Arial" w:hAnsi="Arial"/>
          <w:sz w:val="21"/>
          <w:szCs w:val="21"/>
          <w:color w:val="auto"/>
        </w:rPr>
        <w:t>. Subject to any limitations imposed by applicable law, except for Preferred Stock Directors, any Director or the entire Board may be removed from office at any time, but only for cause by the affirmative vote of the holders of at least a majority of the total voting power of the outstanding shares of capital stock of the Corporation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color w:val="auto"/>
        </w:rPr>
        <w:t>7</w:t>
      </w:r>
    </w:p>
    <w:p>
      <w:pPr>
        <w:spacing w:after="0" w:line="160" w:lineRule="exact"/>
        <w:rPr>
          <w:sz w:val="20"/>
          <w:szCs w:val="20"/>
          <w:color w:val="auto"/>
        </w:rPr>
      </w:pPr>
    </w:p>
    <w:p>
      <w:pPr>
        <w:ind w:left="2060" w:hanging="756"/>
        <w:spacing w:after="0"/>
        <w:tabs>
          <w:tab w:leader="none" w:pos="20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Meetings of Stockholders</w:t>
      </w:r>
      <w:r>
        <w:rPr>
          <w:rFonts w:ascii="Arial" w:cs="Arial" w:eastAsia="Arial" w:hAnsi="Arial"/>
          <w:sz w:val="22"/>
          <w:szCs w:val="22"/>
          <w:color w:val="auto"/>
        </w:rPr>
        <w:t>.</w:t>
      </w:r>
    </w:p>
    <w:p>
      <w:pPr>
        <w:spacing w:after="0" w:line="233" w:lineRule="exact"/>
        <w:rPr>
          <w:sz w:val="20"/>
          <w:szCs w:val="20"/>
          <w:color w:val="auto"/>
        </w:rPr>
      </w:pPr>
    </w:p>
    <w:p>
      <w:pPr>
        <w:ind w:right="20" w:firstLine="1944"/>
        <w:spacing w:after="0" w:line="27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Action by Written Consent</w:t>
      </w:r>
      <w:r>
        <w:rPr>
          <w:rFonts w:ascii="Arial" w:cs="Arial" w:eastAsia="Arial" w:hAnsi="Arial"/>
          <w:sz w:val="19"/>
          <w:szCs w:val="19"/>
          <w:color w:val="auto"/>
        </w:rPr>
        <w:t xml:space="preserve">. Any action required or permitted to be taken by the stockholders of the Corporation may be effected only at a duly called annual or special meeting of stockholders of the Corporation and may not be effected by any consent in writing by such stockholders;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any action required or permitted to be taken by the holders of Class V Common Stock, voting separately as a class, may be effected by the consent in writing of the holders of a majority of the total voting power of the Class V Common Stock entitled to vote thereon, voting together as a single class in lieu of a duly called annual or special meeting of holders of Class V Common Stock.</w:t>
      </w:r>
    </w:p>
    <w:p>
      <w:pPr>
        <w:spacing w:after="0" w:line="177" w:lineRule="exact"/>
        <w:rPr>
          <w:sz w:val="20"/>
          <w:szCs w:val="20"/>
          <w:color w:val="auto"/>
        </w:rPr>
      </w:pPr>
    </w:p>
    <w:p>
      <w:pPr>
        <w:jc w:val="both"/>
        <w:ind w:right="240" w:firstLine="1944"/>
        <w:spacing w:after="0" w:line="257"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Meetings of Stockholders</w:t>
      </w:r>
      <w:r>
        <w:rPr>
          <w:rFonts w:ascii="Arial" w:cs="Arial" w:eastAsia="Arial" w:hAnsi="Arial"/>
          <w:sz w:val="21"/>
          <w:szCs w:val="21"/>
          <w:color w:val="auto"/>
        </w:rPr>
        <w:t>. (i) An annual meeting of stockholders for the election of directors to succeed those whose terms expire and for the transaction of such other business as may properly come before the meeting shall be held at such place, on such date, and at such time as the Board shall determine.</w:t>
      </w:r>
    </w:p>
    <w:p>
      <w:pPr>
        <w:spacing w:after="0" w:line="196" w:lineRule="exact"/>
        <w:rPr>
          <w:sz w:val="20"/>
          <w:szCs w:val="20"/>
          <w:color w:val="auto"/>
        </w:rPr>
      </w:pPr>
    </w:p>
    <w:p>
      <w:pPr>
        <w:ind w:right="80" w:firstLine="1952"/>
        <w:spacing w:after="0" w:line="279" w:lineRule="auto"/>
        <w:tabs>
          <w:tab w:leader="none" w:pos="2262" w:val="left"/>
        </w:tabs>
        <w:numPr>
          <w:ilvl w:val="1"/>
          <w:numId w:val="21"/>
        </w:numPr>
        <w:rPr>
          <w:rFonts w:ascii="Arial" w:cs="Arial" w:eastAsia="Arial" w:hAnsi="Arial"/>
          <w:sz w:val="19"/>
          <w:szCs w:val="19"/>
          <w:color w:val="auto"/>
        </w:rPr>
      </w:pPr>
      <w:r>
        <w:rPr>
          <w:rFonts w:ascii="Arial" w:cs="Arial" w:eastAsia="Arial" w:hAnsi="Arial"/>
          <w:sz w:val="19"/>
          <w:szCs w:val="19"/>
          <w:color w:val="auto"/>
        </w:rPr>
        <w:t>Subject to any special rights of the holders of any series of Preferred Stock, and to the requirements of applicable law, special meetings of stockholders of the Corporation may be called only by the chairperson of the Board, the chief executive officer of the Corporation or at the direction of the Board pursuant to a written resolution adopted by a majority of the total number of Directors that the Corporation would have if there were no vacancies. Any business transacted at any special meeting of stockholders shall be limited to matters relating to the purpose or purposes stated in the notice of meeting. The ability of holders of Common Stock to call a special meeting of the stockholders is hereby specifically denied.</w:t>
      </w:r>
    </w:p>
    <w:p>
      <w:pPr>
        <w:spacing w:after="0" w:line="177" w:lineRule="exact"/>
        <w:rPr>
          <w:rFonts w:ascii="Arial" w:cs="Arial" w:eastAsia="Arial" w:hAnsi="Arial"/>
          <w:sz w:val="19"/>
          <w:szCs w:val="19"/>
          <w:color w:val="auto"/>
        </w:rPr>
      </w:pPr>
    </w:p>
    <w:p>
      <w:pPr>
        <w:ind w:right="280" w:firstLine="1304"/>
        <w:spacing w:after="0"/>
        <w:tabs>
          <w:tab w:leader="none" w:pos="1674" w:val="left"/>
        </w:tabs>
        <w:numPr>
          <w:ilvl w:val="0"/>
          <w:numId w:val="22"/>
        </w:numPr>
        <w:rPr>
          <w:rFonts w:ascii="Arial" w:cs="Arial" w:eastAsia="Arial" w:hAnsi="Arial"/>
          <w:sz w:val="22"/>
          <w:szCs w:val="22"/>
          <w:color w:val="auto"/>
        </w:rPr>
      </w:pPr>
      <w:r>
        <w:rPr>
          <w:rFonts w:ascii="Arial" w:cs="Arial" w:eastAsia="Arial" w:hAnsi="Arial"/>
          <w:sz w:val="22"/>
          <w:szCs w:val="22"/>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213" w:lineRule="exact"/>
        <w:rPr>
          <w:sz w:val="20"/>
          <w:szCs w:val="20"/>
          <w:color w:val="auto"/>
        </w:rPr>
      </w:pPr>
    </w:p>
    <w:p>
      <w:pPr>
        <w:ind w:right="200" w:firstLine="1944"/>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No Cumulative Voting; Election of Directors by Written Ballot</w:t>
      </w:r>
      <w:r>
        <w:rPr>
          <w:rFonts w:ascii="Arial" w:cs="Arial" w:eastAsia="Arial" w:hAnsi="Arial"/>
          <w:sz w:val="22"/>
          <w:szCs w:val="22"/>
          <w:color w:val="auto"/>
        </w:rPr>
        <w:t>. There shall be no cumulative voting in the election of directors. Unless and except to the extent that the By-laws shall so require, the election of the Directors need not be by written ballot.</w:t>
      </w:r>
    </w:p>
    <w:p>
      <w:pPr>
        <w:spacing w:after="0" w:line="213" w:lineRule="exact"/>
        <w:rPr>
          <w:sz w:val="20"/>
          <w:szCs w:val="20"/>
          <w:color w:val="auto"/>
        </w:rPr>
      </w:pPr>
    </w:p>
    <w:p>
      <w:pPr>
        <w:ind w:left="2060" w:hanging="756"/>
        <w:spacing w:after="0"/>
        <w:tabs>
          <w:tab w:leader="none" w:pos="20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ind w:right="260" w:firstLine="1944"/>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Limited Liability</w:t>
      </w:r>
      <w:r>
        <w:rPr>
          <w:rFonts w:ascii="Arial" w:cs="Arial" w:eastAsia="Arial" w:hAnsi="Arial"/>
          <w:sz w:val="22"/>
          <w:szCs w:val="22"/>
          <w:color w:val="auto"/>
        </w:rPr>
        <w:t>. The liability of the directors for monetary damages shall be eliminated to the fullest extent permitted by applicable law.</w:t>
      </w:r>
    </w:p>
    <w:p>
      <w:pPr>
        <w:spacing w:after="0" w:line="202"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1160"/>
        <w:spacing w:after="0"/>
        <w:rPr>
          <w:sz w:val="20"/>
          <w:szCs w:val="20"/>
          <w:color w:val="auto"/>
        </w:rPr>
      </w:pPr>
      <w:r>
        <w:rPr>
          <w:rFonts w:ascii="Arial" w:cs="Arial" w:eastAsia="Arial" w:hAnsi="Arial"/>
          <w:sz w:val="14"/>
          <w:szCs w:val="14"/>
          <w:color w:val="auto"/>
        </w:rPr>
        <w:t>8</w:t>
      </w:r>
    </w:p>
    <w:p>
      <w:pPr>
        <w:spacing w:after="0" w:line="160" w:lineRule="exact"/>
        <w:rPr>
          <w:sz w:val="20"/>
          <w:szCs w:val="20"/>
          <w:color w:val="auto"/>
        </w:rPr>
      </w:pPr>
    </w:p>
    <w:p>
      <w:pPr>
        <w:ind w:right="20" w:firstLine="1944"/>
        <w:spacing w:after="0" w:line="245" w:lineRule="auto"/>
        <w:rPr>
          <w:sz w:val="20"/>
          <w:szCs w:val="20"/>
          <w:color w:val="auto"/>
        </w:rPr>
      </w:pPr>
      <w:r>
        <w:rPr>
          <w:rFonts w:ascii="Arial" w:cs="Arial" w:eastAsia="Arial" w:hAnsi="Arial"/>
          <w:sz w:val="21"/>
          <w:szCs w:val="21"/>
          <w:color w:val="auto"/>
        </w:rPr>
        <w:t>9.3 To the fullest extent permitted by applicable law, the Corporation shall provide indemnification of (and advancement of expenses to) Directors, officers, employees and agents of the Corporation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9 to authorize corporate action further eliminating or limiting the personal liability of Directors, then the liability of a director to the Corporation shall be eliminated or limited to the fullest extent permitted by applicable law as so amended. Any repeal or modification of this Article 9 shall only be prospective and shall not affect the rights or protections or increase the liability of any Director under this Article 9 in effect at the time of the alleged occurrence of any act or omission to act giving rise to liability or indemnification.</w:t>
      </w:r>
    </w:p>
    <w:p>
      <w:pPr>
        <w:spacing w:after="0" w:line="208" w:lineRule="exact"/>
        <w:rPr>
          <w:sz w:val="20"/>
          <w:szCs w:val="20"/>
          <w:color w:val="auto"/>
        </w:rPr>
      </w:pPr>
    </w:p>
    <w:p>
      <w:pPr>
        <w:ind w:right="20" w:firstLine="1944"/>
        <w:spacing w:after="0" w:line="23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Insurance</w:t>
      </w:r>
      <w:r>
        <w:rPr>
          <w:rFonts w:ascii="Arial" w:cs="Arial" w:eastAsia="Arial" w:hAnsi="Arial"/>
          <w:sz w:val="22"/>
          <w:szCs w:val="22"/>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215" w:lineRule="exact"/>
        <w:rPr>
          <w:sz w:val="20"/>
          <w:szCs w:val="20"/>
          <w:color w:val="auto"/>
        </w:rPr>
      </w:pPr>
    </w:p>
    <w:p>
      <w:pPr>
        <w:ind w:right="780" w:firstLine="1944"/>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The rights and authority conferred in this Article 9 shall not be exclusive of any other right that any Person may otherwise have or hereafter acquire.</w:t>
      </w:r>
    </w:p>
    <w:p>
      <w:pPr>
        <w:spacing w:after="0" w:line="202" w:lineRule="exact"/>
        <w:rPr>
          <w:sz w:val="20"/>
          <w:szCs w:val="20"/>
          <w:color w:val="auto"/>
        </w:rPr>
      </w:pPr>
    </w:p>
    <w:p>
      <w:pPr>
        <w:ind w:right="120" w:firstLine="1304"/>
        <w:spacing w:after="0" w:line="246" w:lineRule="auto"/>
        <w:tabs>
          <w:tab w:leader="none" w:pos="2052"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Adoption, Amendment or Repeal of By-Laws</w:t>
      </w:r>
      <w:r>
        <w:rPr>
          <w:rFonts w:ascii="Arial" w:cs="Arial" w:eastAsia="Arial" w:hAnsi="Arial"/>
          <w:sz w:val="21"/>
          <w:szCs w:val="21"/>
          <w:color w:val="auto"/>
        </w:rPr>
        <w:t>. In furtherance and not in limitation of the powers conferred by law, the Board is expressly authorized to make, alter, amend or repeal the By-laws. Any adoption, amendment or repeal of the Bylaws of the Corporation by the Board shall require the approval of a majority of the authorized number of Directors. The stockholders shall also have power to adopt, amend or repeal the Bylaws of the Corporation; provided, however, that, in addition to any vote of the holders of any class or series of stock of the Corporation required by law or by this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9</w:t>
      </w:r>
    </w:p>
    <w:p>
      <w:pPr>
        <w:spacing w:after="0" w:line="160" w:lineRule="exact"/>
        <w:rPr>
          <w:sz w:val="20"/>
          <w:szCs w:val="20"/>
          <w:color w:val="auto"/>
        </w:rPr>
      </w:pPr>
    </w:p>
    <w:p>
      <w:pPr>
        <w:ind w:right="100" w:firstLine="1304"/>
        <w:spacing w:after="0" w:line="272" w:lineRule="auto"/>
        <w:tabs>
          <w:tab w:leader="none" w:pos="204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Adoption, Amendment and Repeal of Certificate</w:t>
      </w:r>
      <w:r>
        <w:rPr>
          <w:rFonts w:ascii="Arial" w:cs="Arial" w:eastAsia="Arial" w:hAnsi="Arial"/>
          <w:sz w:val="19"/>
          <w:szCs w:val="19"/>
          <w:color w:val="auto"/>
        </w:rPr>
        <w:t>. Subject to Article 5, the Corporation reserves the right to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 Notwithstanding anything to the contrary contained in this Certificate of Incorporation, and notwithstanding that a lesser percentage may be permitted from time to time by applicable law, no provision of Sections 7.2, 7.3 and 7.4 of Article 7, Sections 8.1 and 8.2 of Article 8 or Article 9, 10, 12 or 13 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in addition to any other vote otherwise required by law, the affirmative vote of the holders of sixty-six and two-thirds percent (66 and 2/3%) of the total voting power of the outstanding shares of capital stock of the Corporation entitled to vote generally in the election of Directors, voting together as a single class, at a meeting of the stockholders called for that purpose.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060" w:hanging="756"/>
        <w:spacing w:after="0"/>
        <w:tabs>
          <w:tab w:leader="none" w:pos="20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Forum for Adjudication of Disputes</w:t>
      </w:r>
      <w:r>
        <w:rPr>
          <w:rFonts w:ascii="Arial" w:cs="Arial" w:eastAsia="Arial" w:hAnsi="Arial"/>
          <w:sz w:val="22"/>
          <w:szCs w:val="22"/>
          <w:color w:val="auto"/>
        </w:rPr>
        <w:t>.</w:t>
      </w:r>
    </w:p>
    <w:p>
      <w:pPr>
        <w:spacing w:after="0" w:line="233" w:lineRule="exact"/>
        <w:rPr>
          <w:sz w:val="20"/>
          <w:szCs w:val="20"/>
          <w:color w:val="auto"/>
        </w:rPr>
      </w:pPr>
    </w:p>
    <w:p>
      <w:pPr>
        <w:ind w:right="40" w:firstLine="1944"/>
        <w:spacing w:after="0" w:line="270" w:lineRule="auto"/>
        <w:rPr>
          <w:sz w:val="20"/>
          <w:szCs w:val="20"/>
          <w:color w:val="auto"/>
        </w:rPr>
      </w:pPr>
      <w:r>
        <w:rPr>
          <w:rFonts w:ascii="Arial" w:cs="Arial" w:eastAsia="Arial" w:hAnsi="Arial"/>
          <w:sz w:val="19"/>
          <w:szCs w:val="19"/>
          <w:color w:val="auto"/>
        </w:rPr>
        <w:t>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Company arising out of or pursuant to any provision of the General Corporation Law,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General Corporation Law confers jurisdiction to the Court of Chancery of the State of Delaware; or (F)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Article 12 shall not apply to suits brought to enforce a duty or liability created by the Securities Exchange Act of 1934, as amended, or any other claim for which the federal courts have exclusive jurisdiction.</w:t>
      </w:r>
    </w:p>
    <w:p>
      <w:pPr>
        <w:spacing w:after="0" w:line="200" w:lineRule="exact"/>
        <w:rPr>
          <w:sz w:val="20"/>
          <w:szCs w:val="20"/>
          <w:color w:val="auto"/>
        </w:rPr>
      </w:pPr>
    </w:p>
    <w:p>
      <w:pPr>
        <w:spacing w:after="0" w:line="238" w:lineRule="exact"/>
        <w:rPr>
          <w:sz w:val="20"/>
          <w:szCs w:val="20"/>
          <w:color w:val="auto"/>
        </w:rPr>
      </w:pPr>
    </w:p>
    <w:p>
      <w:pPr>
        <w:ind w:right="380" w:firstLine="1944"/>
        <w:spacing w:after="0" w:line="248" w:lineRule="auto"/>
        <w:rPr>
          <w:sz w:val="20"/>
          <w:szCs w:val="20"/>
          <w:color w:val="auto"/>
        </w:rPr>
      </w:pPr>
      <w:r>
        <w:rPr>
          <w:rFonts w:ascii="Arial" w:cs="Arial" w:eastAsia="Arial" w:hAnsi="Arial"/>
          <w:sz w:val="21"/>
          <w:szCs w:val="21"/>
          <w:color w:val="auto"/>
        </w:rPr>
        <w:t>12.2 If any action the subject matter of which is within the scope of Section 12.1 is filed in a court other than a court located within the State of Delaware (a “</w:t>
      </w:r>
      <w:r>
        <w:rPr>
          <w:rFonts w:ascii="Arial" w:cs="Arial" w:eastAsia="Arial" w:hAnsi="Arial"/>
          <w:sz w:val="21"/>
          <w:szCs w:val="21"/>
          <w:u w:val="single" w:color="auto"/>
          <w:color w:val="auto"/>
        </w:rPr>
        <w:t>Foreign Action</w:t>
      </w:r>
      <w:r>
        <w:rPr>
          <w:rFonts w:ascii="Arial" w:cs="Arial" w:eastAsia="Arial" w:hAnsi="Arial"/>
          <w:sz w:val="21"/>
          <w:szCs w:val="21"/>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(an “</w:t>
      </w:r>
      <w:r>
        <w:rPr>
          <w:rFonts w:ascii="Arial" w:cs="Arial" w:eastAsia="Arial" w:hAnsi="Arial"/>
          <w:sz w:val="21"/>
          <w:szCs w:val="21"/>
          <w:u w:val="single" w:color="auto"/>
          <w:color w:val="auto"/>
        </w:rPr>
        <w:t>Enforcement Action</w:t>
      </w:r>
      <w:r>
        <w:rPr>
          <w:rFonts w:ascii="Arial" w:cs="Arial" w:eastAsia="Arial" w:hAnsi="Arial"/>
          <w:sz w:val="21"/>
          <w:szCs w:val="21"/>
          <w:color w:val="auto"/>
        </w:rPr>
        <w:t>”) and (ii) having service of process made upon such stockholder in any such Enforcement Action by service upon such stockholder’s counsel in the Foreign Action as agent for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auto"/>
        </w:rPr>
        <w:t>10</w:t>
      </w:r>
    </w:p>
    <w:p>
      <w:pPr>
        <w:spacing w:after="0" w:line="160" w:lineRule="exact"/>
        <w:rPr>
          <w:sz w:val="20"/>
          <w:szCs w:val="20"/>
          <w:color w:val="auto"/>
        </w:rPr>
      </w:pPr>
    </w:p>
    <w:p>
      <w:pPr>
        <w:ind w:right="200" w:firstLine="1944"/>
        <w:spacing w:after="0"/>
        <w:rPr>
          <w:sz w:val="20"/>
          <w:szCs w:val="20"/>
          <w:color w:val="auto"/>
        </w:rPr>
      </w:pPr>
      <w:r>
        <w:rPr>
          <w:rFonts w:ascii="Arial" w:cs="Arial" w:eastAsia="Arial" w:hAnsi="Arial"/>
          <w:sz w:val="22"/>
          <w:szCs w:val="22"/>
          <w:color w:val="auto"/>
        </w:rPr>
        <w:t>12.3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213" w:lineRule="exact"/>
        <w:rPr>
          <w:sz w:val="20"/>
          <w:szCs w:val="20"/>
          <w:color w:val="auto"/>
        </w:rPr>
      </w:pPr>
    </w:p>
    <w:p>
      <w:pPr>
        <w:ind w:right="520" w:firstLine="1944"/>
        <w:spacing w:after="0" w:line="328" w:lineRule="auto"/>
        <w:rPr>
          <w:sz w:val="20"/>
          <w:szCs w:val="20"/>
          <w:color w:val="auto"/>
        </w:rPr>
      </w:pPr>
      <w:r>
        <w:rPr>
          <w:rFonts w:ascii="Arial" w:cs="Arial" w:eastAsia="Arial" w:hAnsi="Arial"/>
          <w:sz w:val="19"/>
          <w:szCs w:val="19"/>
          <w:color w:val="auto"/>
        </w:rPr>
        <w:t>12.4 Any person or entity purchasing, holding, owning or otherwise acquiring any interest in any security of the Corporation shall be deemed to have notice of and to have consented to the provisions of this Article 12.</w:t>
      </w:r>
    </w:p>
    <w:p>
      <w:pPr>
        <w:spacing w:after="0" w:line="132" w:lineRule="exact"/>
        <w:rPr>
          <w:sz w:val="20"/>
          <w:szCs w:val="20"/>
          <w:color w:val="auto"/>
        </w:rPr>
      </w:pPr>
    </w:p>
    <w:p>
      <w:pPr>
        <w:ind w:right="40" w:firstLine="1304"/>
        <w:spacing w:after="0" w:line="245" w:lineRule="auto"/>
        <w:tabs>
          <w:tab w:leader="none" w:pos="2052"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7" w:lineRule="exact"/>
        <w:rPr>
          <w:rFonts w:ascii="Arial" w:cs="Arial" w:eastAsia="Arial" w:hAnsi="Arial"/>
          <w:sz w:val="21"/>
          <w:szCs w:val="21"/>
          <w:color w:val="auto"/>
        </w:rPr>
      </w:pPr>
    </w:p>
    <w:p>
      <w:pPr>
        <w:ind w:right="80" w:firstLine="1304"/>
        <w:spacing w:after="0" w:line="233" w:lineRule="auto"/>
        <w:tabs>
          <w:tab w:leader="none" w:pos="205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Corporate Opportunity</w:t>
      </w:r>
      <w:r>
        <w:rPr>
          <w:rFonts w:ascii="Arial" w:cs="Arial" w:eastAsia="Arial" w:hAnsi="Arial"/>
          <w:sz w:val="22"/>
          <w:szCs w:val="22"/>
          <w:color w:val="auto"/>
        </w:rPr>
        <w:t>. To the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219" w:lineRule="exact"/>
        <w:rPr>
          <w:rFonts w:ascii="Arial" w:cs="Arial" w:eastAsia="Arial" w:hAnsi="Arial"/>
          <w:sz w:val="22"/>
          <w:szCs w:val="22"/>
          <w:color w:val="auto"/>
        </w:rPr>
      </w:pPr>
    </w:p>
    <w:p>
      <w:pPr>
        <w:ind w:right="280" w:firstLine="1304"/>
        <w:spacing w:after="0" w:line="250" w:lineRule="auto"/>
        <w:tabs>
          <w:tab w:leader="none" w:pos="205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Certificate of Incorporation, unless the context otherwise requires or as set forth in another Article or Section of this Certificate of Incorporation,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11</w:t>
      </w:r>
    </w:p>
    <w:p>
      <w:pPr>
        <w:spacing w:after="0" w:line="160" w:lineRule="exact"/>
        <w:rPr>
          <w:sz w:val="20"/>
          <w:szCs w:val="20"/>
          <w:color w:val="auto"/>
        </w:rPr>
      </w:pPr>
    </w:p>
    <w:p>
      <w:pPr>
        <w:ind w:right="140" w:firstLine="1952"/>
        <w:spacing w:after="0" w:line="282" w:lineRule="auto"/>
        <w:tabs>
          <w:tab w:leader="none" w:pos="2724"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directly or indirectly controlling, controlled by or under common control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74" w:lineRule="exact"/>
        <w:rPr>
          <w:rFonts w:ascii="Arial" w:cs="Arial" w:eastAsia="Arial" w:hAnsi="Arial"/>
          <w:sz w:val="19"/>
          <w:szCs w:val="19"/>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is defined in Section 5.1(ii)(1).</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is defined in Section 7.1.</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is defined in the recitals.</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is defined in Section 4.1.</w:t>
      </w:r>
    </w:p>
    <w:p>
      <w:pPr>
        <w:spacing w:after="0" w:line="233" w:lineRule="exact"/>
        <w:rPr>
          <w:rFonts w:ascii="Arial" w:cs="Arial" w:eastAsia="Arial" w:hAnsi="Arial"/>
          <w:sz w:val="22"/>
          <w:szCs w:val="22"/>
          <w:color w:val="auto"/>
        </w:rPr>
      </w:pPr>
    </w:p>
    <w:p>
      <w:pPr>
        <w:ind w:right="180" w:firstLine="1952"/>
        <w:spacing w:after="0" w:line="250" w:lineRule="auto"/>
        <w:tabs>
          <w:tab w:leader="none" w:pos="2754"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LLC Unit</w:t>
      </w:r>
      <w:r>
        <w:rPr>
          <w:rFonts w:ascii="Arial" w:cs="Arial" w:eastAsia="Arial" w:hAnsi="Arial"/>
          <w:sz w:val="22"/>
          <w:szCs w:val="22"/>
          <w:color w:val="auto"/>
        </w:rPr>
        <w:t>” means a unit of WM Holding Company, LLC designated as a Class A Unit pursuant to the Fourth Amended and Restated Operating Agreement of WM Holding Company.</w:t>
      </w:r>
    </w:p>
    <w:p>
      <w:pPr>
        <w:spacing w:after="0" w:line="201" w:lineRule="exact"/>
        <w:rPr>
          <w:rFonts w:ascii="Arial" w:cs="Arial" w:eastAsia="Arial" w:hAnsi="Arial"/>
          <w:sz w:val="22"/>
          <w:szCs w:val="22"/>
          <w:color w:val="auto"/>
        </w:rPr>
      </w:pPr>
    </w:p>
    <w:p>
      <w:pPr>
        <w:ind w:right="280" w:firstLine="1952"/>
        <w:spacing w:after="0" w:line="250" w:lineRule="auto"/>
        <w:tabs>
          <w:tab w:leader="none" w:pos="27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P LLC Unit</w:t>
      </w:r>
      <w:r>
        <w:rPr>
          <w:rFonts w:ascii="Arial" w:cs="Arial" w:eastAsia="Arial" w:hAnsi="Arial"/>
          <w:sz w:val="22"/>
          <w:szCs w:val="22"/>
          <w:color w:val="auto"/>
        </w:rPr>
        <w:t>” means a unit of WM Holding Company, LLC designated as a Class P Unit pursuant to the Fourth Amended and Restated Operating Agreement of WM Holding Company.</w:t>
      </w:r>
    </w:p>
    <w:p>
      <w:pPr>
        <w:spacing w:after="0" w:line="201"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V Common Stock</w:t>
      </w:r>
      <w:r>
        <w:rPr>
          <w:rFonts w:ascii="Arial" w:cs="Arial" w:eastAsia="Arial" w:hAnsi="Arial"/>
          <w:sz w:val="22"/>
          <w:szCs w:val="22"/>
          <w:color w:val="auto"/>
        </w:rPr>
        <w:t>” is defined in Section 4.1.</w:t>
      </w:r>
    </w:p>
    <w:p>
      <w:pPr>
        <w:spacing w:after="0" w:line="233" w:lineRule="exact"/>
        <w:rPr>
          <w:rFonts w:ascii="Arial" w:cs="Arial" w:eastAsia="Arial" w:hAnsi="Arial"/>
          <w:sz w:val="22"/>
          <w:szCs w:val="22"/>
          <w:color w:val="auto"/>
        </w:rPr>
      </w:pPr>
    </w:p>
    <w:p>
      <w:pPr>
        <w:ind w:left="2760" w:hanging="808"/>
        <w:spacing w:after="0"/>
        <w:tabs>
          <w:tab w:leader="none" w:pos="2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is defined in Section 4.1.</w:t>
      </w:r>
    </w:p>
    <w:p>
      <w:pPr>
        <w:spacing w:after="0" w:line="233" w:lineRule="exact"/>
        <w:rPr>
          <w:rFonts w:ascii="Arial" w:cs="Arial" w:eastAsia="Arial" w:hAnsi="Arial"/>
          <w:sz w:val="22"/>
          <w:szCs w:val="22"/>
          <w:color w:val="auto"/>
        </w:rPr>
      </w:pPr>
    </w:p>
    <w:p>
      <w:pPr>
        <w:ind w:right="100" w:firstLine="1952"/>
        <w:spacing w:after="0" w:line="238" w:lineRule="auto"/>
        <w:tabs>
          <w:tab w:leader="none" w:pos="27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211"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WM Technology, Inc.</w:t>
      </w:r>
    </w:p>
    <w:p>
      <w:pPr>
        <w:spacing w:after="0" w:line="233" w:lineRule="exact"/>
        <w:rPr>
          <w:rFonts w:ascii="Arial" w:cs="Arial" w:eastAsia="Arial" w:hAnsi="Arial"/>
          <w:sz w:val="22"/>
          <w:szCs w:val="22"/>
          <w:color w:val="auto"/>
        </w:rPr>
      </w:pPr>
    </w:p>
    <w:p>
      <w:pPr>
        <w:ind w:left="2760" w:hanging="808"/>
        <w:spacing w:after="0"/>
        <w:tabs>
          <w:tab w:leader="none" w:pos="2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is defined in Section 7.1.</w:t>
      </w:r>
    </w:p>
    <w:p>
      <w:pPr>
        <w:spacing w:after="0" w:line="233" w:lineRule="exact"/>
        <w:rPr>
          <w:rFonts w:ascii="Arial" w:cs="Arial" w:eastAsia="Arial" w:hAnsi="Arial"/>
          <w:sz w:val="22"/>
          <w:szCs w:val="22"/>
          <w:color w:val="auto"/>
        </w:rPr>
      </w:pPr>
    </w:p>
    <w:p>
      <w:pPr>
        <w:ind w:left="2760" w:hanging="808"/>
        <w:spacing w:after="0"/>
        <w:tabs>
          <w:tab w:leader="none" w:pos="2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Enforcement Action</w:t>
      </w:r>
      <w:r>
        <w:rPr>
          <w:rFonts w:ascii="Arial" w:cs="Arial" w:eastAsia="Arial" w:hAnsi="Arial"/>
          <w:sz w:val="22"/>
          <w:szCs w:val="22"/>
          <w:color w:val="auto"/>
        </w:rPr>
        <w:t>” is defined in Section 12.2.</w:t>
      </w:r>
    </w:p>
    <w:p>
      <w:pPr>
        <w:spacing w:after="0" w:line="233" w:lineRule="exact"/>
        <w:rPr>
          <w:rFonts w:ascii="Arial" w:cs="Arial" w:eastAsia="Arial" w:hAnsi="Arial"/>
          <w:sz w:val="22"/>
          <w:szCs w:val="22"/>
          <w:color w:val="auto"/>
        </w:rPr>
      </w:pPr>
    </w:p>
    <w:p>
      <w:pPr>
        <w:ind w:right="400" w:firstLine="1952"/>
        <w:spacing w:after="0"/>
        <w:tabs>
          <w:tab w:leader="none" w:pos="27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Agreement</w:t>
      </w:r>
      <w:r>
        <w:rPr>
          <w:rFonts w:ascii="Arial" w:cs="Arial" w:eastAsia="Arial" w:hAnsi="Arial"/>
          <w:sz w:val="22"/>
          <w:szCs w:val="22"/>
          <w:color w:val="auto"/>
        </w:rPr>
        <w:t>” means the Exchange Agreement, dated as of June 16, 2021, by and among WM Technology, Inc., a Delaware corporation, WM Holding Company, LLC and the holders from time to time party hereto.</w:t>
      </w:r>
    </w:p>
    <w:p>
      <w:pPr>
        <w:spacing w:after="0" w:line="213" w:lineRule="exact"/>
        <w:rPr>
          <w:rFonts w:ascii="Arial" w:cs="Arial" w:eastAsia="Arial" w:hAnsi="Arial"/>
          <w:sz w:val="22"/>
          <w:szCs w:val="22"/>
          <w:color w:val="auto"/>
        </w:rPr>
      </w:pPr>
    </w:p>
    <w:p>
      <w:pPr>
        <w:ind w:left="2740" w:hanging="788"/>
        <w:spacing w:after="0"/>
        <w:tabs>
          <w:tab w:leader="none" w:pos="2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Action</w:t>
      </w:r>
      <w:r>
        <w:rPr>
          <w:rFonts w:ascii="Arial" w:cs="Arial" w:eastAsia="Arial" w:hAnsi="Arial"/>
          <w:sz w:val="22"/>
          <w:szCs w:val="22"/>
          <w:color w:val="auto"/>
        </w:rPr>
        <w:t>” is defined in Section 12.2.</w:t>
      </w:r>
    </w:p>
    <w:p>
      <w:pPr>
        <w:spacing w:after="0" w:line="233" w:lineRule="exact"/>
        <w:rPr>
          <w:rFonts w:ascii="Arial" w:cs="Arial" w:eastAsia="Arial" w:hAnsi="Arial"/>
          <w:sz w:val="22"/>
          <w:szCs w:val="22"/>
          <w:color w:val="auto"/>
        </w:rPr>
      </w:pPr>
    </w:p>
    <w:p>
      <w:pPr>
        <w:ind w:right="300" w:firstLine="1952"/>
        <w:spacing w:after="0" w:line="252" w:lineRule="auto"/>
        <w:tabs>
          <w:tab w:leader="none" w:pos="2736" w:val="left"/>
        </w:tabs>
        <w:numPr>
          <w:ilvl w:val="0"/>
          <w:numId w:val="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Fourth Amended and Restated Operating Agreement of WM Holding Company, LLC</w:t>
      </w:r>
      <w:r>
        <w:rPr>
          <w:rFonts w:ascii="Arial" w:cs="Arial" w:eastAsia="Arial" w:hAnsi="Arial"/>
          <w:sz w:val="21"/>
          <w:szCs w:val="21"/>
          <w:color w:val="auto"/>
        </w:rPr>
        <w:t>” means the Fourth Amended and Restated Operating Agreement, dated as of June 16, 2021, by and among the Corporation, the Post-Acquisition LLC Members and the other Persons that may become parties thereto from time to time, as the same may be amended, restated, supplemented and/or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auto"/>
        </w:rPr>
        <w:t>12</w:t>
      </w:r>
    </w:p>
    <w:p>
      <w:pPr>
        <w:spacing w:after="0" w:line="160" w:lineRule="exact"/>
        <w:rPr>
          <w:sz w:val="20"/>
          <w:szCs w:val="20"/>
          <w:color w:val="auto"/>
        </w:rPr>
      </w:pPr>
    </w:p>
    <w:p>
      <w:pPr>
        <w:ind w:left="2740" w:hanging="788"/>
        <w:spacing w:after="0"/>
        <w:tabs>
          <w:tab w:leader="none" w:pos="2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Corporation Law</w:t>
      </w:r>
      <w:r>
        <w:rPr>
          <w:rFonts w:ascii="Arial" w:cs="Arial" w:eastAsia="Arial" w:hAnsi="Arial"/>
          <w:sz w:val="22"/>
          <w:szCs w:val="22"/>
          <w:color w:val="auto"/>
        </w:rPr>
        <w:t>” is defined in the recitals.</w:t>
      </w:r>
    </w:p>
    <w:p>
      <w:pPr>
        <w:spacing w:after="0" w:line="233" w:lineRule="exact"/>
        <w:rPr>
          <w:rFonts w:ascii="Arial" w:cs="Arial" w:eastAsia="Arial" w:hAnsi="Arial"/>
          <w:sz w:val="22"/>
          <w:szCs w:val="22"/>
          <w:color w:val="auto"/>
        </w:rPr>
      </w:pPr>
    </w:p>
    <w:p>
      <w:pPr>
        <w:ind w:left="2760" w:hanging="808"/>
        <w:spacing w:after="0"/>
        <w:tabs>
          <w:tab w:leader="none" w:pos="2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a nonvoting interest unit of WM Holding Company, LLC.</w:t>
      </w:r>
    </w:p>
    <w:p>
      <w:pPr>
        <w:spacing w:after="0" w:line="233" w:lineRule="exact"/>
        <w:rPr>
          <w:rFonts w:ascii="Arial" w:cs="Arial" w:eastAsia="Arial" w:hAnsi="Arial"/>
          <w:sz w:val="22"/>
          <w:szCs w:val="22"/>
          <w:color w:val="auto"/>
        </w:rPr>
      </w:pPr>
    </w:p>
    <w:p>
      <w:pPr>
        <w:ind w:right="720" w:firstLine="1952"/>
        <w:spacing w:after="0" w:line="250" w:lineRule="auto"/>
        <w:tabs>
          <w:tab w:leader="none" w:pos="271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LTIP LLC Unit</w:t>
      </w:r>
      <w:r>
        <w:rPr>
          <w:rFonts w:ascii="Arial" w:cs="Arial" w:eastAsia="Arial" w:hAnsi="Arial"/>
          <w:sz w:val="22"/>
          <w:szCs w:val="22"/>
          <w:color w:val="auto"/>
        </w:rPr>
        <w:t>” means a unit of WM Holding Company, LLC designated as a LTIP Unit pursuant to the Fourth Amended and Restated Operating Agreement of WM Holding Company.</w:t>
      </w:r>
    </w:p>
    <w:p>
      <w:pPr>
        <w:spacing w:after="0" w:line="201" w:lineRule="exact"/>
        <w:rPr>
          <w:rFonts w:ascii="Arial" w:cs="Arial" w:eastAsia="Arial" w:hAnsi="Arial"/>
          <w:sz w:val="22"/>
          <w:szCs w:val="22"/>
          <w:color w:val="auto"/>
        </w:rPr>
      </w:pPr>
    </w:p>
    <w:p>
      <w:pPr>
        <w:ind w:right="460" w:firstLine="1952"/>
        <w:spacing w:after="0"/>
        <w:tabs>
          <w:tab w:leader="none" w:pos="274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Paired Interest</w:t>
      </w:r>
      <w:r>
        <w:rPr>
          <w:rFonts w:ascii="Arial" w:cs="Arial" w:eastAsia="Arial" w:hAnsi="Arial"/>
          <w:sz w:val="22"/>
          <w:szCs w:val="22"/>
          <w:color w:val="auto"/>
        </w:rPr>
        <w:t>” means one Class A LLC Unit together with one share of Class V Common Stock, subject to adjustment pursuant to the Fourth Amended and Restated Operating Agreement of WM Holding Company, LLC.</w:t>
      </w:r>
    </w:p>
    <w:p>
      <w:pPr>
        <w:spacing w:after="0" w:line="213" w:lineRule="exact"/>
        <w:rPr>
          <w:rFonts w:ascii="Arial" w:cs="Arial" w:eastAsia="Arial" w:hAnsi="Arial"/>
          <w:sz w:val="22"/>
          <w:szCs w:val="22"/>
          <w:color w:val="auto"/>
        </w:rPr>
      </w:pPr>
    </w:p>
    <w:p>
      <w:pPr>
        <w:ind w:right="640" w:firstLine="1952"/>
        <w:spacing w:after="0" w:line="250" w:lineRule="auto"/>
        <w:tabs>
          <w:tab w:leader="none" w:pos="27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Participation Threshold</w:t>
      </w:r>
      <w:r>
        <w:rPr>
          <w:rFonts w:ascii="Arial" w:cs="Arial" w:eastAsia="Arial" w:hAnsi="Arial"/>
          <w:sz w:val="22"/>
          <w:szCs w:val="22"/>
          <w:color w:val="auto"/>
        </w:rPr>
        <w:t>” shall have the meaning ascribed to it in the Fourth Amended and Restated Operating Agreement of WM Holding Company, LLC.</w:t>
      </w:r>
    </w:p>
    <w:p>
      <w:pPr>
        <w:spacing w:after="0" w:line="201" w:lineRule="exact"/>
        <w:rPr>
          <w:rFonts w:ascii="Arial" w:cs="Arial" w:eastAsia="Arial" w:hAnsi="Arial"/>
          <w:sz w:val="22"/>
          <w:szCs w:val="22"/>
          <w:color w:val="auto"/>
        </w:rPr>
      </w:pPr>
    </w:p>
    <w:p>
      <w:pPr>
        <w:ind w:right="820" w:firstLine="1952"/>
        <w:spacing w:after="0" w:line="250" w:lineRule="auto"/>
        <w:tabs>
          <w:tab w:leader="none" w:pos="27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firm, corporation, limited liability company, association, trust, unincorporated organization or other entity.</w:t>
      </w:r>
    </w:p>
    <w:p>
      <w:pPr>
        <w:spacing w:after="0" w:line="201" w:lineRule="exact"/>
        <w:rPr>
          <w:rFonts w:ascii="Arial" w:cs="Arial" w:eastAsia="Arial" w:hAnsi="Arial"/>
          <w:sz w:val="22"/>
          <w:szCs w:val="22"/>
          <w:color w:val="auto"/>
        </w:rPr>
      </w:pPr>
    </w:p>
    <w:p>
      <w:pPr>
        <w:ind w:right="20" w:firstLine="1952"/>
        <w:spacing w:after="0" w:line="250" w:lineRule="auto"/>
        <w:tabs>
          <w:tab w:leader="none" w:pos="273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Post-Acquisition LLC Members</w:t>
      </w:r>
      <w:r>
        <w:rPr>
          <w:rFonts w:ascii="Arial" w:cs="Arial" w:eastAsia="Arial" w:hAnsi="Arial"/>
          <w:sz w:val="22"/>
          <w:szCs w:val="22"/>
          <w:color w:val="auto"/>
        </w:rPr>
        <w:t>” means holders of LLC Units that sign the Fourth Amended and Restated Operating Agreement of WM Holding Company, LLC.</w:t>
      </w:r>
    </w:p>
    <w:p>
      <w:pPr>
        <w:spacing w:after="0" w:line="201" w:lineRule="exact"/>
        <w:rPr>
          <w:rFonts w:ascii="Arial" w:cs="Arial" w:eastAsia="Arial" w:hAnsi="Arial"/>
          <w:sz w:val="22"/>
          <w:szCs w:val="22"/>
          <w:color w:val="auto"/>
        </w:rPr>
      </w:pPr>
    </w:p>
    <w:p>
      <w:pPr>
        <w:ind w:left="2740" w:hanging="788"/>
        <w:spacing w:after="0"/>
        <w:tabs>
          <w:tab w:leader="none" w:pos="2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is defined in Section 4.1.</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 Directors</w:t>
      </w:r>
      <w:r>
        <w:rPr>
          <w:rFonts w:ascii="Arial" w:cs="Arial" w:eastAsia="Arial" w:hAnsi="Arial"/>
          <w:sz w:val="22"/>
          <w:szCs w:val="22"/>
          <w:color w:val="auto"/>
        </w:rPr>
        <w:t>” is defined in Section 7.1.</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Adjustment</w:t>
      </w:r>
      <w:r>
        <w:rPr>
          <w:rFonts w:ascii="Arial" w:cs="Arial" w:eastAsia="Arial" w:hAnsi="Arial"/>
          <w:sz w:val="22"/>
          <w:szCs w:val="22"/>
          <w:color w:val="auto"/>
        </w:rPr>
        <w:t>” is defined in Section 5.1(ii)(3).</w:t>
      </w:r>
    </w:p>
    <w:p>
      <w:pPr>
        <w:spacing w:after="0" w:line="233" w:lineRule="exact"/>
        <w:rPr>
          <w:sz w:val="20"/>
          <w:szCs w:val="20"/>
          <w:color w:val="auto"/>
        </w:rPr>
      </w:pPr>
    </w:p>
    <w:p>
      <w:pPr>
        <w:ind w:right="20" w:firstLine="1952"/>
        <w:spacing w:after="0" w:line="250" w:lineRule="auto"/>
        <w:tabs>
          <w:tab w:leader="none" w:pos="2766"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WM Holding Company, LLC</w:t>
      </w:r>
      <w:r>
        <w:rPr>
          <w:rFonts w:ascii="Arial" w:cs="Arial" w:eastAsia="Arial" w:hAnsi="Arial"/>
          <w:sz w:val="22"/>
          <w:szCs w:val="22"/>
          <w:color w:val="auto"/>
        </w:rPr>
        <w:t>” means WM Holding Company, LLC, a Delaware limited liability company or any successor thereto.</w:t>
      </w:r>
    </w:p>
    <w:p>
      <w:pPr>
        <w:spacing w:after="0" w:line="201" w:lineRule="exact"/>
        <w:rPr>
          <w:rFonts w:ascii="Arial" w:cs="Arial" w:eastAsia="Arial" w:hAnsi="Arial"/>
          <w:sz w:val="22"/>
          <w:szCs w:val="22"/>
          <w:color w:val="auto"/>
        </w:rPr>
      </w:pPr>
    </w:p>
    <w:p>
      <w:pPr>
        <w:ind w:left="2060" w:hanging="756"/>
        <w:spacing w:after="0"/>
        <w:tabs>
          <w:tab w:leader="none" w:pos="20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Incorporator</w:t>
      </w:r>
      <w:r>
        <w:rPr>
          <w:rFonts w:ascii="Arial" w:cs="Arial" w:eastAsia="Arial" w:hAnsi="Arial"/>
          <w:sz w:val="22"/>
          <w:szCs w:val="22"/>
          <w:color w:val="auto"/>
        </w:rPr>
        <w:t>. The name and mailing address of the incorporator is: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920" w:type="dxa"/>
            <w:vAlign w:val="bottom"/>
          </w:tcPr>
          <w:p>
            <w:pPr>
              <w:ind w:left="1640"/>
              <w:spacing w:after="0"/>
              <w:rPr>
                <w:sz w:val="20"/>
                <w:szCs w:val="20"/>
                <w:color w:val="auto"/>
              </w:rPr>
            </w:pPr>
            <w:r>
              <w:rPr>
                <w:rFonts w:ascii="Arial" w:cs="Arial" w:eastAsia="Arial" w:hAnsi="Arial"/>
                <w:sz w:val="18"/>
                <w:szCs w:val="18"/>
                <w:b w:val="1"/>
                <w:bCs w:val="1"/>
                <w:color w:val="auto"/>
              </w:rPr>
              <w:t>Mailing Address</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Scott Gordon</w:t>
            </w:r>
          </w:p>
        </w:tc>
        <w:tc>
          <w:tcPr>
            <w:tcW w:w="8920" w:type="dxa"/>
            <w:vAlign w:val="bottom"/>
          </w:tcPr>
          <w:p>
            <w:pPr>
              <w:ind w:left="1640"/>
              <w:spacing w:after="0"/>
              <w:rPr>
                <w:sz w:val="20"/>
                <w:szCs w:val="20"/>
                <w:color w:val="auto"/>
              </w:rPr>
            </w:pPr>
            <w:r>
              <w:rPr>
                <w:rFonts w:ascii="Arial" w:cs="Arial" w:eastAsia="Arial" w:hAnsi="Arial"/>
                <w:sz w:val="18"/>
                <w:szCs w:val="18"/>
                <w:color w:val="auto"/>
              </w:rPr>
              <w:t>660 Madison Avenue, Suite 1600</w:t>
            </w:r>
          </w:p>
        </w:tc>
      </w:tr>
      <w:tr>
        <w:trPr>
          <w:trHeight w:val="230"/>
        </w:trPr>
        <w:tc>
          <w:tcPr>
            <w:tcW w:w="2320" w:type="dxa"/>
            <w:vAlign w:val="bottom"/>
          </w:tcPr>
          <w:p>
            <w:pPr>
              <w:spacing w:after="0"/>
              <w:rPr>
                <w:sz w:val="20"/>
                <w:szCs w:val="20"/>
                <w:color w:val="auto"/>
              </w:rPr>
            </w:pPr>
          </w:p>
        </w:tc>
        <w:tc>
          <w:tcPr>
            <w:tcW w:w="8920" w:type="dxa"/>
            <w:vAlign w:val="bottom"/>
          </w:tcPr>
          <w:p>
            <w:pPr>
              <w:ind w:left="1640"/>
              <w:spacing w:after="0"/>
              <w:rPr>
                <w:sz w:val="20"/>
                <w:szCs w:val="20"/>
                <w:color w:val="auto"/>
              </w:rPr>
            </w:pPr>
            <w:r>
              <w:rPr>
                <w:rFonts w:ascii="Arial" w:cs="Arial" w:eastAsia="Arial" w:hAnsi="Arial"/>
                <w:sz w:val="18"/>
                <w:szCs w:val="18"/>
                <w:color w:val="auto"/>
              </w:rPr>
              <w:t>New York, New York 10065</w:t>
            </w:r>
          </w:p>
        </w:tc>
      </w:tr>
      <w:tr>
        <w:trPr>
          <w:trHeight w:val="496"/>
        </w:trPr>
        <w:tc>
          <w:tcPr>
            <w:tcW w:w="232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22"/>
                <w:szCs w:val="22"/>
                <w:i w:val="1"/>
                <w:iCs w:val="1"/>
                <w:color w:val="auto"/>
              </w:rPr>
              <w:t>[Remainder of page intentionally left blank.]</w:t>
            </w:r>
          </w:p>
        </w:tc>
      </w:tr>
      <w:tr>
        <w:trPr>
          <w:trHeight w:val="429"/>
        </w:trPr>
        <w:tc>
          <w:tcPr>
            <w:tcW w:w="23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13</w:t>
      </w:r>
    </w:p>
    <w:p>
      <w:pPr>
        <w:spacing w:after="0" w:line="160" w:lineRule="exact"/>
        <w:rPr>
          <w:sz w:val="20"/>
          <w:szCs w:val="20"/>
          <w:color w:val="auto"/>
        </w:rPr>
      </w:pPr>
    </w:p>
    <w:p>
      <w:pPr>
        <w:ind w:right="280" w:firstLine="1296"/>
        <w:spacing w:after="0" w:line="269" w:lineRule="auto"/>
        <w:rPr>
          <w:sz w:val="20"/>
          <w:szCs w:val="20"/>
          <w:color w:val="auto"/>
        </w:rPr>
      </w:pPr>
      <w:r>
        <w:rPr>
          <w:rFonts w:ascii="Arial" w:cs="Arial" w:eastAsia="Arial" w:hAnsi="Arial"/>
          <w:sz w:val="22"/>
          <w:szCs w:val="22"/>
          <w:color w:val="auto"/>
        </w:rPr>
        <w:t>IN WITNESS WHEREOF, this Certificate of Incorporation of WM Technology, Inc. has been duly executed by the incorporator below this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June,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15684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Incorporator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WM TECHNOLOGY, INC.</w:t>
      </w:r>
    </w:p>
    <w:p>
      <w:pPr>
        <w:spacing w:after="0" w:line="23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974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438"/>
        </w:trPr>
        <w:tc>
          <w:tcPr>
            <w:tcW w:w="1040" w:type="dxa"/>
            <w:vAlign w:val="bottom"/>
          </w:tcPr>
          <w:p>
            <w:pPr>
              <w:spacing w:after="0"/>
              <w:rPr>
                <w:sz w:val="24"/>
                <w:szCs w:val="24"/>
                <w:color w:val="auto"/>
              </w:rPr>
            </w:pPr>
          </w:p>
        </w:tc>
        <w:tc>
          <w:tcPr>
            <w:tcW w:w="9740" w:type="dxa"/>
            <w:vAlign w:val="bottom"/>
          </w:tcPr>
          <w:p>
            <w:pPr>
              <w:jc w:val="center"/>
              <w:spacing w:after="0"/>
              <w:rPr>
                <w:sz w:val="20"/>
                <w:szCs w:val="20"/>
                <w:color w:val="auto"/>
              </w:rPr>
            </w:pPr>
            <w:r>
              <w:rPr>
                <w:rFonts w:ascii="Arial" w:cs="Arial" w:eastAsia="Arial" w:hAnsi="Arial"/>
                <w:sz w:val="18"/>
                <w:szCs w:val="18"/>
                <w:color w:val="auto"/>
                <w:w w:val="96"/>
              </w:rPr>
              <w:t>ARTICLE 1</w:t>
            </w: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740" w:type="dxa"/>
            <w:vAlign w:val="bottom"/>
          </w:tcPr>
          <w:p>
            <w:pPr>
              <w:jc w:val="center"/>
              <w:spacing w:after="0"/>
              <w:rPr>
                <w:sz w:val="20"/>
                <w:szCs w:val="20"/>
                <w:color w:val="auto"/>
              </w:rPr>
            </w:pPr>
            <w:r>
              <w:rPr>
                <w:rFonts w:ascii="Arial" w:cs="Arial" w:eastAsia="Arial" w:hAnsi="Arial"/>
                <w:sz w:val="18"/>
                <w:szCs w:val="18"/>
                <w:color w:val="auto"/>
                <w:w w:val="97"/>
              </w:rPr>
              <w:t>Definitions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9740" w:type="dxa"/>
            <w:vAlign w:val="bottom"/>
          </w:tcPr>
          <w:p>
            <w:pPr>
              <w:jc w:val="center"/>
              <w:spacing w:after="0"/>
              <w:rPr>
                <w:sz w:val="20"/>
                <w:szCs w:val="20"/>
                <w:color w:val="auto"/>
              </w:rPr>
            </w:pPr>
            <w:r>
              <w:rPr>
                <w:rFonts w:ascii="Arial" w:cs="Arial" w:eastAsia="Arial" w:hAnsi="Arial"/>
                <w:sz w:val="18"/>
                <w:szCs w:val="18"/>
                <w:color w:val="auto"/>
                <w:w w:val="96"/>
              </w:rPr>
              <w:t>ARTICLE 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9740" w:type="dxa"/>
            <w:vAlign w:val="bottom"/>
          </w:tcPr>
          <w:p>
            <w:pPr>
              <w:jc w:val="center"/>
              <w:spacing w:after="0"/>
              <w:rPr>
                <w:sz w:val="20"/>
                <w:szCs w:val="20"/>
                <w:color w:val="auto"/>
              </w:rPr>
            </w:pPr>
            <w:r>
              <w:rPr>
                <w:rFonts w:ascii="Arial" w:cs="Arial" w:eastAsia="Arial" w:hAnsi="Arial"/>
                <w:sz w:val="18"/>
                <w:szCs w:val="18"/>
                <w:color w:val="auto"/>
                <w:w w:val="90"/>
              </w:rPr>
              <w:t>Stockholders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Place of Meetings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Annual Meetings; Stockholder Proposals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2.03.</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Special Meetings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2.04.</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Record Date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Notice of Meetings of Stockholders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Waivers of Notice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List of Stockholders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Quorum of Stockholders; Adjournment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2.09.</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Voting; Proxies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Voting Procedures and Inspectors at Meetings of Stockholders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Conduct of Meetings; Adjournment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Order of Business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Written Consent of Stockholders Without a Meeting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9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ARTICLE 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740" w:type="dxa"/>
            <w:vAlign w:val="bottom"/>
          </w:tcPr>
          <w:p>
            <w:pPr>
              <w:jc w:val="center"/>
              <w:spacing w:after="0"/>
              <w:rPr>
                <w:sz w:val="20"/>
                <w:szCs w:val="20"/>
                <w:color w:val="auto"/>
              </w:rPr>
            </w:pPr>
            <w:r>
              <w:rPr>
                <w:rFonts w:ascii="Arial" w:cs="Arial" w:eastAsia="Arial" w:hAnsi="Arial"/>
                <w:sz w:val="18"/>
                <w:szCs w:val="18"/>
                <w:color w:val="auto"/>
                <w:w w:val="91"/>
              </w:rPr>
              <w:t>Directors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3.01.</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General Powers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3.02.</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Term of Office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Nominations of Directors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Nominee and Director Qualifications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3.05.</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Resignation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3.06.</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Compensation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3.07.</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Regular Meetings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3.08.</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Special Meetings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3.09.</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Telephone Meetings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3.10.</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Adjourned Meetings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3.11.</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Notice Procedure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Waiver of Notice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3.13.</w:t>
            </w:r>
          </w:p>
        </w:tc>
        <w:tc>
          <w:tcPr>
            <w:tcW w:w="9740" w:type="dxa"/>
            <w:vAlign w:val="bottom"/>
          </w:tcPr>
          <w:p>
            <w:pPr>
              <w:ind w:left="100"/>
              <w:spacing w:after="0"/>
              <w:rPr>
                <w:sz w:val="20"/>
                <w:szCs w:val="20"/>
                <w:color w:val="auto"/>
              </w:rPr>
            </w:pPr>
            <w:r>
              <w:rPr>
                <w:rFonts w:ascii="Arial" w:cs="Arial" w:eastAsia="Arial" w:hAnsi="Arial"/>
                <w:sz w:val="18"/>
                <w:szCs w:val="18"/>
                <w:i w:val="1"/>
                <w:iCs w:val="1"/>
                <w:color w:val="auto"/>
              </w:rPr>
              <w:t>Organization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Quorum of Directors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i w:val="1"/>
                <w:iCs w:val="1"/>
                <w:color w:val="auto"/>
              </w:rPr>
              <w:t>Action by Majority Vote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3.16.</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Action Without Meeting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96"/>
              </w:rPr>
              <w:t>ARTICLE 4</w:t>
            </w: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900" w:type="dxa"/>
            <w:vAlign w:val="bottom"/>
          </w:tcPr>
          <w:p>
            <w:pPr>
              <w:jc w:val="center"/>
              <w:ind w:left="1750"/>
              <w:spacing w:after="0"/>
              <w:rPr>
                <w:sz w:val="20"/>
                <w:szCs w:val="20"/>
                <w:color w:val="auto"/>
              </w:rPr>
            </w:pPr>
            <w:r>
              <w:rPr>
                <w:rFonts w:ascii="Arial" w:cs="Arial" w:eastAsia="Arial" w:hAnsi="Arial"/>
                <w:sz w:val="18"/>
                <w:szCs w:val="18"/>
                <w:color w:val="auto"/>
                <w:w w:val="91"/>
              </w:rPr>
              <w:t>Committees of the Board</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900" w:type="dxa"/>
            <w:vAlign w:val="bottom"/>
          </w:tcPr>
          <w:p>
            <w:pPr>
              <w:jc w:val="center"/>
              <w:ind w:left="1770"/>
              <w:spacing w:after="0"/>
              <w:rPr>
                <w:sz w:val="20"/>
                <w:szCs w:val="20"/>
                <w:color w:val="auto"/>
              </w:rPr>
            </w:pPr>
            <w:r>
              <w:rPr>
                <w:rFonts w:ascii="Arial" w:cs="Arial" w:eastAsia="Arial" w:hAnsi="Arial"/>
                <w:sz w:val="18"/>
                <w:szCs w:val="18"/>
                <w:color w:val="auto"/>
                <w:w w:val="96"/>
              </w:rPr>
              <w:t>ARTICLE 5</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3"/>
              </w:rPr>
              <w:t>Officers</w:t>
            </w: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5.01.</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Positions; Election</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5.02.</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Term of Office</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5.03.</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Chairman</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5.04.</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Vice Chairman</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Chief Executive Officer</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5.06.</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President</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5.07.</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Vice Presidents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5.08.</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Secretary</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5.09.</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Treasurer</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Assistant Secretaries and Assistant Treasurers</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900" w:type="dxa"/>
            <w:vAlign w:val="bottom"/>
          </w:tcPr>
          <w:p>
            <w:pPr>
              <w:jc w:val="center"/>
              <w:ind w:left="1770"/>
              <w:spacing w:after="0"/>
              <w:rPr>
                <w:sz w:val="20"/>
                <w:szCs w:val="20"/>
                <w:color w:val="auto"/>
              </w:rPr>
            </w:pPr>
            <w:r>
              <w:rPr>
                <w:rFonts w:ascii="Arial" w:cs="Arial" w:eastAsia="Arial" w:hAnsi="Arial"/>
                <w:sz w:val="18"/>
                <w:szCs w:val="18"/>
                <w:color w:val="auto"/>
                <w:w w:val="96"/>
              </w:rPr>
              <w:t>ARTICLE 6</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0"/>
              </w:rPr>
              <w:t>General Provisions</w:t>
            </w: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Certificates Representing Shares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Transfer and Registry Agents</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Lost, Stolen or Destroyed Certificates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Form of Records</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6.05.</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Seal</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6.06.</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Fiscal Year</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6.07.</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Amendments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6.08.</w:t>
            </w:r>
          </w:p>
        </w:tc>
        <w:tc>
          <w:tcPr>
            <w:tcW w:w="7900" w:type="dxa"/>
            <w:vAlign w:val="bottom"/>
          </w:tcPr>
          <w:p>
            <w:pPr>
              <w:ind w:left="100"/>
              <w:spacing w:after="0"/>
              <w:rPr>
                <w:sz w:val="20"/>
                <w:szCs w:val="20"/>
                <w:color w:val="auto"/>
              </w:rPr>
            </w:pPr>
            <w:r>
              <w:rPr>
                <w:rFonts w:ascii="Arial" w:cs="Arial" w:eastAsia="Arial" w:hAnsi="Arial"/>
                <w:sz w:val="18"/>
                <w:szCs w:val="18"/>
                <w:i w:val="1"/>
                <w:iCs w:val="1"/>
                <w:color w:val="auto"/>
              </w:rPr>
              <w:t>Conflict with Applicable Law or Certificate of Incorporation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22"/>
          <w:szCs w:val="22"/>
          <w:color w:val="auto"/>
        </w:rPr>
        <w:t>ARTICLE 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these By-laws, unless the context otherwise requires, the term:</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Assistant Secretary</w:t>
      </w:r>
      <w:r>
        <w:rPr>
          <w:rFonts w:ascii="Arial" w:cs="Arial" w:eastAsia="Arial" w:hAnsi="Arial"/>
          <w:sz w:val="22"/>
          <w:szCs w:val="22"/>
          <w:color w:val="auto"/>
        </w:rPr>
        <w:t>” means an Assistant Secretary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Assistant Treasurer</w:t>
      </w:r>
      <w:r>
        <w:rPr>
          <w:rFonts w:ascii="Arial" w:cs="Arial" w:eastAsia="Arial" w:hAnsi="Arial"/>
          <w:sz w:val="22"/>
          <w:szCs w:val="22"/>
          <w:color w:val="auto"/>
        </w:rPr>
        <w:t>” means an Assistant Treasurer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By-laws</w:t>
      </w:r>
      <w:r>
        <w:rPr>
          <w:rFonts w:ascii="Arial" w:cs="Arial" w:eastAsia="Arial" w:hAnsi="Arial"/>
          <w:sz w:val="22"/>
          <w:szCs w:val="22"/>
          <w:color w:val="auto"/>
        </w:rPr>
        <w:t>” means the By-laws of the Corporation, as amended and restated.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Certificate of Incorporation</w:t>
      </w:r>
      <w:r>
        <w:rPr>
          <w:rFonts w:ascii="Arial" w:cs="Arial" w:eastAsia="Arial" w:hAnsi="Arial"/>
          <w:sz w:val="19"/>
          <w:szCs w:val="19"/>
          <w:color w:val="auto"/>
        </w:rPr>
        <w:t>” means the Certificate of Incorporation of the Corporation, as amended and restated.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Chairman</w:t>
      </w:r>
      <w:r>
        <w:rPr>
          <w:rFonts w:ascii="Arial" w:cs="Arial" w:eastAsia="Arial" w:hAnsi="Arial"/>
          <w:sz w:val="22"/>
          <w:szCs w:val="22"/>
          <w:color w:val="auto"/>
        </w:rPr>
        <w:t>” means the Chairman of the Board and includes any Executive Chairman.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Chief Executive Officer</w:t>
      </w:r>
      <w:r>
        <w:rPr>
          <w:rFonts w:ascii="Arial" w:cs="Arial" w:eastAsia="Arial" w:hAnsi="Arial"/>
          <w:sz w:val="22"/>
          <w:szCs w:val="22"/>
          <w:color w:val="auto"/>
        </w:rPr>
        <w:t>” means the Chief Executive Officer of the Corporation.</w:t>
      </w:r>
    </w:p>
    <w:p>
      <w:pPr>
        <w:spacing w:after="0" w:line="233"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Corporation</w:t>
      </w:r>
      <w:r>
        <w:rPr>
          <w:rFonts w:ascii="Arial" w:cs="Arial" w:eastAsia="Arial" w:hAnsi="Arial"/>
          <w:sz w:val="22"/>
          <w:szCs w:val="22"/>
          <w:color w:val="auto"/>
        </w:rPr>
        <w:t>” means WM Technology, Inc..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Derivative</w:t>
      </w:r>
      <w:r>
        <w:rPr>
          <w:rFonts w:ascii="Arial" w:cs="Arial" w:eastAsia="Arial" w:hAnsi="Arial"/>
          <w:sz w:val="22"/>
          <w:szCs w:val="22"/>
          <w:color w:val="auto"/>
        </w:rPr>
        <w:t>” is defined in Section 2.02(d)(iii).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Directors</w:t>
      </w:r>
      <w:r>
        <w:rPr>
          <w:rFonts w:ascii="Arial" w:cs="Arial" w:eastAsia="Arial" w:hAnsi="Arial"/>
          <w:sz w:val="22"/>
          <w:szCs w:val="22"/>
          <w:color w:val="auto"/>
        </w:rPr>
        <w:t>” means the directors of the Corporation.</w:t>
      </w:r>
    </w:p>
    <w:p>
      <w:pPr>
        <w:spacing w:after="0" w:line="23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any successor law or statute, and the rules and regulations promulgated thereunder.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Chairman</w:t>
      </w:r>
      <w:r>
        <w:rPr>
          <w:rFonts w:ascii="Arial" w:cs="Arial" w:eastAsia="Arial" w:hAnsi="Arial"/>
          <w:sz w:val="22"/>
          <w:szCs w:val="22"/>
          <w:color w:val="auto"/>
        </w:rPr>
        <w:t>” means the Executive Chairman of the Board.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General Corporation Law</w:t>
      </w:r>
      <w:r>
        <w:rPr>
          <w:rFonts w:ascii="Arial" w:cs="Arial" w:eastAsia="Arial" w:hAnsi="Arial"/>
          <w:sz w:val="22"/>
          <w:szCs w:val="22"/>
          <w:color w:val="auto"/>
        </w:rPr>
        <w:t>” means the General Corporation Law of the State of Delaware, as amended.</w:t>
      </w:r>
    </w:p>
    <w:p>
      <w:pPr>
        <w:spacing w:after="0" w:line="233" w:lineRule="exact"/>
        <w:rPr>
          <w:sz w:val="20"/>
          <w:szCs w:val="20"/>
          <w:color w:val="auto"/>
        </w:rPr>
      </w:pPr>
    </w:p>
    <w:p>
      <w:pPr>
        <w:ind w:right="28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Lead Independent Director</w:t>
      </w:r>
      <w:r>
        <w:rPr>
          <w:rFonts w:ascii="Arial" w:cs="Arial" w:eastAsia="Arial" w:hAnsi="Arial"/>
          <w:sz w:val="22"/>
          <w:szCs w:val="22"/>
          <w:color w:val="auto"/>
        </w:rPr>
        <w:t>” is defined in Section 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2" w:name="page33"/>
    <w:bookmarkEnd w:id="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Nominating Stockholder</w:t>
      </w:r>
      <w:r>
        <w:rPr>
          <w:rFonts w:ascii="Arial" w:cs="Arial" w:eastAsia="Arial" w:hAnsi="Arial"/>
          <w:sz w:val="22"/>
          <w:szCs w:val="22"/>
          <w:color w:val="auto"/>
        </w:rPr>
        <w:t>” is defined in Section 3.03(b).</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Business</w:t>
      </w:r>
      <w:r>
        <w:rPr>
          <w:rFonts w:ascii="Arial" w:cs="Arial" w:eastAsia="Arial" w:hAnsi="Arial"/>
          <w:sz w:val="22"/>
          <w:szCs w:val="22"/>
          <w:color w:val="auto"/>
        </w:rPr>
        <w:t>” is defined in Section 2.02(c).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Nomination</w:t>
      </w:r>
      <w:r>
        <w:rPr>
          <w:rFonts w:ascii="Arial" w:cs="Arial" w:eastAsia="Arial" w:hAnsi="Arial"/>
          <w:sz w:val="22"/>
          <w:szCs w:val="22"/>
          <w:color w:val="auto"/>
        </w:rPr>
        <w:t>” is defined in Section 3.03(c).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Record Date</w:t>
      </w:r>
      <w:r>
        <w:rPr>
          <w:rFonts w:ascii="Arial" w:cs="Arial" w:eastAsia="Arial" w:hAnsi="Arial"/>
          <w:sz w:val="22"/>
          <w:szCs w:val="22"/>
          <w:color w:val="auto"/>
        </w:rPr>
        <w:t>” is defined in Section 2.04(a).</w:t>
      </w:r>
    </w:p>
    <w:p>
      <w:pPr>
        <w:spacing w:after="0" w:line="233" w:lineRule="exact"/>
        <w:rPr>
          <w:sz w:val="20"/>
          <w:szCs w:val="20"/>
          <w:color w:val="auto"/>
        </w:rPr>
      </w:pPr>
    </w:p>
    <w:p>
      <w:pPr>
        <w:ind w:right="4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 of the Corporation</w:t>
      </w:r>
      <w:r>
        <w:rPr>
          <w:rFonts w:ascii="Arial" w:cs="Arial" w:eastAsia="Arial" w:hAnsi="Arial"/>
          <w:sz w:val="22"/>
          <w:szCs w:val="22"/>
          <w:color w:val="auto"/>
        </w:rPr>
        <w:t>” means the executive office of the Corporation, anything in Section 131 of the General Corporation Law to the contrary notwithstanding.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President</w:t>
      </w:r>
      <w:r>
        <w:rPr>
          <w:rFonts w:ascii="Arial" w:cs="Arial" w:eastAsia="Arial" w:hAnsi="Arial"/>
          <w:sz w:val="22"/>
          <w:szCs w:val="22"/>
          <w:color w:val="auto"/>
        </w:rPr>
        <w:t>” means the President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Proponent</w:t>
      </w:r>
      <w:r>
        <w:rPr>
          <w:rFonts w:ascii="Arial" w:cs="Arial" w:eastAsia="Arial" w:hAnsi="Arial"/>
          <w:sz w:val="22"/>
          <w:szCs w:val="22"/>
          <w:color w:val="auto"/>
        </w:rPr>
        <w:t>” is defined in Section 2.02(d)(i).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Disclosure</w:t>
      </w:r>
      <w:r>
        <w:rPr>
          <w:rFonts w:ascii="Arial" w:cs="Arial" w:eastAsia="Arial" w:hAnsi="Arial"/>
          <w:sz w:val="22"/>
          <w:szCs w:val="22"/>
          <w:color w:val="auto"/>
        </w:rPr>
        <w:t>” is defined in Section 2.02(i).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Secretary</w:t>
      </w:r>
      <w:r>
        <w:rPr>
          <w:rFonts w:ascii="Arial" w:cs="Arial" w:eastAsia="Arial" w:hAnsi="Arial"/>
          <w:sz w:val="22"/>
          <w:szCs w:val="22"/>
          <w:color w:val="auto"/>
        </w:rPr>
        <w:t>” means the Secretary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Associated Person</w:t>
      </w:r>
      <w:r>
        <w:rPr>
          <w:rFonts w:ascii="Arial" w:cs="Arial" w:eastAsia="Arial" w:hAnsi="Arial"/>
          <w:sz w:val="22"/>
          <w:szCs w:val="22"/>
          <w:color w:val="auto"/>
        </w:rPr>
        <w:t>” is defined in Section 2.02(j).</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Business</w:t>
      </w:r>
      <w:r>
        <w:rPr>
          <w:rFonts w:ascii="Arial" w:cs="Arial" w:eastAsia="Arial" w:hAnsi="Arial"/>
          <w:sz w:val="22"/>
          <w:szCs w:val="22"/>
          <w:color w:val="auto"/>
        </w:rPr>
        <w:t>” is defined in Section 2.02(b).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Information</w:t>
      </w:r>
      <w:r>
        <w:rPr>
          <w:rFonts w:ascii="Arial" w:cs="Arial" w:eastAsia="Arial" w:hAnsi="Arial"/>
          <w:sz w:val="22"/>
          <w:szCs w:val="22"/>
          <w:color w:val="auto"/>
        </w:rPr>
        <w:t>” is defined in Section 2.02(d)(iii).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Nominees</w:t>
      </w:r>
      <w:r>
        <w:rPr>
          <w:rFonts w:ascii="Arial" w:cs="Arial" w:eastAsia="Arial" w:hAnsi="Arial"/>
          <w:sz w:val="22"/>
          <w:szCs w:val="22"/>
          <w:color w:val="auto"/>
        </w:rPr>
        <w:t>” is defined in Section 3.03(b).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Stockholders</w:t>
      </w:r>
      <w:r>
        <w:rPr>
          <w:rFonts w:ascii="Arial" w:cs="Arial" w:eastAsia="Arial" w:hAnsi="Arial"/>
          <w:sz w:val="22"/>
          <w:szCs w:val="22"/>
          <w:color w:val="auto"/>
        </w:rPr>
        <w:t>” means the stockholders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Treasurer</w:t>
      </w:r>
      <w:r>
        <w:rPr>
          <w:rFonts w:ascii="Arial" w:cs="Arial" w:eastAsia="Arial" w:hAnsi="Arial"/>
          <w:sz w:val="22"/>
          <w:szCs w:val="22"/>
          <w:color w:val="auto"/>
        </w:rPr>
        <w:t>” means the Treasurer of the Corporation.</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Vice President</w:t>
      </w:r>
      <w:r>
        <w:rPr>
          <w:rFonts w:ascii="Arial" w:cs="Arial" w:eastAsia="Arial" w:hAnsi="Arial"/>
          <w:sz w:val="22"/>
          <w:szCs w:val="22"/>
          <w:color w:val="auto"/>
        </w:rPr>
        <w:t>” means a Vice President of the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Commitment</w:t>
      </w:r>
      <w:r>
        <w:rPr>
          <w:rFonts w:ascii="Arial" w:cs="Arial" w:eastAsia="Arial" w:hAnsi="Arial"/>
          <w:sz w:val="22"/>
          <w:szCs w:val="22"/>
          <w:color w:val="auto"/>
        </w:rPr>
        <w:t>” is defined in Section 3.04.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Record Date</w:t>
      </w:r>
      <w:r>
        <w:rPr>
          <w:rFonts w:ascii="Arial" w:cs="Arial" w:eastAsia="Arial" w:hAnsi="Arial"/>
          <w:sz w:val="22"/>
          <w:szCs w:val="22"/>
          <w:color w:val="auto"/>
        </w:rPr>
        <w:t>” is defined in Section 2.04(a).</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TOCKHOLDERS</w:t>
      </w:r>
    </w:p>
    <w:p>
      <w:pPr>
        <w:spacing w:after="0" w:line="215"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Place of Meetings</w:t>
      </w:r>
      <w:r>
        <w:rPr>
          <w:rFonts w:ascii="Arial" w:cs="Arial" w:eastAsia="Arial" w:hAnsi="Arial"/>
          <w:sz w:val="21"/>
          <w:szCs w:val="21"/>
          <w:color w:val="auto"/>
        </w:rPr>
        <w:t>. Meetings of Stockholders may be held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20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Annual Meetings; Stockholder Proposals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33" w:name="page34"/>
    <w:bookmarkEnd w:id="33"/>
    <w:p>
      <w:pPr>
        <w:ind w:right="80" w:firstLine="656"/>
        <w:spacing w:after="0"/>
        <w:tabs>
          <w:tab w:leader="none" w:pos="1158" w:val="left"/>
        </w:tabs>
        <w:numPr>
          <w:ilvl w:val="1"/>
          <w:numId w:val="31"/>
        </w:numPr>
        <w:rPr>
          <w:rFonts w:ascii="Arial" w:cs="Arial" w:eastAsia="Arial" w:hAnsi="Arial"/>
          <w:sz w:val="22"/>
          <w:szCs w:val="22"/>
          <w:color w:val="auto"/>
        </w:rPr>
      </w:pPr>
      <w:r>
        <w:rPr>
          <w:rFonts w:ascii="Arial" w:cs="Arial" w:eastAsia="Arial" w:hAnsi="Arial"/>
          <w:sz w:val="22"/>
          <w:szCs w:val="22"/>
          <w:color w:val="auto"/>
        </w:rPr>
        <w:t>A meeting of Stockholders for the election of Directors and other business shall be held annually at such date and time as may be designated by the Board from time to time. The Board may postpone, reschedule or cancel any annual meeting of stockholders previously scheduled by the Board.</w:t>
      </w:r>
    </w:p>
    <w:p>
      <w:pPr>
        <w:spacing w:after="0" w:line="213" w:lineRule="exact"/>
        <w:rPr>
          <w:rFonts w:ascii="Arial" w:cs="Arial" w:eastAsia="Arial" w:hAnsi="Arial"/>
          <w:sz w:val="22"/>
          <w:szCs w:val="22"/>
          <w:color w:val="auto"/>
        </w:rPr>
      </w:pPr>
    </w:p>
    <w:p>
      <w:pPr>
        <w:ind w:firstLine="656"/>
        <w:spacing w:after="0" w:line="273" w:lineRule="auto"/>
        <w:tabs>
          <w:tab w:leader="none" w:pos="1170"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At an annual meeting of the Stockholders, only business (other than business relating to the nomination or election of Directors, which is governed by Section 3.03) that has been properly brought before the Stockholder meeting in accordance with the procedures set forth in this Section 2.02 shall be conducted. To be properly brought before a meeting of Stockholders, such business must be brought before the meeting (i) by or at the direction of the Board or any committee thereof or (ii) by a Stockholder who (A) was a Stockholder of record of the Corporation when the notice required by this Section 2.02 is delivered to the Secretary and at the time of the meeting, (B) is entitled to vote at the meeting and (C) complies with the notice and other provisions of this Section 2.02. Subject to Section 2.02(k), and except with respect to nominations or elections of Directors, which are governed by Section 3.03, Section 2.02(b)(ii) is the exclusive means by which a Stockholder may bring business before a meeting of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Section 2.02(b)(ii) is referred to as “</w:t>
      </w:r>
      <w:r>
        <w:rPr>
          <w:rFonts w:ascii="Arial" w:cs="Arial" w:eastAsia="Arial" w:hAnsi="Arial"/>
          <w:sz w:val="19"/>
          <w:szCs w:val="19"/>
          <w:b w:val="1"/>
          <w:bCs w:val="1"/>
          <w:color w:val="auto"/>
        </w:rPr>
        <w:t>Stockholder Business</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right="20" w:firstLine="656"/>
        <w:spacing w:after="0" w:line="271" w:lineRule="auto"/>
        <w:tabs>
          <w:tab w:leader="none" w:pos="1212" w:val="left"/>
        </w:tabs>
        <w:numPr>
          <w:ilvl w:val="1"/>
          <w:numId w:val="31"/>
        </w:numPr>
        <w:rPr>
          <w:rFonts w:ascii="Arial" w:cs="Arial" w:eastAsia="Arial" w:hAnsi="Arial"/>
          <w:sz w:val="19"/>
          <w:szCs w:val="19"/>
          <w:color w:val="auto"/>
        </w:rPr>
      </w:pPr>
      <w:r>
        <w:rPr>
          <w:rFonts w:ascii="Arial" w:cs="Arial" w:eastAsia="Arial" w:hAnsi="Arial"/>
          <w:sz w:val="19"/>
          <w:szCs w:val="19"/>
          <w:color w:val="auto"/>
        </w:rPr>
        <w:t>Subject to Section 2.02(k), at any annual meeting of Stockholders, all proposals of Stockholder Business must be made by timely written notice given by or on behalf of a Stockholder of record of the Corporation (the “</w:t>
      </w:r>
      <w:r>
        <w:rPr>
          <w:rFonts w:ascii="Arial" w:cs="Arial" w:eastAsia="Arial" w:hAnsi="Arial"/>
          <w:sz w:val="19"/>
          <w:szCs w:val="19"/>
          <w:b w:val="1"/>
          <w:bCs w:val="1"/>
          <w:color w:val="auto"/>
        </w:rPr>
        <w:t>Notice of Business</w:t>
      </w:r>
      <w:r>
        <w:rPr>
          <w:rFonts w:ascii="Arial" w:cs="Arial" w:eastAsia="Arial" w:hAnsi="Arial"/>
          <w:sz w:val="19"/>
          <w:szCs w:val="19"/>
          <w:color w:val="auto"/>
        </w:rPr>
        <w:t>”) and must otherwise be a proper matter for Stockholder action. To be timely, the Notice of Business must be delivered personally or mailed to, and received at, the Office of the Corporation, addressed to the Secretary, by no earlier than one hundred and twenty</w:t>
      </w:r>
    </w:p>
    <w:p>
      <w:pPr>
        <w:spacing w:after="0" w:line="3" w:lineRule="exact"/>
        <w:rPr>
          <w:rFonts w:ascii="Arial" w:cs="Arial" w:eastAsia="Arial" w:hAnsi="Arial"/>
          <w:sz w:val="19"/>
          <w:szCs w:val="19"/>
          <w:color w:val="auto"/>
        </w:rPr>
      </w:pPr>
    </w:p>
    <w:p>
      <w:pPr>
        <w:ind w:firstLine="8"/>
        <w:spacing w:after="0" w:line="272" w:lineRule="auto"/>
        <w:tabs>
          <w:tab w:leader="none" w:pos="522"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days and no later than ninety (90) days before the first anniversary of the date of the prior year’s annual meeting of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shall an adjournment, postponement or deferral, or Public Disclosure of an adjournment, postponement or deferral, of a Stockholder meeting commence a new time period (or extend any time period) for the giving of the Notice of Business.</w:t>
      </w:r>
    </w:p>
    <w:p>
      <w:pPr>
        <w:spacing w:after="0" w:line="188" w:lineRule="exact"/>
        <w:rPr>
          <w:rFonts w:ascii="Arial" w:cs="Arial" w:eastAsia="Arial" w:hAnsi="Arial"/>
          <w:sz w:val="19"/>
          <w:szCs w:val="19"/>
          <w:color w:val="auto"/>
        </w:rPr>
      </w:pPr>
    </w:p>
    <w:p>
      <w:pPr>
        <w:ind w:left="1180" w:hanging="524"/>
        <w:spacing w:after="0"/>
        <w:tabs>
          <w:tab w:leader="none" w:pos="11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Notice of Business must set forth:</w:t>
      </w:r>
    </w:p>
    <w:p>
      <w:pPr>
        <w:spacing w:after="0" w:line="227" w:lineRule="exact"/>
        <w:rPr>
          <w:rFonts w:ascii="Arial" w:cs="Arial" w:eastAsia="Arial" w:hAnsi="Arial"/>
          <w:sz w:val="22"/>
          <w:szCs w:val="22"/>
          <w:color w:val="auto"/>
        </w:rPr>
      </w:pPr>
    </w:p>
    <w:p>
      <w:pPr>
        <w:ind w:left="660" w:right="260" w:firstLine="644"/>
        <w:spacing w:after="0" w:line="256" w:lineRule="auto"/>
        <w:tabs>
          <w:tab w:leader="none" w:pos="1944"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name and record address of each Stockholder proposing Stockholder Business (the “</w:t>
      </w:r>
      <w:r>
        <w:rPr>
          <w:rFonts w:ascii="Arial" w:cs="Arial" w:eastAsia="Arial" w:hAnsi="Arial"/>
          <w:sz w:val="22"/>
          <w:szCs w:val="22"/>
          <w:b w:val="1"/>
          <w:bCs w:val="1"/>
          <w:color w:val="auto"/>
        </w:rPr>
        <w:t>Proponent</w:t>
      </w:r>
      <w:r>
        <w:rPr>
          <w:rFonts w:ascii="Arial" w:cs="Arial" w:eastAsia="Arial" w:hAnsi="Arial"/>
          <w:sz w:val="22"/>
          <w:szCs w:val="22"/>
          <w:color w:val="auto"/>
        </w:rPr>
        <w:t>”), as they appear on the Corporation’s books;</w:t>
      </w:r>
    </w:p>
    <w:p>
      <w:pPr>
        <w:spacing w:after="0" w:line="195" w:lineRule="exact"/>
        <w:rPr>
          <w:rFonts w:ascii="Arial" w:cs="Arial" w:eastAsia="Arial" w:hAnsi="Arial"/>
          <w:sz w:val="22"/>
          <w:szCs w:val="22"/>
          <w:color w:val="auto"/>
        </w:rPr>
      </w:pPr>
    </w:p>
    <w:p>
      <w:pPr>
        <w:ind w:left="1940" w:hanging="636"/>
        <w:spacing w:after="0"/>
        <w:tabs>
          <w:tab w:leader="none" w:pos="1940"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name and address of any Stockholder Associated Person;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left="-460" w:firstLine="644"/>
        <w:spacing w:after="0" w:line="269" w:lineRule="auto"/>
        <w:tabs>
          <w:tab w:leader="none" w:pos="78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Arial" w:cs="Arial" w:eastAsia="Arial" w:hAnsi="Arial"/>
          <w:sz w:val="19"/>
          <w:szCs w:val="19"/>
          <w:b w:val="1"/>
          <w:bCs w:val="1"/>
          <w:color w:val="auto"/>
        </w:rPr>
        <w:t>Derivative</w:t>
      </w:r>
      <w:r>
        <w:rPr>
          <w:rFonts w:ascii="Arial" w:cs="Arial" w:eastAsia="Arial" w:hAnsi="Arial"/>
          <w:sz w:val="19"/>
          <w:szCs w:val="19"/>
          <w:color w:val="auto"/>
        </w:rPr>
        <w:t>”), (E) 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The information specified in Section 2.02(d)(i) to (iii) is referred to herein as “</w:t>
      </w:r>
      <w:r>
        <w:rPr>
          <w:rFonts w:ascii="Arial" w:cs="Arial" w:eastAsia="Arial" w:hAnsi="Arial"/>
          <w:sz w:val="19"/>
          <w:szCs w:val="19"/>
          <w:b w:val="1"/>
          <w:bCs w:val="1"/>
          <w:color w:val="auto"/>
        </w:rPr>
        <w:t>Stockholder Information</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460" w:right="20" w:firstLine="644"/>
        <w:spacing w:after="0" w:line="274" w:lineRule="auto"/>
        <w:tabs>
          <w:tab w:leader="none" w:pos="824" w:val="left"/>
        </w:tabs>
        <w:numPr>
          <w:ilvl w:val="0"/>
          <w:numId w:val="33"/>
        </w:numPr>
        <w:rPr>
          <w:rFonts w:ascii="Arial" w:cs="Arial" w:eastAsia="Arial" w:hAnsi="Arial"/>
          <w:sz w:val="21"/>
          <w:szCs w:val="21"/>
          <w:color w:val="auto"/>
        </w:rPr>
      </w:pPr>
      <w:r>
        <w:rPr>
          <w:rFonts w:ascii="Arial" w:cs="Arial" w:eastAsia="Arial" w:hAnsi="Arial"/>
          <w:sz w:val="21"/>
          <w:szCs w:val="21"/>
          <w:color w:val="auto"/>
        </w:rPr>
        <w:t>Stockholder Information with respect to any stock or other interests of the Corporation held by members of the Proponent’s or Stockholder Associated Person’s immediate family sharing the same household;</w:t>
      </w:r>
    </w:p>
    <w:p>
      <w:pPr>
        <w:spacing w:after="0" w:line="177" w:lineRule="exact"/>
        <w:rPr>
          <w:rFonts w:ascii="Arial" w:cs="Arial" w:eastAsia="Arial" w:hAnsi="Arial"/>
          <w:sz w:val="21"/>
          <w:szCs w:val="21"/>
          <w:color w:val="auto"/>
        </w:rPr>
      </w:pPr>
    </w:p>
    <w:p>
      <w:pPr>
        <w:ind w:left="-460" w:right="320" w:firstLine="644"/>
        <w:spacing w:after="0"/>
        <w:tabs>
          <w:tab w:leader="none" w:pos="818"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representation to the Corporation that each Proponent is a holder of record of stock of the Corporation entitled to vote at the meeting and intends to appear in person or by proxy at the meeting to propose such Stockholder Business;</w:t>
      </w:r>
    </w:p>
    <w:p>
      <w:pPr>
        <w:spacing w:after="0" w:line="213" w:lineRule="exact"/>
        <w:rPr>
          <w:rFonts w:ascii="Arial" w:cs="Arial" w:eastAsia="Arial" w:hAnsi="Arial"/>
          <w:sz w:val="22"/>
          <w:szCs w:val="22"/>
          <w:color w:val="auto"/>
        </w:rPr>
      </w:pPr>
    </w:p>
    <w:p>
      <w:pPr>
        <w:jc w:val="both"/>
        <w:ind w:left="-460" w:right="60" w:firstLine="644"/>
        <w:spacing w:after="0" w:line="238" w:lineRule="auto"/>
        <w:tabs>
          <w:tab w:leader="none" w:pos="824"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35" w:name="page36"/>
    <w:bookmarkEnd w:id="35"/>
    <w:p>
      <w:pPr>
        <w:ind w:left="1900" w:hanging="636"/>
        <w:spacing w:after="0"/>
        <w:tabs>
          <w:tab w:leader="none" w:pos="19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material interest of each Proponent and any Stockholder Associated Person in such Stockholder</w:t>
      </w:r>
    </w:p>
    <w:p>
      <w:pPr>
        <w:spacing w:after="0" w:line="43"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left="620" w:right="120" w:firstLine="644"/>
        <w:spacing w:after="0" w:line="238" w:lineRule="auto"/>
        <w:tabs>
          <w:tab w:leader="none" w:pos="1916"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representation to the Corporation as to whether the Proponent intends (A) to deliver a proxy statement and form of proxy to holders of at least the percentage of the Corporation’s outstanding capital stock required to approve or adopt such Stockholder Business or (B) otherwise to solicit proxies from the Stockholders in support of such Stockholder Business;</w:t>
      </w:r>
    </w:p>
    <w:p>
      <w:pPr>
        <w:spacing w:after="0" w:line="211" w:lineRule="exact"/>
        <w:rPr>
          <w:rFonts w:ascii="Arial" w:cs="Arial" w:eastAsia="Arial" w:hAnsi="Arial"/>
          <w:sz w:val="22"/>
          <w:szCs w:val="22"/>
          <w:color w:val="auto"/>
        </w:rPr>
      </w:pPr>
    </w:p>
    <w:p>
      <w:pPr>
        <w:ind w:left="620" w:right="480" w:firstLine="644"/>
        <w:spacing w:after="0" w:line="328" w:lineRule="auto"/>
        <w:tabs>
          <w:tab w:leader="none" w:pos="1904"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other information that would be required to be filed with the SEC if the Proponents or Stockholder Associated Persons were participants in a solicitation subject to Section 14 of the Exchange Act; and</w:t>
      </w:r>
    </w:p>
    <w:p>
      <w:pPr>
        <w:spacing w:after="0" w:line="131" w:lineRule="exact"/>
        <w:rPr>
          <w:rFonts w:ascii="Arial" w:cs="Arial" w:eastAsia="Arial" w:hAnsi="Arial"/>
          <w:sz w:val="19"/>
          <w:szCs w:val="19"/>
          <w:color w:val="auto"/>
        </w:rPr>
      </w:pPr>
    </w:p>
    <w:p>
      <w:pPr>
        <w:ind w:left="620" w:firstLine="644"/>
        <w:spacing w:after="0" w:line="250" w:lineRule="auto"/>
        <w:tabs>
          <w:tab w:leader="none" w:pos="1898"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representation and covenant for the benefit of the Corporation that the Proponents shall provide any other information reasonably requested by the Corporation.</w:t>
      </w:r>
    </w:p>
    <w:p>
      <w:pPr>
        <w:spacing w:after="0" w:line="201" w:lineRule="exact"/>
        <w:rPr>
          <w:rFonts w:ascii="Arial" w:cs="Arial" w:eastAsia="Arial" w:hAnsi="Arial"/>
          <w:sz w:val="22"/>
          <w:szCs w:val="22"/>
          <w:color w:val="auto"/>
        </w:rPr>
      </w:pPr>
    </w:p>
    <w:p>
      <w:pPr>
        <w:ind w:left="-40" w:right="260" w:firstLine="656"/>
        <w:spacing w:after="0" w:line="250" w:lineRule="auto"/>
        <w:tabs>
          <w:tab w:leader="none" w:pos="111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Proponents shall also provide any other information reasonably requested by the Corporation within ten (10) business days after such request.</w:t>
      </w:r>
    </w:p>
    <w:p>
      <w:pPr>
        <w:spacing w:after="0" w:line="201" w:lineRule="exact"/>
        <w:rPr>
          <w:rFonts w:ascii="Arial" w:cs="Arial" w:eastAsia="Arial" w:hAnsi="Arial"/>
          <w:sz w:val="22"/>
          <w:szCs w:val="22"/>
          <w:color w:val="auto"/>
        </w:rPr>
      </w:pPr>
    </w:p>
    <w:p>
      <w:pPr>
        <w:ind w:left="-40" w:firstLine="656"/>
        <w:spacing w:after="0" w:line="275" w:lineRule="auto"/>
        <w:tabs>
          <w:tab w:leader="none" w:pos="1148"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addition, the Proponent shall further update and supplement the information provided to the Corporation in the Notice of Business or upon the Corporation’s request pursuant to Section 2.02(e)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184" w:lineRule="exact"/>
        <w:rPr>
          <w:rFonts w:ascii="Arial" w:cs="Arial" w:eastAsia="Arial" w:hAnsi="Arial"/>
          <w:sz w:val="19"/>
          <w:szCs w:val="19"/>
          <w:color w:val="auto"/>
        </w:rPr>
      </w:pPr>
    </w:p>
    <w:p>
      <w:pPr>
        <w:ind w:left="-40" w:right="20" w:firstLine="656"/>
        <w:spacing w:after="0" w:line="238" w:lineRule="auto"/>
        <w:tabs>
          <w:tab w:leader="none" w:pos="113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person presiding over the meeting shall, if the facts warrant, determine and declare to the meeting that business was not properly brought before the meeting in accordance with the procedures set forth in this Section 2.02, and if he or she should so determine, he or she shall so declare to the meeting and any such business not properly brought before the meeting shall not be transacted.</w:t>
      </w:r>
    </w:p>
    <w:p>
      <w:pPr>
        <w:spacing w:after="0" w:line="211" w:lineRule="exact"/>
        <w:rPr>
          <w:rFonts w:ascii="Arial" w:cs="Arial" w:eastAsia="Arial" w:hAnsi="Arial"/>
          <w:sz w:val="22"/>
          <w:szCs w:val="22"/>
          <w:color w:val="auto"/>
        </w:rPr>
      </w:pPr>
    </w:p>
    <w:p>
      <w:pPr>
        <w:ind w:left="-40" w:right="60" w:firstLine="656"/>
        <w:spacing w:after="0" w:line="277" w:lineRule="auto"/>
        <w:tabs>
          <w:tab w:leader="none" w:pos="113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2.02,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36" w:name="page37"/>
    <w:bookmarkEnd w:id="36"/>
    <w:p>
      <w:pPr>
        <w:jc w:val="both"/>
        <w:ind w:right="280" w:firstLine="656"/>
        <w:spacing w:after="0" w:line="261" w:lineRule="auto"/>
        <w:tabs>
          <w:tab w:leader="none" w:pos="1176" w:val="left"/>
        </w:tabs>
        <w:numPr>
          <w:ilvl w:val="0"/>
          <w:numId w:val="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Public Disclosure</w:t>
      </w:r>
      <w:r>
        <w:rPr>
          <w:rFonts w:ascii="Arial" w:cs="Arial" w:eastAsia="Arial" w:hAnsi="Arial"/>
          <w:sz w:val="21"/>
          <w:szCs w:val="21"/>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184" w:lineRule="exact"/>
        <w:rPr>
          <w:rFonts w:ascii="Arial" w:cs="Arial" w:eastAsia="Arial" w:hAnsi="Arial"/>
          <w:sz w:val="21"/>
          <w:szCs w:val="21"/>
          <w:color w:val="auto"/>
        </w:rPr>
      </w:pPr>
    </w:p>
    <w:p>
      <w:pPr>
        <w:ind w:right="120" w:firstLine="656"/>
        <w:spacing w:after="0" w:line="300" w:lineRule="auto"/>
        <w:tabs>
          <w:tab w:leader="none" w:pos="117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Stockholder Associated Person</w:t>
      </w:r>
      <w:r>
        <w:rPr>
          <w:rFonts w:ascii="Arial" w:cs="Arial" w:eastAsia="Arial" w:hAnsi="Arial"/>
          <w:sz w:val="19"/>
          <w:szCs w:val="19"/>
          <w:color w:val="auto"/>
        </w:rPr>
        <w:t>” means, with respect to any Stockholder, (i) any other beneficial owner of stock of the Corporation that is owned by such Stockholder and (ii) any person that directly, or indirectly through one or more intermediaries, controls, or is controlled by, or is under common control with, the Stockholder or such beneficial owner.</w:t>
      </w:r>
    </w:p>
    <w:p>
      <w:pPr>
        <w:spacing w:after="0" w:line="158" w:lineRule="exact"/>
        <w:rPr>
          <w:rFonts w:ascii="Arial" w:cs="Arial" w:eastAsia="Arial" w:hAnsi="Arial"/>
          <w:sz w:val="19"/>
          <w:szCs w:val="19"/>
          <w:color w:val="auto"/>
        </w:rPr>
      </w:pPr>
    </w:p>
    <w:p>
      <w:pPr>
        <w:ind w:right="20" w:firstLine="656"/>
        <w:spacing w:after="0" w:line="236" w:lineRule="auto"/>
        <w:tabs>
          <w:tab w:leader="none" w:pos="14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notice requirements of this Section 2.02 shall be deemed satisfied with respect to Stockholder proposals that have been properly brought under Rule 14a-8 of the Exchange Act and that are included in a proxy statement that has been prepared by the Corporation to solicit proxies for such annual meeting. Further, nothing in this Section 2.02 shall be deemed to affect any rights of the holders of any series of preferred stock of the Corporation pursuant to any applicable provision of the Certificate of Incorporation.</w:t>
      </w:r>
    </w:p>
    <w:p>
      <w:pPr>
        <w:spacing w:after="0" w:line="214"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Special Meetings</w:t>
      </w:r>
      <w:r>
        <w:rPr>
          <w:rFonts w:ascii="Arial" w:cs="Arial" w:eastAsia="Arial" w:hAnsi="Arial"/>
          <w:sz w:val="19"/>
          <w:szCs w:val="19"/>
          <w:color w:val="auto"/>
        </w:rPr>
        <w:t>. Special meetings of the Stockholders may be called only in the manner set forth in the Certificate of Incorporation.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Board shall have exclusive authority to determine the business included in such notice. The Chairman, the Chief Executive Officer or the Board may postpone, reschedule or cancel any special meeting of stockholders previously called by any of them.</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Record Date</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1" w:lineRule="auto"/>
        <w:tabs>
          <w:tab w:leader="none" w:pos="1212"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the purpose of determining the Stockholders entitled to notice of any meeting of Stockholders or any adjournment thereof, unless otherwise required by the Certificate of Incorporation or applicable law, the Board may fix a record date (the “</w:t>
      </w:r>
      <w:r>
        <w:rPr>
          <w:rFonts w:ascii="Arial" w:cs="Arial" w:eastAsia="Arial" w:hAnsi="Arial"/>
          <w:sz w:val="19"/>
          <w:szCs w:val="19"/>
          <w:b w:val="1"/>
          <w:bCs w:val="1"/>
          <w:color w:val="auto"/>
        </w:rPr>
        <w:t>Notice Record Date</w:t>
      </w:r>
      <w:r>
        <w:rPr>
          <w:rFonts w:ascii="Arial" w:cs="Arial" w:eastAsia="Arial" w:hAnsi="Arial"/>
          <w:sz w:val="19"/>
          <w:szCs w:val="19"/>
          <w:color w:val="auto"/>
        </w:rPr>
        <w:t>”), which record date shall not precede the date on which the resolution fixing the record date was adopted by the Board and shall not be more than sixty (60) or less than ten (10) days before the date of such meeting. The Notice Record Date shall also be the record date for determining the Stockholders entitled to vote at such meeting unless the Board determines, at the time it fixes such Notice Record Date, that a later date on or before the date of the meeting shall be the date for making such determination (the “</w:t>
      </w:r>
      <w:r>
        <w:rPr>
          <w:rFonts w:ascii="Arial" w:cs="Arial" w:eastAsia="Arial" w:hAnsi="Arial"/>
          <w:sz w:val="19"/>
          <w:szCs w:val="19"/>
          <w:b w:val="1"/>
          <w:bCs w:val="1"/>
          <w:color w:val="auto"/>
        </w:rPr>
        <w:t>Voting Record Date</w:t>
      </w:r>
      <w:r>
        <w:rPr>
          <w:rFonts w:ascii="Arial" w:cs="Arial" w:eastAsia="Arial" w:hAnsi="Arial"/>
          <w:sz w:val="19"/>
          <w:szCs w:val="19"/>
          <w:color w:val="auto"/>
        </w:rPr>
        <w:t>”). For the purposes of determining the Stockholders entitled to express consent to corporate action in writing without a meeting, unless otherwise required by the Certificate of Incorporation or applicable law, the Board may fix a record date, which record date shall not precede the date on which the resolution fixing the record date was adopted by the Board and shall not be more than ten (10) days after the date on which the record date was fixed by the Board. For the purposes of determining the Stockholders entitled to (i) receive payment of any dividend or other distribution or allotment of any rights, (ii) exercise any rights in respect of any change, conversion or exchange of stock or (iii)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sixty (60) days prior to such 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7" w:name="page38"/>
    <w:bookmarkEnd w:id="37"/>
    <w:p>
      <w:pPr>
        <w:ind w:left="1180" w:hanging="524"/>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no such record date is fixed:</w:t>
      </w:r>
    </w:p>
    <w:p>
      <w:pPr>
        <w:spacing w:after="0" w:line="233" w:lineRule="exact"/>
        <w:rPr>
          <w:rFonts w:ascii="Arial" w:cs="Arial" w:eastAsia="Arial" w:hAnsi="Arial"/>
          <w:sz w:val="22"/>
          <w:szCs w:val="22"/>
          <w:color w:val="auto"/>
        </w:rPr>
      </w:pPr>
    </w:p>
    <w:p>
      <w:pPr>
        <w:ind w:left="660" w:right="20" w:firstLine="644"/>
        <w:spacing w:after="0"/>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13" w:lineRule="exact"/>
        <w:rPr>
          <w:rFonts w:ascii="Arial" w:cs="Arial" w:eastAsia="Arial" w:hAnsi="Arial"/>
          <w:sz w:val="22"/>
          <w:szCs w:val="22"/>
          <w:color w:val="auto"/>
        </w:rPr>
      </w:pPr>
    </w:p>
    <w:p>
      <w:pPr>
        <w:ind w:left="660" w:right="100" w:firstLine="644"/>
        <w:spacing w:after="0" w:line="234" w:lineRule="auto"/>
        <w:tabs>
          <w:tab w:leader="none" w:pos="195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takes such prior action; and</w:t>
      </w:r>
    </w:p>
    <w:p>
      <w:pPr>
        <w:spacing w:after="0" w:line="217" w:lineRule="exact"/>
        <w:rPr>
          <w:rFonts w:ascii="Arial" w:cs="Arial" w:eastAsia="Arial" w:hAnsi="Arial"/>
          <w:sz w:val="22"/>
          <w:szCs w:val="22"/>
          <w:color w:val="auto"/>
        </w:rPr>
      </w:pPr>
    </w:p>
    <w:p>
      <w:pPr>
        <w:ind w:left="660" w:right="120" w:firstLine="644"/>
        <w:spacing w:after="0" w:line="287" w:lineRule="auto"/>
        <w:tabs>
          <w:tab w:leader="none" w:pos="19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when a determination of Stockholders of record entitled to notice of, or to vote at, any meeting of Stockholders has been made as provided in this Section 2.04, such determination shall apply to any adjournment thereof, unless the Board fixes a new Voting Record Date for the adjourned meeting, in which case the Board shall also fix such Voting Record Date or a date earlier than such date as the new Notice Record Date for the adjourned meeting.</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Notice of Meetings of Stockholders</w:t>
      </w:r>
      <w:r>
        <w:rPr>
          <w:rFonts w:ascii="Arial" w:cs="Arial" w:eastAsia="Arial" w:hAnsi="Arial"/>
          <w:sz w:val="19"/>
          <w:szCs w:val="19"/>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Voting Record Date, if such date is different from the Notice Record Date; and, in the case of a special meeting, the purposes for which the meeting is called. Unless otherwise provided by these By-laws or applicable law, notice of any meeting shall be given, not less than ten (10) nor more than sixty (60) days before the date of the meeting, to each Stockholder entitled to vote at such meeting as of the Notice Record Date. If mailed, such notice shall be deemed to be given when deposited in the U.S. mail, with postage prepaid, and directed to the Stockholder at his or her address as it appears on the records of the Corporation. An affidavit of the Secretary, an Assistant Secretary or the transfer agent of the Corporation that the notice required by this Section 2.05 has been given shall, in the absence of fraud, be prima facie evidence of the facts stated therein. If a meeting is adjourned to another time or place, notice need not be given of the adjourned meeting if the time and place thereof are announced at the meeting at which the adjournment is taken. Any business that might have been transacted at the meeting as originally called may be transacted at the adjourned meeting. If, however, the adjournment is for more than thirty (30) days, a notice of the adjourned meeting shall be given to each Stockholder of record entitled to vote at the meeting. If, after the adjournment, a new Voting Record Date is fixed for the adjourned meeting, the Board shall fix a new Notice Record Date in accordance with Section 2.04(b)(iii) hereof and shall give notice of such adjourned meeting to each Stockholder entitled to vote at such meeting as of the Notice Record Date.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ind w:right="20" w:firstLine="648"/>
        <w:spacing w:after="0" w:line="275"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Waivers of Notice</w:t>
      </w:r>
      <w:r>
        <w:rPr>
          <w:rFonts w:ascii="Arial" w:cs="Arial" w:eastAsia="Arial" w:hAnsi="Arial"/>
          <w:sz w:val="19"/>
          <w:szCs w:val="19"/>
          <w:color w:val="auto"/>
        </w:rPr>
        <w:t>. Whenever the giving of any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Any Stockholder so waiving notice of such meeting shall be bound by the proceedings of any such meeting in all respects as if due notice thereof had been given. Neither the business to be transacted at, nor the purposes of, any regular or special meeting of the Stockholders need be specified in any waiver of notice.</w:t>
      </w:r>
    </w:p>
    <w:p>
      <w:pPr>
        <w:spacing w:after="0" w:line="185"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i w:val="1"/>
          <w:iCs w:val="1"/>
          <w:color w:val="auto"/>
        </w:rPr>
        <w:t>List of Stockholders</w:t>
      </w:r>
      <w:r>
        <w:rPr>
          <w:rFonts w:ascii="Arial" w:cs="Arial" w:eastAsia="Arial" w:hAnsi="Arial"/>
          <w:sz w:val="21"/>
          <w:szCs w:val="21"/>
          <w:color w:val="auto"/>
        </w:rPr>
        <w:t>. The Secretary shall prepare and make available, at least ten (10) days before every meeting of Stockholders, a complete, alphabetical list of the Stockholders entitled to vote at the meeting, and showing the address of each Stockholder and the number of shares registered in the name of each Stockholder. Such list may be examined by any Stockholder, the Stockholder’s agent or attorney, at the Stockholder’s expense, for any purpose germane to the meeting, for a period of at least ten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inspection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Quorum of Stockholders; Adjournment</w:t>
      </w:r>
      <w:r>
        <w:rPr>
          <w:rFonts w:ascii="Arial" w:cs="Arial" w:eastAsia="Arial" w:hAnsi="Arial"/>
          <w:sz w:val="19"/>
          <w:szCs w:val="19"/>
          <w:color w:val="auto"/>
        </w:rPr>
        <w:t xml:space="preserve">. Except as otherwise provided by these By-laws, at each meeting of Stockholders, the presence in person or by proxy of the holders of a majority of the voting power of all outstanding shares of stock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In the absence of a quorum, the holders of a majority in voting power of the shares of stock present in person or represented by proxy at any meeting of Stockholders, including an adjourned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limit the right of the Corporation to vote stock, including but not limited to its own stock, held by it in a fiduciary capacity.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right="40" w:firstLine="648"/>
        <w:spacing w:after="0" w:line="272"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i w:val="1"/>
          <w:iCs w:val="1"/>
          <w:color w:val="auto"/>
        </w:rPr>
        <w:t>Voting; Proxies</w:t>
      </w:r>
      <w:r>
        <w:rPr>
          <w:rFonts w:ascii="Arial" w:cs="Arial" w:eastAsia="Arial" w:hAnsi="Arial"/>
          <w:sz w:val="19"/>
          <w:szCs w:val="19"/>
          <w:color w:val="auto"/>
        </w:rPr>
        <w:t>. Unless otherwise provided by the General Corporation Law or in the Certificate of Incorporation, every Stockholder entitled to vote at any meeting of Stockholders shall be entitled to one vote for each share of stock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expressly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200" w:lineRule="exact"/>
        <w:rPr>
          <w:sz w:val="20"/>
          <w:szCs w:val="20"/>
          <w:color w:val="auto"/>
        </w:rPr>
      </w:pPr>
    </w:p>
    <w:p>
      <w:pPr>
        <w:spacing w:after="0" w:line="231"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Voting Procedures and Inspectors at Meetings of Stockholders</w:t>
      </w:r>
      <w:r>
        <w:rPr>
          <w:rFonts w:ascii="Arial" w:cs="Arial" w:eastAsia="Arial" w:hAnsi="Arial"/>
          <w:sz w:val="19"/>
          <w:szCs w:val="19"/>
          <w:color w:val="auto"/>
        </w:rPr>
        <w:t>. The Board, in advance of any meeting of Stockholders, shall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firstLine="648"/>
        <w:spacing w:after="0" w:line="26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Conduct of Meetings; Adjournment</w:t>
      </w:r>
      <w:r>
        <w:rPr>
          <w:rFonts w:ascii="Arial" w:cs="Arial" w:eastAsia="Arial" w:hAnsi="Arial"/>
          <w:sz w:val="19"/>
          <w:szCs w:val="19"/>
          <w:color w:val="auto"/>
        </w:rPr>
        <w:t>. The Board may adopt such rules and procedures for the conduct of Stockholder meetings as it deems appropriate. At each meeting of Stockholders, the Chairman or, in the absence of the Chairman, the Chief Executive Officer or, in the absence of the Chairman, and the Chief Executive Officer, the President or, if there is no Chairman, Chief Executive Officer or President, or if they are absent, a Vice President and, in the case that more than one Vice President shall be present, that Vice President designated by the Board (or in the absence of any such designation, the most senior Vice President present), shall preside over the meeting. Except to the extent inconsistent with the rules and procedures as adopted by the Board,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 To the extent permitted by applicable law, meetings of stockholders may be conducted by remote communications, including by webcast.</w:t>
      </w:r>
    </w:p>
    <w:p>
      <w:pPr>
        <w:spacing w:after="0" w:line="19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Order of Business</w:t>
      </w:r>
      <w:r>
        <w:rPr>
          <w:rFonts w:ascii="Arial" w:cs="Arial" w:eastAsia="Arial" w:hAnsi="Arial"/>
          <w:sz w:val="22"/>
          <w:szCs w:val="22"/>
          <w:color w:val="auto"/>
        </w:rPr>
        <w:t>. The order of business at all meetings of Stockholders shall be as determined by the person presiding over the meeting.</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Written Consent of Stockholders Without a Meeting</w:t>
      </w:r>
      <w:r>
        <w:rPr>
          <w:rFonts w:ascii="Arial" w:cs="Arial" w:eastAsia="Arial" w:hAnsi="Arial"/>
          <w:sz w:val="19"/>
          <w:szCs w:val="19"/>
          <w:color w:val="auto"/>
        </w:rPr>
        <w:t>. If, and only if, the Certificate of Incorporation expressly permits action to be taken at any annual or special meeting of Stockholders without a meeting, without prior notice and without a vote, then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the Office of the Corporation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sixty (60) days of the earliest dated consent delivered in the manner required by this Section 2.13,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color w:val="auto"/>
        </w:rPr>
        <w:t>ARTICLE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IRECTORS</w:t>
      </w:r>
    </w:p>
    <w:p>
      <w:pPr>
        <w:spacing w:after="0" w:line="215"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General Powers</w:t>
      </w:r>
      <w:r>
        <w:rPr>
          <w:rFonts w:ascii="Arial" w:cs="Arial" w:eastAsia="Arial" w:hAnsi="Arial"/>
          <w:sz w:val="19"/>
          <w:szCs w:val="19"/>
          <w:color w:val="auto"/>
        </w:rPr>
        <w:t>.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Classes of Directors; Term of Office</w:t>
      </w:r>
      <w:r>
        <w:rPr>
          <w:rFonts w:ascii="Arial" w:cs="Arial" w:eastAsia="Arial" w:hAnsi="Arial"/>
          <w:sz w:val="21"/>
          <w:szCs w:val="21"/>
          <w:color w:val="auto"/>
        </w:rPr>
        <w:t>. Subject to the rights of the holders of any series of Preferred Stock to elect additional Directors under specified circumstances, following the adoption of these Bylaws,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adoption of these Bylaws, the term of office of the Class I Directors shall expire and Class I Directors shall be elected for a full term of three years. At the second annual meeting of Stockholders following the adoption of these Bylaws, the term of office of the Class II Directors shall expire and Class II Directors shall be elected for a full term of three years. At the third annual meeting of Stockholders following the adoption of these Bylaws,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21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Nominations of Directors</w:t>
      </w:r>
      <w:r>
        <w:rPr>
          <w:rFonts w:ascii="Arial" w:cs="Arial" w:eastAsia="Arial" w:hAnsi="Arial"/>
          <w:sz w:val="19"/>
          <w:szCs w:val="19"/>
          <w:color w:val="auto"/>
        </w:rPr>
        <w:t>. Notwithstanding the foregoing provisions of this Section 3.02,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61" w:lineRule="exact"/>
        <w:rPr>
          <w:sz w:val="20"/>
          <w:szCs w:val="20"/>
          <w:color w:val="auto"/>
        </w:rPr>
      </w:pPr>
    </w:p>
    <w:p>
      <w:pPr>
        <w:ind w:right="540" w:firstLine="656"/>
        <w:spacing w:after="0" w:line="250" w:lineRule="auto"/>
        <w:tabs>
          <w:tab w:leader="none" w:pos="11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Subject to Section 3.03(k), only persons who are nominated in accordance with the procedures set forth in this Section 3.03 are eligible for election as Directors.</w:t>
      </w:r>
    </w:p>
    <w:p>
      <w:pPr>
        <w:spacing w:after="0" w:line="201" w:lineRule="exact"/>
        <w:rPr>
          <w:rFonts w:ascii="Arial" w:cs="Arial" w:eastAsia="Arial" w:hAnsi="Arial"/>
          <w:sz w:val="22"/>
          <w:szCs w:val="22"/>
          <w:color w:val="auto"/>
        </w:rPr>
      </w:pPr>
    </w:p>
    <w:p>
      <w:pPr>
        <w:ind w:right="80" w:firstLine="656"/>
        <w:spacing w:after="0" w:line="269" w:lineRule="auto"/>
        <w:tabs>
          <w:tab w:leader="none" w:pos="1224"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3.03 is delivered to the Secretary and at the time of the meeting, (B) is entitled to vote for the election of Directors at the meeting and (C) complies with the notice and other provisions of this Section 3.03. Subject to Section 3.03(k), Section 3.03(b)(ii) is the exclusive means by which a Stockholder may nominate a person for election to the Board. Persons nominated in accordance with Section 3.03(b)(ii) are referred to as “</w:t>
      </w:r>
      <w:r>
        <w:rPr>
          <w:rFonts w:ascii="Arial" w:cs="Arial" w:eastAsia="Arial" w:hAnsi="Arial"/>
          <w:sz w:val="19"/>
          <w:szCs w:val="19"/>
          <w:b w:val="1"/>
          <w:bCs w:val="1"/>
          <w:color w:val="auto"/>
        </w:rPr>
        <w:t>Stockholder Nominees</w:t>
      </w:r>
      <w:r>
        <w:rPr>
          <w:rFonts w:ascii="Arial" w:cs="Arial" w:eastAsia="Arial" w:hAnsi="Arial"/>
          <w:sz w:val="19"/>
          <w:szCs w:val="19"/>
          <w:color w:val="auto"/>
        </w:rPr>
        <w:t>.” A Stockholder nominating persons for election to the Board is referred to as the</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color w:val="auto"/>
        </w:rPr>
        <w:t>Nominating Stockholder</w:t>
      </w:r>
      <w:r>
        <w:rPr>
          <w:rFonts w:ascii="Arial" w:cs="Arial" w:eastAsia="Arial" w:hAnsi="Arial"/>
          <w:sz w:val="22"/>
          <w:szCs w:val="22"/>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40" w:right="40" w:firstLine="656"/>
        <w:spacing w:after="0" w:line="238" w:lineRule="auto"/>
        <w:tabs>
          <w:tab w:leader="none" w:pos="1118"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Subject to Section 3.03(k), all nominations of Stockholder Nominees must be made by timely written notice given by or on behalf of a Stockholder of record of the Corporation (the “</w:t>
      </w:r>
      <w:r>
        <w:rPr>
          <w:rFonts w:ascii="Arial" w:cs="Arial" w:eastAsia="Arial" w:hAnsi="Arial"/>
          <w:sz w:val="22"/>
          <w:szCs w:val="22"/>
          <w:b w:val="1"/>
          <w:bCs w:val="1"/>
          <w:color w:val="auto"/>
        </w:rPr>
        <w:t>Notice of Nomination</w:t>
      </w:r>
      <w:r>
        <w:rPr>
          <w:rFonts w:ascii="Arial" w:cs="Arial" w:eastAsia="Arial" w:hAnsi="Arial"/>
          <w:sz w:val="22"/>
          <w:szCs w:val="22"/>
          <w:color w:val="auto"/>
        </w:rPr>
        <w:t>”). To be timely, the Notice of Nomination must be delivered personally or mailed to and received at the Office of the Corporation, addressed to the attention of the Secretary, by the following dates:</w:t>
      </w:r>
    </w:p>
    <w:p>
      <w:pPr>
        <w:spacing w:after="0" w:line="212" w:lineRule="exact"/>
        <w:rPr>
          <w:rFonts w:ascii="Arial" w:cs="Arial" w:eastAsia="Arial" w:hAnsi="Arial"/>
          <w:sz w:val="22"/>
          <w:szCs w:val="22"/>
          <w:color w:val="auto"/>
        </w:rPr>
      </w:pPr>
    </w:p>
    <w:p>
      <w:pPr>
        <w:ind w:left="620" w:firstLine="644"/>
        <w:spacing w:after="0" w:line="275" w:lineRule="auto"/>
        <w:tabs>
          <w:tab w:leader="none" w:pos="1904"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in the case of the nomination of a Stockholder Nominee for election to the Board at an annual meeting of Stockholders, no earlier than one hundred and twenty (120) days and no later than ninety (90) days before the first anniversary of the date of the prior year’s annual meeting of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the annual meeting of Stockholders is advanced by more than thirty (30) days, or delayed by more than sixty (60) days, from the first anniversary of the prior year’s annual meeting of Stockholders or (B) no annual meeting was held during the prior year, the notice by the Stockholder to be timely must be received (1) no earlier than one hundred and twenty (120) days before such annual meeting and (2) no later than the later of ninety (90) days before such annual meeting and the tenth day after the day on which the notice of such annual meeting was made by mail or Public Disclosure; and</w:t>
      </w:r>
    </w:p>
    <w:p>
      <w:pPr>
        <w:spacing w:after="0" w:line="184" w:lineRule="exact"/>
        <w:rPr>
          <w:rFonts w:ascii="Arial" w:cs="Arial" w:eastAsia="Arial" w:hAnsi="Arial"/>
          <w:sz w:val="19"/>
          <w:szCs w:val="19"/>
          <w:color w:val="auto"/>
        </w:rPr>
      </w:pPr>
    </w:p>
    <w:p>
      <w:pPr>
        <w:ind w:left="620" w:right="20" w:firstLine="644"/>
        <w:spacing w:after="0" w:line="238" w:lineRule="auto"/>
        <w:tabs>
          <w:tab w:leader="none" w:pos="191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in the case of the nomination of a Stockholder Nominee for election to the Board at a special meeting of Stockholders, no earlier than one hundred and twenty (120) days before and no later than the later of ninety (90) days before such special meeting and the tenth day after the day on which the notice of such special meeting was made by mail or Public Disclosure.</w:t>
      </w:r>
    </w:p>
    <w:p>
      <w:pPr>
        <w:spacing w:after="0" w:line="211" w:lineRule="exact"/>
        <w:rPr>
          <w:rFonts w:ascii="Arial" w:cs="Arial" w:eastAsia="Arial" w:hAnsi="Arial"/>
          <w:sz w:val="22"/>
          <w:szCs w:val="22"/>
          <w:color w:val="auto"/>
        </w:rPr>
      </w:pPr>
    </w:p>
    <w:p>
      <w:pPr>
        <w:ind w:left="-40" w:right="280" w:firstLine="656"/>
        <w:spacing w:after="0" w:line="279" w:lineRule="auto"/>
        <w:tabs>
          <w:tab w:leader="none" w:pos="1130"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anything to the contrary, if the number of Directors to be elected to the Board at a meeting of Stockholders is increased and there is no Public Disclosure by the Corporation naming the nominees for the additional directorships at least one hundred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177" w:lineRule="exact"/>
        <w:rPr>
          <w:rFonts w:ascii="Arial" w:cs="Arial" w:eastAsia="Arial" w:hAnsi="Arial"/>
          <w:sz w:val="19"/>
          <w:szCs w:val="19"/>
          <w:color w:val="auto"/>
        </w:rPr>
      </w:pPr>
    </w:p>
    <w:p>
      <w:pPr>
        <w:jc w:val="both"/>
        <w:ind w:left="-40" w:right="40" w:firstLine="656"/>
        <w:spacing w:after="0"/>
        <w:tabs>
          <w:tab w:leader="none" w:pos="1118"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no event shall an adjournment, postponement or deferral, or Public Disclosure of an adjournment, postponement or deferral, of an annual or special meeting commence a new time period (or extend any time period) for the giving of the Notice of Nomination.</w:t>
      </w:r>
    </w:p>
    <w:p>
      <w:pPr>
        <w:spacing w:after="0" w:line="213" w:lineRule="exact"/>
        <w:rPr>
          <w:rFonts w:ascii="Arial" w:cs="Arial" w:eastAsia="Arial" w:hAnsi="Arial"/>
          <w:sz w:val="22"/>
          <w:szCs w:val="22"/>
          <w:color w:val="auto"/>
        </w:rPr>
      </w:pPr>
    </w:p>
    <w:p>
      <w:pPr>
        <w:ind w:left="1100" w:hanging="484"/>
        <w:spacing w:after="0"/>
        <w:tabs>
          <w:tab w:leader="none" w:pos="11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Notice of Nomination shall set forth:</w:t>
      </w:r>
    </w:p>
    <w:p>
      <w:pPr>
        <w:spacing w:after="0" w:line="233" w:lineRule="exact"/>
        <w:rPr>
          <w:rFonts w:ascii="Arial" w:cs="Arial" w:eastAsia="Arial" w:hAnsi="Arial"/>
          <w:sz w:val="22"/>
          <w:szCs w:val="22"/>
          <w:color w:val="auto"/>
        </w:rPr>
      </w:pPr>
    </w:p>
    <w:p>
      <w:pPr>
        <w:ind w:left="1900" w:hanging="636"/>
        <w:spacing w:after="0"/>
        <w:tabs>
          <w:tab w:leader="none" w:pos="19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Stockholder Information with respect to each Nominating Stockholder and Stockholder Associated</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15" w:lineRule="exact"/>
        <w:rPr>
          <w:rFonts w:ascii="Arial" w:cs="Arial" w:eastAsia="Arial" w:hAnsi="Arial"/>
          <w:sz w:val="19"/>
          <w:szCs w:val="19"/>
          <w:color w:val="auto"/>
        </w:rPr>
      </w:pPr>
    </w:p>
    <w:p>
      <w:pPr>
        <w:ind w:left="620" w:right="140" w:firstLine="644"/>
        <w:spacing w:after="0"/>
        <w:tabs>
          <w:tab w:leader="none" w:pos="191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 representation to the Corporation that each Nominating Stockholder is a holder of record of stock of the Corporation entitled to vote at the meeting and intends to appear in person or by proxy at the meeting to propose such nomination;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43" w:name="page44"/>
    <w:bookmarkEnd w:id="43"/>
    <w:p>
      <w:pPr>
        <w:ind w:left="640" w:right="100" w:firstLine="644"/>
        <w:spacing w:after="0" w:line="252" w:lineRule="auto"/>
        <w:tabs>
          <w:tab w:leader="none" w:pos="1936" w:val="left"/>
        </w:tabs>
        <w:numPr>
          <w:ilvl w:val="1"/>
          <w:numId w:val="41"/>
        </w:numPr>
        <w:rPr>
          <w:rFonts w:ascii="Arial" w:cs="Arial" w:eastAsia="Arial" w:hAnsi="Arial"/>
          <w:sz w:val="21"/>
          <w:szCs w:val="21"/>
          <w:color w:val="auto"/>
        </w:rPr>
      </w:pPr>
      <w:r>
        <w:rPr>
          <w:rFonts w:ascii="Arial" w:cs="Arial" w:eastAsia="Arial" w:hAnsi="Arial"/>
          <w:sz w:val="21"/>
          <w:szCs w:val="21"/>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 and a completed signed questionnaire, representation and agreement required by Section 3.04;</w:t>
      </w:r>
    </w:p>
    <w:p>
      <w:pPr>
        <w:spacing w:after="0" w:line="201" w:lineRule="exact"/>
        <w:rPr>
          <w:rFonts w:ascii="Arial" w:cs="Arial" w:eastAsia="Arial" w:hAnsi="Arial"/>
          <w:sz w:val="21"/>
          <w:szCs w:val="21"/>
          <w:color w:val="auto"/>
        </w:rPr>
      </w:pPr>
    </w:p>
    <w:p>
      <w:pPr>
        <w:ind w:left="640" w:firstLine="644"/>
        <w:spacing w:after="0" w:line="279" w:lineRule="auto"/>
        <w:tabs>
          <w:tab w:leader="none" w:pos="1924"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177" w:lineRule="exact"/>
        <w:rPr>
          <w:rFonts w:ascii="Arial" w:cs="Arial" w:eastAsia="Arial" w:hAnsi="Arial"/>
          <w:sz w:val="19"/>
          <w:szCs w:val="19"/>
          <w:color w:val="auto"/>
        </w:rPr>
      </w:pPr>
    </w:p>
    <w:p>
      <w:pPr>
        <w:ind w:left="640" w:right="40" w:firstLine="644"/>
        <w:spacing w:after="0" w:line="328" w:lineRule="auto"/>
        <w:tabs>
          <w:tab w:leader="none" w:pos="1918" w:val="left"/>
        </w:tabs>
        <w:numPr>
          <w:ilvl w:val="1"/>
          <w:numId w:val="41"/>
        </w:numPr>
        <w:rPr>
          <w:rFonts w:ascii="Arial" w:cs="Arial" w:eastAsia="Arial" w:hAnsi="Arial"/>
          <w:sz w:val="19"/>
          <w:szCs w:val="19"/>
          <w:color w:val="auto"/>
        </w:rPr>
      </w:pPr>
      <w:r>
        <w:rPr>
          <w:rFonts w:ascii="Arial" w:cs="Arial" w:eastAsia="Arial" w:hAnsi="Arial"/>
          <w:sz w:val="19"/>
          <w:szCs w:val="19"/>
          <w:color w:val="auto"/>
        </w:rPr>
        <w:t>Stockholder Information with respect to any stock or other interests of the Corporation held by members of the Nominating Stockholder’s or its Stockholder Associated Person’s immediate family sharing the same household;</w:t>
      </w:r>
    </w:p>
    <w:p>
      <w:pPr>
        <w:spacing w:after="0" w:line="131" w:lineRule="exact"/>
        <w:rPr>
          <w:rFonts w:ascii="Arial" w:cs="Arial" w:eastAsia="Arial" w:hAnsi="Arial"/>
          <w:sz w:val="19"/>
          <w:szCs w:val="19"/>
          <w:color w:val="auto"/>
        </w:rPr>
      </w:pPr>
    </w:p>
    <w:p>
      <w:pPr>
        <w:jc w:val="both"/>
        <w:ind w:left="640" w:right="220" w:firstLine="644"/>
        <w:spacing w:after="0" w:line="297" w:lineRule="auto"/>
        <w:tabs>
          <w:tab w:leader="none" w:pos="1924"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representation to the Corporation as to whether each Nominating Stockholder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160" w:lineRule="exact"/>
        <w:rPr>
          <w:rFonts w:ascii="Arial" w:cs="Arial" w:eastAsia="Arial" w:hAnsi="Arial"/>
          <w:sz w:val="19"/>
          <w:szCs w:val="19"/>
          <w:color w:val="auto"/>
        </w:rPr>
      </w:pPr>
    </w:p>
    <w:p>
      <w:pPr>
        <w:ind w:left="640" w:right="220" w:firstLine="644"/>
        <w:spacing w:after="0" w:line="328" w:lineRule="auto"/>
        <w:tabs>
          <w:tab w:leader="none" w:pos="193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all other information that would be required to be filed with the SEC if the Nominating Stockholders and Stockholder Associated Persons were participants in a solicitation subject to Section 14 of the Exchange Act; and</w:t>
      </w:r>
    </w:p>
    <w:p>
      <w:pPr>
        <w:spacing w:after="0" w:line="131" w:lineRule="exact"/>
        <w:rPr>
          <w:rFonts w:ascii="Arial" w:cs="Arial" w:eastAsia="Arial" w:hAnsi="Arial"/>
          <w:sz w:val="19"/>
          <w:szCs w:val="19"/>
          <w:color w:val="auto"/>
        </w:rPr>
      </w:pPr>
    </w:p>
    <w:p>
      <w:pPr>
        <w:ind w:left="640" w:right="360" w:firstLine="644"/>
        <w:spacing w:after="0" w:line="250" w:lineRule="auto"/>
        <w:tabs>
          <w:tab w:leader="none" w:pos="193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representation and covenant for the benefit of the Corporation that the Nominating Stockholders shall provide any other information reasonably requested by the Corporation.</w:t>
      </w:r>
    </w:p>
    <w:p>
      <w:pPr>
        <w:spacing w:after="0" w:line="201" w:lineRule="exact"/>
        <w:rPr>
          <w:rFonts w:ascii="Arial" w:cs="Arial" w:eastAsia="Arial" w:hAnsi="Arial"/>
          <w:sz w:val="22"/>
          <w:szCs w:val="22"/>
          <w:color w:val="auto"/>
        </w:rPr>
      </w:pPr>
    </w:p>
    <w:p>
      <w:pPr>
        <w:ind w:left="-20" w:right="380" w:firstLine="656"/>
        <w:spacing w:after="0" w:line="250" w:lineRule="auto"/>
        <w:tabs>
          <w:tab w:leader="none" w:pos="115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Nominating Stockholders shall also provide any other information reasonably requested by the Corporation within ten (10) business days after such request.</w:t>
      </w:r>
    </w:p>
    <w:p>
      <w:pPr>
        <w:spacing w:after="0" w:line="201" w:lineRule="exact"/>
        <w:rPr>
          <w:rFonts w:ascii="Arial" w:cs="Arial" w:eastAsia="Arial" w:hAnsi="Arial"/>
          <w:sz w:val="22"/>
          <w:szCs w:val="22"/>
          <w:color w:val="auto"/>
        </w:rPr>
      </w:pPr>
    </w:p>
    <w:p>
      <w:pPr>
        <w:ind w:left="-20" w:right="220" w:firstLine="656"/>
        <w:spacing w:after="0" w:line="275" w:lineRule="auto"/>
        <w:tabs>
          <w:tab w:leader="none" w:pos="115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addition, the Nominating Stockholders shall further update and supplement the information provided to the Corporation in the Notice of Nomination or upon the Corporation’s request pursuant to Section 3.03(g) as needed, so that such information shall be true and correct as of the record date for the meeting and as of the date that is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4" w:name="page45"/>
    <w:bookmarkEnd w:id="44"/>
    <w:p>
      <w:pPr>
        <w:ind w:right="160" w:firstLine="656"/>
        <w:spacing w:after="0" w:line="258" w:lineRule="auto"/>
        <w:tabs>
          <w:tab w:leader="none" w:pos="1176"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person presiding over the meeting shall, if the facts warrant, determine and declare to the meeting, that the nomination was not made in accordance with the procedures set forth in this Section 3.03, and, if he or she should so determine, he or she shall so declare to the meeting and the defective nomination shall be disregarded.</w:t>
      </w:r>
    </w:p>
    <w:p>
      <w:pPr>
        <w:spacing w:after="0" w:line="193" w:lineRule="exact"/>
        <w:rPr>
          <w:rFonts w:ascii="Arial" w:cs="Arial" w:eastAsia="Arial" w:hAnsi="Arial"/>
          <w:sz w:val="21"/>
          <w:szCs w:val="21"/>
          <w:color w:val="auto"/>
        </w:rPr>
      </w:pPr>
    </w:p>
    <w:p>
      <w:pPr>
        <w:ind w:right="60" w:firstLine="656"/>
        <w:spacing w:after="0" w:line="234" w:lineRule="auto"/>
        <w:tabs>
          <w:tab w:leader="none" w:pos="117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3.03,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13" w:lineRule="exact"/>
        <w:rPr>
          <w:rFonts w:ascii="Arial" w:cs="Arial" w:eastAsia="Arial" w:hAnsi="Arial"/>
          <w:sz w:val="22"/>
          <w:szCs w:val="22"/>
          <w:color w:val="auto"/>
        </w:rPr>
      </w:pPr>
    </w:p>
    <w:p>
      <w:pPr>
        <w:ind w:right="20" w:firstLine="656"/>
        <w:spacing w:after="0" w:line="250" w:lineRule="auto"/>
        <w:tabs>
          <w:tab w:leader="none" w:pos="11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Nothing in this Section 3.03 shall be deemed to affect any rights of the holders of any series of preferred stock of the Corporation pursuant to any applicable provision of the Certificate of Incorporation.</w:t>
      </w:r>
    </w:p>
    <w:p>
      <w:pPr>
        <w:spacing w:after="0" w:line="202" w:lineRule="exact"/>
        <w:rPr>
          <w:sz w:val="20"/>
          <w:szCs w:val="20"/>
          <w:color w:val="auto"/>
        </w:rPr>
      </w:pPr>
    </w:p>
    <w:p>
      <w:pPr>
        <w:ind w:right="80" w:firstLine="648"/>
        <w:spacing w:after="0" w:line="270"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Nominee and Director Qualifications.</w:t>
      </w:r>
      <w:r>
        <w:rPr>
          <w:rFonts w:ascii="Arial" w:cs="Arial" w:eastAsia="Arial" w:hAnsi="Arial"/>
          <w:sz w:val="19"/>
          <w:szCs w:val="19"/>
          <w:color w:val="auto"/>
        </w:rPr>
        <w:t xml:space="preserve">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w:t>
      </w:r>
    </w:p>
    <w:p>
      <w:pPr>
        <w:spacing w:after="0" w:line="1" w:lineRule="exact"/>
        <w:rPr>
          <w:sz w:val="20"/>
          <w:szCs w:val="20"/>
          <w:color w:val="auto"/>
        </w:rPr>
      </w:pPr>
    </w:p>
    <w:p>
      <w:pPr>
        <w:ind w:firstLine="8"/>
        <w:spacing w:after="0" w:line="272" w:lineRule="auto"/>
        <w:tabs>
          <w:tab w:leader="none" w:pos="258"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agreement, arrangement or understanding with, and has not given any commitment or assurance to, any person or entity as to how such person will act or vote as a Director on any issue or question (a “</w:t>
      </w:r>
      <w:r>
        <w:rPr>
          <w:rFonts w:ascii="Arial" w:cs="Arial" w:eastAsia="Arial" w:hAnsi="Arial"/>
          <w:sz w:val="19"/>
          <w:szCs w:val="19"/>
          <w:b w:val="1"/>
          <w:bCs w:val="1"/>
          <w:color w:val="auto"/>
        </w:rPr>
        <w:t>Voting Commitment</w:t>
      </w:r>
      <w:r>
        <w:rPr>
          <w:rFonts w:ascii="Arial" w:cs="Arial" w:eastAsia="Arial" w:hAnsi="Arial"/>
          <w:sz w:val="19"/>
          <w:szCs w:val="19"/>
          <w:color w:val="auto"/>
        </w:rPr>
        <w: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ind w:right="60" w:firstLine="648"/>
        <w:spacing w:after="0" w:line="245"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Resignation.</w:t>
      </w:r>
      <w:r>
        <w:rPr>
          <w:rFonts w:ascii="Arial" w:cs="Arial" w:eastAsia="Arial" w:hAnsi="Arial"/>
          <w:sz w:val="21"/>
          <w:szCs w:val="21"/>
          <w:color w:val="auto"/>
        </w:rPr>
        <w:t xml:space="preserve">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212"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3.06 shall preclude any Director from serving the Corporation or its subsidiaries in any other capacity and receiving proper compensation therefor.</w:t>
      </w:r>
    </w:p>
    <w:p>
      <w:pPr>
        <w:spacing w:after="0" w:line="185"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Regular Meetings.</w:t>
      </w:r>
      <w:r>
        <w:rPr>
          <w:rFonts w:ascii="Arial" w:cs="Arial" w:eastAsia="Arial" w:hAnsi="Arial"/>
          <w:sz w:val="19"/>
          <w:szCs w:val="19"/>
          <w:color w:val="auto"/>
        </w:rPr>
        <w:t xml:space="preserve"> Regular meetings of the Board may be held without notice at such times and at such places within or without the State of Delaware as may be determined from time to time by the Board or its Chairman.</w:t>
      </w:r>
    </w:p>
    <w:p>
      <w:pPr>
        <w:spacing w:after="0" w:line="132"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Special Meetings.</w:t>
      </w:r>
      <w:r>
        <w:rPr>
          <w:rFonts w:ascii="Arial" w:cs="Arial" w:eastAsia="Arial" w:hAnsi="Arial"/>
          <w:sz w:val="22"/>
          <w:szCs w:val="22"/>
          <w:color w:val="auto"/>
        </w:rPr>
        <w:t xml:space="preserve"> Special meetings of the Board may be held at such times and at such places within or without the State of Delaware as may be determined by the Chairman, or the Chief Executive Officer on at least twenty-four (24) hours’ notice to each Director given by one of the means specified in Section 3.11 hereof other than by mail, or on at least three (3) days’ notice if given by mail.</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i w:val="1"/>
          <w:iCs w:val="1"/>
          <w:color w:val="auto"/>
        </w:rPr>
        <w:t>Telephone Meetings.</w:t>
      </w:r>
      <w:r>
        <w:rPr>
          <w:rFonts w:ascii="Arial" w:cs="Arial" w:eastAsia="Arial" w:hAnsi="Arial"/>
          <w:sz w:val="19"/>
          <w:szCs w:val="19"/>
          <w:color w:val="auto"/>
        </w:rPr>
        <w:t xml:space="preserve"> Board or Board committee meetings may be held by means of telephone conference or other communications equipment by means of which all persons participating in the meeting can hear each other. Participation by a Director in a meeting pursuant to this Section 3.09 shall constitute presence in person at such meeting.</w:t>
      </w:r>
    </w:p>
    <w:p>
      <w:pPr>
        <w:spacing w:after="0" w:line="161"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i w:val="1"/>
          <w:iCs w:val="1"/>
          <w:color w:val="auto"/>
        </w:rPr>
        <w:t>Adjourned Meetings.</w:t>
      </w:r>
      <w:r>
        <w:rPr>
          <w:rFonts w:ascii="Arial" w:cs="Arial" w:eastAsia="Arial" w:hAnsi="Arial"/>
          <w:sz w:val="22"/>
          <w:szCs w:val="22"/>
          <w:color w:val="auto"/>
        </w:rPr>
        <w:t xml:space="preserve"> A majority of the Directors present at any meeting of the Board, including an adjourned meeting, whether or not a quorum is present, may adjourn and reconvene such meeting to another time and place. At least twenty-four (24) hours’ notice of any adjourned meeting of the Board shall be given to each Director whether or not present at the time of the adjournment, if such notice shall be given by one of the means specified in Section 3.11 hereof other than by mail, or at least three (3) days’ notice if by mail. Any business may be transacted at an adjourned meeting that might have been transacted at the meeting as originally called.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ind w:firstLine="648"/>
        <w:spacing w:after="0" w:line="28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i w:val="1"/>
          <w:iCs w:val="1"/>
          <w:color w:val="auto"/>
        </w:rPr>
        <w:t>Notice Procedure.</w:t>
      </w:r>
      <w:r>
        <w:rPr>
          <w:rFonts w:ascii="Arial" w:cs="Arial" w:eastAsia="Arial" w:hAnsi="Arial"/>
          <w:sz w:val="19"/>
          <w:szCs w:val="19"/>
          <w:color w:val="auto"/>
        </w:rPr>
        <w:t xml:space="preserve"> Subject to Section 3.08 and 3.12 hereof,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w:t>
      </w:r>
    </w:p>
    <w:p>
      <w:pPr>
        <w:spacing w:after="0" w:line="170" w:lineRule="exact"/>
        <w:rPr>
          <w:sz w:val="20"/>
          <w:szCs w:val="20"/>
          <w:color w:val="auto"/>
        </w:rPr>
      </w:pPr>
    </w:p>
    <w:p>
      <w:pPr>
        <w:ind w:right="140" w:firstLine="648"/>
        <w:spacing w:after="0" w:line="234"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i w:val="1"/>
          <w:iCs w:val="1"/>
          <w:color w:val="auto"/>
        </w:rPr>
        <w:t>Waiver of Notice.</w:t>
      </w:r>
      <w:r>
        <w:rPr>
          <w:rFonts w:ascii="Arial" w:cs="Arial" w:eastAsia="Arial" w:hAnsi="Arial"/>
          <w:sz w:val="22"/>
          <w:szCs w:val="22"/>
          <w:color w:val="auto"/>
        </w:rPr>
        <w:t xml:space="preserve"> Whenever the giving of any notice to Directors is required by applicable law, the Certificate of Incorporation or these By-laws, a waiver thereof, in writing signed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w:t>
      </w:r>
    </w:p>
    <w:p>
      <w:pPr>
        <w:spacing w:after="0" w:line="218"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i w:val="1"/>
          <w:iCs w:val="1"/>
          <w:color w:val="auto"/>
        </w:rPr>
        <w:t>Organization.</w:t>
      </w:r>
      <w:r>
        <w:rPr>
          <w:rFonts w:ascii="Arial" w:cs="Arial" w:eastAsia="Arial" w:hAnsi="Arial"/>
          <w:sz w:val="19"/>
          <w:szCs w:val="19"/>
          <w:color w:val="auto"/>
        </w:rPr>
        <w:t xml:space="preserve"> At each meeting of the Board, the Chairman or, in the absence of the Chairman, the Lead Independent Director, or if the Lead Independent Director has not been appointed or is absent, the Chief Executive Officer or, in the absence of the Chairman, the Chief Executive Officer, another Director selected by the Board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77" w:lineRule="exact"/>
        <w:rPr>
          <w:sz w:val="20"/>
          <w:szCs w:val="20"/>
          <w:color w:val="auto"/>
        </w:rPr>
      </w:pPr>
    </w:p>
    <w:p>
      <w:pPr>
        <w:ind w:right="340" w:firstLine="648"/>
        <w:spacing w:after="0" w:line="274"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i w:val="1"/>
          <w:iCs w:val="1"/>
          <w:color w:val="auto"/>
        </w:rPr>
        <w:t>Quorum of Directors.</w:t>
      </w:r>
      <w:r>
        <w:rPr>
          <w:rFonts w:ascii="Arial" w:cs="Arial" w:eastAsia="Arial" w:hAnsi="Arial"/>
          <w:sz w:val="21"/>
          <w:szCs w:val="21"/>
          <w:color w:val="auto"/>
        </w:rPr>
        <w:t xml:space="preserve"> The presence in person of a majority of the total members of the Board shall be necessary and sufficient to constitute a quorum for the transaction of business at any meeting of the Board.</w:t>
      </w:r>
    </w:p>
    <w:p>
      <w:pPr>
        <w:spacing w:after="0" w:line="178"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i w:val="1"/>
          <w:iCs w:val="1"/>
          <w:color w:val="auto"/>
        </w:rPr>
        <w:t>Action by Majority Vote.</w:t>
      </w:r>
      <w:r>
        <w:rPr>
          <w:rFonts w:ascii="Arial" w:cs="Arial" w:eastAsia="Arial" w:hAnsi="Arial"/>
          <w:sz w:val="22"/>
          <w:szCs w:val="22"/>
          <w:color w:val="auto"/>
        </w:rPr>
        <w:t xml:space="preserve"> Except as otherwise expressly required by these By-laws, or the Certificate of Incorporation, the vote of a majority of the Directors present at a meeting at which a quorum is present shall be the act of the Board; provided that to the extent one or more Directors recuses himself or herself from an act, the act of a majority of the remaining Directors present shall be the act of the Board.</w:t>
      </w:r>
    </w:p>
    <w:p>
      <w:pPr>
        <w:spacing w:after="0" w:line="212"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i w:val="1"/>
          <w:iCs w:val="1"/>
          <w:color w:val="auto"/>
        </w:rPr>
        <w:t>Action Without Meeting.</w:t>
      </w:r>
      <w:r>
        <w:rPr>
          <w:rFonts w:ascii="Arial" w:cs="Arial" w:eastAsia="Arial" w:hAnsi="Arial"/>
          <w:sz w:val="21"/>
          <w:szCs w:val="21"/>
          <w:color w:val="auto"/>
        </w:rPr>
        <w:t xml:space="preserve"> Unless otherwise restricted by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or committee.</w:t>
      </w:r>
    </w:p>
    <w:p>
      <w:pPr>
        <w:spacing w:after="0" w:line="201"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i w:val="1"/>
          <w:iCs w:val="1"/>
          <w:color w:val="auto"/>
        </w:rPr>
        <w:t>Chairman and Lead Independent Director</w:t>
      </w:r>
      <w:r>
        <w:rPr>
          <w:rFonts w:ascii="Arial" w:cs="Arial" w:eastAsia="Arial" w:hAnsi="Arial"/>
          <w:sz w:val="19"/>
          <w:szCs w:val="19"/>
          <w:color w:val="auto"/>
        </w:rPr>
        <w:t>. The Chairman, if appointed and when present, shall preside at all meetings of the Stockholders and the Board. The Chairman shall perform other duties commonly incident to the office and shall also perform such other duties and have such other powers, as the Board shall designate from time to time. The Chairman, or if the Chairman is not an independent director, one of the independent directors, may be designated by the Board as lead independent director to serve until replaced by the Board (“</w:t>
      </w:r>
      <w:r>
        <w:rPr>
          <w:rFonts w:ascii="Arial" w:cs="Arial" w:eastAsia="Arial" w:hAnsi="Arial"/>
          <w:sz w:val="19"/>
          <w:szCs w:val="19"/>
          <w:b w:val="1"/>
          <w:bCs w:val="1"/>
          <w:color w:val="auto"/>
        </w:rPr>
        <w:t>Lead Independent Director</w:t>
      </w:r>
      <w:r>
        <w:rPr>
          <w:rFonts w:ascii="Arial" w:cs="Arial" w:eastAsia="Arial" w:hAnsi="Arial"/>
          <w:sz w:val="19"/>
          <w:szCs w:val="19"/>
          <w:color w:val="auto"/>
        </w:rPr>
        <w:t>”). The Lead Independent Director will perform such other duties as may be established or delegated by the Board.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2"/>
          <w:szCs w:val="22"/>
          <w:color w:val="auto"/>
        </w:rPr>
        <w:t>ARTICLE 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OMMITTEES OF THE</w:t>
      </w:r>
      <w:r>
        <w:rPr>
          <w:rFonts w:ascii="Arial" w:cs="Arial" w:eastAsia="Arial" w:hAnsi="Arial"/>
          <w:sz w:val="22"/>
          <w:szCs w:val="22"/>
          <w:color w:val="auto"/>
        </w:rPr>
        <w:t xml:space="preserve"> B</w:t>
      </w:r>
      <w:r>
        <w:rPr>
          <w:rFonts w:ascii="Arial" w:cs="Arial" w:eastAsia="Arial" w:hAnsi="Arial"/>
          <w:sz w:val="14"/>
          <w:szCs w:val="14"/>
          <w:color w:val="auto"/>
        </w:rPr>
        <w:t>OARD</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The Board may, by resolution, designate one or more committees, each committee to consist of one or more of the Directors of the Corporation. The Board may, by resolution,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at any time, with or without cause.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O</w:t>
      </w:r>
      <w:r>
        <w:rPr>
          <w:rFonts w:ascii="Arial" w:cs="Arial" w:eastAsia="Arial" w:hAnsi="Arial"/>
          <w:sz w:val="14"/>
          <w:szCs w:val="14"/>
          <w:color w:val="auto"/>
        </w:rPr>
        <w:t>FFICERS</w:t>
      </w:r>
    </w:p>
    <w:p>
      <w:pPr>
        <w:spacing w:after="0" w:line="2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Positions; Election.</w:t>
      </w:r>
      <w:r>
        <w:rPr>
          <w:rFonts w:ascii="Arial" w:cs="Arial" w:eastAsia="Arial" w:hAnsi="Arial"/>
          <w:sz w:val="19"/>
          <w:szCs w:val="19"/>
          <w:color w:val="auto"/>
        </w:rPr>
        <w:t xml:space="preserve"> The Board may from time to time elect officers of the Corporation, which may include a Chief Executive Officer, President, Chief Financial Officer, Vice Presidents, Secretary, Treasurer and any other officers as it may deem proper or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ind w:right="100" w:firstLine="648"/>
        <w:spacing w:after="0" w:line="273"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i w:val="1"/>
          <w:iCs w:val="1"/>
          <w:color w:val="auto"/>
        </w:rPr>
        <w:t>Term of Office.</w:t>
      </w:r>
      <w:r>
        <w:rPr>
          <w:rFonts w:ascii="Arial" w:cs="Arial" w:eastAsia="Arial" w:hAnsi="Arial"/>
          <w:sz w:val="19"/>
          <w:szCs w:val="19"/>
          <w:color w:val="auto"/>
        </w:rPr>
        <w:t xml:space="preserve"> Each officer of the Corporation shall hold office for such terms as may be determined by the Board or, except with respect to his or her own office, the Chief Executive Officer, or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or, in the case of appointed officers, by any elected officer upon whom such power of removal shall have been conferred by the Board. Any vacancy occurring in any office of the Corporation may be filled by the Board or, in the case of appointed officers, by any elected officer upon whom such power of appointment shall have been conferred by the Board. The election or appointment of an officer shall not of itself create contract rights.</w:t>
      </w:r>
    </w:p>
    <w:p>
      <w:pPr>
        <w:spacing w:after="0" w:line="188"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Chief Executive Officer.</w:t>
      </w:r>
      <w:r>
        <w:rPr>
          <w:rFonts w:ascii="Arial" w:cs="Arial" w:eastAsia="Arial" w:hAnsi="Arial"/>
          <w:sz w:val="19"/>
          <w:szCs w:val="19"/>
          <w:color w:val="auto"/>
        </w:rPr>
        <w:t xml:space="preserve"> The Chief Executive Officer shall have general supervision over, and direction of, the business and affairs of the Corporation, subject, however, to the control of the Board and of any duly authorized committee of the Board. The Chief Executive Officer shall preside at all meetings of the Stockholders and at all meetings of the Board at which the Chairman and, with respect to meetings of the Board, the Lead Independent Director (if there be one),are not present. The Chief 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i w:val="1"/>
          <w:iCs w:val="1"/>
          <w:color w:val="auto"/>
        </w:rPr>
        <w:t>President.</w:t>
      </w:r>
      <w:r>
        <w:rPr>
          <w:rFonts w:ascii="Arial" w:cs="Arial" w:eastAsia="Arial" w:hAnsi="Arial"/>
          <w:sz w:val="19"/>
          <w:szCs w:val="19"/>
          <w:color w:val="auto"/>
        </w:rPr>
        <w:t xml:space="preserve"> The President shall have duties incident to the office of President,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shall preside at all meetings of the Stockholders at which the Chairman, and the Chief Executive Officer are not present.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84" w:lineRule="exact"/>
        <w:rPr>
          <w:sz w:val="20"/>
          <w:szCs w:val="20"/>
          <w:color w:val="auto"/>
        </w:rPr>
      </w:pPr>
    </w:p>
    <w:p>
      <w:pPr>
        <w:ind w:right="100" w:firstLine="648"/>
        <w:spacing w:after="0" w:line="234"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Vice Presidents.</w:t>
      </w:r>
      <w:r>
        <w:rPr>
          <w:rFonts w:ascii="Arial" w:cs="Arial" w:eastAsia="Arial" w:hAnsi="Arial"/>
          <w:sz w:val="22"/>
          <w:szCs w:val="22"/>
          <w:color w:val="auto"/>
        </w:rPr>
        <w:t xml:space="preserve"> Vice Presidents shall have the duties incident to the office of Vice President and any other duties that may from time to time be assigned to the Vice President by the Chief Executive Officer, the President or the Board. A Vice President shall preside at all meetings of the Stockholders at which the Chairman, the Chief Executive Officer and the President are not present.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ind w:firstLine="648"/>
        <w:spacing w:after="0" w:line="27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Chief Financial Officer</w:t>
      </w:r>
      <w:r>
        <w:rPr>
          <w:rFonts w:ascii="Arial" w:cs="Arial" w:eastAsia="Arial" w:hAnsi="Arial"/>
          <w:sz w:val="19"/>
          <w:szCs w:val="19"/>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and shall also perform such other duties and have such other powers as the Board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or the Chief Executive Officer, or if no Chief Executive Officer is then serving, the President shall designate from time to time.</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Secretary.</w:t>
      </w:r>
      <w:r>
        <w:rPr>
          <w:rFonts w:ascii="Arial" w:cs="Arial" w:eastAsia="Arial" w:hAnsi="Arial"/>
          <w:sz w:val="19"/>
          <w:szCs w:val="19"/>
          <w:color w:val="auto"/>
        </w:rPr>
        <w:t xml:space="preserve">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Executive Chairman, Chief Executive Officer,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ind w:firstLine="648"/>
        <w:spacing w:after="0" w:line="271"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i w:val="1"/>
          <w:iCs w:val="1"/>
          <w:color w:val="auto"/>
        </w:rPr>
        <w:t>Treasurer.</w:t>
      </w:r>
      <w:r>
        <w:rPr>
          <w:rFonts w:ascii="Arial" w:cs="Arial" w:eastAsia="Arial" w:hAnsi="Arial"/>
          <w:sz w:val="19"/>
          <w:szCs w:val="19"/>
          <w:color w:val="auto"/>
        </w:rPr>
        <w:t xml:space="preserve">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200" w:lineRule="exact"/>
        <w:rPr>
          <w:sz w:val="20"/>
          <w:szCs w:val="20"/>
          <w:color w:val="auto"/>
        </w:rPr>
      </w:pPr>
    </w:p>
    <w:p>
      <w:pPr>
        <w:spacing w:after="0" w:line="238"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i w:val="1"/>
          <w:iCs w:val="1"/>
          <w:color w:val="auto"/>
        </w:rPr>
        <w:t>Assistant Secretaries and Assistant Treasurers.</w:t>
      </w:r>
      <w:r>
        <w:rPr>
          <w:rFonts w:ascii="Arial" w:cs="Arial" w:eastAsia="Arial" w:hAnsi="Arial"/>
          <w:sz w:val="22"/>
          <w:szCs w:val="22"/>
          <w:color w:val="auto"/>
        </w:rPr>
        <w:t xml:space="preserve"> Assistant Secretaries and Assistant Treasurers shall perform such duties as shall be assigned to them by the Secretary or by the Treasurer, respectively, or by the Board, the Chief Executive Officer or the President.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ENERAL</w:t>
      </w:r>
      <w:r>
        <w:rPr>
          <w:rFonts w:ascii="Arial" w:cs="Arial" w:eastAsia="Arial" w:hAnsi="Arial"/>
          <w:sz w:val="22"/>
          <w:szCs w:val="22"/>
          <w:color w:val="auto"/>
        </w:rPr>
        <w:t xml:space="preserve"> P</w:t>
      </w:r>
      <w:r>
        <w:rPr>
          <w:rFonts w:ascii="Arial" w:cs="Arial" w:eastAsia="Arial" w:hAnsi="Arial"/>
          <w:sz w:val="14"/>
          <w:szCs w:val="14"/>
          <w:color w:val="auto"/>
        </w:rPr>
        <w:t>ROVISIONS</w:t>
      </w:r>
    </w:p>
    <w:p>
      <w:pPr>
        <w:spacing w:after="0" w:line="215"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i w:val="1"/>
          <w:iCs w:val="1"/>
          <w:color w:val="auto"/>
        </w:rPr>
        <w:t>Certificates Representing Shares.</w:t>
      </w:r>
      <w:r>
        <w:rPr>
          <w:rFonts w:ascii="Arial" w:cs="Arial" w:eastAsia="Arial" w:hAnsi="Arial"/>
          <w:sz w:val="19"/>
          <w:szCs w:val="19"/>
          <w:color w:val="auto"/>
        </w:rPr>
        <w:t xml:space="preserve"> The shares of stock of the Corporation may be represented by certificates or all of such shares shall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the Chief Executive Officer, the President or any Vice President, the Chief Financial Officer and by the Secretary, any Assistant Secretary, the Treasurer or any Assistant Treasurer.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85" w:lineRule="exact"/>
        <w:rPr>
          <w:sz w:val="20"/>
          <w:szCs w:val="20"/>
          <w:color w:val="auto"/>
        </w:rPr>
      </w:pPr>
    </w:p>
    <w:p>
      <w:pPr>
        <w:ind w:right="400" w:firstLine="648"/>
        <w:spacing w:after="0" w:line="328"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Transfer and Registry Agents.</w:t>
      </w:r>
      <w:r>
        <w:rPr>
          <w:rFonts w:ascii="Arial" w:cs="Arial" w:eastAsia="Arial" w:hAnsi="Arial"/>
          <w:sz w:val="19"/>
          <w:szCs w:val="19"/>
          <w:color w:val="auto"/>
        </w:rPr>
        <w:t xml:space="preserve"> The Corporation may from time to time maintain one or more transfer offices or agents and registry offices or agents at such place or places as may be determined from time to time by the Board.</w:t>
      </w:r>
    </w:p>
    <w:p>
      <w:pPr>
        <w:spacing w:after="0" w:line="132"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Lost, Stolen or Destroyed Certificates.</w:t>
      </w:r>
      <w:r>
        <w:rPr>
          <w:rFonts w:ascii="Arial" w:cs="Arial" w:eastAsia="Arial" w:hAnsi="Arial"/>
          <w:sz w:val="22"/>
          <w:szCs w:val="22"/>
          <w:color w:val="auto"/>
        </w:rPr>
        <w:t xml:space="preserve">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1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Form of Records.</w:t>
      </w:r>
      <w:r>
        <w:rPr>
          <w:rFonts w:ascii="Arial" w:cs="Arial" w:eastAsia="Arial" w:hAnsi="Arial"/>
          <w:sz w:val="19"/>
          <w:szCs w:val="19"/>
          <w:color w:val="auto"/>
        </w:rPr>
        <w:t xml:space="preserve"> Any records maintained by the Corporation in the regular course of its business, including its stock ledger, books of account and minute books, may be maintained on any information storage device or method;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records so kept can be converted into clearly legible paper form within a reasonable time. The 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so convert any records so kept upon the request of any person entitled to inspect such records pursuant to applicable law.</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ind w:right="260" w:firstLine="648"/>
        <w:spacing w:after="0" w:line="241"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Seal.</w:t>
      </w:r>
      <w:r>
        <w:rPr>
          <w:rFonts w:ascii="Arial" w:cs="Arial" w:eastAsia="Arial" w:hAnsi="Arial"/>
          <w:sz w:val="22"/>
          <w:szCs w:val="22"/>
          <w:color w:val="auto"/>
        </w:rPr>
        <w:t xml:space="preserve">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 xml:space="preserve">Fiscal Year. </w:t>
      </w:r>
      <w:r>
        <w:rPr>
          <w:rFonts w:ascii="Arial" w:cs="Arial" w:eastAsia="Arial" w:hAnsi="Arial"/>
          <w:sz w:val="19"/>
          <w:szCs w:val="19"/>
          <w:color w:val="auto"/>
        </w:rPr>
        <w:t>The fiscal year of the Corporation shall be determined by the Board.</w:t>
      </w:r>
    </w:p>
    <w:p>
      <w:pPr>
        <w:spacing w:after="0" w:line="233"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Amendments.</w:t>
      </w:r>
      <w:r>
        <w:rPr>
          <w:rFonts w:ascii="Arial" w:cs="Arial" w:eastAsia="Arial" w:hAnsi="Arial"/>
          <w:sz w:val="22"/>
          <w:szCs w:val="22"/>
          <w:color w:val="auto"/>
        </w:rPr>
        <w:t xml:space="preserve"> These By-laws may be altered, amended or repealed in accordance with the Certificate of Incorporation and the General Corporation Law.</w:t>
      </w:r>
    </w:p>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i w:val="1"/>
          <w:iCs w:val="1"/>
          <w:color w:val="auto"/>
        </w:rPr>
        <w:t>Conflict with Applicable Law or Certificate of Incorporation.</w:t>
      </w:r>
      <w:r>
        <w:rPr>
          <w:rFonts w:ascii="Arial" w:cs="Arial" w:eastAsia="Arial" w:hAnsi="Arial"/>
          <w:sz w:val="21"/>
          <w:szCs w:val="21"/>
          <w:color w:val="auto"/>
        </w:rPr>
        <w:t xml:space="preserve">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NDEMNIFICATION</w:t>
      </w:r>
    </w:p>
    <w:p>
      <w:pPr>
        <w:spacing w:after="0" w:line="215"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Directors and Executive Officers</w:t>
      </w:r>
      <w:r>
        <w:rPr>
          <w:rFonts w:ascii="Arial" w:cs="Arial" w:eastAsia="Arial" w:hAnsi="Arial"/>
          <w:sz w:val="19"/>
          <w:szCs w:val="19"/>
          <w:color w:val="auto"/>
        </w:rPr>
        <w:t>. The Corporation shall indemnify its Directors and executive officers (for the purposes of this Article 7, “executive officers” shall have the meaning defined in Rule 3b-7 promulgated under the Exchange Act) to the extent not prohibited by the General Corporation Law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under Section 7.04.</w:t>
      </w:r>
    </w:p>
    <w:p>
      <w:pPr>
        <w:spacing w:after="0" w:line="185"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i w:val="1"/>
          <w:iCs w:val="1"/>
          <w:color w:val="auto"/>
        </w:rPr>
        <w:t>Other Officers, Employees and Other Agents</w:t>
      </w:r>
      <w:r>
        <w:rPr>
          <w:rFonts w:ascii="Arial" w:cs="Arial" w:eastAsia="Arial" w:hAnsi="Arial"/>
          <w:sz w:val="21"/>
          <w:szCs w:val="21"/>
          <w:color w:val="auto"/>
        </w:rPr>
        <w:t>. The Corporation shall have power to indemnify its other officers, employees and other agents as set forth in the General Corporation Law or any other applicable law. The Board shall have the power to delegate the determination of whether indemnification shall be given to any such person except executive officers to such officers or other persons as the Board shall determine.</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2" w:name="page53"/>
    <w:bookmarkEnd w:id="52"/>
    <w:p>
      <w:pPr>
        <w:ind w:right="80" w:firstLine="648"/>
        <w:spacing w:after="0" w:line="272"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i w:val="1"/>
          <w:iCs w:val="1"/>
          <w:color w:val="auto"/>
        </w:rPr>
        <w:t>Expenses</w:t>
      </w:r>
      <w:r>
        <w:rPr>
          <w:rFonts w:ascii="Arial" w:cs="Arial" w:eastAsia="Arial" w:hAnsi="Arial"/>
          <w:sz w:val="19"/>
          <w:szCs w:val="19"/>
          <w:color w:val="auto"/>
        </w:rPr>
        <w:t>.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General Corporation Law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88"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Notwithstanding the foregoing, unless otherwise determined pursuant to Section 7.05,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i w:val="1"/>
          <w:iCs w:val="1"/>
          <w:color w:val="auto"/>
        </w:rPr>
        <w:t>Enforcement</w:t>
      </w:r>
      <w:r>
        <w:rPr>
          <w:rFonts w:ascii="Arial" w:cs="Arial" w:eastAsia="Arial" w:hAnsi="Arial"/>
          <w:sz w:val="19"/>
          <w:szCs w:val="19"/>
          <w:color w:val="auto"/>
        </w:rPr>
        <w: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ind w:right="40" w:firstLine="648"/>
        <w:spacing w:after="0" w:line="279"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i w:val="1"/>
          <w:iCs w:val="1"/>
          <w:color w:val="auto"/>
        </w:rPr>
        <w:t>Non-Exclusivity of Rights</w:t>
      </w:r>
      <w:r>
        <w:rPr>
          <w:rFonts w:ascii="Arial" w:cs="Arial" w:eastAsia="Arial" w:hAnsi="Arial"/>
          <w:sz w:val="19"/>
          <w:szCs w:val="19"/>
          <w:color w:val="auto"/>
        </w:rPr>
        <w:t>.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178"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Survival of Rights</w:t>
      </w:r>
      <w:r>
        <w:rPr>
          <w:rFonts w:ascii="Arial" w:cs="Arial" w:eastAsia="Arial" w:hAnsi="Arial"/>
          <w:sz w:val="22"/>
          <w:szCs w:val="22"/>
          <w:color w:val="auto"/>
        </w:rPr>
        <w:t>. The rights conferred on any person by this Bylaw shall continue as to a person who has ceased to be a Director, officer, employee or other agent and shall inure to the benefit of the heirs, executors and administrators of such a person.</w:t>
      </w:r>
    </w:p>
    <w:p>
      <w:pPr>
        <w:spacing w:after="0" w:line="213"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i w:val="1"/>
          <w:iCs w:val="1"/>
          <w:color w:val="auto"/>
        </w:rPr>
        <w:t>Insurance</w:t>
      </w:r>
      <w:r>
        <w:rPr>
          <w:rFonts w:ascii="Arial" w:cs="Arial" w:eastAsia="Arial" w:hAnsi="Arial"/>
          <w:sz w:val="22"/>
          <w:szCs w:val="22"/>
          <w:color w:val="auto"/>
        </w:rPr>
        <w:t>. To the fullest extent permitted by the General Corporation Law or any other applicable law, the Corporation, upon approval by the Board, may purchase insurance on behalf of any person required or permitted to be indemnified pursuant to this section.</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Amendments</w:t>
      </w:r>
      <w:r>
        <w:rPr>
          <w:rFonts w:ascii="Arial" w:cs="Arial" w:eastAsia="Arial" w:hAnsi="Arial"/>
          <w:sz w:val="22"/>
          <w:szCs w:val="22"/>
          <w:color w:val="auto"/>
        </w:rPr>
        <w:t>. 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spacing w:after="0" w:line="213"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Saving Clause</w:t>
      </w:r>
      <w:r>
        <w:rPr>
          <w:rFonts w:ascii="Arial" w:cs="Arial" w:eastAsia="Arial" w:hAnsi="Arial"/>
          <w:sz w:val="19"/>
          <w:szCs w:val="19"/>
          <w:color w:val="auto"/>
        </w:rPr>
        <w: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i w:val="1"/>
          <w:iCs w:val="1"/>
          <w:color w:val="auto"/>
        </w:rPr>
        <w:t>Certain Definitions</w:t>
      </w:r>
      <w:r>
        <w:rPr>
          <w:rFonts w:ascii="Arial" w:cs="Arial" w:eastAsia="Arial" w:hAnsi="Arial"/>
          <w:sz w:val="19"/>
          <w:szCs w:val="19"/>
          <w:color w:val="auto"/>
        </w:rPr>
        <w:t>. For the purposes of this Article 7, the following definitions shall apply:</w:t>
      </w:r>
    </w:p>
    <w:p>
      <w:pPr>
        <w:spacing w:after="0" w:line="233" w:lineRule="exact"/>
        <w:rPr>
          <w:sz w:val="20"/>
          <w:szCs w:val="20"/>
          <w:color w:val="auto"/>
        </w:rPr>
      </w:pPr>
    </w:p>
    <w:p>
      <w:pPr>
        <w:ind w:firstLine="656"/>
        <w:spacing w:after="0"/>
        <w:tabs>
          <w:tab w:leader="none" w:pos="115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jc w:val="both"/>
        <w:ind w:left="-40" w:right="240" w:firstLine="656"/>
        <w:spacing w:after="0" w:line="241" w:lineRule="auto"/>
        <w:tabs>
          <w:tab w:leader="none" w:pos="113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10" w:lineRule="exact"/>
        <w:rPr>
          <w:rFonts w:ascii="Arial" w:cs="Arial" w:eastAsia="Arial" w:hAnsi="Arial"/>
          <w:sz w:val="22"/>
          <w:szCs w:val="22"/>
          <w:color w:val="auto"/>
        </w:rPr>
      </w:pPr>
    </w:p>
    <w:p>
      <w:pPr>
        <w:ind w:left="-40" w:right="140" w:firstLine="656"/>
        <w:spacing w:after="0" w:line="277" w:lineRule="auto"/>
        <w:tabs>
          <w:tab w:leader="none" w:pos="111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8" w:lineRule="exact"/>
        <w:rPr>
          <w:rFonts w:ascii="Arial" w:cs="Arial" w:eastAsia="Arial" w:hAnsi="Arial"/>
          <w:sz w:val="19"/>
          <w:szCs w:val="19"/>
          <w:color w:val="auto"/>
        </w:rPr>
      </w:pPr>
    </w:p>
    <w:p>
      <w:pPr>
        <w:jc w:val="both"/>
        <w:ind w:left="-40" w:right="60" w:firstLine="656"/>
        <w:spacing w:after="0" w:line="297" w:lineRule="auto"/>
        <w:tabs>
          <w:tab w:leader="none" w:pos="11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60" w:lineRule="exact"/>
        <w:rPr>
          <w:rFonts w:ascii="Arial" w:cs="Arial" w:eastAsia="Arial" w:hAnsi="Arial"/>
          <w:sz w:val="19"/>
          <w:szCs w:val="19"/>
          <w:color w:val="auto"/>
        </w:rPr>
      </w:pPr>
    </w:p>
    <w:p>
      <w:pPr>
        <w:ind w:left="-40" w:firstLine="656"/>
        <w:spacing w:after="0" w:line="246" w:lineRule="auto"/>
        <w:tabs>
          <w:tab w:leader="none" w:pos="1172" w:val="left"/>
        </w:tabs>
        <w:numPr>
          <w:ilvl w:val="0"/>
          <w:numId w:val="46"/>
        </w:numPr>
        <w:rPr>
          <w:rFonts w:ascii="Arial" w:cs="Arial" w:eastAsia="Arial" w:hAnsi="Arial"/>
          <w:sz w:val="21"/>
          <w:szCs w:val="21"/>
          <w:color w:val="auto"/>
        </w:rPr>
      </w:pPr>
      <w:r>
        <w:rPr>
          <w:rFonts w:ascii="Arial" w:cs="Arial" w:eastAsia="Arial" w:hAnsi="Arial"/>
          <w:sz w:val="21"/>
          <w:szCs w:val="21"/>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55" w:name="page56"/>
    <w:bookmarkEnd w:id="55"/>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EX-4.1 SPECIMEN COMMON STOCK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4.1</w:t>
      </w:r>
    </w:p>
    <w:p>
      <w:pPr>
        <w:spacing w:after="0" w:line="215" w:lineRule="exact"/>
        <w:rPr>
          <w:sz w:val="20"/>
          <w:szCs w:val="20"/>
          <w:color w:val="auto"/>
        </w:rPr>
      </w:pPr>
    </w:p>
    <w:p>
      <w:pPr>
        <w:sectPr>
          <w:pgSz w:w="11900" w:h="16838" w:orient="portrait"/>
          <w:cols w:equalWidth="0" w:num="2">
            <w:col w:w="9680" w:space="720"/>
            <w:col w:w="840"/>
          </w:cols>
          <w:pgMar w:left="320" w:top="283" w:right="3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SEE REVERSE FOR CERTAIN DEFINITIONS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CUSIP 92971A 109</w:t>
      </w:r>
    </w:p>
    <w:p>
      <w:pPr>
        <w:spacing w:after="0" w:line="200" w:lineRule="exact"/>
        <w:rPr>
          <w:sz w:val="20"/>
          <w:szCs w:val="20"/>
          <w:color w:val="auto"/>
        </w:rPr>
      </w:pPr>
    </w:p>
    <w:p>
      <w:pPr>
        <w:sectPr>
          <w:pgSz w:w="11900" w:h="16838" w:orient="portrait"/>
          <w:cols w:equalWidth="0" w:num="2">
            <w:col w:w="4900" w:space="720"/>
            <w:col w:w="5620"/>
          </w:cols>
          <w:pgMar w:left="320" w:top="283"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WM Technology, Inc.</w:t>
      </w:r>
    </w:p>
    <w:p>
      <w:pPr>
        <w:sectPr>
          <w:pgSz w:w="11900" w:h="16838" w:orient="portrait"/>
          <w:cols w:equalWidth="0" w:num="1">
            <w:col w:w="11240"/>
          </w:cols>
          <w:pgMar w:left="320" w:top="283"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INCORPORATED UNDER THE LAWS OF THE STATE OF DELAWARE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This Certifies that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is the owner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FULLY PAID AND NON-ASSESSABLE SHARES OF THE PAR VALUE OF $0.0001 EACH OF THE COMMON STOCK OF</w:t>
      </w:r>
    </w:p>
    <w:p>
      <w:pPr>
        <w:spacing w:after="0" w:line="262"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WM Technology, Inc.</w:t>
      </w:r>
    </w:p>
    <w:p>
      <w:pPr>
        <w:spacing w:after="0" w:line="14"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(THE “COMPANY”)</w:t>
      </w:r>
    </w:p>
    <w:p>
      <w:pPr>
        <w:spacing w:after="0" w:line="215" w:lineRule="exact"/>
        <w:rPr>
          <w:sz w:val="20"/>
          <w:szCs w:val="20"/>
          <w:color w:val="auto"/>
        </w:rPr>
      </w:pPr>
    </w:p>
    <w:p>
      <w:pPr>
        <w:ind w:firstLine="567"/>
        <w:spacing w:after="0" w:line="250" w:lineRule="auto"/>
        <w:rPr>
          <w:sz w:val="20"/>
          <w:szCs w:val="20"/>
          <w:color w:val="auto"/>
        </w:rPr>
      </w:pPr>
      <w:r>
        <w:rPr>
          <w:rFonts w:ascii="Arial" w:cs="Arial" w:eastAsia="Arial" w:hAnsi="Arial"/>
          <w:sz w:val="22"/>
          <w:szCs w:val="22"/>
          <w:color w:val="auto"/>
        </w:rPr>
        <w:t>transferable on the books of the Company in person or by duly authorized attorney upon surrender of this certificate properly endorsed.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This certificate is not valid unless countersigned by the Transfer Agent and registered by the Registrar.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Witness the seal of the Company and the facsimile signatures of its duly authorized officers.</w:t>
      </w:r>
    </w:p>
    <w:p>
      <w:pPr>
        <w:spacing w:after="0" w:line="240" w:lineRule="exact"/>
        <w:rPr>
          <w:sz w:val="20"/>
          <w:szCs w:val="20"/>
          <w:color w:val="auto"/>
        </w:rPr>
      </w:pPr>
    </w:p>
    <w:p>
      <w:pPr>
        <w:ind w:left="540"/>
        <w:spacing w:after="0"/>
        <w:tabs>
          <w:tab w:leader="none" w:pos="4660" w:val="left"/>
          <w:tab w:leader="none" w:pos="900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8"/>
          <w:szCs w:val="18"/>
          <w:color w:val="auto"/>
        </w:rPr>
        <w:t>[Corporate Seal] Delaware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will furnish without charge to each stockholder who so requests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40" w:type="dxa"/>
            <w:vAlign w:val="bottom"/>
          </w:tcPr>
          <w:p>
            <w:pPr>
              <w:spacing w:after="0"/>
              <w:rPr>
                <w:sz w:val="20"/>
                <w:szCs w:val="20"/>
                <w:color w:val="auto"/>
              </w:rPr>
            </w:pPr>
            <w:r>
              <w:rPr>
                <w:rFonts w:ascii="Arial" w:cs="Arial" w:eastAsia="Arial" w:hAnsi="Arial"/>
                <w:sz w:val="18"/>
                <w:szCs w:val="18"/>
                <w:color w:val="auto"/>
              </w:rPr>
              <w:t>TEN COM</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2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3260" w:type="dxa"/>
            <w:vAlign w:val="bottom"/>
          </w:tcPr>
          <w:p>
            <w:pPr>
              <w:ind w:left="1240"/>
              <w:spacing w:after="0"/>
              <w:rPr>
                <w:sz w:val="20"/>
                <w:szCs w:val="20"/>
                <w:color w:val="auto"/>
              </w:rPr>
            </w:pPr>
            <w:r>
              <w:rPr>
                <w:rFonts w:ascii="Arial" w:cs="Arial" w:eastAsia="Arial" w:hAnsi="Arial"/>
                <w:sz w:val="18"/>
                <w:szCs w:val="18"/>
                <w:color w:val="auto"/>
              </w:rPr>
              <w:t>UNIF GIFT MIN ACT —</w:t>
            </w:r>
          </w:p>
        </w:tc>
        <w:tc>
          <w:tcPr>
            <w:tcW w:w="2240" w:type="dxa"/>
            <w:vAlign w:val="bottom"/>
            <w:tcBorders>
              <w:bottom w:val="single" w:sz="8" w:color="auto"/>
            </w:tcBorders>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Custodian</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TEN ENT</w:t>
            </w:r>
          </w:p>
        </w:tc>
        <w:tc>
          <w:tcPr>
            <w:tcW w:w="38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  as tenants by the entireties</w:t>
            </w:r>
          </w:p>
        </w:tc>
        <w:tc>
          <w:tcPr>
            <w:tcW w:w="3260" w:type="dxa"/>
            <w:vAlign w:val="bottom"/>
          </w:tcPr>
          <w:p>
            <w:pPr>
              <w:spacing w:after="0"/>
              <w:rPr>
                <w:sz w:val="17"/>
                <w:szCs w:val="17"/>
                <w:color w:val="auto"/>
              </w:rPr>
            </w:pPr>
          </w:p>
        </w:tc>
        <w:tc>
          <w:tcPr>
            <w:tcW w:w="2240" w:type="dxa"/>
            <w:vAlign w:val="bottom"/>
          </w:tcPr>
          <w:p>
            <w:pPr>
              <w:ind w:left="900"/>
              <w:spacing w:after="0" w:line="201" w:lineRule="exact"/>
              <w:rPr>
                <w:sz w:val="20"/>
                <w:szCs w:val="20"/>
                <w:color w:val="auto"/>
              </w:rPr>
            </w:pPr>
            <w:r>
              <w:rPr>
                <w:rFonts w:ascii="Arial" w:cs="Arial" w:eastAsia="Arial" w:hAnsi="Arial"/>
                <w:sz w:val="18"/>
                <w:szCs w:val="18"/>
                <w:color w:val="auto"/>
              </w:rPr>
              <w:t>(Cust)</w:t>
            </w:r>
          </w:p>
        </w:tc>
        <w:tc>
          <w:tcPr>
            <w:tcW w:w="780" w:type="dxa"/>
            <w:vAlign w:val="bottom"/>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JT TEN</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as joint tenants with right of survivorship and not as tenants in common</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under Uniform Gifts to Minors Act</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(Minor)</w:t>
            </w:r>
          </w:p>
        </w:tc>
      </w:tr>
      <w:tr>
        <w:trPr>
          <w:trHeight w:val="230"/>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(State)</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Additional abbreviations may also be used though not in the above list.</w:t>
      </w:r>
    </w:p>
    <w:p>
      <w:pPr>
        <w:spacing w:after="0" w:line="233" w:lineRule="exact"/>
        <w:rPr>
          <w:sz w:val="20"/>
          <w:szCs w:val="20"/>
          <w:color w:val="auto"/>
        </w:rPr>
      </w:pPr>
    </w:p>
    <w:p>
      <w:pPr>
        <w:spacing w:after="0"/>
        <w:tabs>
          <w:tab w:leader="none" w:pos="272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19"/>
          <w:szCs w:val="19"/>
          <w:color w:val="auto"/>
        </w:rPr>
        <w:t>hereby sells, assigns and transfers unto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INSERT SOCIAL SECURITY OR OTHER IDENTIFYING NUMBER(S) OF ASSIGNEE(S))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PRINT OR TYPEWRITE NAME(S) AND ADDRESS(ES), INCLUDING ZIP CODE, OF ASSIGNEE(S))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shares of the capital stock represented by the within Certificate, and hereby irrevocably constitutes and appoints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Attorney to transfer the said stock on the books of the within named Company with full power of substitution in the premises.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23495</wp:posOffset>
            </wp:positionV>
            <wp:extent cx="20313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0313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9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NOTICE: THE SIGNATURE(S) TO THIS ASSIGNMENT MUST CORRESPOND WITH THE NAME AS WRITTEN UPON THE FACE OF THE CERTIFICATE IN EVERY PARTICULAR, WITHOUT ALTERATION OR ENLARGEMENT OR ANY CHANGE WHATEVER.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21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0003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tabs>
          <w:tab w:leader="none" w:pos="10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EX-4.2 SPECIMEN WARRANT CERTIFICATE</w:t>
      </w:r>
      <w:r>
        <w:rPr>
          <w:sz w:val="20"/>
          <w:szCs w:val="20"/>
          <w:color w:val="auto"/>
        </w:rPr>
        <w:tab/>
      </w:r>
      <w:r>
        <w:rPr>
          <w:rFonts w:ascii="Arial" w:cs="Arial" w:eastAsia="Arial" w:hAnsi="Arial"/>
          <w:sz w:val="16"/>
          <w:szCs w:val="16"/>
          <w:b w:val="1"/>
          <w:bCs w:val="1"/>
          <w:color w:val="auto"/>
        </w:rPr>
        <w:t>Exhibit 4.2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Warrant Certificate]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jc w:val="center"/>
        <w:spacing w:after="0" w:line="238" w:lineRule="auto"/>
        <w:rPr>
          <w:sz w:val="20"/>
          <w:szCs w:val="20"/>
          <w:color w:val="auto"/>
        </w:rPr>
      </w:pPr>
      <w:r>
        <w:rPr>
          <w:rFonts w:ascii="Arial" w:cs="Arial" w:eastAsia="Arial" w:hAnsi="Arial"/>
          <w:sz w:val="22"/>
          <w:szCs w:val="22"/>
          <w:b w:val="1"/>
          <w:bCs w:val="1"/>
          <w:color w:val="auto"/>
        </w:rPr>
        <w:t>WARRANTS</w:t>
      </w:r>
    </w:p>
    <w:p>
      <w:pPr>
        <w:jc w:val="center"/>
        <w:spacing w:after="0" w:line="230" w:lineRule="auto"/>
        <w:rPr>
          <w:sz w:val="20"/>
          <w:szCs w:val="20"/>
          <w:color w:val="auto"/>
        </w:rPr>
      </w:pPr>
      <w:r>
        <w:rPr>
          <w:rFonts w:ascii="Arial" w:cs="Arial" w:eastAsia="Arial" w:hAnsi="Arial"/>
          <w:sz w:val="22"/>
          <w:szCs w:val="22"/>
          <w:b w:val="1"/>
          <w:bCs w:val="1"/>
          <w:color w:val="auto"/>
        </w:rPr>
        <w:t>THIS WARRANT SHALL BE VOID IF NOT EXERCISED PRIOR TO</w:t>
      </w:r>
    </w:p>
    <w:p>
      <w:pPr>
        <w:jc w:val="center"/>
        <w:spacing w:after="0" w:line="231" w:lineRule="auto"/>
        <w:rPr>
          <w:sz w:val="20"/>
          <w:szCs w:val="20"/>
          <w:color w:val="auto"/>
        </w:rPr>
      </w:pPr>
      <w:r>
        <w:rPr>
          <w:rFonts w:ascii="Arial" w:cs="Arial" w:eastAsia="Arial" w:hAnsi="Arial"/>
          <w:sz w:val="22"/>
          <w:szCs w:val="22"/>
          <w:b w:val="1"/>
          <w:bCs w:val="1"/>
          <w:color w:val="auto"/>
        </w:rPr>
        <w:t>THE EXPIRATION OF THE EXERCISE PERIOD PROVIDED FOR</w:t>
      </w:r>
    </w:p>
    <w:p>
      <w:pPr>
        <w:jc w:val="center"/>
        <w:spacing w:after="0"/>
        <w:rPr>
          <w:sz w:val="20"/>
          <w:szCs w:val="20"/>
          <w:color w:val="auto"/>
        </w:rPr>
      </w:pPr>
      <w:r>
        <w:rPr>
          <w:rFonts w:ascii="Arial" w:cs="Arial" w:eastAsia="Arial" w:hAnsi="Arial"/>
          <w:sz w:val="22"/>
          <w:szCs w:val="22"/>
          <w:b w:val="1"/>
          <w:bCs w:val="1"/>
          <w:color w:val="auto"/>
        </w:rPr>
        <w:t>IN THE WARRANT AGREEMENT DESCRIBED BELOW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Incorporated Under the Laws of the State of Delaware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CUSIP 92971A 117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Certificate</w:t>
      </w:r>
    </w:p>
    <w:p>
      <w:pPr>
        <w:spacing w:after="0" w:line="239"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b w:val="1"/>
          <w:bCs w:val="1"/>
          <w:i w:val="1"/>
          <w:iCs w:val="1"/>
          <w:color w:val="auto"/>
        </w:rPr>
        <w:t xml:space="preserve">This Warrant Certificate certifies that </w:t>
      </w:r>
      <w:r>
        <w:rPr>
          <w:rFonts w:ascii="Arial" w:cs="Arial" w:eastAsia="Arial" w:hAnsi="Arial"/>
          <w:sz w:val="19"/>
          <w:szCs w:val="19"/>
          <w:color w:val="auto"/>
        </w:rPr>
        <w:t>, or registered assigns, is the registered holder of warrant(s) evidenced hereby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Warrants</w:t>
      </w:r>
      <w:r>
        <w:rPr>
          <w:rFonts w:ascii="Arial" w:cs="Arial" w:eastAsia="Arial" w:hAnsi="Arial"/>
          <w:sz w:val="19"/>
          <w:szCs w:val="19"/>
          <w:color w:val="auto"/>
        </w:rPr>
        <w:t>” and each, a “</w:t>
      </w:r>
      <w:r>
        <w:rPr>
          <w:rFonts w:ascii="Arial" w:cs="Arial" w:eastAsia="Arial" w:hAnsi="Arial"/>
          <w:sz w:val="19"/>
          <w:szCs w:val="19"/>
          <w:b w:val="1"/>
          <w:bCs w:val="1"/>
          <w:i w:val="1"/>
          <w:iCs w:val="1"/>
          <w:color w:val="auto"/>
        </w:rPr>
        <w:t>Warrant</w:t>
      </w:r>
      <w:r>
        <w:rPr>
          <w:rFonts w:ascii="Arial" w:cs="Arial" w:eastAsia="Arial" w:hAnsi="Arial"/>
          <w:sz w:val="19"/>
          <w:szCs w:val="19"/>
          <w:color w:val="auto"/>
        </w:rPr>
        <w:t>”) to purchase Class A Common Stock, $0.0001 par value (“</w:t>
      </w:r>
      <w:r>
        <w:rPr>
          <w:rFonts w:ascii="Arial" w:cs="Arial" w:eastAsia="Arial" w:hAnsi="Arial"/>
          <w:sz w:val="19"/>
          <w:szCs w:val="19"/>
          <w:b w:val="1"/>
          <w:bCs w:val="1"/>
          <w:i w:val="1"/>
          <w:iCs w:val="1"/>
          <w:color w:val="auto"/>
        </w:rPr>
        <w:t>Class A Common Stock</w:t>
      </w:r>
      <w:r>
        <w:rPr>
          <w:rFonts w:ascii="Arial" w:cs="Arial" w:eastAsia="Arial" w:hAnsi="Arial"/>
          <w:sz w:val="19"/>
          <w:szCs w:val="19"/>
          <w:color w:val="auto"/>
        </w:rPr>
        <w:t>”), of WM Technology,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Each Warrant entitles the holder, upon exercise during the period set forth in the Warrant Agreement referred to below, to receive from the Company that number of fully paid and non-assessable shares of Class A Common Stock as set forth below, at the exercise price (the “</w:t>
      </w:r>
      <w:r>
        <w:rPr>
          <w:rFonts w:ascii="Arial" w:cs="Arial" w:eastAsia="Arial" w:hAnsi="Arial"/>
          <w:sz w:val="19"/>
          <w:szCs w:val="19"/>
          <w:b w:val="1"/>
          <w:bCs w:val="1"/>
          <w:i w:val="1"/>
          <w:iCs w:val="1"/>
          <w:color w:val="auto"/>
        </w:rPr>
        <w:t>Exercise Price</w:t>
      </w:r>
      <w:r>
        <w:rPr>
          <w:rFonts w:ascii="Arial" w:cs="Arial" w:eastAsia="Arial" w:hAnsi="Arial"/>
          <w:sz w:val="19"/>
          <w:szCs w:val="19"/>
          <w:color w:val="auto"/>
        </w:rPr>
        <w:t>”) as determined pursuant to the Warrant Agreement, payable in lawful money (or through “</w:t>
      </w:r>
      <w:r>
        <w:rPr>
          <w:rFonts w:ascii="Arial" w:cs="Arial" w:eastAsia="Arial" w:hAnsi="Arial"/>
          <w:sz w:val="19"/>
          <w:szCs w:val="19"/>
          <w:b w:val="1"/>
          <w:bCs w:val="1"/>
          <w:i w:val="1"/>
          <w:iCs w:val="1"/>
          <w:color w:val="auto"/>
        </w:rPr>
        <w:t>cashless exercise</w:t>
      </w:r>
      <w:r>
        <w:rPr>
          <w:rFonts w:ascii="Arial" w:cs="Arial" w:eastAsia="Arial" w:hAnsi="Arial"/>
          <w:sz w:val="19"/>
          <w:szCs w:val="19"/>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5"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Each whole Warrant is initially exercisable for one fully paid and non-assessable share of Class A Common Stock. No fractional shares will be issued upon exercise of any Warrant. If, upon the exercise of Warrants, a holder would be entitled to receive a fractional interest in a share of Class A Common Stock, the Company will,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215" w:lineRule="exact"/>
        <w:rPr>
          <w:sz w:val="20"/>
          <w:szCs w:val="20"/>
          <w:color w:val="auto"/>
        </w:rPr>
      </w:pPr>
    </w:p>
    <w:p>
      <w:pPr>
        <w:ind w:right="540" w:firstLine="648"/>
        <w:spacing w:after="0" w:line="328" w:lineRule="auto"/>
        <w:rPr>
          <w:sz w:val="20"/>
          <w:szCs w:val="20"/>
          <w:color w:val="auto"/>
        </w:rPr>
      </w:pPr>
      <w:r>
        <w:rPr>
          <w:rFonts w:ascii="Arial" w:cs="Arial" w:eastAsia="Arial" w:hAnsi="Arial"/>
          <w:sz w:val="19"/>
          <w:szCs w:val="19"/>
          <w:color w:val="auto"/>
        </w:rPr>
        <w:t>The initial Exercise Price per one share of Class A Common Stock for any Warrant is equal to $11.50 per share. The Exercise Price is subject to adjustment upon the occurrence of certain events as set forth in the Warrant Agreement.</w:t>
      </w:r>
    </w:p>
    <w:p>
      <w:pPr>
        <w:spacing w:after="0" w:line="132"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32" w:lineRule="exact"/>
        <w:rPr>
          <w:sz w:val="20"/>
          <w:szCs w:val="20"/>
          <w:color w:val="auto"/>
        </w:rPr>
      </w:pPr>
    </w:p>
    <w:p>
      <w:pPr>
        <w:ind w:right="440" w:firstLine="648"/>
        <w:spacing w:after="0" w:line="274" w:lineRule="auto"/>
        <w:rPr>
          <w:sz w:val="20"/>
          <w:szCs w:val="20"/>
          <w:color w:val="auto"/>
        </w:rPr>
      </w:pPr>
      <w:r>
        <w:rPr>
          <w:rFonts w:ascii="Arial" w:cs="Arial" w:eastAsia="Arial" w:hAnsi="Arial"/>
          <w:sz w:val="21"/>
          <w:szCs w:val="21"/>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This Warrant Certificate shall not be valid unless countersigned by the Warrant Agent, as such term is used in the Warrant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9"/>
          <w:szCs w:val="19"/>
          <w:color w:val="auto"/>
        </w:rPr>
        <w:t>This Warrant Certificate shall be governed by and construed in accordance with the internal laws of the State of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WM TECHNOLOGY,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CONTINENTAL STOCK TRANSFER &amp; TRUST COMPANY,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color w:val="auto"/>
        </w:rPr>
        <w:t>[Form of Warrant Certificate]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[Reverse]</w:t>
      </w:r>
    </w:p>
    <w:p>
      <w:pPr>
        <w:spacing w:after="0" w:line="233"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The Warrants evidenced by this Warrant Certificate are part of a duly authorized issue of Warrants entitling the holder on exercise to receive Class A ordinary shares and are issued or to be issued pursuant to a Warrant Agreement dated as of August 7, 2019 (the “</w:t>
      </w:r>
      <w:r>
        <w:rPr>
          <w:rFonts w:ascii="Arial" w:cs="Arial" w:eastAsia="Arial" w:hAnsi="Arial"/>
          <w:sz w:val="19"/>
          <w:szCs w:val="19"/>
          <w:b w:val="1"/>
          <w:bCs w:val="1"/>
          <w:i w:val="1"/>
          <w:iCs w:val="1"/>
          <w:color w:val="auto"/>
        </w:rPr>
        <w:t>Warrant Agreement</w:t>
      </w:r>
      <w:r>
        <w:rPr>
          <w:rFonts w:ascii="Arial" w:cs="Arial" w:eastAsia="Arial" w:hAnsi="Arial"/>
          <w:sz w:val="19"/>
          <w:szCs w:val="19"/>
          <w:color w:val="auto"/>
        </w:rPr>
        <w:t>”), duly executed and delivered by the Company to Continental Stock Transfer &amp; Trust Company, a New York corporation, as warrant agent (the “</w:t>
      </w:r>
      <w:r>
        <w:rPr>
          <w:rFonts w:ascii="Arial" w:cs="Arial" w:eastAsia="Arial" w:hAnsi="Arial"/>
          <w:sz w:val="19"/>
          <w:szCs w:val="19"/>
          <w:b w:val="1"/>
          <w:bCs w:val="1"/>
          <w:i w:val="1"/>
          <w:iCs w:val="1"/>
          <w:color w:val="auto"/>
        </w:rPr>
        <w:t>Warrant Agent</w:t>
      </w:r>
      <w:r>
        <w:rPr>
          <w:rFonts w:ascii="Arial" w:cs="Arial" w:eastAsia="Arial" w:hAnsi="Arial"/>
          <w:sz w:val="19"/>
          <w:szCs w:val="19"/>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9"/>
          <w:szCs w:val="19"/>
          <w:b w:val="1"/>
          <w:bCs w:val="1"/>
          <w:i w:val="1"/>
          <w:iCs w:val="1"/>
          <w:color w:val="auto"/>
        </w:rPr>
        <w:t>holders</w:t>
      </w:r>
      <w:r>
        <w:rPr>
          <w:rFonts w:ascii="Arial" w:cs="Arial" w:eastAsia="Arial" w:hAnsi="Arial"/>
          <w:sz w:val="19"/>
          <w:szCs w:val="19"/>
          <w:color w:val="auto"/>
        </w:rPr>
        <w:t>” or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9"/>
          <w:szCs w:val="19"/>
          <w:b w:val="1"/>
          <w:bCs w:val="1"/>
          <w:i w:val="1"/>
          <w:iCs w:val="1"/>
          <w:color w:val="auto"/>
        </w:rPr>
        <w:t>cashless exercise</w:t>
      </w:r>
      <w:r>
        <w:rPr>
          <w:rFonts w:ascii="Arial" w:cs="Arial" w:eastAsia="Arial" w:hAnsi="Arial"/>
          <w:sz w:val="19"/>
          <w:szCs w:val="19"/>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Notwithstanding anything else in this Warrant Certificate or the Warrant Agreement, no Warrant may be exercised unless at the time of exercise (i) a registration statement covering the issuance of the shares of Class A Common Stock to be issued upon exercise is effective under the Securities Act and (ii) a prospectus thereunder relating to the shares of Class A Common Stock is current, except through “</w:t>
      </w:r>
      <w:r>
        <w:rPr>
          <w:rFonts w:ascii="Arial" w:cs="Arial" w:eastAsia="Arial" w:hAnsi="Arial"/>
          <w:sz w:val="21"/>
          <w:szCs w:val="21"/>
          <w:b w:val="1"/>
          <w:bCs w:val="1"/>
          <w:i w:val="1"/>
          <w:iCs w:val="1"/>
          <w:color w:val="auto"/>
        </w:rPr>
        <w:t>cashless exercise</w:t>
      </w:r>
      <w:r>
        <w:rPr>
          <w:rFonts w:ascii="Arial" w:cs="Arial" w:eastAsia="Arial" w:hAnsi="Arial"/>
          <w:sz w:val="21"/>
          <w:szCs w:val="21"/>
          <w:color w:val="auto"/>
        </w:rPr>
        <w:t>” as provided for in the Warrant Agreement.</w:t>
      </w:r>
    </w:p>
    <w:p>
      <w:pPr>
        <w:spacing w:after="0" w:line="201"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214"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201"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color w:val="auto"/>
        </w:rPr>
        <w:t>Election to Purchase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Be Executed Upon Exercise of Warrant)</w:t>
      </w:r>
    </w:p>
    <w:p>
      <w:pPr>
        <w:spacing w:after="0" w:line="23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9"/>
          <w:szCs w:val="19"/>
          <w:color w:val="auto"/>
        </w:rPr>
        <w:t>The undersigned hereby irrevocably elects to exercise the right, represented by this Warrant Certificate, to receive shares of Class A Common Stock and herewith tenders payment for such shares of Class A Common Stock to the order of WM</w:t>
      </w: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line="207" w:lineRule="exact"/>
              <w:rPr>
                <w:sz w:val="20"/>
                <w:szCs w:val="20"/>
                <w:color w:val="auto"/>
              </w:rPr>
            </w:pPr>
            <w:r>
              <w:rPr>
                <w:rFonts w:ascii="Arial" w:cs="Arial" w:eastAsia="Arial" w:hAnsi="Arial"/>
                <w:sz w:val="22"/>
                <w:szCs w:val="22"/>
                <w:color w:val="auto"/>
                <w:w w:val="90"/>
              </w:rPr>
              <w:t>Technology, Inc. (the “</w:t>
            </w:r>
            <w:r>
              <w:rPr>
                <w:rFonts w:ascii="Arial" w:cs="Arial" w:eastAsia="Arial" w:hAnsi="Arial"/>
                <w:sz w:val="22"/>
                <w:szCs w:val="22"/>
                <w:b w:val="1"/>
                <w:bCs w:val="1"/>
                <w:i w:val="1"/>
                <w:iCs w:val="1"/>
                <w:color w:val="auto"/>
                <w:w w:val="90"/>
              </w:rPr>
              <w:t>Company</w:t>
            </w:r>
            <w:r>
              <w:rPr>
                <w:rFonts w:ascii="Arial" w:cs="Arial" w:eastAsia="Arial" w:hAnsi="Arial"/>
                <w:sz w:val="22"/>
                <w:szCs w:val="22"/>
                <w:color w:val="auto"/>
                <w:w w:val="90"/>
              </w:rPr>
              <w:t>”) in the amount of $</w:t>
            </w:r>
          </w:p>
        </w:tc>
        <w:tc>
          <w:tcPr>
            <w:tcW w:w="1300" w:type="dxa"/>
            <w:vAlign w:val="bottom"/>
            <w:tcBorders>
              <w:bottom w:val="single" w:sz="8" w:color="auto"/>
            </w:tcBorders>
          </w:tcPr>
          <w:p>
            <w:pPr>
              <w:spacing w:after="0"/>
              <w:rPr>
                <w:sz w:val="18"/>
                <w:szCs w:val="18"/>
                <w:color w:val="auto"/>
              </w:rPr>
            </w:pPr>
          </w:p>
        </w:tc>
        <w:tc>
          <w:tcPr>
            <w:tcW w:w="5220" w:type="dxa"/>
            <w:vAlign w:val="bottom"/>
            <w:gridSpan w:val="7"/>
          </w:tcPr>
          <w:p>
            <w:pPr>
              <w:ind w:left="100"/>
              <w:spacing w:after="0" w:line="207" w:lineRule="exact"/>
              <w:rPr>
                <w:sz w:val="20"/>
                <w:szCs w:val="20"/>
                <w:color w:val="auto"/>
              </w:rPr>
            </w:pPr>
            <w:r>
              <w:rPr>
                <w:rFonts w:ascii="Arial" w:cs="Arial" w:eastAsia="Arial" w:hAnsi="Arial"/>
                <w:sz w:val="22"/>
                <w:szCs w:val="22"/>
                <w:color w:val="auto"/>
                <w:w w:val="96"/>
              </w:rPr>
              <w:t>in accordance with the terms hereof. The undersigned</w:t>
            </w:r>
          </w:p>
        </w:tc>
      </w:tr>
      <w:tr>
        <w:trPr>
          <w:trHeight w:val="223"/>
        </w:trPr>
        <w:tc>
          <w:tcPr>
            <w:tcW w:w="8440" w:type="dxa"/>
            <w:vAlign w:val="bottom"/>
            <w:gridSpan w:val="6"/>
          </w:tcPr>
          <w:p>
            <w:pPr>
              <w:spacing w:after="0" w:line="223" w:lineRule="exact"/>
              <w:rPr>
                <w:sz w:val="20"/>
                <w:szCs w:val="20"/>
                <w:color w:val="auto"/>
              </w:rPr>
            </w:pPr>
            <w:r>
              <w:rPr>
                <w:rFonts w:ascii="Arial" w:cs="Arial" w:eastAsia="Arial" w:hAnsi="Arial"/>
                <w:sz w:val="22"/>
                <w:szCs w:val="22"/>
                <w:color w:val="auto"/>
                <w:w w:val="89"/>
              </w:rPr>
              <w:t>requests that a certificate for such shares of Class A Common Stock be registered in the name of</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gridSpan w:val="3"/>
          </w:tcPr>
          <w:p>
            <w:pPr>
              <w:spacing w:after="0" w:line="223" w:lineRule="exact"/>
              <w:rPr>
                <w:sz w:val="20"/>
                <w:szCs w:val="20"/>
                <w:color w:val="auto"/>
              </w:rPr>
            </w:pPr>
            <w:r>
              <w:rPr>
                <w:rFonts w:ascii="Arial" w:cs="Arial" w:eastAsia="Arial" w:hAnsi="Arial"/>
                <w:sz w:val="22"/>
                <w:szCs w:val="22"/>
                <w:color w:val="auto"/>
                <w:w w:val="83"/>
              </w:rPr>
              <w:t>, whose address</w:t>
            </w:r>
          </w:p>
        </w:tc>
      </w:tr>
      <w:tr>
        <w:trPr>
          <w:trHeight w:val="223"/>
        </w:trPr>
        <w:tc>
          <w:tcPr>
            <w:tcW w:w="200" w:type="dxa"/>
            <w:vAlign w:val="bottom"/>
          </w:tcPr>
          <w:p>
            <w:pPr>
              <w:spacing w:after="0" w:line="223" w:lineRule="exact"/>
              <w:rPr>
                <w:sz w:val="20"/>
                <w:szCs w:val="20"/>
                <w:color w:val="auto"/>
              </w:rPr>
            </w:pPr>
            <w:r>
              <w:rPr>
                <w:rFonts w:ascii="Arial" w:cs="Arial" w:eastAsia="Arial" w:hAnsi="Arial"/>
                <w:sz w:val="22"/>
                <w:szCs w:val="22"/>
                <w:color w:val="auto"/>
              </w:rPr>
              <w:t>is</w:t>
            </w:r>
          </w:p>
        </w:tc>
        <w:tc>
          <w:tcPr>
            <w:tcW w:w="1620" w:type="dxa"/>
            <w:vAlign w:val="bottom"/>
            <w:tcBorders>
              <w:bottom w:val="single" w:sz="8" w:color="auto"/>
            </w:tcBorders>
          </w:tcPr>
          <w:p>
            <w:pPr>
              <w:spacing w:after="0"/>
              <w:rPr>
                <w:sz w:val="19"/>
                <w:szCs w:val="19"/>
                <w:color w:val="auto"/>
              </w:rPr>
            </w:pPr>
          </w:p>
        </w:tc>
        <w:tc>
          <w:tcPr>
            <w:tcW w:w="5600" w:type="dxa"/>
            <w:vAlign w:val="bottom"/>
            <w:gridSpan w:val="3"/>
          </w:tcPr>
          <w:p>
            <w:pPr>
              <w:ind w:left="120"/>
              <w:spacing w:after="0" w:line="223" w:lineRule="exact"/>
              <w:rPr>
                <w:sz w:val="20"/>
                <w:szCs w:val="20"/>
                <w:color w:val="auto"/>
              </w:rPr>
            </w:pPr>
            <w:r>
              <w:rPr>
                <w:rFonts w:ascii="Arial" w:cs="Arial" w:eastAsia="Arial" w:hAnsi="Arial"/>
                <w:sz w:val="22"/>
                <w:szCs w:val="22"/>
                <w:color w:val="auto"/>
                <w:w w:val="88"/>
              </w:rPr>
              <w:t>and that such shares of Class A Common Stock be delivered to</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gridSpan w:val="2"/>
          </w:tcPr>
          <w:p>
            <w:pPr>
              <w:ind w:left="100"/>
              <w:spacing w:after="0" w:line="223" w:lineRule="exact"/>
              <w:rPr>
                <w:sz w:val="20"/>
                <w:szCs w:val="20"/>
                <w:color w:val="auto"/>
              </w:rPr>
            </w:pPr>
            <w:r>
              <w:rPr>
                <w:rFonts w:ascii="Arial" w:cs="Arial" w:eastAsia="Arial" w:hAnsi="Arial"/>
                <w:sz w:val="22"/>
                <w:szCs w:val="22"/>
                <w:color w:val="auto"/>
                <w:w w:val="87"/>
              </w:rPr>
              <w:t>whose address is</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6" w:lineRule="exact"/>
        <w:rPr>
          <w:sz w:val="20"/>
          <w:szCs w:val="20"/>
          <w:color w:val="auto"/>
        </w:rPr>
      </w:pPr>
    </w:p>
    <w:p>
      <w:pPr>
        <w:ind w:left="980" w:hanging="108"/>
        <w:spacing w:after="0"/>
        <w:tabs>
          <w:tab w:leader="none" w:pos="9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If said number of shares of Class A Common Stock is less than all of the shares of Class A Common Stock</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purchasable hereunder, the undersigned requests that a new Warrant Certificate representing the remaining balance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486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spacing w:after="0" w:line="230" w:lineRule="exact"/>
              <w:rPr>
                <w:sz w:val="20"/>
                <w:szCs w:val="20"/>
                <w:color w:val="auto"/>
              </w:rPr>
            </w:pPr>
            <w:r>
              <w:rPr>
                <w:rFonts w:ascii="Arial" w:cs="Arial" w:eastAsia="Arial" w:hAnsi="Arial"/>
                <w:sz w:val="22"/>
                <w:szCs w:val="22"/>
                <w:color w:val="auto"/>
                <w:w w:val="89"/>
              </w:rPr>
              <w:t>of Class A Common Stock be registered in the name of</w:t>
            </w:r>
          </w:p>
        </w:tc>
        <w:tc>
          <w:tcPr>
            <w:tcW w:w="1300" w:type="dxa"/>
            <w:vAlign w:val="bottom"/>
            <w:tcBorders>
              <w:bottom w:val="single" w:sz="8" w:color="auto"/>
            </w:tcBorders>
            <w:gridSpan w:val="2"/>
          </w:tcPr>
          <w:p>
            <w:pPr>
              <w:spacing w:after="0"/>
              <w:rPr>
                <w:sz w:val="20"/>
                <w:szCs w:val="20"/>
                <w:color w:val="auto"/>
              </w:rPr>
            </w:pPr>
          </w:p>
        </w:tc>
        <w:tc>
          <w:tcPr>
            <w:tcW w:w="1600" w:type="dxa"/>
            <w:vAlign w:val="bottom"/>
            <w:gridSpan w:val="2"/>
          </w:tcPr>
          <w:p>
            <w:pPr>
              <w:jc w:val="right"/>
              <w:spacing w:after="0" w:line="230" w:lineRule="exact"/>
              <w:rPr>
                <w:sz w:val="20"/>
                <w:szCs w:val="20"/>
                <w:color w:val="auto"/>
              </w:rPr>
            </w:pPr>
            <w:r>
              <w:rPr>
                <w:rFonts w:ascii="Arial" w:cs="Arial" w:eastAsia="Arial" w:hAnsi="Arial"/>
                <w:sz w:val="22"/>
                <w:szCs w:val="22"/>
                <w:color w:val="auto"/>
                <w:w w:val="84"/>
              </w:rPr>
              <w:t>, whose address is</w:t>
            </w:r>
          </w:p>
        </w:tc>
        <w:tc>
          <w:tcPr>
            <w:tcW w:w="1460" w:type="dxa"/>
            <w:vAlign w:val="bottom"/>
            <w:tcBorders>
              <w:bottom w:val="single" w:sz="8" w:color="auto"/>
            </w:tcBorders>
          </w:tcPr>
          <w:p>
            <w:pPr>
              <w:spacing w:after="0"/>
              <w:rPr>
                <w:sz w:val="20"/>
                <w:szCs w:val="20"/>
                <w:color w:val="auto"/>
              </w:rPr>
            </w:pPr>
          </w:p>
        </w:tc>
        <w:tc>
          <w:tcPr>
            <w:tcW w:w="1940" w:type="dxa"/>
            <w:vAlign w:val="bottom"/>
          </w:tcPr>
          <w:p>
            <w:pPr>
              <w:ind w:left="60"/>
              <w:spacing w:after="0" w:line="230" w:lineRule="exact"/>
              <w:rPr>
                <w:sz w:val="20"/>
                <w:szCs w:val="20"/>
                <w:color w:val="auto"/>
              </w:rPr>
            </w:pPr>
            <w:r>
              <w:rPr>
                <w:rFonts w:ascii="Arial" w:cs="Arial" w:eastAsia="Arial" w:hAnsi="Arial"/>
                <w:sz w:val="22"/>
                <w:szCs w:val="22"/>
                <w:color w:val="auto"/>
                <w:w w:val="85"/>
              </w:rPr>
              <w:t>and that such Warrant</w:t>
            </w:r>
          </w:p>
        </w:tc>
      </w:tr>
      <w:tr>
        <w:trPr>
          <w:trHeight w:val="223"/>
        </w:trPr>
        <w:tc>
          <w:tcPr>
            <w:tcW w:w="2320" w:type="dxa"/>
            <w:vAlign w:val="bottom"/>
          </w:tcPr>
          <w:p>
            <w:pPr>
              <w:spacing w:after="0" w:line="223" w:lineRule="exact"/>
              <w:rPr>
                <w:sz w:val="20"/>
                <w:szCs w:val="20"/>
                <w:color w:val="auto"/>
              </w:rPr>
            </w:pPr>
            <w:r>
              <w:rPr>
                <w:rFonts w:ascii="Arial" w:cs="Arial" w:eastAsia="Arial" w:hAnsi="Arial"/>
                <w:sz w:val="22"/>
                <w:szCs w:val="22"/>
                <w:color w:val="auto"/>
                <w:w w:val="92"/>
              </w:rPr>
              <w:t>Certificate be delivered to</w:t>
            </w:r>
          </w:p>
        </w:tc>
        <w:tc>
          <w:tcPr>
            <w:tcW w:w="1400" w:type="dxa"/>
            <w:vAlign w:val="bottom"/>
            <w:tcBorders>
              <w:bottom w:val="single" w:sz="8" w:color="auto"/>
            </w:tcBorders>
          </w:tcPr>
          <w:p>
            <w:pPr>
              <w:spacing w:after="0"/>
              <w:rPr>
                <w:sz w:val="19"/>
                <w:szCs w:val="19"/>
                <w:color w:val="auto"/>
              </w:rPr>
            </w:pPr>
          </w:p>
        </w:tc>
        <w:tc>
          <w:tcPr>
            <w:tcW w:w="1600" w:type="dxa"/>
            <w:vAlign w:val="bottom"/>
            <w:gridSpan w:val="2"/>
          </w:tcPr>
          <w:p>
            <w:pPr>
              <w:spacing w:after="0" w:line="223" w:lineRule="exact"/>
              <w:rPr>
                <w:sz w:val="20"/>
                <w:szCs w:val="20"/>
                <w:color w:val="auto"/>
              </w:rPr>
            </w:pPr>
            <w:r>
              <w:rPr>
                <w:rFonts w:ascii="Arial" w:cs="Arial" w:eastAsia="Arial" w:hAnsi="Arial"/>
                <w:sz w:val="22"/>
                <w:szCs w:val="22"/>
                <w:color w:val="auto"/>
                <w:w w:val="86"/>
              </w:rPr>
              <w:t>, whose address is</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Pr>
          <w:p>
            <w:pPr>
              <w:jc w:val="right"/>
              <w:ind w:right="423"/>
              <w:spacing w:after="0"/>
              <w:rPr>
                <w:sz w:val="20"/>
                <w:szCs w:val="20"/>
                <w:color w:val="auto"/>
              </w:rPr>
            </w:pPr>
            <w:r>
              <w:rPr>
                <w:rFonts w:ascii="Arial" w:cs="Arial" w:eastAsia="Arial" w:hAnsi="Arial"/>
                <w:sz w:val="19"/>
                <w:szCs w:val="19"/>
                <w:color w:val="auto"/>
                <w:w w:val="74"/>
              </w:rPr>
              <w:t>.</w:t>
            </w:r>
          </w:p>
        </w:tc>
        <w:tc>
          <w:tcPr>
            <w:tcW w:w="146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49"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In the event that the Warrant has been called for redemption by the Company pursuant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of the Warrant Agreement and the Company has required cashless exercise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of the Warrant Agreement, the number of shares of Class A Common Stock that this Warrant is exercisable for shall be determined in accordance with </w:t>
      </w:r>
      <w:r>
        <w:rPr>
          <w:rFonts w:ascii="Arial" w:cs="Arial" w:eastAsia="Arial" w:hAnsi="Arial"/>
          <w:sz w:val="22"/>
          <w:szCs w:val="22"/>
          <w:u w:val="single" w:color="auto"/>
          <w:color w:val="auto"/>
        </w:rPr>
        <w:t>subsection 3.3.1(b)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of the Warrant Agreement.</w:t>
      </w:r>
    </w:p>
    <w:p>
      <w:pPr>
        <w:spacing w:after="0" w:line="212" w:lineRule="exact"/>
        <w:rPr>
          <w:sz w:val="20"/>
          <w:szCs w:val="20"/>
          <w:color w:val="auto"/>
        </w:rPr>
      </w:pPr>
    </w:p>
    <w:p>
      <w:pPr>
        <w:ind w:right="280" w:firstLine="648"/>
        <w:spacing w:after="0" w:line="257" w:lineRule="auto"/>
        <w:rPr>
          <w:sz w:val="20"/>
          <w:szCs w:val="20"/>
          <w:color w:val="auto"/>
        </w:rPr>
      </w:pPr>
      <w:r>
        <w:rPr>
          <w:rFonts w:ascii="Arial" w:cs="Arial" w:eastAsia="Arial" w:hAnsi="Arial"/>
          <w:sz w:val="21"/>
          <w:szCs w:val="21"/>
          <w:color w:val="auto"/>
        </w:rPr>
        <w:t xml:space="preserve">In the event that the Warrant is a Private Placement Warrant that is to be exercised on a “cashless” basis pursuant to </w:t>
      </w:r>
      <w:r>
        <w:rPr>
          <w:rFonts w:ascii="Arial" w:cs="Arial" w:eastAsia="Arial" w:hAnsi="Arial"/>
          <w:sz w:val="21"/>
          <w:szCs w:val="21"/>
          <w:u w:val="single" w:color="auto"/>
          <w:color w:val="auto"/>
        </w:rPr>
        <w:t>subsection 3.3.1(c)</w:t>
      </w:r>
      <w:r>
        <w:rPr>
          <w:rFonts w:ascii="Arial" w:cs="Arial" w:eastAsia="Arial" w:hAnsi="Arial"/>
          <w:sz w:val="21"/>
          <w:szCs w:val="21"/>
          <w:color w:val="auto"/>
        </w:rPr>
        <w:t xml:space="preserve"> of the Warrant Agreement, the number of shares of Class A Common Stock that this Warrant is exercisable for shall be determined in accordance with </w:t>
      </w:r>
      <w:r>
        <w:rPr>
          <w:rFonts w:ascii="Arial" w:cs="Arial" w:eastAsia="Arial" w:hAnsi="Arial"/>
          <w:sz w:val="21"/>
          <w:szCs w:val="21"/>
          <w:u w:val="single" w:color="auto"/>
          <w:color w:val="auto"/>
        </w:rPr>
        <w:t>subsection 3.3.1(c)</w:t>
      </w:r>
      <w:r>
        <w:rPr>
          <w:rFonts w:ascii="Arial" w:cs="Arial" w:eastAsia="Arial" w:hAnsi="Arial"/>
          <w:sz w:val="21"/>
          <w:szCs w:val="21"/>
          <w:color w:val="auto"/>
        </w:rPr>
        <w:t xml:space="preserve"> of the Warrant Agreement.</w:t>
      </w:r>
    </w:p>
    <w:p>
      <w:pPr>
        <w:spacing w:after="0" w:line="196"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 xml:space="preserve">In the event that the Warrant is to be exercised on a “cashless” basis pursuant to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of the Warrant Agreement, the number of shares of Class A Common Stock that this Warrant is exercisable for shall be determined in accordance with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of the Warrant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event that the Warrant may be exercised, to the extent allowed by the Warrant Agreement, through cashless exercise</w:t>
      </w:r>
    </w:p>
    <w:p>
      <w:pPr>
        <w:spacing w:after="0" w:line="43" w:lineRule="exact"/>
        <w:rPr>
          <w:sz w:val="20"/>
          <w:szCs w:val="20"/>
          <w:color w:val="auto"/>
        </w:rPr>
      </w:pPr>
    </w:p>
    <w:p>
      <w:pPr>
        <w:ind w:right="40" w:firstLine="8"/>
        <w:spacing w:after="0" w:line="266" w:lineRule="auto"/>
        <w:tabs>
          <w:tab w:leader="none" w:pos="258"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w:t>
      </w:r>
    </w:p>
    <w:tbl>
      <w:tblPr>
        <w:tblLayout w:type="fixed"/>
        <w:tblInd w:w="0" w:type="dxa"/>
        <w:tblCellMar>
          <w:top w:w="0" w:type="dxa"/>
          <w:left w:w="0" w:type="dxa"/>
          <w:bottom w:w="0" w:type="dxa"/>
          <w:right w:w="0" w:type="dxa"/>
        </w:tblCellMar>
      </w:tblPr>
      <w:tr>
        <w:trPr>
          <w:trHeight w:val="211"/>
        </w:trPr>
        <w:tc>
          <w:tcPr>
            <w:tcW w:w="2500" w:type="dxa"/>
            <w:vAlign w:val="bottom"/>
            <w:gridSpan w:val="2"/>
          </w:tcPr>
          <w:p>
            <w:pPr>
              <w:spacing w:after="0" w:line="211" w:lineRule="exact"/>
              <w:rPr>
                <w:sz w:val="20"/>
                <w:szCs w:val="20"/>
                <w:color w:val="auto"/>
              </w:rPr>
            </w:pPr>
            <w:r>
              <w:rPr>
                <w:rFonts w:ascii="Arial" w:cs="Arial" w:eastAsia="Arial" w:hAnsi="Arial"/>
                <w:sz w:val="22"/>
                <w:szCs w:val="22"/>
                <w:color w:val="auto"/>
                <w:w w:val="89"/>
              </w:rPr>
              <w:t>be registered in the name of</w:t>
            </w:r>
          </w:p>
        </w:tc>
        <w:tc>
          <w:tcPr>
            <w:tcW w:w="1540" w:type="dxa"/>
            <w:vAlign w:val="bottom"/>
            <w:tcBorders>
              <w:bottom w:val="single" w:sz="8" w:color="auto"/>
            </w:tcBorders>
          </w:tcPr>
          <w:p>
            <w:pPr>
              <w:spacing w:after="0"/>
              <w:rPr>
                <w:sz w:val="18"/>
                <w:szCs w:val="18"/>
                <w:color w:val="auto"/>
              </w:rPr>
            </w:pPr>
          </w:p>
        </w:tc>
        <w:tc>
          <w:tcPr>
            <w:tcW w:w="1600" w:type="dxa"/>
            <w:vAlign w:val="bottom"/>
            <w:gridSpan w:val="2"/>
          </w:tcPr>
          <w:p>
            <w:pPr>
              <w:spacing w:after="0" w:line="211" w:lineRule="exact"/>
              <w:rPr>
                <w:sz w:val="20"/>
                <w:szCs w:val="20"/>
                <w:color w:val="auto"/>
              </w:rPr>
            </w:pPr>
            <w:r>
              <w:rPr>
                <w:rFonts w:ascii="Arial" w:cs="Arial" w:eastAsia="Arial" w:hAnsi="Arial"/>
                <w:sz w:val="22"/>
                <w:szCs w:val="22"/>
                <w:color w:val="auto"/>
                <w:w w:val="86"/>
              </w:rPr>
              <w:t>, whose address is</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0" w:type="dxa"/>
            <w:vAlign w:val="bottom"/>
          </w:tcPr>
          <w:p>
            <w:pPr>
              <w:ind w:left="100"/>
              <w:spacing w:after="0" w:line="211" w:lineRule="exact"/>
              <w:rPr>
                <w:sz w:val="20"/>
                <w:szCs w:val="20"/>
                <w:color w:val="auto"/>
              </w:rPr>
            </w:pPr>
            <w:r>
              <w:rPr>
                <w:rFonts w:ascii="Arial" w:cs="Arial" w:eastAsia="Arial" w:hAnsi="Arial"/>
                <w:sz w:val="22"/>
                <w:szCs w:val="22"/>
                <w:color w:val="auto"/>
                <w:w w:val="87"/>
              </w:rPr>
              <w:t>and that such Warrant Certificate be</w:t>
            </w:r>
          </w:p>
        </w:tc>
      </w:tr>
      <w:tr>
        <w:trPr>
          <w:trHeight w:val="223"/>
        </w:trPr>
        <w:tc>
          <w:tcPr>
            <w:tcW w:w="1080" w:type="dxa"/>
            <w:vAlign w:val="bottom"/>
          </w:tcPr>
          <w:p>
            <w:pPr>
              <w:spacing w:after="0" w:line="223" w:lineRule="exact"/>
              <w:rPr>
                <w:sz w:val="20"/>
                <w:szCs w:val="20"/>
                <w:color w:val="auto"/>
              </w:rPr>
            </w:pPr>
            <w:r>
              <w:rPr>
                <w:rFonts w:ascii="Arial" w:cs="Arial" w:eastAsia="Arial" w:hAnsi="Arial"/>
                <w:sz w:val="22"/>
                <w:szCs w:val="22"/>
                <w:color w:val="auto"/>
                <w:w w:val="93"/>
              </w:rPr>
              <w:t>delivered to</w:t>
            </w:r>
          </w:p>
        </w:tc>
        <w:tc>
          <w:tcPr>
            <w:tcW w:w="1420" w:type="dxa"/>
            <w:vAlign w:val="bottom"/>
          </w:tcPr>
          <w:p>
            <w:pPr>
              <w:spacing w:after="0"/>
              <w:rPr>
                <w:sz w:val="19"/>
                <w:szCs w:val="19"/>
                <w:color w:val="auto"/>
              </w:rPr>
            </w:pPr>
          </w:p>
        </w:tc>
        <w:tc>
          <w:tcPr>
            <w:tcW w:w="1600" w:type="dxa"/>
            <w:vAlign w:val="bottom"/>
            <w:gridSpan w:val="2"/>
          </w:tcPr>
          <w:p>
            <w:pPr>
              <w:spacing w:after="0" w:line="223" w:lineRule="exact"/>
              <w:rPr>
                <w:sz w:val="20"/>
                <w:szCs w:val="20"/>
                <w:color w:val="auto"/>
              </w:rPr>
            </w:pPr>
            <w:r>
              <w:rPr>
                <w:rFonts w:ascii="Arial" w:cs="Arial" w:eastAsia="Arial" w:hAnsi="Arial"/>
                <w:sz w:val="22"/>
                <w:szCs w:val="22"/>
                <w:color w:val="auto"/>
                <w:w w:val="86"/>
              </w:rPr>
              <w:t>, whose address is</w:t>
            </w:r>
          </w:p>
        </w:tc>
        <w:tc>
          <w:tcPr>
            <w:tcW w:w="1540" w:type="dxa"/>
            <w:vAlign w:val="bottom"/>
          </w:tcPr>
          <w:p>
            <w:pPr>
              <w:spacing w:after="0"/>
              <w:rPr>
                <w:sz w:val="19"/>
                <w:szCs w:val="19"/>
                <w:color w:val="auto"/>
              </w:rPr>
            </w:pPr>
          </w:p>
        </w:tc>
        <w:tc>
          <w:tcPr>
            <w:tcW w:w="1580" w:type="dxa"/>
            <w:vAlign w:val="bottom"/>
            <w:gridSpan w:val="2"/>
          </w:tcPr>
          <w:p>
            <w:pPr>
              <w:jc w:val="right"/>
              <w:ind w:right="960"/>
              <w:spacing w:after="0" w:line="223" w:lineRule="exact"/>
              <w:rPr>
                <w:sz w:val="20"/>
                <w:szCs w:val="20"/>
                <w:color w:val="auto"/>
              </w:rPr>
            </w:pPr>
            <w:r>
              <w:rPr>
                <w:rFonts w:ascii="Arial" w:cs="Arial" w:eastAsia="Arial" w:hAnsi="Arial"/>
                <w:sz w:val="22"/>
                <w:szCs w:val="22"/>
                <w:color w:val="auto"/>
              </w:rPr>
              <w:t>.</w:t>
            </w:r>
          </w:p>
        </w:tc>
        <w:tc>
          <w:tcPr>
            <w:tcW w:w="320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469265</wp:posOffset>
            </wp:positionV>
            <wp:extent cx="3566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314960</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160655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160655</wp:posOffset>
            </wp:positionV>
            <wp:extent cx="3566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566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EXCHANGE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June 16, 2021, among WM Technology, Inc., a Delaware corporation, WM Holding Company, LLC, a Delaware limited liability company, and the holders from time to time party hereto, other than the Corporation (as defined herein), of LLC Units (as defined herein) from time to time party hereto.</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parties hereto desire to provide for the exchange of Paired Interests (as defined herein) or Class P Units (as defined herein), after their conversion to Class A Units, for shares of Class A Common Stock (as defined herein), on the terms and subject to the conditions set forth herein.</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definitions shall be for all purposes, unless otherwise clearly indicated to the contrary, applied to the terms used in this Agreement.</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Appraiser FMV</w:t>
      </w:r>
      <w:r>
        <w:rPr>
          <w:rFonts w:ascii="Arial" w:cs="Arial" w:eastAsia="Arial" w:hAnsi="Arial"/>
          <w:sz w:val="19"/>
          <w:szCs w:val="19"/>
          <w:color w:val="auto"/>
        </w:rPr>
        <w:t>” means the fair market value of a share of Class A Common Stock as determined by an independent appraiser mutually agreed upon by the Corporation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OpCo.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has the meaning given to such term in the OpCo LLC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Sunday or other day on which commercial banks in New York, New York, San Francisco, California or Wilmington, Delaware are authorized or required by Law to close.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Exchange Class A 5-Day VWAP</w:t>
      </w:r>
      <w:r>
        <w:rPr>
          <w:rFonts w:ascii="Arial" w:cs="Arial" w:eastAsia="Arial" w:hAnsi="Arial"/>
          <w:sz w:val="22"/>
          <w:szCs w:val="22"/>
          <w:color w:val="auto"/>
        </w:rPr>
        <w:t>” means the arithmetic average of the VWAP for each of the five (5) consecutive Trading Days ending on the Trading Day immediately prior to the Exchange Notice Date (in the case of an Unrestricted Exchange) or the Exchange Date (in the case of any other Exchange).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Exchange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2.1(c)</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Exchange Payment</w:t>
      </w:r>
      <w:r>
        <w:rPr>
          <w:rFonts w:ascii="Arial" w:cs="Arial" w:eastAsia="Arial" w:hAnsi="Arial"/>
          <w:sz w:val="19"/>
          <w:szCs w:val="19"/>
          <w:color w:val="auto"/>
        </w:rPr>
        <w:t>” means with respect to a particular Exchange for which the Corporation has elected to make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Cash Exchange Payment in accordance with </w:t>
      </w:r>
      <w:r>
        <w:rPr>
          <w:rFonts w:ascii="Arial" w:cs="Arial" w:eastAsia="Arial" w:hAnsi="Arial"/>
          <w:sz w:val="22"/>
          <w:szCs w:val="22"/>
          <w:u w:val="single" w:color="auto"/>
          <w:color w:val="auto"/>
        </w:rPr>
        <w:t>Section 2.1(c)</w:t>
      </w:r>
      <w:r>
        <w:rPr>
          <w:rFonts w:ascii="Arial" w:cs="Arial" w:eastAsia="Arial" w:hAnsi="Arial"/>
          <w:sz w:val="22"/>
          <w:szCs w:val="22"/>
          <w:color w:val="auto"/>
        </w:rPr>
        <w:t>:</w:t>
      </w:r>
    </w:p>
    <w:p>
      <w:pPr>
        <w:spacing w:after="0" w:line="215" w:lineRule="exact"/>
        <w:rPr>
          <w:sz w:val="20"/>
          <w:szCs w:val="20"/>
          <w:color w:val="auto"/>
        </w:rPr>
      </w:pPr>
    </w:p>
    <w:p>
      <w:pPr>
        <w:jc w:val="both"/>
        <w:ind w:firstLine="1304"/>
        <w:spacing w:after="0" w:line="282" w:lineRule="auto"/>
        <w:tabs>
          <w:tab w:leader="none" w:pos="19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shares of Class A Common Stock trade on a National Securities Exchange or automated or electronic quotation system, an amount of cash equal to the product of: (x) the number of shares of Class A Common Stock that would have been received by the Exchanging Member in the Exchange for that portion of the Exchanged Units subject to the Exchange set forth in the Cash Exchange Notice if OpCo or the Corporation, as applicable, had paid the Stock Exchange Payment with respect to such number of Exchanged Units, and (y) the Cash Exchange Class A 5-Day VWAP;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p>
      <w:pPr>
        <w:jc w:val="both"/>
        <w:ind w:firstLine="1304"/>
        <w:spacing w:after="0" w:line="246" w:lineRule="auto"/>
        <w:tabs>
          <w:tab w:leader="none" w:pos="2148" w:val="left"/>
        </w:tabs>
        <w:numPr>
          <w:ilvl w:val="0"/>
          <w:numId w:val="50"/>
        </w:numPr>
        <w:rPr>
          <w:rFonts w:ascii="Arial" w:cs="Arial" w:eastAsia="Arial" w:hAnsi="Arial"/>
          <w:sz w:val="21"/>
          <w:szCs w:val="21"/>
          <w:color w:val="auto"/>
        </w:rPr>
      </w:pPr>
      <w:r>
        <w:rPr>
          <w:rFonts w:ascii="Arial" w:cs="Arial" w:eastAsia="Arial" w:hAnsi="Arial"/>
          <w:sz w:val="21"/>
          <w:szCs w:val="21"/>
          <w:color w:val="auto"/>
        </w:rPr>
        <w:t>if shares of Class A Common Stock are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Exchanged Units subject to the Exchange set forth in the Cash Exchange Notice if OpCo or the Corporation, as applicable, had paid the Stock Exchange Payment with respect to such number of Exchanged Units,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has the meaning given to such term in the Tax Receivable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any event that constitutes both a Pubco Offer and a Change of Control of the Corporation shall be considered a Pubco Offer for purposes of this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A Common Stock</w:t>
      </w:r>
      <w:r>
        <w:rPr>
          <w:rFonts w:ascii="Arial" w:cs="Arial" w:eastAsia="Arial" w:hAnsi="Arial"/>
          <w:sz w:val="21"/>
          <w:szCs w:val="21"/>
          <w:color w:val="auto"/>
        </w:rPr>
        <w:t>” means the Class A common stock, par value $0.0001 per share, of the Corporation.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V Common Stock</w:t>
      </w:r>
      <w:r>
        <w:rPr>
          <w:rFonts w:ascii="Arial" w:cs="Arial" w:eastAsia="Arial" w:hAnsi="Arial"/>
          <w:sz w:val="21"/>
          <w:szCs w:val="21"/>
          <w:color w:val="auto"/>
        </w:rPr>
        <w:t>” means the Class V common stock, par value $0.0001 per share, of the Corporation.</w:t>
      </w:r>
    </w:p>
    <w:p>
      <w:pPr>
        <w:spacing w:after="0" w:line="24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Unit</w:t>
      </w:r>
      <w:r>
        <w:rPr>
          <w:rFonts w:ascii="Arial" w:cs="Arial" w:eastAsia="Arial" w:hAnsi="Arial"/>
          <w:sz w:val="22"/>
          <w:szCs w:val="22"/>
          <w:color w:val="auto"/>
        </w:rPr>
        <w:t>” means each unit of limited liability interest in OpCo designated as a “Class A Unit” pursuant to the OpCo LLC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P Unit”</w:t>
      </w:r>
      <w:r>
        <w:rPr>
          <w:rFonts w:ascii="Arial" w:cs="Arial" w:eastAsia="Arial" w:hAnsi="Arial"/>
          <w:sz w:val="22"/>
          <w:szCs w:val="22"/>
          <w:color w:val="auto"/>
        </w:rPr>
        <w:t xml:space="preserve"> means each unit of limited liability interest in OpCo designated as a “Class P Unit” pursuant to the OpCo LLC Agreement.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P Unit Exchange Rate</w:t>
      </w:r>
      <w:r>
        <w:rPr>
          <w:rFonts w:ascii="Arial" w:cs="Arial" w:eastAsia="Arial" w:hAnsi="Arial"/>
          <w:sz w:val="22"/>
          <w:szCs w:val="22"/>
          <w:color w:val="auto"/>
        </w:rPr>
        <w:t>” means, with respect to any Class P Unit subject to an Exchange Notice, the quotient of (a) the difference between the Per Unit Equity Value on the Exchange Date and the Participation Threshold applicable to such Class P Unit, divided by (b) the Per Unit Equity Value on the Exchange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WM Technology, Inc., a Delaware corporation, and any successor thereto.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Exchange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Exchange Election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Blackout Period</w:t>
      </w:r>
      <w:r>
        <w:rPr>
          <w:rFonts w:ascii="Arial" w:cs="Arial" w:eastAsia="Arial" w:hAnsi="Arial"/>
          <w:sz w:val="19"/>
          <w:szCs w:val="19"/>
          <w:color w:val="auto"/>
        </w:rPr>
        <w:t xml:space="preserve">” means (i) any “black out” or similar period under the Corporation’s policies covering trading in the Corporation’s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 the period of time commencing on (x) the date of the declaration of a dividend by the Corporation and ending on the first day following (y) the record date determined by the board of directors of the Corporation with respect to such dividend declared pursuant to clause (x), which period of time shall be no longer than 10 Business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 Exchange Blackout Period which respect to clause (ii) of the definition hereof occur more than four (4) times per calendar year.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Date</w:t>
      </w:r>
      <w:r>
        <w:rPr>
          <w:rFonts w:ascii="Arial" w:cs="Arial" w:eastAsia="Arial" w:hAnsi="Arial"/>
          <w:sz w:val="21"/>
          <w:szCs w:val="21"/>
          <w:color w:val="auto"/>
        </w:rPr>
        <w:t xml:space="preserve">” means, in the case of any Unrestricted Exchange, the date that is five (5) Business Days after the date the Exchange Notice is given pursuant to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unless the Exchanging Member submits a written request to extend such date and the Corporation in its sole discretion agrees in writing to such extension, and in any other case, the Quarterly Exchange Date;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Exchange Date for any Exchange with respect to which the Corporation elects to make a Stock Exchange Payment would otherwise fall within any Exchange Blackout Period, then the Exchange Date shall occur on the next Business Day following the end of such Exchange Blackout Period.</w:t>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Notice Date</w:t>
      </w:r>
      <w:r>
        <w:rPr>
          <w:rFonts w:ascii="Arial" w:cs="Arial" w:eastAsia="Arial" w:hAnsi="Arial"/>
          <w:sz w:val="22"/>
          <w:szCs w:val="22"/>
          <w:color w:val="auto"/>
        </w:rPr>
        <w:t xml:space="preserve">” means, with respect to an Exchange, the date the applicable Exchange Notice is delivered in accordance with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Rate</w:t>
      </w:r>
      <w:r>
        <w:rPr>
          <w:rFonts w:ascii="Arial" w:cs="Arial" w:eastAsia="Arial" w:hAnsi="Arial"/>
          <w:sz w:val="22"/>
          <w:szCs w:val="22"/>
          <w:color w:val="auto"/>
        </w:rPr>
        <w:t xml:space="preserve">” means, at any time, the number of shares of Class A Common Stock for which an Exchanged Unit is entitled to be exchanged at such time. On the date of this Agreement, the Exchange Rate shall be 1 for 1, subject to adjustment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hereof.</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Exchanged Units</w:t>
      </w:r>
      <w:r>
        <w:rPr>
          <w:rFonts w:ascii="Arial" w:cs="Arial" w:eastAsia="Arial" w:hAnsi="Arial"/>
          <w:sz w:val="22"/>
          <w:szCs w:val="22"/>
          <w:color w:val="auto"/>
        </w:rPr>
        <w:t xml:space="preserve">” means any Class A Units (including, for the avoidance of doubt, Class A Units received pursuant to </w:t>
      </w:r>
      <w:r>
        <w:rPr>
          <w:rFonts w:ascii="Arial" w:cs="Arial" w:eastAsia="Arial" w:hAnsi="Arial"/>
          <w:sz w:val="22"/>
          <w:szCs w:val="22"/>
          <w:u w:val="single" w:color="auto"/>
          <w:color w:val="auto"/>
        </w:rPr>
        <w:t>Section 2.2(b)(ii)</w:t>
      </w:r>
      <w:r>
        <w:rPr>
          <w:rFonts w:ascii="Arial" w:cs="Arial" w:eastAsia="Arial" w:hAnsi="Arial"/>
          <w:sz w:val="22"/>
          <w:szCs w:val="22"/>
          <w:color w:val="auto"/>
        </w:rPr>
        <w:t xml:space="preserve"> in exchange for Class P Units subject to an Exchange Notice) to be Exchanged for the Cash Exchange Payment or Stock Exchange Payment, as applicable, on the applicable Exchange Date.</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Exchanging Member</w:t>
      </w:r>
      <w:r>
        <w:rPr>
          <w:rFonts w:ascii="Arial" w:cs="Arial" w:eastAsia="Arial" w:hAnsi="Arial"/>
          <w:sz w:val="22"/>
          <w:szCs w:val="22"/>
          <w:color w:val="auto"/>
        </w:rPr>
        <w:t xml:space="preserve">” means, with respect to any Exchange, the LLC Unitholder exchanging Units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2.1(a)</w:t>
      </w:r>
      <w:r>
        <w:rPr>
          <w:rFonts w:ascii="Arial" w:cs="Arial" w:eastAsia="Arial" w:hAnsi="Arial"/>
          <w:sz w:val="22"/>
          <w:szCs w:val="22"/>
          <w:color w:val="auto"/>
        </w:rPr>
        <w:t xml:space="preserve"> of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each Unit as defined in the OpCo LLC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LLC Unitholder</w:t>
      </w:r>
      <w:r>
        <w:rPr>
          <w:rFonts w:ascii="Arial" w:cs="Arial" w:eastAsia="Arial" w:hAnsi="Arial"/>
          <w:sz w:val="19"/>
          <w:szCs w:val="19"/>
          <w:color w:val="auto"/>
        </w:rPr>
        <w:t>” means each holder of one or more LLC Units that may from time to time be a party to this Agreement.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Member</w:t>
      </w:r>
      <w:r>
        <w:rPr>
          <w:rFonts w:ascii="Arial" w:cs="Arial" w:eastAsia="Arial" w:hAnsi="Arial"/>
          <w:sz w:val="22"/>
          <w:szCs w:val="22"/>
          <w:color w:val="auto"/>
        </w:rPr>
        <w:t>” has the meaning given to such term in the OpCo LLC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 Securities Exchange</w:t>
      </w:r>
      <w:r>
        <w:rPr>
          <w:rFonts w:ascii="Arial" w:cs="Arial" w:eastAsia="Arial" w:hAnsi="Arial"/>
          <w:sz w:val="22"/>
          <w:szCs w:val="22"/>
          <w:color w:val="auto"/>
        </w:rPr>
        <w:t>” means a securities exchange that has registered with the SEC under Section 6 of the Exchange Act.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OpCo</w:t>
      </w:r>
      <w:r>
        <w:rPr>
          <w:rFonts w:ascii="Arial" w:cs="Arial" w:eastAsia="Arial" w:hAnsi="Arial"/>
          <w:sz w:val="22"/>
          <w:szCs w:val="22"/>
          <w:color w:val="auto"/>
        </w:rPr>
        <w:t>” means WM holding Company, LLC, a Delaware limited liability company, and any successor thereto.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OpCo LLC Agreement</w:t>
      </w:r>
      <w:r>
        <w:rPr>
          <w:rFonts w:ascii="Arial" w:cs="Arial" w:eastAsia="Arial" w:hAnsi="Arial"/>
          <w:sz w:val="22"/>
          <w:szCs w:val="22"/>
          <w:color w:val="auto"/>
        </w:rPr>
        <w:t>” means the Fourth Amended and Restated Limited Liability Company Agreement of OpCo, dated on or about the date hereof, as such agreement may be amended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Paired Interest</w:t>
      </w:r>
      <w:r>
        <w:rPr>
          <w:rFonts w:ascii="Arial" w:cs="Arial" w:eastAsia="Arial" w:hAnsi="Arial"/>
          <w:sz w:val="22"/>
          <w:szCs w:val="22"/>
          <w:color w:val="auto"/>
        </w:rPr>
        <w:t>” means one Class A Unit and one share of Class V Common Stock.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Participation Threshold</w:t>
      </w:r>
      <w:r>
        <w:rPr>
          <w:rFonts w:ascii="Arial" w:cs="Arial" w:eastAsia="Arial" w:hAnsi="Arial"/>
          <w:sz w:val="22"/>
          <w:szCs w:val="22"/>
          <w:color w:val="auto"/>
        </w:rPr>
        <w:t>” has the meaning given to such term in the OpCo LLC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 Unit Equity Value</w:t>
      </w:r>
      <w:r>
        <w:rPr>
          <w:rFonts w:ascii="Arial" w:cs="Arial" w:eastAsia="Arial" w:hAnsi="Arial"/>
          <w:sz w:val="22"/>
          <w:szCs w:val="22"/>
          <w:color w:val="auto"/>
        </w:rPr>
        <w:t>” means, as of any particular time, the amount to which each holder of a Class A Unit would be entitled in respect of such Class A Unit if the aggregate equity value of the Company as of such time (as reasonably determined by the Managing Member based on the public trading price of Class A Common Stock) were distributed to the Members in accordance with Section 4.02 of the OpCo LLC Agreement (assuming for these purposes that any “Tax Distributions” were made pro rata in accordance with “Class A Percentage Interests”/“LTIP Percentage Interests” (as such terms are defined in the OpCo LLC Agreement)).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Exchange Event</w:t>
      </w:r>
      <w:r>
        <w:rPr>
          <w:rFonts w:ascii="Arial" w:cs="Arial" w:eastAsia="Arial" w:hAnsi="Arial"/>
          <w:sz w:val="22"/>
          <w:szCs w:val="22"/>
          <w:color w:val="auto"/>
        </w:rPr>
        <w:t>” means any of the following events, which has or is occurring, or is otherwise satisfied, as of the Exchange Date:</w:t>
      </w:r>
    </w:p>
    <w:p>
      <w:pPr>
        <w:spacing w:after="0" w:line="202" w:lineRule="exact"/>
        <w:rPr>
          <w:sz w:val="20"/>
          <w:szCs w:val="20"/>
          <w:color w:val="auto"/>
        </w:rPr>
      </w:pPr>
    </w:p>
    <w:p>
      <w:pPr>
        <w:jc w:val="both"/>
        <w:ind w:firstLine="1304"/>
        <w:spacing w:after="0" w:line="238" w:lineRule="auto"/>
        <w:tabs>
          <w:tab w:leader="none" w:pos="215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Exchange is part of one or more Exchanges by an LLC Unitholder and any related persons (within the meaning of Section 267(b) or 707(b)(1) of the Code) that is part of a “block transfer” within the meaning of Treasury Regulations Section 1.7704-1(e)(2) (for this purpose, treating the Managing Member as a “general partner” within the meaning of Treasury Regulations Section 1.7704-1(k)(1)),</w:t>
      </w:r>
    </w:p>
    <w:p>
      <w:pPr>
        <w:spacing w:after="0" w:line="211" w:lineRule="exact"/>
        <w:rPr>
          <w:rFonts w:ascii="Arial" w:cs="Arial" w:eastAsia="Arial" w:hAnsi="Arial"/>
          <w:sz w:val="22"/>
          <w:szCs w:val="22"/>
          <w:color w:val="auto"/>
        </w:rPr>
      </w:pPr>
    </w:p>
    <w:p>
      <w:pPr>
        <w:jc w:val="both"/>
        <w:ind w:firstLine="1304"/>
        <w:spacing w:after="0" w:line="238" w:lineRule="auto"/>
        <w:tabs>
          <w:tab w:leader="none" w:pos="235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Exchange is in connection with a Pubco Offer or Change of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Exchange pursuant to this clause (ii) shall be effective immediately prior to the consummation of the closing of the Pubco Offer or Change of Control date (and, for the avoidance of doubt, shall not be effective if such Pubco Offer is not consummated or Change of Control does not occur), or</w:t>
      </w:r>
    </w:p>
    <w:p>
      <w:pPr>
        <w:spacing w:after="0" w:line="211" w:lineRule="exact"/>
        <w:rPr>
          <w:rFonts w:ascii="Arial" w:cs="Arial" w:eastAsia="Arial" w:hAnsi="Arial"/>
          <w:sz w:val="22"/>
          <w:szCs w:val="22"/>
          <w:color w:val="auto"/>
        </w:rPr>
      </w:pPr>
    </w:p>
    <w:p>
      <w:pPr>
        <w:jc w:val="both"/>
        <w:ind w:firstLine="1304"/>
        <w:spacing w:after="0" w:line="252" w:lineRule="auto"/>
        <w:tabs>
          <w:tab w:leader="none" w:pos="2415"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of this Agreement.</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Private Placement Safe Harbor</w:t>
      </w:r>
      <w:r>
        <w:rPr>
          <w:rFonts w:ascii="Arial" w:cs="Arial" w:eastAsia="Arial" w:hAnsi="Arial"/>
          <w:sz w:val="22"/>
          <w:szCs w:val="22"/>
          <w:color w:val="auto"/>
        </w:rPr>
        <w:t>” means the “private placement” safe harbor set forth in Treasury Regulations Section 1.7704-1(h)(1).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Pubco Offer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of this Agreement.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Exchange Date</w:t>
      </w:r>
      <w:r>
        <w:rPr>
          <w:rFonts w:ascii="Arial" w:cs="Arial" w:eastAsia="Arial" w:hAnsi="Arial"/>
          <w:sz w:val="22"/>
          <w:szCs w:val="22"/>
          <w:color w:val="auto"/>
        </w:rPr>
        <w:t xml:space="preserve">” means, either (x) for each fiscal quarter, the first (1st) Business Day occurring after the sixtieth (60th) day after the expiration of the applicable Quarterly Exchange Notice Period or (y) such other date as the Corporation shall determine in its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date is at least sixty (60) days after the expiration of the Quarterly Exchange Notice Period;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the Corporation shall use commercially reasonable efforts to ensure that at least one Quarterly Exchange Date occurs each fiscal quarter.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Quarterly Exchange Notice Period</w:t>
      </w:r>
      <w:r>
        <w:rPr>
          <w:rFonts w:ascii="Arial" w:cs="Arial" w:eastAsia="Arial" w:hAnsi="Arial"/>
          <w:sz w:val="19"/>
          <w:szCs w:val="19"/>
          <w:color w:val="auto"/>
        </w:rPr>
        <w:t>” means, for each fiscal quarter, the period commencing on the third (3rd) Business Day after the day on which the Corporation releases its earnings for the prior fiscal period, beginning with the first such date that falls on or after the waiver or expiration of any contractual lock-up period relating to the shares of the Corporation that may be applicable to an LLC Unitholder (or such other date within such quarter as the Corporation shall determine in its sole discretion) and ending five (5) Business Days thereafter. Notwithstanding the foregoing, the Corporation may change the definition of Quarterly Exchange Notice Period with respect to any Quarterly Exchange Notice Period scheduled to occur in a calendar quarter subsequent to the then-current calendar quarter if (x) the revised definition provides for a Quarterly Exchange Notice Period occurring at least once in each calendar quarter, (y) the first Quarterly Exchange Notice Period pursuant to the revised definition will occur no less than 10 Business Days from the date written notice of such change is sent to each LLC Unitholder (other than the Corporation) and (z) the revised definition, together with the revised Quarterly Exchange Date resulting therefrom, do not materially adversely affect the ability of the LLC Unitholders to exercise their Exchange rights pursuant to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Retraction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 xml:space="preserve"> of this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Exchange Payment</w:t>
      </w:r>
      <w:r>
        <w:rPr>
          <w:rFonts w:ascii="Arial" w:cs="Arial" w:eastAsia="Arial" w:hAnsi="Arial"/>
          <w:sz w:val="22"/>
          <w:szCs w:val="22"/>
          <w:color w:val="auto"/>
        </w:rPr>
        <w:t>” means, with respect to the portion of any Exchange for which a Cash Exchange Notice is not delivered by the Corporation, on behalf of OpCo, a number of shares of Class A Common Stock equal to the product of the number of Exchanged Units multiplied by the Exchange Rate.</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Receivable Agreement</w:t>
      </w:r>
      <w:r>
        <w:rPr>
          <w:rFonts w:ascii="Arial" w:cs="Arial" w:eastAsia="Arial" w:hAnsi="Arial"/>
          <w:sz w:val="22"/>
          <w:szCs w:val="22"/>
          <w:color w:val="auto"/>
        </w:rPr>
        <w:t>” means that certain Tax Receivable Agreement, dated as of June 15, 2021, by and among the Corporation and the other parties thereto.</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Nasdaq Stock Market or such other principal United States securities exchange on which shares of Class A Common Stock are listed, quoted or admitted to trading and is open for the transaction of business (unless such trading shall have been suspended for the entire day).</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Exchanges</w:t>
      </w:r>
      <w:r>
        <w:rPr>
          <w:rFonts w:ascii="Arial" w:cs="Arial" w:eastAsia="Arial" w:hAnsi="Arial"/>
          <w:sz w:val="22"/>
          <w:szCs w:val="22"/>
          <w:color w:val="auto"/>
        </w:rPr>
        <w:t>” means any Exchange that is in connection with a Permitted Exchange Event or that occurs during a period in which OpCo meets the requirements of the Private Placement Safe Harbor.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Unvested Units</w:t>
      </w:r>
      <w:r>
        <w:rPr>
          <w:rFonts w:ascii="Arial" w:cs="Arial" w:eastAsia="Arial" w:hAnsi="Arial"/>
          <w:sz w:val="22"/>
          <w:szCs w:val="22"/>
          <w:color w:val="auto"/>
        </w:rPr>
        <w:t>” has the meaning given to such term in the OpCo LLC Agreement.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means the daily per share volume-weighted average price of shares of Class A Common Stock on the Nasdaq Stock Market or such other principal United States securities exchange on which shares of Class A Common Stock are listed, quoted or admitted to trading, as displayed under the heading “Bloomberg VWAP” on the Bloomberg page designated for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 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ARTICLE II</w:t>
      </w:r>
    </w:p>
    <w:p>
      <w:pPr>
        <w:spacing w:after="0" w:line="24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Exchange Procedure</w:t>
      </w:r>
    </w:p>
    <w:p>
      <w:pPr>
        <w:spacing w:after="0" w:line="233" w:lineRule="exact"/>
        <w:rPr>
          <w:sz w:val="20"/>
          <w:szCs w:val="20"/>
          <w:color w:val="auto"/>
        </w:rPr>
      </w:pPr>
    </w:p>
    <w:p>
      <w:pPr>
        <w:jc w:val="both"/>
        <w:ind w:firstLine="1304"/>
        <w:spacing w:after="0" w:line="269" w:lineRule="auto"/>
        <w:tabs>
          <w:tab w:leader="none" w:pos="2211" w:val="left"/>
        </w:tabs>
        <w:numPr>
          <w:ilvl w:val="1"/>
          <w:numId w:val="52"/>
        </w:numPr>
        <w:rPr>
          <w:rFonts w:ascii="Arial" w:cs="Arial" w:eastAsia="Arial" w:hAnsi="Arial"/>
          <w:sz w:val="19"/>
          <w:szCs w:val="19"/>
          <w:color w:val="auto"/>
        </w:rPr>
      </w:pPr>
      <w:r>
        <w:rPr>
          <w:rFonts w:ascii="Arial" w:cs="Arial" w:eastAsia="Arial" w:hAnsi="Arial"/>
          <w:sz w:val="19"/>
          <w:szCs w:val="19"/>
          <w:color w:val="auto"/>
        </w:rPr>
        <w:t>From and after 180 days following the date of the consummation of the transactions described in the Corporation’s Registration Statement on Form S-4 (File No. 333-252186), each LLC Unitholder (other than the Corporation) shall be entitled, upon the terms and subject to the conditions hereof, to surrender Paired Interests or Class P Units (other than Unvested Units) to OpCo in exchange for the delivery of the Stock Exchange Payment or, at the election of the Corporation, the Cash Exchange Payment (such exchange, a “</w:t>
      </w:r>
      <w:r>
        <w:rPr>
          <w:rFonts w:ascii="Arial" w:cs="Arial" w:eastAsia="Arial" w:hAnsi="Arial"/>
          <w:sz w:val="19"/>
          <w:szCs w:val="19"/>
          <w:u w:val="single" w:color="auto"/>
          <w:color w:val="auto"/>
        </w:rPr>
        <w:t>Redemption</w:t>
      </w:r>
      <w:r>
        <w:rPr>
          <w:rFonts w:ascii="Arial" w:cs="Arial" w:eastAsia="Arial" w:hAnsi="Arial"/>
          <w:sz w:val="19"/>
          <w:szCs w:val="19"/>
          <w:color w:val="auto"/>
        </w:rPr>
        <w:t>” and, together with a Direct Exchange (as defined below), an “</w:t>
      </w:r>
      <w:r>
        <w:rPr>
          <w:rFonts w:ascii="Arial" w:cs="Arial" w:eastAsia="Arial" w:hAnsi="Arial"/>
          <w:sz w:val="19"/>
          <w:szCs w:val="19"/>
          <w:u w:val="single" w:color="auto"/>
          <w:color w:val="auto"/>
        </w:rPr>
        <w:t>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(absent a waiver by the Managing Member) any such Exchange is for a minimum of the lesser of (i) 10,000 LLC Units (which minimum shall be equitably adjusted in accordance with any adjustments to the Exchange Rate) and</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of the LLC Units (other than Unvested Units) held by such LLC Unitholder.</w:t>
      </w:r>
    </w:p>
    <w:p>
      <w:pPr>
        <w:spacing w:after="0" w:line="215" w:lineRule="exact"/>
        <w:rPr>
          <w:rFonts w:ascii="Arial" w:cs="Arial" w:eastAsia="Arial" w:hAnsi="Arial"/>
          <w:sz w:val="22"/>
          <w:szCs w:val="22"/>
          <w:color w:val="auto"/>
        </w:rPr>
      </w:pPr>
    </w:p>
    <w:p>
      <w:pPr>
        <w:jc w:val="both"/>
        <w:ind w:firstLine="1304"/>
        <w:spacing w:after="0" w:line="270" w:lineRule="auto"/>
        <w:tabs>
          <w:tab w:leader="none" w:pos="2174"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An LLC Unitholder shall exercise its right to make an Exchange as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above by delivering to OpCo, with a copy to the Corporation, a written election of exchange in respect of the Paired Interests or Class P Units (other than Unvested Units) to be exchanged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 “</w:t>
      </w:r>
      <w:r>
        <w:rPr>
          <w:rFonts w:ascii="Arial" w:cs="Arial" w:eastAsia="Arial" w:hAnsi="Arial"/>
          <w:sz w:val="19"/>
          <w:szCs w:val="19"/>
          <w:u w:val="single" w:color="auto"/>
          <w:color w:val="auto"/>
        </w:rPr>
        <w:t>Exchange Notice</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An LLC Unitholder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the consummation of a purchase by another Person (whether in a tender or exchange offer, an underwritten offering or otherwise) of the Class A Common Stock into which the Exchanged Units are exchangeable, or contingent (including as to timing) upon the closing of an announced merger, consolidation or other transaction or event in which such Class A Common Stock would be exchanged or converted or become exchangeable for or convertible into cash or other securities or property. Notwithstanding anything to the contrary contained in this Agreement, if, in connection with an Exchange in accordance with this </w:t>
      </w:r>
      <w:r>
        <w:rPr>
          <w:rFonts w:ascii="Arial" w:cs="Arial" w:eastAsia="Arial" w:hAnsi="Arial"/>
          <w:sz w:val="19"/>
          <w:szCs w:val="19"/>
          <w:u w:val="single" w:color="auto"/>
          <w:color w:val="auto"/>
        </w:rPr>
        <w:t>Section 2.1</w:t>
      </w:r>
      <w:r>
        <w:rPr>
          <w:rFonts w:ascii="Arial" w:cs="Arial" w:eastAsia="Arial" w:hAnsi="Arial"/>
          <w:sz w:val="19"/>
          <w:szCs w:val="19"/>
          <w:color w:val="auto"/>
        </w:rPr>
        <w:t>, a filing is required under the Hart-Scott-Rodino Antitrust Improvements Act of 1976 (“</w:t>
      </w:r>
      <w:r>
        <w:rPr>
          <w:rFonts w:ascii="Arial" w:cs="Arial" w:eastAsia="Arial" w:hAnsi="Arial"/>
          <w:sz w:val="19"/>
          <w:szCs w:val="19"/>
          <w:u w:val="single" w:color="auto"/>
          <w:color w:val="auto"/>
        </w:rPr>
        <w:t>HSR Act</w:t>
      </w:r>
      <w:r>
        <w:rPr>
          <w:rFonts w:ascii="Arial" w:cs="Arial" w:eastAsia="Arial" w:hAnsi="Arial"/>
          <w:sz w:val="19"/>
          <w:szCs w:val="19"/>
          <w:color w:val="auto"/>
        </w:rPr>
        <w:t>”), then the Exchange Date with respect to all Exchanged Units which would be exchanged into shares of Class A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of the LLC Unitholders and the Corporation agree to promptly take all actions required to make such filing under the HSR Act and the filing fee for such filing shall be paid by OpCo.</w:t>
      </w:r>
    </w:p>
    <w:p>
      <w:pPr>
        <w:spacing w:after="0" w:line="192" w:lineRule="exact"/>
        <w:rPr>
          <w:rFonts w:ascii="Arial" w:cs="Arial" w:eastAsia="Arial" w:hAnsi="Arial"/>
          <w:sz w:val="19"/>
          <w:szCs w:val="19"/>
          <w:color w:val="auto"/>
        </w:rPr>
      </w:pPr>
    </w:p>
    <w:p>
      <w:pPr>
        <w:jc w:val="both"/>
        <w:ind w:firstLine="1304"/>
        <w:spacing w:after="0" w:line="248" w:lineRule="auto"/>
        <w:tabs>
          <w:tab w:leader="none" w:pos="2045" w:val="left"/>
        </w:tabs>
        <w:numPr>
          <w:ilvl w:val="1"/>
          <w:numId w:val="53"/>
        </w:numPr>
        <w:rPr>
          <w:rFonts w:ascii="Arial" w:cs="Arial" w:eastAsia="Arial" w:hAnsi="Arial"/>
          <w:sz w:val="21"/>
          <w:szCs w:val="21"/>
          <w:color w:val="auto"/>
        </w:rPr>
      </w:pPr>
      <w:r>
        <w:rPr>
          <w:rFonts w:ascii="Arial" w:cs="Arial" w:eastAsia="Arial" w:hAnsi="Arial"/>
          <w:sz w:val="21"/>
          <w:szCs w:val="21"/>
          <w:color w:val="auto"/>
        </w:rPr>
        <w:t>Within three (3) Business Days of the giving of an Exchange Notice, the Corporation, on behalf of OpCo, may elect to settle all or a portion of the Exchange in cash in an amount equal to the Cash Exchange Payment (in lieu of Class A Common Stock) by giving written notice of such election to the Exchanging Member within such three (3) Business Day period (such notice, the “</w:t>
      </w:r>
      <w:r>
        <w:rPr>
          <w:rFonts w:ascii="Arial" w:cs="Arial" w:eastAsia="Arial" w:hAnsi="Arial"/>
          <w:sz w:val="21"/>
          <w:szCs w:val="21"/>
          <w:u w:val="single" w:color="auto"/>
          <w:color w:val="auto"/>
        </w:rPr>
        <w:t>Cash Exchange Notice</w:t>
      </w:r>
      <w:r>
        <w:rPr>
          <w:rFonts w:ascii="Arial" w:cs="Arial" w:eastAsia="Arial" w:hAnsi="Arial"/>
          <w:sz w:val="21"/>
          <w:szCs w:val="21"/>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203" w:lineRule="exact"/>
        <w:rPr>
          <w:rFonts w:ascii="Arial" w:cs="Arial" w:eastAsia="Arial" w:hAnsi="Arial"/>
          <w:sz w:val="21"/>
          <w:szCs w:val="21"/>
          <w:color w:val="auto"/>
        </w:rPr>
      </w:pPr>
    </w:p>
    <w:p>
      <w:pPr>
        <w:jc w:val="both"/>
        <w:ind w:firstLine="1304"/>
        <w:spacing w:after="0" w:line="271" w:lineRule="auto"/>
        <w:tabs>
          <w:tab w:leader="none" w:pos="2386"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The Exchanging Member may elect to retract its Exchange Notice with respect to an Unrestricted Exchange by giving written notice of such election to OpCo, with a copy to the Corporation, no later than (1) Business Day prior to the Exchange Date. Subject to the last two sentences of this </w:t>
      </w:r>
      <w:r>
        <w:rPr>
          <w:rFonts w:ascii="Arial" w:cs="Arial" w:eastAsia="Arial" w:hAnsi="Arial"/>
          <w:sz w:val="19"/>
          <w:szCs w:val="19"/>
          <w:u w:val="single" w:color="auto"/>
          <w:color w:val="auto"/>
        </w:rPr>
        <w:t>Section 2.1(d)</w:t>
      </w:r>
      <w:r>
        <w:rPr>
          <w:rFonts w:ascii="Arial" w:cs="Arial" w:eastAsia="Arial" w:hAnsi="Arial"/>
          <w:sz w:val="19"/>
          <w:szCs w:val="19"/>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 delivery of an Exchange Notice), the Exchanging Member may elect to retract its Exchange Notice by giving written notice of such election (a “</w:t>
      </w:r>
      <w:r>
        <w:rPr>
          <w:rFonts w:ascii="Arial" w:cs="Arial" w:eastAsia="Arial" w:hAnsi="Arial"/>
          <w:sz w:val="19"/>
          <w:szCs w:val="19"/>
          <w:u w:val="single" w:color="auto"/>
          <w:color w:val="auto"/>
        </w:rPr>
        <w:t>Restricted Retraction Notice</w:t>
      </w:r>
      <w:r>
        <w:rPr>
          <w:rFonts w:ascii="Arial" w:cs="Arial" w:eastAsia="Arial" w:hAnsi="Arial"/>
          <w:sz w:val="19"/>
          <w:szCs w:val="19"/>
          <w:color w:val="auto"/>
        </w:rPr>
        <w:t xml:space="preserve">”) to OpCo, with a copy to the Corporation, no later than three (3) Business Days prior to the Exchange Date. The giving of any notice pursuant to this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shall terminate all of the Exchanging Member’s, the Corporation’s and OpCo’s rights and obligations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arising from such retracted Exchange Notice (but not, for the avoidance of doubt, from any Exchange Notice not retracted or that may be delivered in the future). An Exchanging Member may deliver a Restricted Retraction Notice only once in every twelve (12)-month period (and any additional Restricted Retraction Notice delivered by such Exchanging Member within such twelve (12)-month period shall be deemed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8" w:name="page69"/>
    <w:bookmarkEnd w:id="68"/>
    <w:p>
      <w:pPr>
        <w:jc w:val="both"/>
        <w:ind w:firstLine="1304"/>
        <w:spacing w:after="0" w:line="271" w:lineRule="auto"/>
        <w:tabs>
          <w:tab w:leader="none" w:pos="2182"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the Corporation closes an underwritten distribution of the shares of Class A Common Stock and the LLC Unitholders (other than, or in addition to, the Corporation) were entitled to resell shares of Class A Common Stock in connection therewith (by the exercise by such LLC Unitholders of Exchange rights or otherwise) (a “</w:t>
      </w:r>
      <w:r>
        <w:rPr>
          <w:rFonts w:ascii="Arial" w:cs="Arial" w:eastAsia="Arial" w:hAnsi="Arial"/>
          <w:sz w:val="19"/>
          <w:szCs w:val="19"/>
          <w:u w:val="single" w:color="auto"/>
          <w:color w:val="auto"/>
        </w:rPr>
        <w:t>Secondary Offering</w:t>
      </w:r>
      <w:r>
        <w:rPr>
          <w:rFonts w:ascii="Arial" w:cs="Arial" w:eastAsia="Arial" w:hAnsi="Arial"/>
          <w:sz w:val="19"/>
          <w:szCs w:val="19"/>
          <w:color w:val="auto"/>
        </w:rPr>
        <w:t>”), then, the immediately succeeding Quarterly Exchange Date shall be automatically cancelled and of no force or effect (and no LLC Unitholder shall be entitled to exercise its Exchange right or deliver a Quarterly Exchange Date Notice with respect to an Exchange that is not an Unrestricted Exchange in respect of such Quarterly Exchange Date). Notwithstanding anything to the contrary in this Agreement (a)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(3) or fewer and (b) the Company and the Corporation shall not be deemed to have failed to comply with their respective obligations under the Corporation’s Amended and Restated Registration Rights Agreement, dated as of June 15, 2021, as amended from time to time, if a Secondary Offering cannot be undertaken due to the restriction set forth in the preceding clause (a).</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Exchange Payment</w:t>
      </w:r>
    </w:p>
    <w:p>
      <w:pPr>
        <w:spacing w:after="0" w:line="233" w:lineRule="exact"/>
        <w:rPr>
          <w:sz w:val="20"/>
          <w:szCs w:val="20"/>
          <w:color w:val="auto"/>
        </w:rPr>
      </w:pPr>
    </w:p>
    <w:p>
      <w:pPr>
        <w:ind w:left="2080" w:hanging="776"/>
        <w:spacing w:after="0"/>
        <w:tabs>
          <w:tab w:leader="none" w:pos="2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Exchange shall be consummated on the Exchange Date.</w:t>
      </w:r>
    </w:p>
    <w:p>
      <w:pPr>
        <w:spacing w:after="0" w:line="233" w:lineRule="exact"/>
        <w:rPr>
          <w:rFonts w:ascii="Arial" w:cs="Arial" w:eastAsia="Arial" w:hAnsi="Arial"/>
          <w:sz w:val="22"/>
          <w:szCs w:val="22"/>
          <w:color w:val="auto"/>
        </w:rPr>
      </w:pPr>
    </w:p>
    <w:p>
      <w:pPr>
        <w:jc w:val="both"/>
        <w:ind w:firstLine="1304"/>
        <w:spacing w:after="0" w:line="277" w:lineRule="auto"/>
        <w:tabs>
          <w:tab w:leader="none" w:pos="2129"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With respect to any Class P Units specified in an Exchange Notice, immediately prior to the transactions contemplated in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as applicable, (i) the Exchanging Member shall transfer and surrender such Class P Units to OpCo free and clear of all liens and encumbrances, (ii) OpCo shall issue such Exchanging Member a number of Class A Units that is equal to the product of (A) the number of such Class P Units and (B) the Class P Unit Exchange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number of Class A Units determined by this calculation is a negative number, it shall be deemed to be zero (0)), and (iii) such newly issued Class A Units shall constitute Exchanged Units, which will be immediately surrendered to OpCo or the Corporation in exchange for the Stock Exchange Payment or Cash Exchange Payment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as applicable.</w:t>
      </w:r>
    </w:p>
    <w:p>
      <w:pPr>
        <w:spacing w:after="0" w:line="178" w:lineRule="exact"/>
        <w:rPr>
          <w:rFonts w:ascii="Arial" w:cs="Arial" w:eastAsia="Arial" w:hAnsi="Arial"/>
          <w:sz w:val="19"/>
          <w:szCs w:val="19"/>
          <w:color w:val="auto"/>
        </w:rPr>
      </w:pPr>
    </w:p>
    <w:p>
      <w:pPr>
        <w:jc w:val="both"/>
        <w:ind w:firstLine="1304"/>
        <w:spacing w:after="0" w:line="271" w:lineRule="auto"/>
        <w:tabs>
          <w:tab w:leader="none" w:pos="2111" w:val="left"/>
        </w:tabs>
        <w:numPr>
          <w:ilvl w:val="0"/>
          <w:numId w:val="55"/>
        </w:numPr>
        <w:rPr>
          <w:rFonts w:ascii="Arial" w:cs="Arial" w:eastAsia="Arial" w:hAnsi="Arial"/>
          <w:sz w:val="19"/>
          <w:szCs w:val="19"/>
          <w:color w:val="auto"/>
        </w:rPr>
      </w:pPr>
      <w:r>
        <w:rPr>
          <w:rFonts w:ascii="Arial" w:cs="Arial" w:eastAsia="Arial" w:hAnsi="Arial"/>
          <w:sz w:val="19"/>
          <w:szCs w:val="19"/>
          <w:color w:val="auto"/>
        </w:rPr>
        <w:t>On the Exchange Date (to be effective immediately prior to the close of business on the Exchange Date), in the case of a Redemption, (i) the Corporation shall contribute to OpCo,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OpCo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Paired Interests, the Exchanging Member shall surrender the corresponding number of shares of Class V Common Stock to the Corporation and the Corporation shall cancel such shares), free and clear of all liens and encumbrances, (iii) OpCo shall issue to the Corporation a number of Class A Units equal to the number of Exchanged Units surrendered pursuant to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(iv) solely to the extent necessary in connection with a Redemption, the Corporation shall undertake all actions, including an issuance, reclassification, distribution, division or recapitalization, with respect to the Class A Common Stock to maintain a one-to-one ratio between the number of Class A Units owned by the Corporation, directly or indirectly, and the number of outstanding shares of Class A Common Stock, taking into account the issuance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any Stock Exchange Payment, and any other action taken in connection with this </w:t>
      </w:r>
      <w:r>
        <w:rPr>
          <w:rFonts w:ascii="Arial" w:cs="Arial" w:eastAsia="Arial" w:hAnsi="Arial"/>
          <w:sz w:val="19"/>
          <w:szCs w:val="19"/>
          <w:u w:val="single" w:color="auto"/>
          <w:color w:val="auto"/>
        </w:rPr>
        <w:t>Section 2.2</w:t>
      </w:r>
      <w:r>
        <w:rPr>
          <w:rFonts w:ascii="Arial" w:cs="Arial" w:eastAsia="Arial" w:hAnsi="Arial"/>
          <w:sz w:val="19"/>
          <w:szCs w:val="19"/>
          <w:color w:val="auto"/>
        </w:rPr>
        <w:t>, and (v) OpCo shall (x) cancel the redeemed Exchanged Units and (y) transfer to the Exchanging Member the Cash Exchange Payment and/or the Stock Exchange Payment, as 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1304"/>
        <w:spacing w:after="0" w:line="273" w:lineRule="auto"/>
        <w:tabs>
          <w:tab w:leader="none" w:pos="2081"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On the Exchange Date (to be effective immediately prior to the close of business on the Exchange Date), in the case of a Direct Exchange, (i) the Corporation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the Corporation the Exchanged Units and the corresponding shares of Class V Common Stock (it being understood that the Corporation shall cancel the surrendered shares of Class V Common Stock), free and clear of all liens and encumbrances, and (iii) solely to the extent necessary in connection with a Direct Exchange, the Corporation shall undertake all actions, including an issuance, reclassification, distribution, division or recapitalization, with respect to the shares of Class A Common Stock to maintain a one-to-one ratio between the number of Class A Units owned by the Corporation, directly or indirectly, and the number of outstanding shares of Class A Common Stock, any Stock Exchange Payment, and any other action taken in connection with this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ind w:firstLine="1304"/>
        <w:spacing w:after="0" w:line="250" w:lineRule="auto"/>
        <w:tabs>
          <w:tab w:leader="none" w:pos="2182" w:val="left"/>
        </w:tabs>
        <w:numPr>
          <w:ilvl w:val="0"/>
          <w:numId w:val="56"/>
        </w:numPr>
        <w:rPr>
          <w:rFonts w:ascii="Arial" w:cs="Arial" w:eastAsia="Arial" w:hAnsi="Arial"/>
          <w:sz w:val="22"/>
          <w:szCs w:val="22"/>
          <w:color w:val="auto"/>
        </w:rPr>
      </w:pPr>
      <w:r>
        <w:rPr>
          <w:rFonts w:ascii="Arial" w:cs="Arial" w:eastAsia="Arial" w:hAnsi="Arial"/>
          <w:sz w:val="22"/>
          <w:szCs w:val="22"/>
          <w:color w:val="auto"/>
        </w:rPr>
        <w:t>Upon the Exchange of all of an LLC Unitholder’s LLC Units, such LLC Unitholder shall cease to be a Member (as such term is defined in the OpCo LLC Agreement) of OpCo.</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Expenses and Restrictions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6" w:lineRule="auto"/>
        <w:tabs>
          <w:tab w:leader="none" w:pos="2173"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Except as expressly set forth in this Agreement, OpCo and each exchanging LLC Unitholder shall bear its own expenses in connection with the consummation of any Exchange, whether or not any such Exchange is ultimately consummated, except that OpCo shall bear any transfer taxes, stamp taxes or duties, or other similar taxes in connection with, or arising by reason of, any Exchange;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shares of Class A Common Stock are to be delivered in a name other than that of the LLC Unitholder that requested the Exchange, then such LLC Unitholder and/or the person in whose name such shares are to be delivered shall pay to OpCo the amount of any transfer taxes, stamp taxes or duties, or other similar taxes in connection with, or arising by reason of, such Exchange or shall establish to the reasonable satisfaction of OpCo that such tax has been paid or is not payable.</w:t>
      </w:r>
    </w:p>
    <w:p>
      <w:pPr>
        <w:spacing w:after="0" w:line="206" w:lineRule="exact"/>
        <w:rPr>
          <w:rFonts w:ascii="Arial" w:cs="Arial" w:eastAsia="Arial" w:hAnsi="Arial"/>
          <w:sz w:val="21"/>
          <w:szCs w:val="21"/>
          <w:color w:val="auto"/>
        </w:rPr>
      </w:pPr>
    </w:p>
    <w:p>
      <w:pPr>
        <w:jc w:val="both"/>
        <w:ind w:firstLine="1304"/>
        <w:spacing w:after="0" w:line="274" w:lineRule="auto"/>
        <w:tabs>
          <w:tab w:leader="none" w:pos="2389"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the Corporation or OpCo shall use commercially reasonable efforts to restrict issuances of LLC Units in an amount sufficient for the Company to be eligible for the Private Placement Safe Harbor, and, to the extent that the Corporation or OpCo determine that OpCo does not meet the requirements of the Private Placement Safe Harbor at any point in any taxable year, the Corporation or OpCo may impose such restrictions on Exchanges during such taxable year as the Corporation or OpCo may determine to be necessary or advisable so that OpCo is not treated as a “publicly traded partnership” under Section 7704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restrictions imposed pursuant to this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shall not apply to any Unrestricted Exchange. Notwithstanding anything to the contrary herein, no Exchange shall be permitted (and, if attempted, shall be void </w:t>
      </w:r>
      <w:r>
        <w:rPr>
          <w:rFonts w:ascii="Arial" w:cs="Arial" w:eastAsia="Arial" w:hAnsi="Arial"/>
          <w:sz w:val="19"/>
          <w:szCs w:val="19"/>
          <w:i w:val="1"/>
          <w:iCs w:val="1"/>
          <w:color w:val="auto"/>
        </w:rPr>
        <w:t>ab initio</w:t>
      </w:r>
      <w:r>
        <w:rPr>
          <w:rFonts w:ascii="Arial" w:cs="Arial" w:eastAsia="Arial" w:hAnsi="Arial"/>
          <w:sz w:val="19"/>
          <w:szCs w:val="19"/>
          <w:color w:val="auto"/>
        </w:rPr>
        <w:t>) if, in the good faith determination of the Corporation or of OpCo, such an Exchange would pose a material risk that OpCo would be a “publicly traded partnership” under Section 7704 of the Code.</w:t>
      </w:r>
    </w:p>
    <w:p>
      <w:pPr>
        <w:spacing w:after="0" w:line="185" w:lineRule="exact"/>
        <w:rPr>
          <w:rFonts w:ascii="Arial" w:cs="Arial" w:eastAsia="Arial" w:hAnsi="Arial"/>
          <w:sz w:val="19"/>
          <w:szCs w:val="19"/>
          <w:color w:val="auto"/>
        </w:rPr>
      </w:pPr>
    </w:p>
    <w:p>
      <w:pPr>
        <w:jc w:val="both"/>
        <w:ind w:firstLine="1304"/>
        <w:spacing w:after="0" w:line="277" w:lineRule="auto"/>
        <w:tabs>
          <w:tab w:leader="none" w:pos="2081"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the avoidance of doubt, and notwithstanding anything to the contrary herein, an LLC Unitholder shall not be entitled to effect an Exchange to the extent the Corporation determines that such Exchange (i) would be prohibited by law or regulation (including, without limitation, the unavailability of any requisite registration statement filed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any exemption from the registration requirements thereunder) or (ii) would not be permitted under any other agreements with the Corporation or its subsidiaries to which such LLC Unitholder may be party (including, without limitation, the OpCo LLC Agreement) or any written policies of the Corporation related to unlawful or inappropriate trading applicable to its directors, officers or other personnel.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firstLine="1304"/>
        <w:spacing w:after="0" w:line="329" w:lineRule="auto"/>
        <w:tabs>
          <w:tab w:leader="none" w:pos="211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Corporation may adopt reasonable procedures for the implementation of the exchange provisions set forth in this </w:t>
      </w:r>
      <w:r>
        <w:rPr>
          <w:rFonts w:ascii="Arial" w:cs="Arial" w:eastAsia="Arial" w:hAnsi="Arial"/>
          <w:sz w:val="19"/>
          <w:szCs w:val="19"/>
          <w:u w:val="single" w:color="auto"/>
          <w:color w:val="auto"/>
        </w:rPr>
        <w:t>Article II</w:t>
      </w:r>
      <w:r>
        <w:rPr>
          <w:rFonts w:ascii="Arial" w:cs="Arial" w:eastAsia="Arial" w:hAnsi="Arial"/>
          <w:sz w:val="19"/>
          <w:szCs w:val="19"/>
          <w:color w:val="auto"/>
        </w:rPr>
        <w:t>, including, without limitation, procedures for the giving of notice of an election of exchange.</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Adjustment</w:t>
      </w:r>
      <w:r>
        <w:rPr>
          <w:rFonts w:ascii="Arial" w:cs="Arial" w:eastAsia="Arial" w:hAnsi="Arial"/>
          <w:sz w:val="19"/>
          <w:szCs w:val="19"/>
          <w:color w:val="auto"/>
        </w:rPr>
        <w:t>.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Class A Units. If there is any reclassification, reorganization, recapitalization or other similar transaction in which the Class A Common Stock are converted or changed into another security, securities or other property, then upon any subsequent Exchange, an exchanging LLC Unitholder shall be entitled to receive the amount of such security, securities or other property that such exchanging LLC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LLC Unit.</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Class A Common Stock to be Issued</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5" w:lineRule="auto"/>
        <w:tabs>
          <w:tab w:leader="none" w:pos="2129"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Corporation shall at all times reserve and keep available out of its authorized but unissued Class A Common Stock, solely for the purpose of issuance upon an Exchange, such number of shares of Class A Common Stock as may be deliverable upon any such Exchange; </w:t>
      </w:r>
      <w:r>
        <w:rPr>
          <w:rFonts w:ascii="Arial" w:cs="Arial" w:eastAsia="Arial" w:hAnsi="Arial"/>
          <w:sz w:val="19"/>
          <w:szCs w:val="19"/>
          <w:u w:val="single" w:color="auto"/>
          <w:color w:val="auto"/>
        </w:rPr>
        <w:t>provided</w:t>
      </w:r>
      <w:r>
        <w:rPr>
          <w:rFonts w:ascii="Arial" w:cs="Arial" w:eastAsia="Arial" w:hAnsi="Arial"/>
          <w:sz w:val="19"/>
          <w:szCs w:val="19"/>
          <w:color w:val="auto"/>
        </w:rPr>
        <w:t>, that nothing contained herein shall be construed to preclude OpCo from satisfying its obligations in respect of the Exchange of the Exchanged Units by delivery of shares of Class A Common Stock which are held in the treasury of the Corporation or are held by OpCo or any of their subsidiaries or by delivery of purchased shares of Class A Common Stock (which may or may not be held in the treasury of the Corporation or held by any subsidiary thereof), or by delivery of the Cash Exchange Payment. The Corporation and OpCo covenant that all Class A Common Stock issued upon an Exchange will, upon issuance, be validly issued, fully paid and non-assessable.</w:t>
      </w:r>
    </w:p>
    <w:p>
      <w:pPr>
        <w:spacing w:after="0" w:line="184" w:lineRule="exact"/>
        <w:rPr>
          <w:rFonts w:ascii="Arial" w:cs="Arial" w:eastAsia="Arial" w:hAnsi="Arial"/>
          <w:sz w:val="19"/>
          <w:szCs w:val="19"/>
          <w:color w:val="auto"/>
        </w:rPr>
      </w:pPr>
    </w:p>
    <w:p>
      <w:pPr>
        <w:jc w:val="both"/>
        <w:ind w:firstLine="1304"/>
        <w:spacing w:after="0" w:line="245" w:lineRule="auto"/>
        <w:tabs>
          <w:tab w:leader="none" w:pos="20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Corporation and OpCo shall at all times ensure that the execution and delivery of this Agreement by each of the Corporation and OpCo and the consummation by each of the Corporation and OpCo of the transactions contemplated hereby (including without limitation, the issuance of the Class A Common Stock) have been duly authorized by all necessary corporate or limited liability company action, as the case may be, on the part of the Corporation and OpCo, including, but not limited to, all actions necessary to ensure that the acquisition of shares of Class A Common Stock pursuant to the transactions contemplated hereby, to the fullest extent of the Corporation’s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both"/>
        <w:ind w:firstLine="1304"/>
        <w:spacing w:after="0" w:line="274" w:lineRule="auto"/>
        <w:tabs>
          <w:tab w:leader="none" w:pos="214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Corporation and OpCo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LLC Unitholder requesting such Exchange, the Corporation and OpCo shall use commercially reasonable efforts to promptly facilitate such Exchange pursuant to any reasonably available exemption from such registration requirements. The Corporation and OpCo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Direct Exchange</w:t>
      </w:r>
      <w:r>
        <w:rPr>
          <w:rFonts w:ascii="Arial" w:cs="Arial" w:eastAsia="Arial" w:hAnsi="Arial"/>
          <w:sz w:val="19"/>
          <w:szCs w:val="19"/>
          <w:color w:val="auto"/>
        </w:rPr>
        <w:t xml:space="preserve">. Notwithstanding anything to the contrary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the Corporation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through a direct exchange of such Exchanged Units and with such consideration between the Exchanging Member and the Corporation (a “</w:t>
      </w:r>
      <w:r>
        <w:rPr>
          <w:rFonts w:ascii="Arial" w:cs="Arial" w:eastAsia="Arial" w:hAnsi="Arial"/>
          <w:sz w:val="19"/>
          <w:szCs w:val="19"/>
          <w:u w:val="single" w:color="auto"/>
          <w:color w:val="auto"/>
        </w:rPr>
        <w:t>Direct Exchange</w:t>
      </w:r>
      <w:r>
        <w:rPr>
          <w:rFonts w:ascii="Arial" w:cs="Arial" w:eastAsia="Arial" w:hAnsi="Arial"/>
          <w:sz w:val="19"/>
          <w:szCs w:val="19"/>
          <w:color w:val="auto"/>
        </w:rPr>
        <w:t xml:space="preserve">”). Upon such Direct Exchange pursuant to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Corporation shall acquire the Exchanged Units and shall be treated for all purposes of this Agreement as the owner of such Units;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election by the Corporation shall not relieve OpCo of its obligation arising with respect to such applicable Exchange Notice. The Corporation may, at any time prior to an Exchange Date, deliver written notice (an “</w:t>
      </w:r>
      <w:r>
        <w:rPr>
          <w:rFonts w:ascii="Arial" w:cs="Arial" w:eastAsia="Arial" w:hAnsi="Arial"/>
          <w:sz w:val="19"/>
          <w:szCs w:val="19"/>
          <w:u w:val="single" w:color="auto"/>
          <w:color w:val="auto"/>
        </w:rPr>
        <w:t>Direct Exchange Election Notice</w:t>
      </w:r>
      <w:r>
        <w:rPr>
          <w:rFonts w:ascii="Arial" w:cs="Arial" w:eastAsia="Arial" w:hAnsi="Arial"/>
          <w:sz w:val="19"/>
          <w:szCs w:val="19"/>
          <w:color w:val="auto"/>
        </w:rPr>
        <w:t xml:space="preserve">”) to OpCo and the Exchanging Member setting forth its election to exercise its right to consummate a Direct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election does not prejudice the ability of the parties to consummate an Exchange or Direct Exchange on the Exchange Date. A Direct Exchange Election Notice may be revoked by the Corporation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9"/>
          <w:szCs w:val="19"/>
          <w:u w:val="single" w:color="auto"/>
          <w:color w:val="auto"/>
        </w:rPr>
        <w:t>Section 2.6</w:t>
      </w:r>
      <w:r>
        <w:rPr>
          <w:rFonts w:ascii="Arial" w:cs="Arial" w:eastAsia="Arial" w:hAnsi="Arial"/>
          <w:sz w:val="19"/>
          <w:szCs w:val="19"/>
          <w:color w:val="auto"/>
        </w:rPr>
        <w:t>, a Direct Exchange shall be consummated pursuant to the same timeframe and in the same manner as the relevant Exchange would have been consummated had the Corporation not delivered a Direct Exchange Election Notice.</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Pubco Offer or Change of Control</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3" w:lineRule="auto"/>
        <w:tabs>
          <w:tab w:leader="none" w:pos="209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event that a tender offer, share exchange offer, issuer bid, take-over bid, recapitalization or similar transaction with respect to Class A Common Stock (a “</w:t>
      </w:r>
      <w:r>
        <w:rPr>
          <w:rFonts w:ascii="Arial" w:cs="Arial" w:eastAsia="Arial" w:hAnsi="Arial"/>
          <w:sz w:val="19"/>
          <w:szCs w:val="19"/>
          <w:u w:val="single" w:color="auto"/>
          <w:color w:val="auto"/>
        </w:rPr>
        <w:t>Pubco Offer</w:t>
      </w:r>
      <w:r>
        <w:rPr>
          <w:rFonts w:ascii="Arial" w:cs="Arial" w:eastAsia="Arial" w:hAnsi="Arial"/>
          <w:sz w:val="19"/>
          <w:szCs w:val="19"/>
          <w:color w:val="auto"/>
        </w:rPr>
        <w:t>”) is proposed by the Corporation or is proposed to the Corporation or its stockholders and approved by the Board or is otherwise effected or to be effected with the consent or approval of the Board or the Corporation will undergo a Change of Control, the LLC Unitholders shall be permitted to deliver an Exchange Notice (which Exchange Notice shall be effective immediately prior to the consummation of such Pubco Offer or Change of Control (and, for the avoidance of doubt, shall be contingent upon such Pubco Offer or Change of Control and not be effective if such Pubco Offer or Change of Control is not consummated)). In the case of a Pubco Offer proposed by the Corporation, the Corporation will use its reasonable best efforts expeditiously and in good faith to take all such actions and do all such things as are necessary or desirable to enable and permit the LLC Unitholders to participate in such Pubco Offer to the same extent or on an economically equivalent basis as the holders of shares of Class A Common Stock without discrimination (but taking into account, for the avoidance of doubt, the Class P Unit Exchange Rate in the case of any Class P Units).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both"/>
        <w:ind w:firstLine="1304"/>
        <w:spacing w:after="0" w:line="274" w:lineRule="auto"/>
        <w:tabs>
          <w:tab w:leader="none" w:pos="220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Corporation shall send written notice to the Company and the LLC Unitholders at least thirty (30) days prior to the closing of the transactions contemplated by the Pubco Offer or the Change of Control date notifying them of their rights pursuant to this </w:t>
      </w:r>
      <w:r>
        <w:rPr>
          <w:rFonts w:ascii="Arial" w:cs="Arial" w:eastAsia="Arial" w:hAnsi="Arial"/>
          <w:sz w:val="19"/>
          <w:szCs w:val="19"/>
          <w:u w:val="single" w:color="auto"/>
          <w:color w:val="auto"/>
        </w:rPr>
        <w:t>Section 2.7</w:t>
      </w:r>
      <w:r>
        <w:rPr>
          <w:rFonts w:ascii="Arial" w:cs="Arial" w:eastAsia="Arial" w:hAnsi="Arial"/>
          <w:sz w:val="19"/>
          <w:szCs w:val="19"/>
          <w:color w:val="auto"/>
        </w:rPr>
        <w:t>, and setting forth, in the case of a Pubco Offer, (i) a copy of the written proposal or agreement pursuant to which the Pubco Offer will be effected, (ii) the consideration payable in connection therewith, (iii) the terms and conditions of transfer and payment and (iv) the date and location of and procedures for selling LLC Units, or in the case of a Change of Control, (x) a description of the event constituting the Change of Control, (y) the date of the Change of Control, and (z) a copy of any written proposals or agreement relating thereto. In the event that the information set forth in such notice changes from that set forth in the initial notice, a subsequent notice shall be delivered by the Corporation no less than seven (7) days prior to the closing of the Pubco Offer or date of the Change of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Additional LLC Unitholders</w:t>
      </w:r>
      <w:r>
        <w:rPr>
          <w:rFonts w:ascii="Arial" w:cs="Arial" w:eastAsia="Arial" w:hAnsi="Arial"/>
          <w:sz w:val="21"/>
          <w:szCs w:val="21"/>
          <w:color w:val="auto"/>
        </w:rPr>
        <w:t>. To the extent an LLC Unitholder validly transfers any or all of such holder’s LLC Units to another person in a transaction in accordance with, and not in contravention of, the OpCo LLC Agreement or any other agreement or agreements with the Corporation or any of its subsidiaries to which a transferring LLC Unitholder may be party, then such transferee (each, a “</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xml:space="preserve">”) shall have the right to execute and deliver a joinder to this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whereupon such Permitted Transferee shall become an LLC Unitholder hereunder. To the extent OpCo issues LLC Units in the future, OpCo shall be entitled, in its sole discretion, to make any holder of such LLC Units an LLC Unitholder hereunder through such holder’s execution and delivery of a joinder to this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Addresses and Notices</w:t>
      </w:r>
      <w:r>
        <w:rPr>
          <w:rFonts w:ascii="Arial" w:cs="Arial" w:eastAsia="Arial" w:hAnsi="Arial"/>
          <w:sz w:val="22"/>
          <w:szCs w:val="22"/>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14" w:lineRule="exact"/>
        <w:rPr>
          <w:sz w:val="20"/>
          <w:szCs w:val="20"/>
          <w:color w:val="auto"/>
        </w:rPr>
      </w:pPr>
    </w:p>
    <w:p>
      <w:pPr>
        <w:ind w:left="2080" w:hanging="776"/>
        <w:spacing w:after="0"/>
        <w:tabs>
          <w:tab w:leader="none" w:pos="2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to the Corporation, to:</w:t>
      </w:r>
    </w:p>
    <w:p>
      <w:pPr>
        <w:spacing w:after="0" w:line="233" w:lineRule="exact"/>
        <w:rPr>
          <w:sz w:val="20"/>
          <w:szCs w:val="20"/>
          <w:color w:val="auto"/>
        </w:rPr>
      </w:pPr>
    </w:p>
    <w:p>
      <w:pPr>
        <w:ind w:left="1960" w:right="7340" w:hanging="8"/>
        <w:spacing w:after="0" w:line="247" w:lineRule="auto"/>
        <w:tabs>
          <w:tab w:leader="none" w:pos="2230" w:val="left"/>
        </w:tabs>
        <w:numPr>
          <w:ilvl w:val="1"/>
          <w:numId w:val="64"/>
        </w:numPr>
        <w:rPr>
          <w:rFonts w:ascii="Arial" w:cs="Arial" w:eastAsia="Arial" w:hAnsi="Arial"/>
          <w:sz w:val="21"/>
          <w:szCs w:val="21"/>
          <w:color w:val="auto"/>
        </w:rPr>
      </w:pPr>
      <w:r>
        <w:rPr>
          <w:rFonts w:ascii="Arial" w:cs="Arial" w:eastAsia="Arial" w:hAnsi="Arial"/>
          <w:sz w:val="21"/>
          <w:szCs w:val="21"/>
          <w:color w:val="auto"/>
        </w:rPr>
        <w:t>Discovery, Irvine, CA 92618 Attn: General Counsel</w:t>
      </w:r>
    </w:p>
    <w:p>
      <w:pPr>
        <w:spacing w:after="0" w:line="1"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Email: legal@weedmaps.com</w:t>
      </w:r>
    </w:p>
    <w:p>
      <w:pPr>
        <w:spacing w:after="0" w:line="215" w:lineRule="exact"/>
        <w:rPr>
          <w:rFonts w:ascii="Arial" w:cs="Arial" w:eastAsia="Arial" w:hAnsi="Arial"/>
          <w:sz w:val="21"/>
          <w:szCs w:val="21"/>
          <w:color w:val="auto"/>
        </w:rPr>
      </w:pPr>
    </w:p>
    <w:p>
      <w:pPr>
        <w:ind w:left="2100" w:hanging="796"/>
        <w:spacing w:after="0"/>
        <w:tabs>
          <w:tab w:leader="none" w:pos="21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to OpCo, to:</w:t>
      </w:r>
    </w:p>
    <w:p>
      <w:pPr>
        <w:spacing w:after="0" w:line="233" w:lineRule="exact"/>
        <w:rPr>
          <w:rFonts w:ascii="Arial" w:cs="Arial" w:eastAsia="Arial" w:hAnsi="Arial"/>
          <w:sz w:val="22"/>
          <w:szCs w:val="22"/>
          <w:color w:val="auto"/>
        </w:rPr>
      </w:pPr>
    </w:p>
    <w:p>
      <w:pPr>
        <w:ind w:left="2220" w:hanging="268"/>
        <w:spacing w:after="0"/>
        <w:tabs>
          <w:tab w:leader="none" w:pos="22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Discovery,</w:t>
      </w:r>
    </w:p>
    <w:p>
      <w:pPr>
        <w:ind w:left="1960"/>
        <w:spacing w:after="0" w:line="238" w:lineRule="auto"/>
        <w:rPr>
          <w:sz w:val="20"/>
          <w:szCs w:val="20"/>
          <w:color w:val="auto"/>
        </w:rPr>
      </w:pPr>
      <w:r>
        <w:rPr>
          <w:rFonts w:ascii="Arial" w:cs="Arial" w:eastAsia="Arial" w:hAnsi="Arial"/>
          <w:sz w:val="22"/>
          <w:szCs w:val="22"/>
          <w:color w:val="auto"/>
        </w:rPr>
        <w:t>Irvine, CA 92618</w:t>
      </w:r>
    </w:p>
    <w:p>
      <w:pPr>
        <w:ind w:left="1960"/>
        <w:spacing w:after="0" w:line="230"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 weedmaps.com</w:t>
      </w:r>
    </w:p>
    <w:p>
      <w:pPr>
        <w:spacing w:after="0" w:line="215" w:lineRule="exact"/>
        <w:rPr>
          <w:sz w:val="20"/>
          <w:szCs w:val="20"/>
          <w:color w:val="auto"/>
        </w:rPr>
      </w:pPr>
    </w:p>
    <w:p>
      <w:pPr>
        <w:ind w:left="2220" w:hanging="916"/>
        <w:spacing w:after="0"/>
        <w:tabs>
          <w:tab w:leader="none" w:pos="22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to any LLC Unitholder, to the address or other contact information set forth in the records of OpCo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time to time.</w:t>
      </w:r>
    </w:p>
    <w:p>
      <w:pPr>
        <w:spacing w:after="0" w:line="215"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Further Action</w:t>
      </w:r>
      <w:r>
        <w:rPr>
          <w:rFonts w:ascii="Arial" w:cs="Arial" w:eastAsia="Arial" w:hAnsi="Arial"/>
          <w:sz w:val="21"/>
          <w:szCs w:val="21"/>
          <w:color w:val="auto"/>
        </w:rPr>
        <w:t>. The parties shall execute and deliver all documents, provide all information and take or refrain from taking action as may be necessary or appropriate to achieve the purposes of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both"/>
        <w:ind w:firstLine="648"/>
        <w:spacing w:after="0" w:line="297"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shall be binding upon and inure to the benefit of all of the parties and, to the extent permitted by this Agreement, their successors, executors, administrators, heirs, legal representatives and assigns. No LLC Unitholder may assign its rights under this Agreement without the consent of the Corporation and OpCo.</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1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provisions of this Agreement may be amended only by the affirmative vote or written consent of each of (i) the Corporation, (ii) OpCo and (iii) LLC Unitholders holding at least a majority of the then outstanding LLC Units (excluding LLC Units held by the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amendment may materially, disproportionately and adversely affect the rights of an LLC Unitholder (other than the Corporation and its subsidiaries) without the consent of such LLC Unitholder (or, if there is more than one such LLC Unitholder that is so affected, without the consent of a majority in interest of such affected LLC Unitholders (other than the Corporation and its subsidiaries) in accordance with their holdings of LLC Units).</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21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Submission to Jurisdiction; Waiver of Jury Trial</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7" w:lineRule="auto"/>
        <w:tabs>
          <w:tab w:leader="none" w:pos="2209"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9"/>
          <w:szCs w:val="19"/>
          <w:u w:val="single" w:color="auto"/>
          <w:color w:val="auto"/>
        </w:rPr>
        <w:t>Section 3.8</w:t>
      </w:r>
      <w:r>
        <w:rPr>
          <w:rFonts w:ascii="Arial" w:cs="Arial" w:eastAsia="Arial" w:hAnsi="Arial"/>
          <w:sz w:val="19"/>
          <w:szCs w:val="19"/>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6" w:lineRule="exact"/>
        <w:rPr>
          <w:rFonts w:ascii="Arial" w:cs="Arial" w:eastAsia="Arial" w:hAnsi="Arial"/>
          <w:sz w:val="19"/>
          <w:szCs w:val="19"/>
          <w:color w:val="auto"/>
        </w:rPr>
      </w:pPr>
    </w:p>
    <w:p>
      <w:pPr>
        <w:jc w:val="both"/>
        <w:ind w:firstLine="8"/>
        <w:spacing w:after="0" w:line="248" w:lineRule="auto"/>
        <w:tabs>
          <w:tab w:leader="none" w:pos="354" w:val="left"/>
        </w:tabs>
        <w:numPr>
          <w:ilvl w:val="0"/>
          <w:numId w:val="68"/>
        </w:numPr>
        <w:rPr>
          <w:rFonts w:ascii="Arial" w:cs="Arial" w:eastAsia="Arial" w:hAnsi="Arial"/>
          <w:sz w:val="21"/>
          <w:szCs w:val="21"/>
          <w:color w:val="auto"/>
        </w:rPr>
      </w:pPr>
      <w:r>
        <w:rPr>
          <w:rFonts w:ascii="Arial" w:cs="Arial" w:eastAsia="Arial" w:hAnsi="Arial"/>
          <w:sz w:val="21"/>
          <w:szCs w:val="21"/>
          <w:color w:val="auto"/>
        </w:rPr>
        <w:t>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ind w:firstLine="1304"/>
        <w:spacing w:after="0" w:line="238" w:lineRule="auto"/>
        <w:tabs>
          <w:tab w:leader="none" w:pos="210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212" w:lineRule="exact"/>
        <w:rPr>
          <w:rFonts w:ascii="Arial" w:cs="Arial" w:eastAsia="Arial" w:hAnsi="Arial"/>
          <w:sz w:val="22"/>
          <w:szCs w:val="22"/>
          <w:color w:val="auto"/>
        </w:rPr>
      </w:pPr>
    </w:p>
    <w:p>
      <w:pPr>
        <w:jc w:val="both"/>
        <w:ind w:firstLine="1304"/>
        <w:spacing w:after="0" w:line="236" w:lineRule="auto"/>
        <w:tabs>
          <w:tab w:leader="none" w:pos="2177"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214" w:lineRule="exact"/>
        <w:rPr>
          <w:rFonts w:ascii="Arial" w:cs="Arial" w:eastAsia="Arial" w:hAnsi="Arial"/>
          <w:sz w:val="22"/>
          <w:szCs w:val="22"/>
          <w:color w:val="auto"/>
        </w:rPr>
      </w:pPr>
    </w:p>
    <w:p>
      <w:pPr>
        <w:jc w:val="both"/>
        <w:ind w:firstLine="1304"/>
        <w:spacing w:after="0" w:line="235" w:lineRule="auto"/>
        <w:tabs>
          <w:tab w:leader="none" w:pos="2587"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214" w:lineRule="exact"/>
        <w:rPr>
          <w:rFonts w:ascii="Arial" w:cs="Arial" w:eastAsia="Arial" w:hAnsi="Arial"/>
          <w:sz w:val="22"/>
          <w:szCs w:val="22"/>
          <w:color w:val="auto"/>
        </w:rPr>
      </w:pPr>
    </w:p>
    <w:p>
      <w:pPr>
        <w:jc w:val="both"/>
        <w:ind w:firstLine="1304"/>
        <w:spacing w:after="0" w:line="257" w:lineRule="auto"/>
        <w:tabs>
          <w:tab w:leader="none" w:pos="2093"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Arial" w:cs="Arial" w:eastAsia="Arial" w:hAnsi="Arial"/>
          <w:sz w:val="21"/>
          <w:szCs w:val="21"/>
          <w:u w:val="single" w:color="auto"/>
          <w:color w:val="auto"/>
        </w:rPr>
        <w:t>Section 3.8(a)</w:t>
      </w:r>
      <w:r>
        <w:rPr>
          <w:rFonts w:ascii="Arial" w:cs="Arial" w:eastAsia="Arial" w:hAnsi="Arial"/>
          <w:sz w:val="21"/>
          <w:szCs w:val="21"/>
          <w:color w:val="auto"/>
        </w:rPr>
        <w:t xml:space="preserve"> and such parties agree not to plead or claim the same.</w:t>
      </w:r>
    </w:p>
    <w:p>
      <w:pPr>
        <w:spacing w:after="0" w:line="1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and delivered (including by facsimile transmission or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Tax Treatment</w:t>
      </w:r>
      <w:r>
        <w:rPr>
          <w:rFonts w:ascii="Arial" w:cs="Arial" w:eastAsia="Arial" w:hAnsi="Arial"/>
          <w:sz w:val="19"/>
          <w:szCs w:val="19"/>
          <w:color w:val="auto"/>
        </w:rPr>
        <w:t>. This Agreement shall be treated as part of the partnership agreement of OpCo as described in Section 761(c) of the Code and Sections 1.704-1(b)(2)(ii)(h) and 1.761-1(c) of the Treasury Regulations promulgated thereunder. As required by the Code and the Treasury Regulations, the parties shall report any Exchange consummated hereunder as a taxable sale of the Exchanged Units (together with an equal number of shares of Class V Common Stock, if applicable) by an LLC Unitholder to the Corporation in exchange for (i) the payment by the Corporation of the Stock Exchange Payment, the Cash Exchange Payment, or other applicable consideration to the Exchanging Member, and, if applicable, (ii) corresponding payments under the Tax Receivable Agreement, and no party shall take a contrary position on any income tax return, amendment thereof or communication with a taxing authority unless an alternate position is permitted under the Code and Treasury Regulations and the Corporation consents in writing, such consent not to be unreasonably withheld, conditioned, or delayed. Further, in connection with any Exchange consummated hereunder, OpCo and/or the Corporation shall provide the exchanging LLC Unitholder with all reasonably necessary information to enable the exchanging LLC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60 days following the close of such taxable year (and use commercially reasonable efforts to provide estimates of such information within 90 days of the applicable Exchanges). Within thirty (30) days following the Exchange Date, the Corporation shall deliver a Section 743 notification to OpCo in accordance with Treasury Regulations Section 1.743-1(k)(2).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ind w:firstLine="648"/>
        <w:spacing w:after="0" w:line="268"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and OpCo shall be entitled to deduct and withhold from any payments made to an LLC Unitholder pursuant to any Exchange consummated under this Agreement all Taxes that each of the Corporation and OpCo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Corporation or OpCo, as applicable, a certificate, dated as of the Exchange Date, in a form reasonably acceptable to the Corporation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9"/>
          <w:szCs w:val="19"/>
          <w:u w:val="single" w:color="auto"/>
          <w:color w:val="auto"/>
        </w:rPr>
        <w:t>Non-Foreign Person Certificate</w:t>
      </w:r>
      <w:r>
        <w:rPr>
          <w:rFonts w:ascii="Arial" w:cs="Arial" w:eastAsia="Arial" w:hAnsi="Arial"/>
          <w:sz w:val="19"/>
          <w:szCs w:val="19"/>
          <w:color w:val="auto"/>
        </w:rPr>
        <w:t>”). If an Exchanging Member is unable to provide a Non-Foreign Person Certificate in connection with an Exchange, then (i) such Exchanging Member shall provide a certificate substantially in the form described in Proposed Regulations Section 1.1446(f)-2(c)(2)(ii)(B) or</w:t>
      </w:r>
    </w:p>
    <w:p>
      <w:pPr>
        <w:spacing w:after="0" w:line="8" w:lineRule="exact"/>
        <w:rPr>
          <w:sz w:val="20"/>
          <w:szCs w:val="20"/>
          <w:color w:val="auto"/>
        </w:rPr>
      </w:pPr>
    </w:p>
    <w:p>
      <w:pPr>
        <w:jc w:val="both"/>
        <w:ind w:firstLine="8"/>
        <w:spacing w:after="0" w:line="232" w:lineRule="auto"/>
        <w:tabs>
          <w:tab w:leader="none" w:pos="324" w:val="left"/>
        </w:tabs>
        <w:numPr>
          <w:ilvl w:val="0"/>
          <w:numId w:val="70"/>
        </w:numPr>
        <w:rPr>
          <w:rFonts w:ascii="Arial" w:cs="Arial" w:eastAsia="Arial" w:hAnsi="Arial"/>
          <w:sz w:val="22"/>
          <w:szCs w:val="22"/>
          <w:color w:val="auto"/>
        </w:rPr>
      </w:pPr>
      <w:r>
        <w:rPr>
          <w:rFonts w:ascii="Arial" w:cs="Arial" w:eastAsia="Arial" w:hAnsi="Arial"/>
          <w:sz w:val="22"/>
          <w:szCs w:val="22"/>
          <w:color w:val="auto"/>
        </w:rPr>
        <w:t>OpCo shall deliver a certificate reasonably acceptable to the Corporation and substantially in the form described in Proposed Regulations Section 1.1446(f)-2(c)(2)(ii)(C), in each case setting forth the liabilities of OpCo allocated to the Exchanged Units subject to the Exchange under Section 752 of the Code, and the Corporation or OpCo, as applicable, shall be permitted to withhold on the amount realized by such Exchanging Member in respect of such Exchange as provided in Section 1446(f) of the Code and Proposed Regulations thereunder. The Corporation or OpCo, as applicable, may at their sole discretion reduce the Class A Common Stock issued to a LLC Unitholder in an Exchange in an amount that corresponds to the amount of the required withholding described in the immediately preceding sentence and all such amounts shall be treated as having been paid to such LLC Unitholder.</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hereto agree that irreparable damage would occur in the event that any of the provisions of this Agreement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Independent Nature of LLC Unitholders’ Rights and Obligations</w:t>
      </w:r>
      <w:r>
        <w:rPr>
          <w:rFonts w:ascii="Arial" w:cs="Arial" w:eastAsia="Arial" w:hAnsi="Arial"/>
          <w:sz w:val="19"/>
          <w:szCs w:val="19"/>
          <w:color w:val="auto"/>
        </w:rPr>
        <w:t>. The obligations of each LLC Unitholder hereunder are several and not joint with the obligations of any other LLC Unitholder, and no LLC Unitholder shall be responsible in any way for the performance of the obligations of any other LLC Unitholder hereunder. The decision of each LLC Unitholder to enter into this Agreement has been made by such LLC Unitholder independently of any other LLC Unitholder. Nothing contained herein, and no action taken by any LLC Unitholder pursuant hereto, shall be deemed to constitute the LLC Unitholders as a partnership, an association, a joint venture or any other kind of entity, or create a presumption that the LLC Unitholders are in any way acting in concert or as a group with respect to such obligations or the transactions contemplated hereby. The Corporation acknowledges that the LLC Unitholders are not acting in concert or as a group, and the Corporation will not assert any such claim, with respect to such obligations or the transactions contemplated hereby.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firstLine="648"/>
        <w:spacing w:after="0" w:line="251"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construed in accordance with, the law of the State of Delaware, without regards to its principles of conflicts of laws.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all as of the date first set forth above.</w:t>
      </w:r>
    </w:p>
    <w:p>
      <w:pPr>
        <w:spacing w:after="0" w:line="2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WM Technology, Inc.</w:t>
      </w:r>
    </w:p>
    <w:p>
      <w:pPr>
        <w:spacing w:after="0" w:line="225"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203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all as of the date first set forth above.</w:t>
      </w:r>
    </w:p>
    <w:p>
      <w:pPr>
        <w:spacing w:after="0" w:line="20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WM Holding Company, LLC</w:t>
      </w:r>
    </w:p>
    <w:p>
      <w:pPr>
        <w:spacing w:after="0" w:line="225"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203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EXCHANGE NOTICE</w:t>
      </w:r>
    </w:p>
    <w:p>
      <w:pPr>
        <w:spacing w:after="0" w:line="238" w:lineRule="auto"/>
        <w:rPr>
          <w:sz w:val="20"/>
          <w:szCs w:val="20"/>
          <w:color w:val="auto"/>
        </w:rPr>
      </w:pPr>
      <w:r>
        <w:rPr>
          <w:rFonts w:ascii="Arial" w:cs="Arial" w:eastAsia="Arial" w:hAnsi="Arial"/>
          <w:sz w:val="22"/>
          <w:szCs w:val="22"/>
          <w:color w:val="auto"/>
        </w:rPr>
        <w:t>WM Technology, Inc.</w:t>
      </w:r>
    </w:p>
    <w:p>
      <w:pPr>
        <w:spacing w:after="0" w:line="230"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right="9720" w:firstLine="8"/>
        <w:spacing w:after="0" w:line="308" w:lineRule="auto"/>
        <w:tabs>
          <w:tab w:leader="none" w:pos="27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Discovery, Irvine, CA 92618</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WM Holding Company, LLC</w:t>
      </w:r>
    </w:p>
    <w:p>
      <w:pPr>
        <w:spacing w:after="0" w:line="238" w:lineRule="auto"/>
        <w:rPr>
          <w:sz w:val="20"/>
          <w:szCs w:val="20"/>
          <w:color w:val="auto"/>
        </w:rPr>
      </w:pPr>
      <w:r>
        <w:rPr>
          <w:rFonts w:ascii="Arial" w:cs="Arial" w:eastAsia="Arial" w:hAnsi="Arial"/>
          <w:sz w:val="22"/>
          <w:szCs w:val="22"/>
          <w:color w:val="auto"/>
        </w:rPr>
        <w:t>Attn: General Counsel</w:t>
      </w:r>
    </w:p>
    <w:p>
      <w:pPr>
        <w:ind w:right="9720" w:firstLine="8"/>
        <w:spacing w:after="0" w:line="308" w:lineRule="auto"/>
        <w:tabs>
          <w:tab w:leader="none" w:pos="270" w:val="left"/>
        </w:tabs>
        <w:numPr>
          <w:ilvl w:val="0"/>
          <w:numId w:val="72"/>
        </w:numPr>
        <w:rPr>
          <w:rFonts w:ascii="Arial" w:cs="Arial" w:eastAsia="Arial" w:hAnsi="Arial"/>
          <w:sz w:val="19"/>
          <w:szCs w:val="19"/>
          <w:color w:val="auto"/>
        </w:rPr>
      </w:pPr>
      <w:r>
        <w:rPr>
          <w:rFonts w:ascii="Arial" w:cs="Arial" w:eastAsia="Arial" w:hAnsi="Arial"/>
          <w:sz w:val="19"/>
          <w:szCs w:val="19"/>
          <w:color w:val="auto"/>
        </w:rPr>
        <w:t>Discovery, Irvine, CA 92618</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Reference is hereby made to the Exchange Agreement, dated as of June 15, 2021 (as amended from time to time, the “</w:t>
      </w:r>
      <w:r>
        <w:rPr>
          <w:rFonts w:ascii="Arial" w:cs="Arial" w:eastAsia="Arial" w:hAnsi="Arial"/>
          <w:sz w:val="22"/>
          <w:szCs w:val="22"/>
          <w:u w:val="single" w:color="auto"/>
          <w:color w:val="auto"/>
        </w:rPr>
        <w:t>Exchange Agreement</w:t>
      </w:r>
      <w:r>
        <w:rPr>
          <w:rFonts w:ascii="Arial" w:cs="Arial" w:eastAsia="Arial" w:hAnsi="Arial"/>
          <w:sz w:val="22"/>
          <w:szCs w:val="22"/>
          <w:color w:val="auto"/>
        </w:rPr>
        <w:t>”), among WM Holding Company, LLC, a Delaware limited liability company (together with any successor thereto, “</w:t>
      </w:r>
      <w:r>
        <w:rPr>
          <w:rFonts w:ascii="Arial" w:cs="Arial" w:eastAsia="Arial" w:hAnsi="Arial"/>
          <w:sz w:val="22"/>
          <w:szCs w:val="22"/>
          <w:b w:val="1"/>
          <w:bCs w:val="1"/>
          <w:color w:val="auto"/>
        </w:rPr>
        <w:t>OpCo</w:t>
      </w:r>
      <w:r>
        <w:rPr>
          <w:rFonts w:ascii="Arial" w:cs="Arial" w:eastAsia="Arial" w:hAnsi="Arial"/>
          <w:sz w:val="22"/>
          <w:szCs w:val="22"/>
          <w:color w:val="auto"/>
        </w:rPr>
        <w:t>”), WM Technology, Inc., a Delaware corporation (“</w:t>
      </w:r>
      <w:r>
        <w:rPr>
          <w:rFonts w:ascii="Arial" w:cs="Arial" w:eastAsia="Arial" w:hAnsi="Arial"/>
          <w:sz w:val="22"/>
          <w:szCs w:val="22"/>
          <w:b w:val="1"/>
          <w:bCs w:val="1"/>
          <w:color w:val="auto"/>
        </w:rPr>
        <w:t>Pubco</w:t>
      </w:r>
      <w:r>
        <w:rPr>
          <w:rFonts w:ascii="Arial" w:cs="Arial" w:eastAsia="Arial" w:hAnsi="Arial"/>
          <w:sz w:val="22"/>
          <w:szCs w:val="22"/>
          <w:color w:val="auto"/>
        </w:rPr>
        <w:t>”) and managing member of OpCo, and the LLC Unitholders from time to time party thereto (each, a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defined herein shall have the meanings given to them in the Exchange Agreement.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undersigned Holder hereby transfers [the number of Class A Units plus shares of Class V Common Stock set forth below (together, the “</w:t>
      </w:r>
      <w:r>
        <w:rPr>
          <w:rFonts w:ascii="Arial" w:cs="Arial" w:eastAsia="Arial" w:hAnsi="Arial"/>
          <w:sz w:val="19"/>
          <w:szCs w:val="19"/>
          <w:b w:val="1"/>
          <w:bCs w:val="1"/>
          <w:color w:val="auto"/>
        </w:rPr>
        <w:t>Paired Interests</w:t>
      </w:r>
      <w:r>
        <w:rPr>
          <w:rFonts w:ascii="Arial" w:cs="Arial" w:eastAsia="Arial" w:hAnsi="Arial"/>
          <w:sz w:val="19"/>
          <w:szCs w:val="19"/>
          <w:color w:val="auto"/>
        </w:rPr>
        <w:t>”)][the number of Class P Units] in Exchange for shares of Class A Common Stock to be issued in its name as set forth below, or the Cash Exchange Payment, as applicable, as set forth in the Exchange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23495</wp:posOffset>
            </wp:positionV>
            <wp:extent cx="49206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23495</wp:posOffset>
            </wp:positionV>
            <wp:extent cx="564070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6407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Number of [Paired Interests] [Class P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23495</wp:posOffset>
            </wp:positionV>
            <wp:extent cx="3068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Brokerage Account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23495</wp:posOffset>
            </wp:positionV>
            <wp:extent cx="470598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undersigned hereby represents and warrants that (i) the undersigned has full legal capacity to execute and deliver this Exchange Notice and to perform the undersigned’s obligations hereunder; (ii) this Exchange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[Paired Interests][ Class P Units] subject to this Exchange Notice are being transferred to Pubco or OpCo, as applicable, free and clear of any pledge, lien, security interest, encumbrance, equities or claim; and (iv) no consent, approval, authorization, order, registration or qualification of any third party or with any court or governmental agency or body having jurisdiction over the undersigned or the [Paired Interests][ Class P Units] subject to this Exchange Notice is required to be obtained by the undersigned for the transfer of such [Paired Interests][ Class P Units] to PubCo or OpCo, as applicable.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undersigned hereby irrevocably constitutes and appoints any officer of PubCo or of OpCo as the attorney of the undersigned, with full power of substitution and resubstitution in the premises, to do any and all things and to take any and all actions that may be necessary to transfer to PubCo or OpCo, as applicable, the [Paired Interests][ Class P Units] subject to this Exchange Notice and to deliver to the undersigned the Stock Exchange Payment or Cash Exchange Payment, as applicable, to be delivered in exchange therefor.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ind w:firstLine="648"/>
        <w:spacing w:after="0" w:line="251" w:lineRule="auto"/>
        <w:rPr>
          <w:sz w:val="20"/>
          <w:szCs w:val="20"/>
          <w:color w:val="auto"/>
        </w:rPr>
      </w:pPr>
      <w:r>
        <w:rPr>
          <w:rFonts w:ascii="Arial" w:cs="Arial" w:eastAsia="Arial" w:hAnsi="Arial"/>
          <w:sz w:val="22"/>
          <w:szCs w:val="22"/>
          <w:color w:val="auto"/>
        </w:rPr>
        <w:t>IN WITNESS WHEREOF the undersigned, by authority duly given, has caused this Exchange Notice to be executed and delivered by the undersigned or by its duly authorized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286385</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Joinder Agreement (“</w:t>
      </w:r>
      <w:r>
        <w:rPr>
          <w:rFonts w:ascii="Arial" w:cs="Arial" w:eastAsia="Arial" w:hAnsi="Arial"/>
          <w:sz w:val="21"/>
          <w:szCs w:val="21"/>
          <w:u w:val="single" w:color="auto"/>
          <w:color w:val="auto"/>
        </w:rPr>
        <w:t>Joinder Agreement</w:t>
      </w:r>
      <w:r>
        <w:rPr>
          <w:rFonts w:ascii="Arial" w:cs="Arial" w:eastAsia="Arial" w:hAnsi="Arial"/>
          <w:sz w:val="21"/>
          <w:szCs w:val="21"/>
          <w:color w:val="auto"/>
        </w:rPr>
        <w:t>”) is a joinder to the Exchange Agreement, dated as of June 15, 2021 (as amended from time to time, the “</w:t>
      </w:r>
      <w:r>
        <w:rPr>
          <w:rFonts w:ascii="Arial" w:cs="Arial" w:eastAsia="Arial" w:hAnsi="Arial"/>
          <w:sz w:val="21"/>
          <w:szCs w:val="21"/>
          <w:u w:val="single" w:color="auto"/>
          <w:color w:val="auto"/>
        </w:rPr>
        <w:t>Exchange Agreement</w:t>
      </w:r>
      <w:r>
        <w:rPr>
          <w:rFonts w:ascii="Arial" w:cs="Arial" w:eastAsia="Arial" w:hAnsi="Arial"/>
          <w:sz w:val="21"/>
          <w:szCs w:val="21"/>
          <w:color w:val="auto"/>
        </w:rPr>
        <w:t>”), among WM Technology, Inc., a Delaware corporation (together with any successor thereto, the “</w:t>
      </w:r>
      <w:r>
        <w:rPr>
          <w:rFonts w:ascii="Arial" w:cs="Arial" w:eastAsia="Arial" w:hAnsi="Arial"/>
          <w:sz w:val="21"/>
          <w:szCs w:val="21"/>
          <w:u w:val="single" w:color="auto"/>
          <w:color w:val="auto"/>
        </w:rPr>
        <w:t>Corporation</w:t>
      </w:r>
      <w:r>
        <w:rPr>
          <w:rFonts w:ascii="Arial" w:cs="Arial" w:eastAsia="Arial" w:hAnsi="Arial"/>
          <w:sz w:val="21"/>
          <w:szCs w:val="21"/>
          <w:color w:val="auto"/>
        </w:rPr>
        <w:t>”), WM Holding Company, LLC, a Delaware limited liability company, and each of the LLC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21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undersigned hereby joins and enters into the Exchange Agreement having acquired LLC Units in WM Holding Company, LLC. By signing and returning this Joinder Agreement to the Corporation, the undersigned accepts and agrees to be bound by and subject to all of the terms and conditions of and agreements of an LLC Unitholder contained in the Exchange Agreement, with all attendant rights, duties and obligations of an LLC Unitholder thereunder. The parties to the Exchange Agreement shall treat the execution and delivery hereof by the undersigned as the execution and delivery of the Exchange Agreement by the undersigned and, upon receipt of this Joinder Agreement by the Corporation and by WM Holding Company, LLC, the signature of the undersigned set forth below shall constitute a counterpart signature to the signature page of the Exchange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28543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32143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32143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2143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23495</wp:posOffset>
            </wp:positionV>
            <wp:extent cx="26403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32143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32143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2143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TAX RECEIVABLE AGREEMENT</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among</w:t>
      </w:r>
    </w:p>
    <w:p>
      <w:pPr>
        <w:jc w:val="center"/>
        <w:ind w:right="1100"/>
        <w:spacing w:after="0" w:line="230" w:lineRule="auto"/>
        <w:rPr>
          <w:sz w:val="20"/>
          <w:szCs w:val="20"/>
          <w:color w:val="auto"/>
        </w:rPr>
      </w:pPr>
      <w:r>
        <w:rPr>
          <w:rFonts w:ascii="Arial" w:cs="Arial" w:eastAsia="Arial" w:hAnsi="Arial"/>
          <w:sz w:val="22"/>
          <w:szCs w:val="22"/>
          <w:color w:val="auto"/>
        </w:rPr>
        <w:t>WM TECHNOLOGY, INC.</w:t>
      </w:r>
    </w:p>
    <w:p>
      <w:pPr>
        <w:jc w:val="center"/>
        <w:ind w:right="1100"/>
        <w:spacing w:after="0" w:line="231" w:lineRule="auto"/>
        <w:rPr>
          <w:sz w:val="20"/>
          <w:szCs w:val="20"/>
          <w:color w:val="auto"/>
        </w:rPr>
      </w:pPr>
      <w:r>
        <w:rPr>
          <w:rFonts w:ascii="Arial" w:cs="Arial" w:eastAsia="Arial" w:hAnsi="Arial"/>
          <w:sz w:val="22"/>
          <w:szCs w:val="22"/>
          <w:color w:val="auto"/>
        </w:rPr>
        <w:t>and</w:t>
      </w:r>
    </w:p>
    <w:p>
      <w:pPr>
        <w:jc w:val="center"/>
        <w:ind w:right="1100"/>
        <w:spacing w:after="0"/>
        <w:rPr>
          <w:sz w:val="20"/>
          <w:szCs w:val="20"/>
          <w:color w:val="auto"/>
        </w:rPr>
      </w:pPr>
      <w:r>
        <w:rPr>
          <w:rFonts w:ascii="Arial" w:cs="Arial" w:eastAsia="Arial" w:hAnsi="Arial"/>
          <w:sz w:val="21"/>
          <w:szCs w:val="21"/>
          <w:color w:val="auto"/>
        </w:rPr>
        <w:t>THE PERSONS NAMED HEREIN</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107315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Page</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1.1</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2.1</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 Adjustment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8920" w:type="dxa"/>
            <w:vAlign w:val="bottom"/>
          </w:tcPr>
          <w:p>
            <w:pPr>
              <w:ind w:left="120"/>
              <w:spacing w:after="0"/>
              <w:rPr>
                <w:sz w:val="20"/>
                <w:szCs w:val="20"/>
                <w:color w:val="auto"/>
              </w:rPr>
            </w:pPr>
            <w:r>
              <w:rPr>
                <w:rFonts w:ascii="Arial" w:cs="Arial" w:eastAsia="Arial" w:hAnsi="Arial"/>
                <w:sz w:val="18"/>
                <w:szCs w:val="18"/>
                <w:color w:val="auto"/>
              </w:rPr>
              <w:t>Tax Benefit Schedule</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2.3</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Procedures, Amendments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TAX BENEFIT PAYMENTS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10</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3.1</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10</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8920" w:type="dxa"/>
            <w:vAlign w:val="bottom"/>
          </w:tcPr>
          <w:p>
            <w:pPr>
              <w:ind w:left="120"/>
              <w:spacing w:after="0"/>
              <w:rPr>
                <w:sz w:val="20"/>
                <w:szCs w:val="20"/>
                <w:color w:val="auto"/>
              </w:rPr>
            </w:pPr>
            <w:r>
              <w:rPr>
                <w:rFonts w:ascii="Arial" w:cs="Arial" w:eastAsia="Arial" w:hAnsi="Arial"/>
                <w:sz w:val="18"/>
                <w:szCs w:val="18"/>
                <w:color w:val="auto"/>
              </w:rPr>
              <w:t>No Duplicative Payments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3.3</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Rata Payments; Coordination of Benefits With Other Tax Receivable Agreements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TERMINATION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4.1</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Early Termination and Breach of Agreement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8920" w:type="dxa"/>
            <w:vAlign w:val="bottom"/>
          </w:tcPr>
          <w:p>
            <w:pPr>
              <w:ind w:left="120"/>
              <w:spacing w:after="0"/>
              <w:rPr>
                <w:sz w:val="20"/>
                <w:szCs w:val="20"/>
                <w:color w:val="auto"/>
              </w:rPr>
            </w:pPr>
            <w:r>
              <w:rPr>
                <w:rFonts w:ascii="Arial" w:cs="Arial" w:eastAsia="Arial" w:hAnsi="Arial"/>
                <w:sz w:val="18"/>
                <w:szCs w:val="18"/>
                <w:color w:val="auto"/>
              </w:rPr>
              <w:t>Early Termination Notice</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13</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4.3</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upon Early Termination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13</w:t>
            </w:r>
          </w:p>
        </w:tc>
      </w:tr>
      <w:tr>
        <w:trPr>
          <w:trHeight w:val="216"/>
        </w:trPr>
        <w:tc>
          <w:tcPr>
            <w:tcW w:w="101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SUBORDINATION AND LATE PAYMENTS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13</w:t>
            </w:r>
          </w:p>
        </w:tc>
      </w:tr>
      <w:tr>
        <w:trPr>
          <w:trHeight w:val="216"/>
        </w:trPr>
        <w:tc>
          <w:tcPr>
            <w:tcW w:w="12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5.1</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Subordination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13</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8920" w:type="dxa"/>
            <w:vAlign w:val="bottom"/>
          </w:tcPr>
          <w:p>
            <w:pPr>
              <w:ind w:left="120"/>
              <w:spacing w:after="0"/>
              <w:rPr>
                <w:sz w:val="20"/>
                <w:szCs w:val="20"/>
                <w:color w:val="auto"/>
              </w:rPr>
            </w:pPr>
            <w:r>
              <w:rPr>
                <w:rFonts w:ascii="Arial" w:cs="Arial" w:eastAsia="Arial" w:hAnsi="Arial"/>
                <w:sz w:val="18"/>
                <w:szCs w:val="18"/>
                <w:color w:val="auto"/>
              </w:rPr>
              <w:t>Late Payments by the Corporate Taxpayer</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13</w:t>
            </w:r>
          </w:p>
        </w:tc>
      </w:tr>
      <w:tr>
        <w:trPr>
          <w:trHeight w:val="216"/>
        </w:trPr>
        <w:tc>
          <w:tcPr>
            <w:tcW w:w="1016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ARTICLE VI NO DISPUTES; CONSISTENCY; COOPERATION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24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8920" w:type="dxa"/>
            <w:vAlign w:val="bottom"/>
          </w:tcPr>
          <w:p>
            <w:pPr>
              <w:ind w:left="120"/>
              <w:spacing w:after="0"/>
              <w:rPr>
                <w:sz w:val="20"/>
                <w:szCs w:val="20"/>
                <w:color w:val="auto"/>
              </w:rPr>
            </w:pPr>
            <w:r>
              <w:rPr>
                <w:rFonts w:ascii="Arial" w:cs="Arial" w:eastAsia="Arial" w:hAnsi="Arial"/>
                <w:sz w:val="18"/>
                <w:szCs w:val="18"/>
                <w:color w:val="auto"/>
              </w:rPr>
              <w:t>Participation in the Corporate Taxpayer’s and OpCo’s Tax Matters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6.2</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Consistency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6.3</w:t>
            </w:r>
          </w:p>
        </w:tc>
        <w:tc>
          <w:tcPr>
            <w:tcW w:w="892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016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24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8920" w:type="dxa"/>
            <w:vAlign w:val="bottom"/>
          </w:tcPr>
          <w:p>
            <w:pPr>
              <w:ind w:left="120"/>
              <w:spacing w:after="0"/>
              <w:rPr>
                <w:sz w:val="20"/>
                <w:szCs w:val="20"/>
                <w:color w:val="auto"/>
              </w:rPr>
            </w:pPr>
            <w:r>
              <w:rPr>
                <w:rFonts w:ascii="Arial" w:cs="Arial" w:eastAsia="Arial" w:hAnsi="Arial"/>
                <w:sz w:val="18"/>
                <w:szCs w:val="18"/>
                <w:color w:val="auto"/>
              </w:rPr>
              <w:t>Notices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7.2</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Counterparts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7.3</w:t>
            </w:r>
          </w:p>
        </w:tc>
        <w:tc>
          <w:tcPr>
            <w:tcW w:w="8920" w:type="dxa"/>
            <w:vAlign w:val="bottom"/>
          </w:tcPr>
          <w:p>
            <w:pPr>
              <w:ind w:left="120"/>
              <w:spacing w:after="0"/>
              <w:rPr>
                <w:sz w:val="20"/>
                <w:szCs w:val="20"/>
                <w:color w:val="auto"/>
              </w:rPr>
            </w:pPr>
            <w:r>
              <w:rPr>
                <w:rFonts w:ascii="Arial" w:cs="Arial" w:eastAsia="Arial" w:hAnsi="Arial"/>
                <w:sz w:val="18"/>
                <w:szCs w:val="18"/>
                <w:color w:val="auto"/>
              </w:rPr>
              <w:t>Entire Agreement; No Third Party Beneficiaries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15</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7.4</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7.5</w:t>
            </w:r>
          </w:p>
        </w:tc>
        <w:tc>
          <w:tcPr>
            <w:tcW w:w="89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15</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7.6</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Successors; Assignment; Amendments; Waivers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7.7</w:t>
            </w:r>
          </w:p>
        </w:tc>
        <w:tc>
          <w:tcPr>
            <w:tcW w:w="8920" w:type="dxa"/>
            <w:vAlign w:val="bottom"/>
          </w:tcPr>
          <w:p>
            <w:pPr>
              <w:ind w:left="120"/>
              <w:spacing w:after="0"/>
              <w:rPr>
                <w:sz w:val="20"/>
                <w:szCs w:val="20"/>
                <w:color w:val="auto"/>
              </w:rPr>
            </w:pPr>
            <w:r>
              <w:rPr>
                <w:rFonts w:ascii="Arial" w:cs="Arial" w:eastAsia="Arial" w:hAnsi="Arial"/>
                <w:sz w:val="18"/>
                <w:szCs w:val="18"/>
                <w:color w:val="auto"/>
              </w:rPr>
              <w:t>Titles and Subtitles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16</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7.8</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Resolution of Disputes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16</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rPr>
              <w:t>Section 7.9</w:t>
            </w:r>
          </w:p>
        </w:tc>
        <w:tc>
          <w:tcPr>
            <w:tcW w:w="8920" w:type="dxa"/>
            <w:vAlign w:val="bottom"/>
          </w:tcPr>
          <w:p>
            <w:pPr>
              <w:ind w:left="120"/>
              <w:spacing w:after="0"/>
              <w:rPr>
                <w:sz w:val="20"/>
                <w:szCs w:val="20"/>
                <w:color w:val="auto"/>
              </w:rPr>
            </w:pPr>
            <w:r>
              <w:rPr>
                <w:rFonts w:ascii="Arial" w:cs="Arial" w:eastAsia="Arial" w:hAnsi="Arial"/>
                <w:sz w:val="18"/>
                <w:szCs w:val="18"/>
                <w:color w:val="auto"/>
              </w:rPr>
              <w:t>Reconciliation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16</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Section 7.10</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17</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w w:val="97"/>
              </w:rPr>
              <w:t>Section 7.11</w:t>
            </w:r>
          </w:p>
        </w:tc>
        <w:tc>
          <w:tcPr>
            <w:tcW w:w="8920" w:type="dxa"/>
            <w:vAlign w:val="bottom"/>
          </w:tcPr>
          <w:p>
            <w:pPr>
              <w:ind w:left="12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17</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Section 7.12</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Confidentiality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18</w:t>
            </w:r>
          </w:p>
        </w:tc>
      </w:tr>
      <w:tr>
        <w:trPr>
          <w:trHeight w:val="216"/>
        </w:trPr>
        <w:tc>
          <w:tcPr>
            <w:tcW w:w="1240" w:type="dxa"/>
            <w:vAlign w:val="bottom"/>
          </w:tcPr>
          <w:p>
            <w:pPr>
              <w:ind w:left="240"/>
              <w:spacing w:after="0"/>
              <w:rPr>
                <w:sz w:val="20"/>
                <w:szCs w:val="20"/>
                <w:color w:val="auto"/>
              </w:rPr>
            </w:pPr>
            <w:r>
              <w:rPr>
                <w:rFonts w:ascii="Arial" w:cs="Arial" w:eastAsia="Arial" w:hAnsi="Arial"/>
                <w:sz w:val="18"/>
                <w:szCs w:val="18"/>
                <w:color w:val="auto"/>
                <w:w w:val="97"/>
              </w:rPr>
              <w:t>Section 7.13</w:t>
            </w:r>
          </w:p>
        </w:tc>
        <w:tc>
          <w:tcPr>
            <w:tcW w:w="892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18</w:t>
            </w:r>
          </w:p>
        </w:tc>
      </w:tr>
      <w:tr>
        <w:trPr>
          <w:trHeight w:val="216"/>
        </w:trPr>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Section 7.14</w:t>
            </w:r>
          </w:p>
        </w:tc>
        <w:tc>
          <w:tcPr>
            <w:tcW w:w="8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Independent Nature of TRA Parties’ Rights and Obligations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18</w:t>
            </w:r>
          </w:p>
        </w:tc>
      </w:tr>
      <w:tr>
        <w:trPr>
          <w:trHeight w:val="230"/>
        </w:trPr>
        <w:tc>
          <w:tcPr>
            <w:tcW w:w="1240" w:type="dxa"/>
            <w:vAlign w:val="bottom"/>
          </w:tcPr>
          <w:p>
            <w:pPr>
              <w:ind w:left="240"/>
              <w:spacing w:after="0"/>
              <w:rPr>
                <w:sz w:val="20"/>
                <w:szCs w:val="20"/>
                <w:color w:val="auto"/>
              </w:rPr>
            </w:pPr>
            <w:r>
              <w:rPr>
                <w:rFonts w:ascii="Arial" w:cs="Arial" w:eastAsia="Arial" w:hAnsi="Arial"/>
                <w:sz w:val="18"/>
                <w:szCs w:val="18"/>
                <w:color w:val="auto"/>
                <w:w w:val="97"/>
              </w:rPr>
              <w:t>Section 7.15</w:t>
            </w:r>
          </w:p>
        </w:tc>
        <w:tc>
          <w:tcPr>
            <w:tcW w:w="8920" w:type="dxa"/>
            <w:vAlign w:val="bottom"/>
          </w:tcPr>
          <w:p>
            <w:pPr>
              <w:ind w:left="120"/>
              <w:spacing w:after="0"/>
              <w:rPr>
                <w:sz w:val="20"/>
                <w:szCs w:val="20"/>
                <w:color w:val="auto"/>
              </w:rPr>
            </w:pPr>
            <w:r>
              <w:rPr>
                <w:rFonts w:ascii="Arial" w:cs="Arial" w:eastAsia="Arial" w:hAnsi="Arial"/>
                <w:sz w:val="18"/>
                <w:szCs w:val="18"/>
                <w:color w:val="auto"/>
              </w:rPr>
              <w:t>TRA Party Representative</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19</w:t>
            </w:r>
          </w:p>
        </w:tc>
      </w:tr>
      <w:tr>
        <w:trPr>
          <w:trHeight w:val="411"/>
        </w:trPr>
        <w:tc>
          <w:tcPr>
            <w:tcW w:w="124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TAX RECEIVABLE AGREEMENT</w:t>
      </w:r>
    </w:p>
    <w:p>
      <w:pPr>
        <w:spacing w:after="0" w:line="200" w:lineRule="exact"/>
        <w:rPr>
          <w:sz w:val="20"/>
          <w:szCs w:val="20"/>
          <w:color w:val="auto"/>
        </w:rPr>
      </w:pPr>
    </w:p>
    <w:p>
      <w:pPr>
        <w:spacing w:after="0" w:line="28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TAX RECEIVABLE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June 16, 2021, is hereby entered into by and among WM Technology, Inc., a Delaware corporation (the “</w:t>
      </w:r>
      <w:r>
        <w:rPr>
          <w:rFonts w:ascii="Arial" w:cs="Arial" w:eastAsia="Arial" w:hAnsi="Arial"/>
          <w:sz w:val="22"/>
          <w:szCs w:val="22"/>
          <w:u w:val="single" w:color="auto"/>
          <w:color w:val="auto"/>
        </w:rPr>
        <w:t>Corporate Taxpayer</w:t>
      </w:r>
      <w:r>
        <w:rPr>
          <w:rFonts w:ascii="Arial" w:cs="Arial" w:eastAsia="Arial" w:hAnsi="Arial"/>
          <w:sz w:val="22"/>
          <w:szCs w:val="22"/>
          <w:color w:val="auto"/>
        </w:rPr>
        <w:t>”), and each of the other persons from time to time party hereto (the “</w:t>
      </w:r>
      <w:r>
        <w:rPr>
          <w:rFonts w:ascii="Arial" w:cs="Arial" w:eastAsia="Arial" w:hAnsi="Arial"/>
          <w:sz w:val="22"/>
          <w:szCs w:val="22"/>
          <w:u w:val="single" w:color="auto"/>
          <w:color w:val="auto"/>
        </w:rPr>
        <w:t>TRA Parties</w:t>
      </w:r>
      <w:r>
        <w:rPr>
          <w:rFonts w:ascii="Arial" w:cs="Arial" w:eastAsia="Arial" w:hAnsi="Arial"/>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WHEREAS, the TRA Parties directly or indirectly hold limited liability company units (the “</w:t>
      </w:r>
      <w:r>
        <w:rPr>
          <w:rFonts w:ascii="Arial" w:cs="Arial" w:eastAsia="Arial" w:hAnsi="Arial"/>
          <w:sz w:val="22"/>
          <w:szCs w:val="22"/>
          <w:u w:val="single" w:color="auto"/>
          <w:color w:val="auto"/>
        </w:rPr>
        <w:t>Units</w:t>
      </w:r>
      <w:r>
        <w:rPr>
          <w:rFonts w:ascii="Arial" w:cs="Arial" w:eastAsia="Arial" w:hAnsi="Arial"/>
          <w:sz w:val="22"/>
          <w:szCs w:val="22"/>
          <w:color w:val="auto"/>
        </w:rPr>
        <w:t>”) in WM Holding Company, LLC, a Delaware limited liability company (“</w:t>
      </w:r>
      <w:r>
        <w:rPr>
          <w:rFonts w:ascii="Arial" w:cs="Arial" w:eastAsia="Arial" w:hAnsi="Arial"/>
          <w:sz w:val="22"/>
          <w:szCs w:val="22"/>
          <w:u w:val="single" w:color="auto"/>
          <w:color w:val="auto"/>
        </w:rPr>
        <w:t>OpCo</w:t>
      </w:r>
      <w:r>
        <w:rPr>
          <w:rFonts w:ascii="Arial" w:cs="Arial" w:eastAsia="Arial" w:hAnsi="Arial"/>
          <w:sz w:val="22"/>
          <w:szCs w:val="22"/>
          <w:color w:val="auto"/>
        </w:rPr>
        <w:t>”), which is classified as a partnership for United States federal income tax purposes;</w:t>
      </w:r>
    </w:p>
    <w:p>
      <w:pPr>
        <w:spacing w:after="0" w:line="21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WHEREAS, the Corporate Taxpayer, OpCo, Silver Spike Merger Sub LLC, a Delaware limited liability company (“</w:t>
      </w:r>
      <w:r>
        <w:rPr>
          <w:rFonts w:ascii="Arial" w:cs="Arial" w:eastAsia="Arial" w:hAnsi="Arial"/>
          <w:sz w:val="22"/>
          <w:szCs w:val="22"/>
          <w:u w:val="single" w:color="auto"/>
          <w:color w:val="auto"/>
        </w:rPr>
        <w:t>Opco Merger Sub”</w:t>
      </w:r>
      <w:r>
        <w:rPr>
          <w:rFonts w:ascii="Arial" w:cs="Arial" w:eastAsia="Arial" w:hAnsi="Arial"/>
          <w:sz w:val="22"/>
          <w:szCs w:val="22"/>
          <w:color w:val="auto"/>
        </w:rPr>
        <w:t>), and other parties thereto entered into that certain Agreement and Plan of Merger, dated December 10, 2020 (as further amended or modified in whole or in part from time to time in accordance with such Agreement, the “</w:t>
      </w:r>
      <w:r>
        <w:rPr>
          <w:rFonts w:ascii="Arial" w:cs="Arial" w:eastAsia="Arial" w:hAnsi="Arial"/>
          <w:sz w:val="22"/>
          <w:szCs w:val="22"/>
          <w:u w:val="single" w:color="auto"/>
          <w:color w:val="auto"/>
        </w:rPr>
        <w:t>Merger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among other things, Opco Merger Sub merged with and into OpCo with OpCo surviving (the “</w:t>
      </w:r>
      <w:r>
        <w:rPr>
          <w:rFonts w:ascii="Arial" w:cs="Arial" w:eastAsia="Arial" w:hAnsi="Arial"/>
          <w:sz w:val="22"/>
          <w:szCs w:val="22"/>
          <w:u w:val="single" w:color="auto"/>
          <w:color w:val="auto"/>
        </w:rPr>
        <w:t>Merger</w:t>
      </w:r>
      <w:r>
        <w:rPr>
          <w:rFonts w:ascii="Arial" w:cs="Arial" w:eastAsia="Arial" w:hAnsi="Arial"/>
          <w:sz w:val="22"/>
          <w:szCs w:val="22"/>
          <w:color w:val="auto"/>
        </w:rPr>
        <w:t>”) and the Corporate Taxpayer acquired certain Units in (i) a contribution governed by Section 721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(ii) in a taxable transaction under Section 741 of the Code (the “</w:t>
      </w:r>
      <w:r>
        <w:rPr>
          <w:rFonts w:ascii="Arial" w:cs="Arial" w:eastAsia="Arial" w:hAnsi="Arial"/>
          <w:sz w:val="22"/>
          <w:szCs w:val="22"/>
          <w:u w:val="single" w:color="auto"/>
          <w:color w:val="auto"/>
        </w:rPr>
        <w:t>Purchase</w:t>
      </w:r>
      <w:r>
        <w:rPr>
          <w:rFonts w:ascii="Arial" w:cs="Arial" w:eastAsia="Arial" w:hAnsi="Arial"/>
          <w:sz w:val="22"/>
          <w:szCs w:val="22"/>
          <w:color w:val="auto"/>
        </w:rPr>
        <w:t>”);</w:t>
      </w:r>
    </w:p>
    <w:p>
      <w:pPr>
        <w:spacing w:after="0" w:line="21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WHEREAS, following the Merger, the Corporate Taxpayer is the managing member of OpCo, and holds and will hold, directly and/or indirectly, Units;</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WHEREAS, following the Merger, the Units held by the TRA Parties, together with Class V common stock of the Corporate Taxpayer, may be exchanged for Class A common stock of the Corporate Taxpayer (the “</w:t>
      </w:r>
      <w:r>
        <w:rPr>
          <w:rFonts w:ascii="Arial" w:cs="Arial" w:eastAsia="Arial" w:hAnsi="Arial"/>
          <w:sz w:val="21"/>
          <w:szCs w:val="21"/>
          <w:u w:val="single" w:color="auto"/>
          <w:color w:val="auto"/>
        </w:rPr>
        <w:t>Class A Shares</w:t>
      </w:r>
      <w:r>
        <w:rPr>
          <w:rFonts w:ascii="Arial" w:cs="Arial" w:eastAsia="Arial" w:hAnsi="Arial"/>
          <w:sz w:val="21"/>
          <w:szCs w:val="21"/>
          <w:color w:val="auto"/>
        </w:rPr>
        <w:t>”) constituting the Stock Exchange Payment or, alternatively, at the election of the Corporate Taxpayer, the Cash Exchange Payment (an “</w:t>
      </w:r>
      <w:r>
        <w:rPr>
          <w:rFonts w:ascii="Arial" w:cs="Arial" w:eastAsia="Arial" w:hAnsi="Arial"/>
          <w:sz w:val="21"/>
          <w:szCs w:val="21"/>
          <w:u w:val="single" w:color="auto"/>
          <w:color w:val="auto"/>
        </w:rPr>
        <w:t>Exchange</w:t>
      </w:r>
      <w:r>
        <w:rPr>
          <w:rFonts w:ascii="Arial" w:cs="Arial" w:eastAsia="Arial" w:hAnsi="Arial"/>
          <w:sz w:val="21"/>
          <w:szCs w:val="21"/>
          <w:color w:val="auto"/>
        </w:rPr>
        <w:t>”), pursuant to the provisions of the LLC Agreement (as defined below) and the Exchange Agreement, dated as of June 15, 2021, among the Corporate Taxpayer, OpCo, and the holders of Units from time to time party thereto, as amended from time to time (the “</w:t>
      </w:r>
      <w:r>
        <w:rPr>
          <w:rFonts w:ascii="Arial" w:cs="Arial" w:eastAsia="Arial" w:hAnsi="Arial"/>
          <w:sz w:val="21"/>
          <w:szCs w:val="21"/>
          <w:u w:val="single" w:color="auto"/>
          <w:color w:val="auto"/>
        </w:rPr>
        <w:t>Exchange Agreement</w:t>
      </w:r>
      <w:r>
        <w:rPr>
          <w:rFonts w:ascii="Arial" w:cs="Arial" w:eastAsia="Arial" w:hAnsi="Arial"/>
          <w:sz w:val="21"/>
          <w:szCs w:val="21"/>
          <w:color w:val="auto"/>
        </w:rPr>
        <w:t>”);</w:t>
      </w:r>
    </w:p>
    <w:p>
      <w:pPr>
        <w:spacing w:after="0" w:line="20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WHEREAS, OpCo and each of its direct and indirect subsidiaries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by the Corporate Taxpayer from the TRA Parties for Class A Shares or other consideration occurs;</w:t>
      </w:r>
    </w:p>
    <w:p>
      <w:pPr>
        <w:spacing w:after="0" w:line="21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as a result of the Purchase and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Arial" w:cs="Arial" w:eastAsia="Arial" w:hAnsi="Arial"/>
          <w:sz w:val="22"/>
          <w:szCs w:val="22"/>
          <w:u w:val="single" w:color="auto"/>
          <w:color w:val="auto"/>
        </w:rPr>
        <w:t>Tax Attributes</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parties to this Agreement desire to make certain arrangements with respect to the effect of the Tax Attributes on the liability for Taxes of the Corporate Taxpayer;</w:t>
      </w:r>
    </w:p>
    <w:p>
      <w:pPr>
        <w:spacing w:after="0" w:line="20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NOW, THEREFORE, in consideration of the foregoing and the respective covenants and agreements set forth herein, and intending to be legally bound hereby, the parties hereto agree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Definitions</w:t>
      </w:r>
      <w:r>
        <w:rPr>
          <w:rFonts w:ascii="Arial" w:cs="Arial" w:eastAsia="Arial" w:hAnsi="Arial"/>
          <w:sz w:val="21"/>
          <w:szCs w:val="21"/>
          <w:color w:val="auto"/>
        </w:rPr>
        <w:t>. As used in this Agreement, the terms set forth in this Article I shall have the following meanings (such meanings to be equally applicable to both the singular and plural forms of the terms defined).</w:t>
      </w:r>
    </w:p>
    <w:p>
      <w:pPr>
        <w:sectPr>
          <w:pgSz w:w="11900" w:h="16838" w:orient="portrait"/>
          <w:cols w:equalWidth="0" w:num="1">
            <w:col w:w="11240"/>
          </w:cols>
          <w:pgMar w:left="320" w:top="111"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5" w:name="page86"/>
    <w:bookmarkEnd w:id="85"/>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Actual Tax Liability</w:t>
      </w:r>
      <w:r>
        <w:rPr>
          <w:rFonts w:ascii="Arial" w:cs="Arial" w:eastAsia="Arial" w:hAnsi="Arial"/>
          <w:sz w:val="19"/>
          <w:szCs w:val="19"/>
          <w:color w:val="auto"/>
        </w:rPr>
        <w:t xml:space="preserve">” means, with respect to any Taxable Year, the actual liability for Taxes, which shall not be less than zero,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w:t>
      </w:r>
      <w:r>
        <w:rPr>
          <w:rFonts w:ascii="Arial" w:cs="Arial" w:eastAsia="Arial" w:hAnsi="Arial"/>
          <w:sz w:val="19"/>
          <w:szCs w:val="19"/>
          <w:i w:val="1"/>
          <w:iCs w:val="1"/>
          <w:color w:val="auto"/>
        </w:rPr>
        <w:t>provided</w:t>
      </w:r>
      <w:r>
        <w:rPr>
          <w:rFonts w:ascii="Arial" w:cs="Arial" w:eastAsia="Arial" w:hAnsi="Arial"/>
          <w:sz w:val="19"/>
          <w:szCs w:val="19"/>
          <w:color w:val="auto"/>
        </w:rPr>
        <w:t>, that, if applicable, such amounts shall be determined in accordance with a Determination (including interest imposed in respect thereof under applicable law).</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such first Person.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Rate</w:t>
      </w:r>
      <w:r>
        <w:rPr>
          <w:rFonts w:ascii="Arial" w:cs="Arial" w:eastAsia="Arial" w:hAnsi="Arial"/>
          <w:sz w:val="22"/>
          <w:szCs w:val="22"/>
          <w:color w:val="auto"/>
        </w:rPr>
        <w:t>” means LIBOR plus 100 basis points.</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w:t>
      </w:r>
      <w:r>
        <w:rPr>
          <w:rFonts w:ascii="Arial" w:cs="Arial" w:eastAsia="Arial" w:hAnsi="Arial"/>
          <w:sz w:val="22"/>
          <w:szCs w:val="22"/>
          <w:color w:val="auto"/>
        </w:rPr>
        <w:t>” means the portion of any Tax Attribute of the Corporate Taxpayer or Subsidiaries or OpCo and its Subsidiaries that is attributable to a TRA Party and shall be determined by reference to the Tax Attributes, under the following principles:</w:t>
      </w:r>
    </w:p>
    <w:p>
      <w:pPr>
        <w:spacing w:after="0" w:line="213" w:lineRule="exact"/>
        <w:rPr>
          <w:sz w:val="20"/>
          <w:szCs w:val="20"/>
          <w:color w:val="auto"/>
        </w:rPr>
      </w:pPr>
    </w:p>
    <w:p>
      <w:pPr>
        <w:jc w:val="both"/>
        <w:ind w:firstLine="1304"/>
        <w:spacing w:after="0"/>
        <w:tabs>
          <w:tab w:leader="none" w:pos="1599"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Purchase Basis Adjustments shall be determined separately with respect to each TRA Party and are Attributable to each TRA Party in an amount equal to the total Purchase Basis Adjustments relating to the interests in OpCo exchanged by such TRA Party in the Purchase;</w:t>
      </w:r>
    </w:p>
    <w:p>
      <w:pPr>
        <w:spacing w:after="0" w:line="213" w:lineRule="exact"/>
        <w:rPr>
          <w:rFonts w:ascii="Arial" w:cs="Arial" w:eastAsia="Arial" w:hAnsi="Arial"/>
          <w:sz w:val="22"/>
          <w:szCs w:val="22"/>
          <w:color w:val="auto"/>
        </w:rPr>
      </w:pPr>
    </w:p>
    <w:p>
      <w:pPr>
        <w:jc w:val="both"/>
        <w:ind w:firstLine="1304"/>
        <w:spacing w:after="0"/>
        <w:tabs>
          <w:tab w:leader="none" w:pos="16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Exchange Basis Adjustments shall be determined separately with respect to each TRA Party and are Attributable to a TRA Party in an amount equal to the total Exchange Basis Adjustments relating to the Units Exchanged by such TRA Party; and</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688"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Basis Adjustment</w:t>
      </w:r>
      <w:r>
        <w:rPr>
          <w:rFonts w:ascii="Arial" w:cs="Arial" w:eastAsia="Arial" w:hAnsi="Arial"/>
          <w:sz w:val="22"/>
          <w:szCs w:val="22"/>
          <w:color w:val="auto"/>
        </w:rPr>
        <w:t>” means a Purchase Basis Adjustment or an Exchange Basis Adjustment.</w:t>
      </w:r>
    </w:p>
    <w:p>
      <w:pPr>
        <w:spacing w:after="0" w:line="23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Beneficial Owner</w:t>
      </w:r>
      <w:r>
        <w:rPr>
          <w:rFonts w:ascii="Arial" w:cs="Arial" w:eastAsia="Arial" w:hAnsi="Arial"/>
          <w:sz w:val="21"/>
          <w:szCs w:val="21"/>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21"/>
          <w:szCs w:val="21"/>
          <w:u w:val="single" w:color="auto"/>
          <w:color w:val="auto"/>
        </w:rPr>
        <w:t>Beneficially Own</w:t>
      </w:r>
      <w:r>
        <w:rPr>
          <w:rFonts w:ascii="Arial" w:cs="Arial" w:eastAsia="Arial" w:hAnsi="Arial"/>
          <w:sz w:val="21"/>
          <w:szCs w:val="21"/>
          <w:color w:val="auto"/>
        </w:rPr>
        <w:t>” and “</w:t>
      </w:r>
      <w:r>
        <w:rPr>
          <w:rFonts w:ascii="Arial" w:cs="Arial" w:eastAsia="Arial" w:hAnsi="Arial"/>
          <w:sz w:val="21"/>
          <w:szCs w:val="21"/>
          <w:u w:val="single" w:color="auto"/>
          <w:color w:val="auto"/>
        </w:rPr>
        <w:t>Beneficial Ownership</w:t>
      </w:r>
      <w:r>
        <w:rPr>
          <w:rFonts w:ascii="Arial" w:cs="Arial" w:eastAsia="Arial" w:hAnsi="Arial"/>
          <w:sz w:val="21"/>
          <w:szCs w:val="21"/>
          <w:color w:val="auto"/>
        </w:rPr>
        <w:t>” shall have correlative meanings.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Corporate Taxpayer.</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 day other than a Saturday, Sunday or other day on which commercial banks in New York, New York, San Francisco, California or Wilmington, Delaware are authorized or required by Law to close.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Exchange Payment</w:t>
      </w:r>
      <w:r>
        <w:rPr>
          <w:rFonts w:ascii="Arial" w:cs="Arial" w:eastAsia="Arial" w:hAnsi="Arial"/>
          <w:sz w:val="22"/>
          <w:szCs w:val="22"/>
          <w:color w:val="auto"/>
        </w:rPr>
        <w:t>” has the meaning set forth in the Exchange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any of the following events:</w:t>
      </w:r>
    </w:p>
    <w:p>
      <w:pPr>
        <w:spacing w:after="0" w:line="233" w:lineRule="exact"/>
        <w:rPr>
          <w:sz w:val="20"/>
          <w:szCs w:val="20"/>
          <w:color w:val="auto"/>
        </w:rPr>
      </w:pPr>
    </w:p>
    <w:p>
      <w:pPr>
        <w:jc w:val="both"/>
        <w:ind w:firstLine="1304"/>
        <w:spacing w:after="0" w:line="277" w:lineRule="auto"/>
        <w:tabs>
          <w:tab w:leader="none" w:pos="1554"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both"/>
        <w:ind w:firstLine="1304"/>
        <w:spacing w:after="0" w:line="235" w:lineRule="auto"/>
        <w:tabs>
          <w:tab w:leader="none" w:pos="165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 or</w:t>
      </w:r>
    </w:p>
    <w:p>
      <w:pPr>
        <w:spacing w:after="0" w:line="215" w:lineRule="exact"/>
        <w:rPr>
          <w:rFonts w:ascii="Arial" w:cs="Arial" w:eastAsia="Arial" w:hAnsi="Arial"/>
          <w:sz w:val="22"/>
          <w:szCs w:val="22"/>
          <w:color w:val="auto"/>
        </w:rPr>
      </w:pPr>
    </w:p>
    <w:p>
      <w:pPr>
        <w:jc w:val="both"/>
        <w:ind w:firstLine="1304"/>
        <w:spacing w:after="0" w:line="277" w:lineRule="auto"/>
        <w:tabs>
          <w:tab w:leader="none" w:pos="1674"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Corporate Taxpayer with any other corporation or other entity, and, immediately after the consummation of such merger or consolidation, either (x) the board of directors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78" w:lineRule="exact"/>
        <w:rPr>
          <w:rFonts w:ascii="Arial" w:cs="Arial" w:eastAsia="Arial" w:hAnsi="Arial"/>
          <w:sz w:val="19"/>
          <w:szCs w:val="19"/>
          <w:color w:val="auto"/>
        </w:rPr>
      </w:pPr>
    </w:p>
    <w:p>
      <w:pPr>
        <w:jc w:val="both"/>
        <w:ind w:firstLine="1304"/>
        <w:spacing w:after="0" w:line="277" w:lineRule="auto"/>
        <w:tabs>
          <w:tab w:leader="none" w:pos="1702"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date of the consummation of the transactions contemplated by the Merger Agreement.</w:t>
      </w:r>
    </w:p>
    <w:p>
      <w:pPr>
        <w:spacing w:after="0" w:line="26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20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Taxpayer Return</w:t>
      </w:r>
      <w:r>
        <w:rPr>
          <w:rFonts w:ascii="Arial" w:cs="Arial" w:eastAsia="Arial" w:hAnsi="Arial"/>
          <w:sz w:val="22"/>
          <w:szCs w:val="22"/>
          <w:color w:val="auto"/>
        </w:rPr>
        <w:t>” means the United States federal and/or state and/or local and/or foreign Tax Return, as applicable, of the Corporate Taxpayer filed with respect to Taxes of any Taxable Year.</w:t>
      </w:r>
    </w:p>
    <w:p>
      <w:pPr>
        <w:spacing w:after="0" w:line="20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Net Realized Tax Benefit</w:t>
      </w:r>
      <w:r>
        <w:rPr>
          <w:rFonts w:ascii="Arial" w:cs="Arial" w:eastAsia="Arial" w:hAnsi="Arial"/>
          <w:sz w:val="22"/>
          <w:szCs w:val="22"/>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means the LIBOR plus 500 basis points.</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w:t>
      </w:r>
      <w:r>
        <w:rPr>
          <w:rFonts w:ascii="Arial" w:cs="Arial" w:eastAsia="Arial" w:hAnsi="Arial"/>
          <w:sz w:val="22"/>
          <w:szCs w:val="22"/>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21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Date</w:t>
      </w:r>
      <w:r>
        <w:rPr>
          <w:rFonts w:ascii="Arial" w:cs="Arial" w:eastAsia="Arial" w:hAnsi="Arial"/>
          <w:sz w:val="22"/>
          <w:szCs w:val="22"/>
          <w:color w:val="auto"/>
        </w:rPr>
        <w:t>” means the date of an Early Termination Notice for purposes of determining the Early Termination Payment.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Rate</w:t>
      </w:r>
      <w:r>
        <w:rPr>
          <w:rFonts w:ascii="Arial" w:cs="Arial" w:eastAsia="Arial" w:hAnsi="Arial"/>
          <w:sz w:val="22"/>
          <w:szCs w:val="22"/>
          <w:color w:val="auto"/>
        </w:rPr>
        <w:t>” means the LIBOR plus 150 basis points.</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is defined in the Recitals of this Agreement.</w:t>
      </w:r>
    </w:p>
    <w:p>
      <w:pPr>
        <w:spacing w:after="0" w:line="233" w:lineRule="exact"/>
        <w:rPr>
          <w:sz w:val="20"/>
          <w:szCs w:val="20"/>
          <w:color w:val="auto"/>
        </w:rPr>
      </w:pPr>
    </w:p>
    <w:p>
      <w:pPr>
        <w:ind w:right="60"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Basis Adjustment</w:t>
      </w:r>
      <w:r>
        <w:rPr>
          <w:rFonts w:ascii="Arial" w:cs="Arial" w:eastAsia="Arial" w:hAnsi="Arial"/>
          <w:sz w:val="19"/>
          <w:szCs w:val="19"/>
          <w:color w:val="auto"/>
        </w:rPr>
        <w: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local, and foreign Tax laws, as a result of an Exchange and the payments made pursuant to this Agreement. The amount of any Exchange Basis Adjustment shall be determined using the Market Value with respect to such Exchange, except, for the avoidance of doubt, as otherwise required by a Determination. For the avoidance of doubt, payments under this Agreement shall not be treated as resulting in an Exchange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means the date of any Exchange.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Notice</w:t>
      </w:r>
      <w:r>
        <w:rPr>
          <w:rFonts w:ascii="Arial" w:cs="Arial" w:eastAsia="Arial" w:hAnsi="Arial"/>
          <w:sz w:val="22"/>
          <w:szCs w:val="22"/>
          <w:color w:val="auto"/>
        </w:rPr>
        <w:t>” shall have the meaning set forth in the LLC Agreement.</w:t>
      </w:r>
    </w:p>
    <w:p>
      <w:pPr>
        <w:spacing w:after="0" w:line="233" w:lineRule="exact"/>
        <w:rPr>
          <w:sz w:val="20"/>
          <w:szCs w:val="20"/>
          <w:color w:val="auto"/>
        </w:rPr>
      </w:pPr>
    </w:p>
    <w:p>
      <w:pPr>
        <w:ind w:right="20"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Hypothetical Tax Liability</w:t>
      </w:r>
      <w:r>
        <w:rPr>
          <w:rFonts w:ascii="Arial" w:cs="Arial" w:eastAsia="Arial" w:hAnsi="Arial"/>
          <w:sz w:val="19"/>
          <w:szCs w:val="19"/>
          <w:color w:val="auto"/>
        </w:rPr>
        <w:t>” means, with respect to any Taxable Year, an amount, not less than zero, equal to the liability for Taxes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as applicable.</w:t>
      </w:r>
    </w:p>
    <w:p>
      <w:pPr>
        <w:spacing w:after="0" w:line="188"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Imputed Interest</w:t>
      </w:r>
      <w:r>
        <w:rPr>
          <w:rFonts w:ascii="Arial" w:cs="Arial" w:eastAsia="Arial" w:hAnsi="Arial"/>
          <w:sz w:val="22"/>
          <w:szCs w:val="22"/>
          <w:color w:val="auto"/>
        </w:rPr>
        <w:t>” in respect of a TRA Party shall mean any interest imputed under Section 1272, 1274 or 483 or other provision of the Code and any similar provision of state, local and foreign Tax law with respect to the Corporate Taxpayer’s payment obligations in respect of such TRA Party under this Agreement.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Notwithstanding the foregoing sentence: (i) if the Corporate Taxpayer reasonably determines, in good faith consultation with the TRA Party Representative,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consultation with the TRA Party Representative,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consultation with the TRA Party Representative, after consulting an investment bank of national standing in the United States and other reasonable sources, any relevant methodology for calculating such substitute or successor rate, including any adjustment factor it reasonably determines, in good faith consultation with the TRA Party, is needed to make such substitute or successor rate comparable to the relevant London interbank offered rate for U.S. dollar deposits, in a manner that is consistent with industry-accepted practices for such substitute or successor rate. In the event that the TRA Party Representative disagrees with any determination by the Corporate Taxpayer set forth in this paragraph, and such disagreement is not resolved within thirty (30) days of submission by the TRA Party Representative of notice of such disagreement to the Corporate Taxpayer, such disagreement shall be deemed a “Reconciliation Dispute,” and shall be subject to the Reconciliation Procedures set forth in Section 7.9 hereof.</w:t>
      </w:r>
    </w:p>
    <w:p>
      <w:pPr>
        <w:sectPr>
          <w:pgSz w:w="11900" w:h="16838" w:orient="portrait"/>
          <w:cols w:equalWidth="0" w:num="1">
            <w:col w:w="11240"/>
          </w:cols>
          <w:pgMar w:left="320" w:top="118"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jc w:val="both"/>
        <w:ind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with respect to OpCo, the Fourth Amended and Restated Limited Liability Company Agreement of OpCo, dated on or about the date hereof, as amended from time to time.</w:t>
      </w:r>
    </w:p>
    <w:p>
      <w:pPr>
        <w:spacing w:after="0" w:line="20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 Value</w:t>
      </w:r>
      <w:r>
        <w:rPr>
          <w:rFonts w:ascii="Arial" w:cs="Arial" w:eastAsia="Arial" w:hAnsi="Arial"/>
          <w:sz w:val="21"/>
          <w:szCs w:val="21"/>
          <w:color w:val="auto"/>
        </w:rPr>
        <w:t>” shall mean on any date, (a) if the Class A Shares trade on a national securities exchange or automated or electronic quotation system, the arithmetic average of the high trading and the low trading price on such date (or if such date is not a trading day, the immediately preceding trading day) or (b) if the Class A Shares are not then traded on a national securities exchange or automated or electronic quotation system, as applicable, the “Appraiser FMV” (as defined in the Exchange Agreement) on such date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21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Non-Stepped Up Tax Basis</w:t>
      </w:r>
      <w:r>
        <w:rPr>
          <w:rFonts w:ascii="Arial" w:cs="Arial" w:eastAsia="Arial" w:hAnsi="Arial"/>
          <w:sz w:val="22"/>
          <w:szCs w:val="22"/>
          <w:color w:val="auto"/>
        </w:rPr>
        <w:t>” means, with respect to any Reference Asset at any time, the Tax basis that such asset would have had at such time if no Basis Adjustments had been made.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w:t>
      </w:r>
      <w:r>
        <w:rPr>
          <w:rFonts w:ascii="Arial" w:cs="Arial" w:eastAsia="Arial" w:hAnsi="Arial"/>
          <w:sz w:val="21"/>
          <w:szCs w:val="21"/>
          <w:color w:val="auto"/>
        </w:rPr>
        <w:t>” means any date on which a payment is required to be made pursuant to this Agreement.</w:t>
      </w:r>
    </w:p>
    <w:p>
      <w:pPr>
        <w:spacing w:after="0" w:line="24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Pre-Exchange Transfer</w:t>
      </w:r>
      <w:r>
        <w:rPr>
          <w:rFonts w:ascii="Arial" w:cs="Arial" w:eastAsia="Arial" w:hAnsi="Arial"/>
          <w:sz w:val="22"/>
          <w:szCs w:val="22"/>
          <w:color w:val="auto"/>
        </w:rPr>
        <w:t>” means any transfer (including upon the death of a Member) or distribution in respect of one or more Units (a) that occurs prior to an Exchange of such Units, and (b) to which Section 743(b) or 734(b) of the Code applies.</w:t>
      </w:r>
    </w:p>
    <w:p>
      <w:pPr>
        <w:spacing w:after="0" w:line="21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Basis Adjustment</w:t>
      </w:r>
      <w:r>
        <w:rPr>
          <w:rFonts w:ascii="Arial" w:cs="Arial" w:eastAsia="Arial" w:hAnsi="Arial"/>
          <w:sz w:val="22"/>
          <w:szCs w:val="22"/>
          <w:color w:val="auto"/>
        </w:rPr>
        <w:t>” means the adjustment to the tax basis of a Reference Asset under Sections 734(b), 743(b), 754 and/or 755 of the Code and, in each case, comparable sections of state and local tax laws, as a result of the Purchase and the payments made pursuant to this Agreement in respect of the Purchase. For the avoidance of doubt, payments made under this Agreement shall not be treated as resulting in a Purchase Basis Adjustment to the extent such payments are treated as Imputed Interest.</w:t>
      </w:r>
    </w:p>
    <w:p>
      <w:pPr>
        <w:spacing w:after="0" w:line="21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Realized Tax Benefit</w:t>
      </w:r>
      <w:r>
        <w:rPr>
          <w:rFonts w:ascii="Arial" w:cs="Arial" w:eastAsia="Arial" w:hAnsi="Arial"/>
          <w:sz w:val="22"/>
          <w:szCs w:val="22"/>
          <w:color w:val="auto"/>
        </w:rPr>
        <w:t>” means, for a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Realized Tax Detriment</w:t>
      </w:r>
      <w:r>
        <w:rPr>
          <w:rFonts w:ascii="Arial" w:cs="Arial" w:eastAsia="Arial" w:hAnsi="Arial"/>
          <w:sz w:val="22"/>
          <w:szCs w:val="22"/>
          <w:color w:val="auto"/>
        </w:rPr>
        <w:t>” means, for a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21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Asset</w:t>
      </w:r>
      <w:r>
        <w:rPr>
          <w:rFonts w:ascii="Arial" w:cs="Arial" w:eastAsia="Arial" w:hAnsi="Arial"/>
          <w:sz w:val="19"/>
          <w:szCs w:val="19"/>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ind w:right="20"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w:t>
      </w:r>
      <w:r>
        <w:rPr>
          <w:rFonts w:ascii="Arial" w:cs="Arial" w:eastAsia="Arial" w:hAnsi="Arial"/>
          <w:sz w:val="22"/>
          <w:szCs w:val="22"/>
          <w:color w:val="auto"/>
        </w:rPr>
        <w:t>” means any of the following: (a) a Basis Schedule, (b) a Tax Benefit Schedule, or (c) the Early Termination Schedule.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Exchange Payment</w:t>
      </w:r>
      <w:r>
        <w:rPr>
          <w:rFonts w:ascii="Arial" w:cs="Arial" w:eastAsia="Arial" w:hAnsi="Arial"/>
          <w:sz w:val="22"/>
          <w:szCs w:val="22"/>
          <w:color w:val="auto"/>
        </w:rPr>
        <w:t>” has the meaning set forth in the Exchange Agreement.</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Subsidiaries</w:t>
      </w:r>
      <w:r>
        <w:rPr>
          <w:rFonts w:ascii="Arial" w:cs="Arial" w:eastAsia="Arial" w:hAnsi="Arial"/>
          <w:sz w:val="22"/>
          <w:szCs w:val="22"/>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21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Stock</w:t>
      </w:r>
      <w:r>
        <w:rPr>
          <w:rFonts w:ascii="Arial" w:cs="Arial" w:eastAsia="Arial" w:hAnsi="Arial"/>
          <w:sz w:val="22"/>
          <w:szCs w:val="22"/>
          <w:color w:val="auto"/>
        </w:rPr>
        <w:t>” means any stock or other equity interest in any subsidiary entity of OpCo that is treated as a C corporation for United States federal income tax purposes.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Attributes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 Payment</w:t>
      </w:r>
      <w:r>
        <w:rPr>
          <w:rFonts w:ascii="Arial" w:cs="Arial" w:eastAsia="Arial" w:hAnsi="Arial"/>
          <w:sz w:val="22"/>
          <w:szCs w:val="22"/>
          <w:color w:val="auto"/>
        </w:rPr>
        <w:t>” has the meaning set forth in Section 3.1(b).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 Schedule</w:t>
      </w:r>
      <w:r>
        <w:rPr>
          <w:rFonts w:ascii="Arial" w:cs="Arial" w:eastAsia="Arial" w:hAnsi="Arial"/>
          <w:sz w:val="22"/>
          <w:szCs w:val="22"/>
          <w:color w:val="auto"/>
        </w:rPr>
        <w:t>” has the meaning set forth in Section 2.2(a).</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21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Taxable Year</w:t>
      </w:r>
      <w:r>
        <w:rPr>
          <w:rFonts w:ascii="Arial" w:cs="Arial" w:eastAsia="Arial" w:hAnsi="Arial"/>
          <w:sz w:val="21"/>
          <w:szCs w:val="21"/>
          <w:color w:val="auto"/>
        </w:rPr>
        <w:t>” means a taxable year of the Corporate Taxpayer as defined in Section 441(b) of the Code or comparable section of state, local or foreign Tax law, as applicable (and, therefore, for the avoidance of doubt, may include a period of less than 12 months for which a Tax Return is made), ending on or after the Closing Date.</w:t>
      </w:r>
    </w:p>
    <w:p>
      <w:pPr>
        <w:spacing w:after="0" w:line="19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any and all United States federal, state, local and foreign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20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shall mean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21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 Disinterested Majority</w:t>
      </w:r>
      <w:r>
        <w:rPr>
          <w:rFonts w:ascii="Arial" w:cs="Arial" w:eastAsia="Arial" w:hAnsi="Arial"/>
          <w:sz w:val="19"/>
          <w:szCs w:val="19"/>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Class A Common Stock is then listed, the Securities Act or the Exchange Act, such rules with respect to the definition of disinterested director shall apply solely with respect to such matter.</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 Party Representative</w:t>
      </w:r>
      <w:r>
        <w:rPr>
          <w:rFonts w:ascii="Arial" w:cs="Arial" w:eastAsia="Arial" w:hAnsi="Arial"/>
          <w:sz w:val="19"/>
          <w:szCs w:val="19"/>
          <w:color w:val="auto"/>
        </w:rPr>
        <w:t>” means, initially, Ghost Media Group, LLC, or, if Ghost Media Group, LLC becomes unable to perform the TRA Party Representative’s responsibilities hereunder or resigns from such position, either (x) a replacement TRA Party Representative selected by Ghost Media Group, LLC, or (y) if Ghost Media Group, LLC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for Class A Shares or other consideration and the Corporate Taxpayer had exercised its right of early termination on the date of the most recent Exchange.</w:t>
      </w:r>
    </w:p>
    <w:p>
      <w:pPr>
        <w:spacing w:after="0" w:line="179"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final, temporary and proposed regulations under the Code promulgated from time to time (including corresponding provisions and succeeding provisions) as in effect for the relevant taxable period.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both"/>
        <w:ind w:left="80" w:firstLine="1231"/>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 Assumptions</w:t>
      </w:r>
      <w:r>
        <w:rPr>
          <w:rFonts w:ascii="Arial" w:cs="Arial" w:eastAsia="Arial" w:hAnsi="Arial"/>
          <w:sz w:val="19"/>
          <w:szCs w:val="19"/>
          <w:color w:val="auto"/>
        </w:rPr>
        <w:t xml:space="preserve">” shall mean, as of an Early Termination Date, the assumptions that in each Taxable Year ending on or after such Early Termination Date, (a) the Corporate Taxpayer will have taxable income sufficient to fully utilize deductions arising from the Tax Attributes (other than any items addressed in clause (b))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(b) any loss carryovers generated by deductions arising from Tax Attributes that are available as of the date of such Early Termination Date, will be used by the Corporate Taxpayer on a pro rata basis from the Early Termination Date through the scheduled expiration date thereof or, if there is no such scheduled expiration date, the tenth anniversary of the generation of such loss carryover, (c) the United States federal, state, local and foreign income tax rates that will be in effect for each such Taxable Year will be those specified for each such Taxable Year by the Code and other law as in effect on the Early Termination Date, except to the extent any change to such Tax rates for such Taxable Year has already been enacted into law as of the Early Termination Date, (d) any non-amortizable, non-depreciable Reference Assets (other than any Subsidiary Stock) will be disposed of on the fifteenth anniversary of the Purchase or Exchange which gave rise to the applicable Basis Adjustment and any short-term investments will be disposed of 12 months following the Early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 Change of Control, such non-amortizable, non-depreciable assets shall be deemed disposed of at the time of sale of the relevant asset (if earlier than such fifteenth anniversary), (e) any Subsidiary Stock will never be disposed of and (f) if, at the Early Termination Date, there are Units that have not been Exchanged, then each such Unit is Exchanged in a fully taxable transaction for the Market Value of the Class A Shares that would be transferred if the Exchange occurred on the Early Termination Date.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544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000" w:type="dxa"/>
            <w:vAlign w:val="bottom"/>
            <w:tcBorders>
              <w:top w:val="single" w:sz="8" w:color="auto"/>
            </w:tcBorders>
          </w:tcPr>
          <w:p>
            <w:pPr>
              <w:spacing w:after="0"/>
              <w:rPr>
                <w:sz w:val="18"/>
                <w:szCs w:val="18"/>
                <w:color w:val="auto"/>
              </w:rPr>
            </w:pPr>
          </w:p>
        </w:tc>
        <w:tc>
          <w:tcPr>
            <w:tcW w:w="5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Recitals</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Amended Schedule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2.3(b)</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Recitals</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Recitals</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Corporate Taxpayer</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Recitals</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Effective Date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4.2</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Notice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4.2</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Schedule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4.2</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Payment</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4.3(b)</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Basis Schedule</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2.1</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Expert</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7.9</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Joinder Requirement</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7.6(a)</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Liquidity Exceptions</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4.1(b)</w:t>
            </w:r>
          </w:p>
        </w:tc>
      </w:tr>
      <w:tr>
        <w:trPr>
          <w:trHeight w:val="216"/>
        </w:trPr>
        <w:tc>
          <w:tcPr>
            <w:tcW w:w="4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Mandatory Assignment</w:t>
            </w:r>
          </w:p>
        </w:tc>
        <w:tc>
          <w:tcPr>
            <w:tcW w:w="5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Section 7.6(c)</w:t>
            </w:r>
          </w:p>
        </w:tc>
      </w:tr>
      <w:tr>
        <w:trPr>
          <w:trHeight w:val="582"/>
        </w:trPr>
        <w:tc>
          <w:tcPr>
            <w:tcW w:w="4000" w:type="dxa"/>
            <w:vAlign w:val="bottom"/>
          </w:tcPr>
          <w:p>
            <w:pPr>
              <w:spacing w:after="0"/>
              <w:rPr>
                <w:sz w:val="24"/>
                <w:szCs w:val="24"/>
                <w:color w:val="auto"/>
              </w:rPr>
            </w:pPr>
          </w:p>
        </w:tc>
        <w:tc>
          <w:tcPr>
            <w:tcW w:w="5440" w:type="dxa"/>
            <w:vAlign w:val="bottom"/>
          </w:tcPr>
          <w:p>
            <w:pPr>
              <w:jc w:val="right"/>
              <w:ind w:right="37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6"/>
        </w:trPr>
        <w:tc>
          <w:tcPr>
            <w:tcW w:w="400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Material Objection Notice</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4.2</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Merger Agreement</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Recitals</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Objection Notice</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2.3(a)</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Dispute</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7.9</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Procedures</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2.3(a)</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Senior Obligations</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5.1</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 Benefit Payment</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3.1(b)</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 Benefit Schedule</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Section 2.2</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 Party</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Recitals</w:t>
            </w:r>
          </w:p>
        </w:tc>
      </w:tr>
      <w:tr>
        <w:trPr>
          <w:trHeight w:val="216"/>
        </w:trPr>
        <w:tc>
          <w:tcPr>
            <w:tcW w:w="572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55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Recitals</w:t>
            </w:r>
          </w:p>
        </w:tc>
      </w:tr>
    </w:tbl>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DETERMINATION OF CERTAIN REALIZED TAX BENEFIT</w:t>
      </w:r>
    </w:p>
    <w:p>
      <w:pPr>
        <w:spacing w:after="0" w:line="23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Basis Adjustment</w:t>
      </w:r>
      <w:r>
        <w:rPr>
          <w:rFonts w:ascii="Arial" w:cs="Arial" w:eastAsia="Arial" w:hAnsi="Arial"/>
          <w:sz w:val="19"/>
          <w:szCs w:val="19"/>
          <w:color w:val="auto"/>
        </w:rPr>
        <w:t>. Within one hundred twenty (120) calendar days after the filing of the United States federal income tax return of the Corporate Taxpayer for the Taxable Year that includes the Closing Date and each Taxable Year in which an Exchange has been effected, the Corporate Taxpayer shall deliver to each TRA Party who received (or is deemed to receive) cash or Class A Shares in such Taxable Year pursuant to the Purchase or an Exchange, as applicable, a schedule (the “</w:t>
      </w:r>
      <w:r>
        <w:rPr>
          <w:rFonts w:ascii="Arial" w:cs="Arial" w:eastAsia="Arial" w:hAnsi="Arial"/>
          <w:sz w:val="19"/>
          <w:szCs w:val="19"/>
          <w:u w:val="single" w:color="auto"/>
          <w:color w:val="auto"/>
        </w:rPr>
        <w:t>Basis Schedule</w:t>
      </w:r>
      <w:r>
        <w:rPr>
          <w:rFonts w:ascii="Arial" w:cs="Arial" w:eastAsia="Arial" w:hAnsi="Arial"/>
          <w:sz w:val="19"/>
          <w:szCs w:val="19"/>
          <w:color w:val="auto"/>
        </w:rPr>
        <w:t>”) that shows, in reasonable detail necessary to perform the calculations required by this Agreement, (a) the actual Tax basis and the Non-Stepped Up Tax Basis of the Reference Assets as of the Closing Date and each applicable Exchange Date, (b) the Exchange Basis Adjustment with respect to the Reference Assets Attributable to such TRA Party as a result of the Exchanges effected in such Taxable Year and prior Taxable Years by such TRA Party, calculated in the aggregate, (c) the Purchase Basis Adjustment Attributable to such TRA Party for the Taxable Year of the Closing, (d) the period (or periods) over which the Reference Assets are amortizable and/or depreciable and (e) the period (or periods) over which each Basis Adjustment in respect of such TRA Party is amortizable and/or depreciable. Each Basis Schedule will become final as provided in Section 2.3(a) and may be amended as provided in Section 2.3(b) (subject to the procedures set forth in Section 2.3(b)).</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Tax Benefit Schedule</w:t>
      </w:r>
      <w:r>
        <w:rPr>
          <w:rFonts w:ascii="Arial" w:cs="Arial" w:eastAsia="Arial" w:hAnsi="Arial"/>
          <w:sz w:val="22"/>
          <w:szCs w:val="22"/>
          <w:color w:val="auto"/>
        </w:rPr>
        <w:t>.</w:t>
      </w:r>
    </w:p>
    <w:p>
      <w:pPr>
        <w:spacing w:after="0" w:line="233" w:lineRule="exact"/>
        <w:rPr>
          <w:sz w:val="20"/>
          <w:szCs w:val="20"/>
          <w:color w:val="auto"/>
        </w:rPr>
      </w:pPr>
    </w:p>
    <w:p>
      <w:pPr>
        <w:jc w:val="both"/>
        <w:ind w:left="80" w:firstLine="1224"/>
        <w:spacing w:after="0" w:line="246" w:lineRule="auto"/>
        <w:tabs>
          <w:tab w:leader="none" w:pos="1605"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Tax Benefit Schedule</w:t>
      </w:r>
      <w:r>
        <w:rPr>
          <w:rFonts w:ascii="Arial" w:cs="Arial" w:eastAsia="Arial" w:hAnsi="Arial"/>
          <w:sz w:val="21"/>
          <w:szCs w:val="21"/>
          <w:color w:val="auto"/>
        </w:rPr>
        <w:t>. Within one hundred and twenty (120) calendar days after the filing of the United States federal income tax return of the Corporate Taxpayer for each Taxable Year, the Corporate Taxpayer shall provide to each TRA Party who has received (or is deemed to receive) cash or Class A Shares pursuant to the Purchase or an Exchange, as applicable, a schedule showing, in reasonable detail, the calculation of the Tax Benefit Payment, if any, any Realized Tax Benefit and any Realized Tax Detriment, as applicable, Attributable to such TRA Party for such Taxable Year (a “</w:t>
      </w:r>
      <w:r>
        <w:rPr>
          <w:rFonts w:ascii="Arial" w:cs="Arial" w:eastAsia="Arial" w:hAnsi="Arial"/>
          <w:sz w:val="21"/>
          <w:szCs w:val="21"/>
          <w:u w:val="single" w:color="auto"/>
          <w:color w:val="auto"/>
        </w:rPr>
        <w:t>Tax Benefit Schedule</w:t>
      </w:r>
      <w:r>
        <w:rPr>
          <w:rFonts w:ascii="Arial" w:cs="Arial" w:eastAsia="Arial" w:hAnsi="Arial"/>
          <w:sz w:val="21"/>
          <w:szCs w:val="21"/>
          <w:color w:val="auto"/>
        </w:rPr>
        <w:t>”). Each Tax Benefit Schedule will become final as provided in Section 2.3(a) and may be amended as provided in Section 2.3(b) (subject to the procedures set forth in Section 2.3(b)).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jc w:val="both"/>
        <w:ind w:left="80" w:firstLine="1224"/>
        <w:spacing w:after="0" w:line="269" w:lineRule="auto"/>
        <w:tabs>
          <w:tab w:leader="none" w:pos="161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Applicable Principles</w:t>
      </w:r>
      <w:r>
        <w:rPr>
          <w:rFonts w:ascii="Arial" w:cs="Arial" w:eastAsia="Arial" w:hAnsi="Arial"/>
          <w:sz w:val="19"/>
          <w:szCs w:val="19"/>
          <w:color w:val="auto"/>
        </w:rPr>
        <w:t>. Subject to Section 3.3(a), the Realized Tax Benefit or Realized Tax Detriment for each Taxable Year is intended to measure the decrease or increase in the Actual Tax Liability for such Taxable Year attributable to the Tax Attributes, determined using a “with and without” methodology.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Purchase or Exchange. Carryovers or carrybacks of any Tax item attributable to the Tax Attributes shall be considered to be subject to the rules of the Code and the Treasury Regulations or the appropriate provisions of U.S. state and local and foreign income and franchise Tax law, as applicable,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(i) (A) all Tax Benefit Payments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sale of interests in OpCo at the Closing that has the effect of creating Purchase Basis Adjustments, and (B) all Tax Benefit Payments in respect of an Exchange are intended to be treated and shall be reported for all purposes, including Tax purposes, as additional contingent consideration to the applicable TRA Party for such Exchange that has the effect of creating Exchange Basis Adjustments, in each case, to Reference Assets for the Corporate Taxpayer in the year of payment, (ii) as a result, such additional Basis Adjustments will be incorporated into the calculation for the Taxable Year of the applicable payment and into the calculations for subsequent Taxable Years, as appropriate, and (iii) the Actual Tax Liability shall take into account the deduction of the portion of the Tax Benefit Payment that must be accounted for as Imputed Interest under applicable law and (iv)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Procedures, Amendments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69" w:lineRule="auto"/>
        <w:tabs>
          <w:tab w:leader="none" w:pos="161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data and calculations that were relevant for the preparation of the Schedule, (y) indicate which accounting firm, if any, assisted with the preparation of the Schedule, and (z) allow the TRA Party Representative and its advisors reasonable access to the appropriate representatives at 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a TRA Party,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the TRA Party Representative (i) within thirty (30) calendar days from such date provides the Corporate Taxpayer with notice of an objection to such Schedule (“</w:t>
      </w:r>
      <w:r>
        <w:rPr>
          <w:rFonts w:ascii="Arial" w:cs="Arial" w:eastAsia="Arial" w:hAnsi="Arial"/>
          <w:sz w:val="19"/>
          <w:szCs w:val="19"/>
          <w:u w:val="single" w:color="auto"/>
          <w:color w:val="auto"/>
        </w:rPr>
        <w:t>Objection Notice</w:t>
      </w:r>
      <w:r>
        <w:rPr>
          <w:rFonts w:ascii="Arial" w:cs="Arial" w:eastAsia="Arial" w:hAnsi="Arial"/>
          <w:sz w:val="19"/>
          <w:szCs w:val="19"/>
          <w:color w:val="auto"/>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Arial" w:cs="Arial" w:eastAsia="Arial" w:hAnsi="Arial"/>
          <w:sz w:val="19"/>
          <w:szCs w:val="19"/>
          <w:u w:val="single" w:color="auto"/>
          <w:color w:val="auto"/>
        </w:rPr>
        <w:t>Reconciliation Procedures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both"/>
        <w:ind w:firstLine="1304"/>
        <w:spacing w:after="0" w:line="271" w:lineRule="auto"/>
        <w:tabs>
          <w:tab w:leader="none" w:pos="1602"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Amended Schedule</w:t>
      </w:r>
      <w:r>
        <w:rPr>
          <w:rFonts w:ascii="Arial" w:cs="Arial" w:eastAsia="Arial" w:hAnsi="Arial"/>
          <w:sz w:val="19"/>
          <w:szCs w:val="19"/>
          <w:color w:val="auto"/>
        </w:rPr>
        <w:t>. The applicable Schedule for any Taxable Year may be amended from time to time by the Corporate Taxpayer (i) in connection with a Determination affecting such Schedule, (ii) to correct inaccuracies in the Schedule, including those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Arial" w:cs="Arial" w:eastAsia="Arial" w:hAnsi="Arial"/>
          <w:sz w:val="19"/>
          <w:szCs w:val="19"/>
          <w:u w:val="single" w:color="auto"/>
          <w:color w:val="auto"/>
        </w:rPr>
        <w:t>Amended Schedule</w:t>
      </w:r>
      <w:r>
        <w:rPr>
          <w:rFonts w:ascii="Arial" w:cs="Arial" w:eastAsia="Arial" w:hAnsi="Arial"/>
          <w:sz w:val="19"/>
          <w:szCs w:val="19"/>
          <w:color w:val="auto"/>
        </w:rPr>
        <w:t>”). The Corporate Taxpayer shall provide an Amended Schedule to each TRA Party within thirty (30) calendar days of the occurrence of an event referenced in clauses (i) through (vi) of the preceding sentence.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BENEFIT PAYMENTS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Payments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1" w:lineRule="auto"/>
        <w:tabs>
          <w:tab w:leader="none" w:pos="159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Purchase or Exchange (other than amounts accounted for as interest under the Code) shall not exceed, as specified by a TRA Party, 50% of the fair market value of the Class A Shares, or cash received in the relevant Purchase or Exchange. Without limiting the Corporate Taxpayer’s ability to make offsets against Tax Benefit Payments to the extent permitted by Section 3.4,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187" w:lineRule="exact"/>
        <w:rPr>
          <w:rFonts w:ascii="Arial" w:cs="Arial" w:eastAsia="Arial" w:hAnsi="Arial"/>
          <w:sz w:val="19"/>
          <w:szCs w:val="19"/>
          <w:color w:val="auto"/>
        </w:rPr>
      </w:pPr>
    </w:p>
    <w:p>
      <w:pPr>
        <w:jc w:val="both"/>
        <w:ind w:firstLine="1304"/>
        <w:spacing w:after="0" w:line="270" w:lineRule="auto"/>
        <w:tabs>
          <w:tab w:leader="none" w:pos="1609"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Tax Benefit Payment</w:t>
      </w:r>
      <w:r>
        <w:rPr>
          <w:rFonts w:ascii="Arial" w:cs="Arial" w:eastAsia="Arial" w:hAnsi="Arial"/>
          <w:sz w:val="19"/>
          <w:szCs w:val="19"/>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Purchase or Exchange, unless otherwise required by law. Subject to Section 3.3(a), the “</w:t>
      </w:r>
      <w:r>
        <w:rPr>
          <w:rFonts w:ascii="Arial" w:cs="Arial" w:eastAsia="Arial" w:hAnsi="Arial"/>
          <w:sz w:val="19"/>
          <w:szCs w:val="19"/>
          <w:u w:val="single" w:color="auto"/>
          <w:color w:val="auto"/>
        </w:rPr>
        <w:t>Net Tax Benefit</w:t>
      </w:r>
      <w:r>
        <w:rPr>
          <w:rFonts w:ascii="Arial" w:cs="Arial" w:eastAsia="Arial" w:hAnsi="Arial"/>
          <w:sz w:val="19"/>
          <w:szCs w:val="19"/>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Arial" w:cs="Arial" w:eastAsia="Arial" w:hAnsi="Arial"/>
          <w:sz w:val="19"/>
          <w:szCs w:val="19"/>
          <w:u w:val="single" w:color="auto"/>
          <w:color w:val="auto"/>
        </w:rPr>
        <w:t>Interest Amount</w:t>
      </w:r>
      <w:r>
        <w:rPr>
          <w:rFonts w:ascii="Arial" w:cs="Arial" w:eastAsia="Arial" w:hAnsi="Arial"/>
          <w:sz w:val="19"/>
          <w:szCs w:val="19"/>
          <w:color w:val="auto"/>
        </w:rPr>
        <w:t>” shall equal the interest on the Net Tax Benefit calculated at the Agreed Rate from the due date (without extensions) for filing the Corporate Taxpayer Return with respect to Taxes for such Taxable Year until the payment date under Section 3.1(a). The Net Tax Benefit and the Interest Amount shall be determined separately with respect to each Purchase or Exchange, on a Unit by Unit basis by reference to the resulting Basis Adjustment to the Corporate Taxpayer. Notwithstanding the foregoing, for each Taxable Year ending on or after the date of a Change of Control that occurs after the Closing Date, all Tax Benefit Payments, whether paid with respect to the Units that were Exchanged (i) prior to the date of such Change of Control or (ii) on or after the date of such Change of Control, shall be calculated by utilizing Valuation Assumptions (a), (c) and (d), substituting in each case the terms “the closing date of a Change of Control” for an “Early Termination Date.”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4" w:name="page95"/>
    <w:bookmarkEnd w:id="94"/>
    <w:p>
      <w:pPr>
        <w:jc w:val="both"/>
        <w:ind w:firstLine="1296"/>
        <w:spacing w:after="0" w:line="238"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No Duplicative Payments</w:t>
      </w:r>
      <w:r>
        <w:rPr>
          <w:rFonts w:ascii="Arial" w:cs="Arial" w:eastAsia="Arial" w:hAnsi="Arial"/>
          <w:sz w:val="22"/>
          <w:szCs w:val="22"/>
          <w:color w:val="auto"/>
        </w:rPr>
        <w:t>. It is intended that the provisions of this Agreement will result in the payments specified in Section 3.1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Pro Rata Payments; Coordination of Benefits With Other Tax Receivable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48" w:lineRule="auto"/>
        <w:tabs>
          <w:tab w:leader="none" w:pos="1617"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203" w:lineRule="exact"/>
        <w:rPr>
          <w:rFonts w:ascii="Arial" w:cs="Arial" w:eastAsia="Arial" w:hAnsi="Arial"/>
          <w:sz w:val="21"/>
          <w:szCs w:val="21"/>
          <w:color w:val="auto"/>
        </w:rPr>
      </w:pPr>
    </w:p>
    <w:p>
      <w:pPr>
        <w:jc w:val="both"/>
        <w:ind w:firstLine="1304"/>
        <w:spacing w:after="0" w:line="287" w:lineRule="auto"/>
        <w:tabs>
          <w:tab w:leader="none" w:pos="16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69" w:lineRule="exact"/>
        <w:rPr>
          <w:rFonts w:ascii="Arial" w:cs="Arial" w:eastAsia="Arial" w:hAnsi="Arial"/>
          <w:sz w:val="19"/>
          <w:szCs w:val="19"/>
          <w:color w:val="auto"/>
        </w:rPr>
      </w:pPr>
    </w:p>
    <w:p>
      <w:pPr>
        <w:jc w:val="both"/>
        <w:ind w:firstLine="1304"/>
        <w:spacing w:after="0" w:line="238" w:lineRule="auto"/>
        <w:tabs>
          <w:tab w:leader="none" w:pos="159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Arial" w:cs="Arial" w:eastAsia="Arial" w:hAnsi="Arial"/>
          <w:sz w:val="22"/>
          <w:szCs w:val="22"/>
          <w:u w:val="single" w:color="auto"/>
          <w:color w:val="auto"/>
        </w:rPr>
        <w:t>Other Tax Receivable Obligations</w:t>
      </w:r>
      <w:r>
        <w:rPr>
          <w:rFonts w:ascii="Arial" w:cs="Arial" w:eastAsia="Arial" w:hAnsi="Arial"/>
          <w:sz w:val="22"/>
          <w:szCs w:val="22"/>
          <w:color w:val="auto"/>
        </w:rPr>
        <w:t>”). The effect of any other similar agreement shall not be taken into account in respect of any calculations made hereunder.</w:t>
      </w:r>
    </w:p>
    <w:p>
      <w:pPr>
        <w:spacing w:after="0" w:line="21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Overpayments</w:t>
      </w:r>
      <w:r>
        <w:rPr>
          <w:rFonts w:ascii="Arial" w:cs="Arial" w:eastAsia="Arial" w:hAnsi="Arial"/>
          <w:sz w:val="22"/>
          <w:szCs w:val="22"/>
          <w:color w:val="auto"/>
        </w:rPr>
        <w:t>. To the extent the Corporate Taxpayer makes a payment to a TRA Party in respect of a particular Taxable Year under Section 3.1(a) in an amount in excess of the amount of such payment that should have been made to such TRA Party in respect of such Taxable Year (taking into account Section 3.3) under the terms of this Agreement, then such TRA Party shall not receive further payments under Section 3.1(a) until such TRA Party has foregone an amount of payments equal to such excess.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Early Termination and Breach of Agreement</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2" w:lineRule="auto"/>
        <w:tabs>
          <w:tab w:leader="none" w:pos="159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each TRA Party the Early Termination Payment in respect of such TRA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Agreement shall only terminate upon the receipt of the Early Termination Payment by all TRA Parties;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both"/>
        <w:ind w:firstLine="1304"/>
        <w:spacing w:after="0" w:line="277" w:lineRule="auto"/>
        <w:tabs>
          <w:tab w:leader="none" w:pos="1626"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the event that the Corporate Taxpayer (1) breaches any of its material obligations under this Agreement, whether as a result of failure to make any payment when due, failure to honor any other material obligation required hereunder or</w:t>
      </w: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(2)(A) the Corporate Taxpayer commences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days, all obligations hereunder shall be accelerated and such obligations shall be calculated as if an Early Termination Notice had been delivered on the date of such breach and shall include, but not be limited to, (i) the Early Termination Payments calculated as if an Early Termination Notice had been delivered on the date of a breach,</w:t>
      </w:r>
    </w:p>
    <w:p>
      <w:pPr>
        <w:spacing w:after="0" w:line="8" w:lineRule="exact"/>
        <w:rPr>
          <w:rFonts w:ascii="Arial" w:cs="Arial" w:eastAsia="Arial" w:hAnsi="Arial"/>
          <w:sz w:val="19"/>
          <w:szCs w:val="19"/>
          <w:color w:val="auto"/>
        </w:rPr>
      </w:pPr>
    </w:p>
    <w:p>
      <w:pPr>
        <w:jc w:val="both"/>
        <w:ind w:firstLine="8"/>
        <w:spacing w:after="0" w:line="269" w:lineRule="auto"/>
        <w:tabs>
          <w:tab w:leader="none" w:pos="338"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any Tax Benefit Payment in respect of a TRA Party agreed to by the Corporate Taxpayer and such TRA Party as due and payable but unpaid as of the date of a breach, and (iii) any Tax Benefit Payment in respect of any TRA Party due for the Taxable Year ending with or including the date of a breach; </w:t>
      </w:r>
      <w:r>
        <w:rPr>
          <w:rFonts w:ascii="Arial" w:cs="Arial" w:eastAsia="Arial" w:hAnsi="Arial"/>
          <w:sz w:val="19"/>
          <w:szCs w:val="19"/>
          <w:u w:val="single" w:color="auto"/>
          <w:color w:val="auto"/>
        </w:rPr>
        <w:t>provided</w:t>
      </w:r>
      <w:r>
        <w:rPr>
          <w:rFonts w:ascii="Arial" w:cs="Arial" w:eastAsia="Arial" w:hAnsi="Arial"/>
          <w:sz w:val="19"/>
          <w:szCs w:val="19"/>
          <w:color w:val="auto"/>
        </w:rPr>
        <w:t>, that procedures similar to the procedures of Section 4.2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(i), (ii) and (iii)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this Agreement if the Corporate Taxpayer fails to make any Tax Benefit Payment when due to the extent that the Corporate Taxpayer (x) has insufficient funds, or cannot make such payment as a result of obligations imposed in connection with any Senior Obligations, and cannot take commercially reasonable actions to obtain sufficient funds, to make such payment or (y) would become insolvent as a result of making such payment (in each case, as determined by the Board in good faith) (clauses (x) and (y) together, the “</w:t>
      </w:r>
      <w:r>
        <w:rPr>
          <w:rFonts w:ascii="Arial" w:cs="Arial" w:eastAsia="Arial" w:hAnsi="Arial"/>
          <w:sz w:val="19"/>
          <w:szCs w:val="19"/>
          <w:u w:val="single" w:color="auto"/>
          <w:color w:val="auto"/>
        </w:rPr>
        <w:t>Liquidity Exceptions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interest provisions of Section 5.2 shall apply to such late payment,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4"/>
        <w:spacing w:after="0" w:line="272" w:lineRule="auto"/>
        <w:tabs>
          <w:tab w:leader="none" w:pos="1610" w:val="left"/>
        </w:tabs>
        <w:numPr>
          <w:ilvl w:val="1"/>
          <w:numId w:val="84"/>
        </w:numPr>
        <w:rPr>
          <w:rFonts w:ascii="Arial" w:cs="Arial" w:eastAsia="Arial" w:hAnsi="Arial"/>
          <w:sz w:val="19"/>
          <w:szCs w:val="19"/>
          <w:color w:val="auto"/>
        </w:rPr>
      </w:pPr>
      <w:r>
        <w:rPr>
          <w:rFonts w:ascii="Arial" w:cs="Arial" w:eastAsia="Arial" w:hAnsi="Arial"/>
          <w:sz w:val="19"/>
          <w:szCs w:val="19"/>
          <w:color w:val="auto"/>
        </w:rPr>
        <w:t>In the event of a Change of Control, the Corporate Taxpayer shall provide written notice of such Change of Control to the TRA Parties in accordance with the procedures set forth in Section 2.7 of the Exchange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(1) the Early Termination Payments calculated with respect to such TRA Parties as if the Early Termination Date is the date of such Change of Control, (2) any Tax Benefit Payment due and payable and that remains unpaid as of the date of such Change of Control, and (3) any Tax Benefit Payment in respect of any TRA Party due for the Taxable Year ending with or including the date of such Change of Control. In the event of a Change of Control, any Early Termination Payment described in the preceding sentence shall be calculated utilizing the Valuation Assumptions (a), (b), (c), substituting in each case and in the lead-in to such definition, the terms “date of a Change of Control” for an “Early Termination Date.” Any Exchanges with respect to which a payment has been made under this Section 4.1(c) shall be excluded in calculating any future Tax Benefit Payments, or Early Termination Payments, and this Agreement shall have no further application to such Exchanges.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both"/>
        <w:ind w:firstLine="1296"/>
        <w:spacing w:after="0" w:line="244"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Early Termination Notice</w:t>
      </w:r>
      <w:r>
        <w:rPr>
          <w:rFonts w:ascii="Arial" w:cs="Arial" w:eastAsia="Arial" w:hAnsi="Arial"/>
          <w:sz w:val="21"/>
          <w:szCs w:val="21"/>
          <w:color w:val="auto"/>
        </w:rPr>
        <w:t>. If the Corporate Taxpayer chooses to exercise its right of early termination in accordance with Section 4.1(a) above, the Corporate Taxpayer shall deliver to each TRA Party a notice (“</w:t>
      </w:r>
      <w:r>
        <w:rPr>
          <w:rFonts w:ascii="Arial" w:cs="Arial" w:eastAsia="Arial" w:hAnsi="Arial"/>
          <w:sz w:val="21"/>
          <w:szCs w:val="21"/>
          <w:u w:val="single" w:color="auto"/>
          <w:color w:val="auto"/>
        </w:rPr>
        <w:t>Early 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and a schedule (the “</w:t>
      </w:r>
      <w:r>
        <w:rPr>
          <w:rFonts w:ascii="Arial" w:cs="Arial" w:eastAsia="Arial" w:hAnsi="Arial"/>
          <w:sz w:val="21"/>
          <w:szCs w:val="21"/>
          <w:u w:val="single" w:color="auto"/>
          <w:color w:val="auto"/>
        </w:rPr>
        <w:t>Early Termination Schedule</w:t>
      </w:r>
      <w:r>
        <w:rPr>
          <w:rFonts w:ascii="Arial" w:cs="Arial" w:eastAsia="Arial" w:hAnsi="Arial"/>
          <w:sz w:val="21"/>
          <w:szCs w:val="21"/>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the TRA Party Representative (a) provides the Corporate Taxpayer with notice of a material objection to such Schedule made in good faith (“</w:t>
      </w:r>
      <w:r>
        <w:rPr>
          <w:rFonts w:ascii="Arial" w:cs="Arial" w:eastAsia="Arial" w:hAnsi="Arial"/>
          <w:sz w:val="21"/>
          <w:szCs w:val="21"/>
          <w:u w:val="single" w:color="auto"/>
          <w:color w:val="auto"/>
        </w:rPr>
        <w:t>Material Objection Notice</w:t>
      </w:r>
      <w:r>
        <w:rPr>
          <w:rFonts w:ascii="Arial" w:cs="Arial" w:eastAsia="Arial" w:hAnsi="Arial"/>
          <w:sz w:val="21"/>
          <w:szCs w:val="21"/>
          <w:color w:val="auto"/>
        </w:rPr>
        <w:t>”) or (b) provides a written waiver of such right of a Material Objection Notice, in which case such Schedule will become binding on the date the waiver is received by the Corporate Taxpayer (the “</w:t>
      </w:r>
      <w:r>
        <w:rPr>
          <w:rFonts w:ascii="Arial" w:cs="Arial" w:eastAsia="Arial" w:hAnsi="Arial"/>
          <w:sz w:val="21"/>
          <w:szCs w:val="21"/>
          <w:u w:val="single" w:color="auto"/>
          <w:color w:val="auto"/>
        </w:rPr>
        <w:t>Early Termination Effective Date</w:t>
      </w:r>
      <w:r>
        <w:rPr>
          <w:rFonts w:ascii="Arial" w:cs="Arial" w:eastAsia="Arial" w:hAnsi="Arial"/>
          <w:sz w:val="21"/>
          <w:szCs w:val="21"/>
          <w:color w:val="auto"/>
        </w:rPr>
        <w:t>”).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shall become binding ten (10) calendar days after the conclusion of the Reconciliation Procedures.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Payment upon Early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38" w:lineRule="auto"/>
        <w:tabs>
          <w:tab w:leader="none" w:pos="15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Within three (3) Business Days after the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w:t>
      </w:r>
    </w:p>
    <w:p>
      <w:pPr>
        <w:spacing w:after="0" w:line="211" w:lineRule="exact"/>
        <w:rPr>
          <w:rFonts w:ascii="Arial" w:cs="Arial" w:eastAsia="Arial" w:hAnsi="Arial"/>
          <w:sz w:val="22"/>
          <w:szCs w:val="22"/>
          <w:color w:val="auto"/>
        </w:rPr>
      </w:pPr>
    </w:p>
    <w:p>
      <w:pPr>
        <w:jc w:val="both"/>
        <w:ind w:firstLine="1304"/>
        <w:spacing w:after="0" w:line="273" w:lineRule="auto"/>
        <w:tabs>
          <w:tab w:leader="none" w:pos="1602" w:val="left"/>
        </w:tabs>
        <w:numPr>
          <w:ilvl w:val="1"/>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Termination Payment</w:t>
      </w:r>
      <w:r>
        <w:rPr>
          <w:rFonts w:ascii="Arial" w:cs="Arial" w:eastAsia="Arial" w:hAnsi="Arial"/>
          <w:sz w:val="19"/>
          <w:szCs w:val="19"/>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w:t>
      </w:r>
    </w:p>
    <w:p>
      <w:pPr>
        <w:spacing w:after="0" w:line="1" w:lineRule="exact"/>
        <w:rPr>
          <w:rFonts w:ascii="Arial" w:cs="Arial" w:eastAsia="Arial" w:hAnsi="Arial"/>
          <w:sz w:val="19"/>
          <w:szCs w:val="19"/>
          <w:color w:val="auto"/>
        </w:rPr>
      </w:pPr>
    </w:p>
    <w:p>
      <w:pPr>
        <w:jc w:val="both"/>
        <w:ind w:firstLine="8"/>
        <w:spacing w:after="0" w:line="277" w:lineRule="auto"/>
        <w:tabs>
          <w:tab w:leader="none" w:pos="258"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Valuation Assumptions in respect of such TRA Party are applied and (ii) for each Taxable Year, the Tax Benefit Payment is paid on the due date, assuming an extension, of the U.S. federal income tax return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SUBORDINATION AND LATE PAYMENTS</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Subordination</w:t>
      </w:r>
      <w:r>
        <w:rPr>
          <w:rFonts w:ascii="Arial" w:cs="Arial" w:eastAsia="Arial" w:hAnsi="Arial"/>
          <w:sz w:val="19"/>
          <w:szCs w:val="19"/>
          <w:color w:val="auto"/>
        </w:rPr>
        <w:t>. Notwithstanding any other provision of this Agreement to the contrary, any Tax Benefit Payment or Early Termination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9"/>
          <w:szCs w:val="19"/>
          <w:u w:val="single" w:color="auto"/>
          <w:color w:val="auto"/>
        </w:rPr>
        <w:t>Senior Obligations</w:t>
      </w:r>
      <w:r>
        <w:rPr>
          <w:rFonts w:ascii="Arial" w:cs="Arial" w:eastAsia="Arial" w:hAnsi="Arial"/>
          <w:sz w:val="19"/>
          <w:szCs w:val="19"/>
          <w:color w:val="auto"/>
        </w:rPr>
        <w:t xml:space="preserve">”), shall rank senior in right of payment to any principal, interest or other amounts due and payable in respect of any Other Tax Receivable Obligation, and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and Section 5.2 shall apply to such payment. To the extent the Corporate Taxpayer or its Subsidiaries (including OpCo and its Subsidiaries) incur, create or assume any Senior Obligations after the date hereof, the Corporate Taxpayer shall, and shall cause its Subsidiaries to, use commercially reasonable efforts to ensure that such indebtedness permits the amounts payable hereunder to be paid.</w:t>
      </w: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Late Payments by the Corporate Taxpayer</w:t>
      </w:r>
      <w:r>
        <w:rPr>
          <w:rFonts w:ascii="Arial" w:cs="Arial" w:eastAsia="Arial" w:hAnsi="Arial"/>
          <w:sz w:val="19"/>
          <w:szCs w:val="19"/>
          <w:color w:val="auto"/>
        </w:rPr>
        <w:t>. The amount of all or 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due and payable.</w:t>
      </w:r>
    </w:p>
    <w:p>
      <w:pPr>
        <w:sectPr>
          <w:pgSz w:w="11900" w:h="16838" w:orient="portrait"/>
          <w:cols w:equalWidth="0" w:num="1">
            <w:col w:w="11240"/>
          </w:cols>
          <w:pgMar w:left="320" w:top="118"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ARTICLE VI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 DISPUTES; CONSISTENCY; COOPERATION</w:t>
      </w:r>
    </w:p>
    <w:p>
      <w:pPr>
        <w:spacing w:after="0" w:line="23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Participation in the Corporate Taxpayer’s and OpCo’s Tax Matters</w:t>
      </w:r>
      <w:r>
        <w:rPr>
          <w:rFonts w:ascii="Arial" w:cs="Arial" w:eastAsia="Arial" w:hAnsi="Arial"/>
          <w:sz w:val="19"/>
          <w:szCs w:val="19"/>
          <w:color w:val="auto"/>
        </w:rPr>
        <w:t xml:space="preserve">. Except as otherwise provided in this Agreement, the Merger Agreement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Corporate Taxpayer and OpCo shall not be required to take any action that is inconsistent with any provision of the LLC Agreement.</w:t>
      </w:r>
    </w:p>
    <w:p>
      <w:pPr>
        <w:spacing w:after="0" w:line="18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Consistency</w:t>
      </w:r>
      <w:r>
        <w:rPr>
          <w:rFonts w:ascii="Arial" w:cs="Arial" w:eastAsia="Arial" w:hAnsi="Arial"/>
          <w:sz w:val="21"/>
          <w:szCs w:val="21"/>
          <w:color w:val="auto"/>
        </w:rPr>
        <w:t>. The Corporate Taxpayer and the TRA Parties agree to report and cause to be reported for all purposes, including federal, state, local and foreign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Cooperation</w:t>
      </w:r>
      <w:r>
        <w:rPr>
          <w:rFonts w:ascii="Arial" w:cs="Arial" w:eastAsia="Arial" w:hAnsi="Arial"/>
          <w:sz w:val="19"/>
          <w:szCs w:val="19"/>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3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Corporate Taxpayer,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41 Discovery,</w:t>
      </w:r>
    </w:p>
    <w:p>
      <w:pPr>
        <w:ind w:left="1300"/>
        <w:spacing w:after="0" w:line="238" w:lineRule="auto"/>
        <w:rPr>
          <w:sz w:val="20"/>
          <w:szCs w:val="20"/>
          <w:color w:val="auto"/>
        </w:rPr>
      </w:pPr>
      <w:r>
        <w:rPr>
          <w:rFonts w:ascii="Arial" w:cs="Arial" w:eastAsia="Arial" w:hAnsi="Arial"/>
          <w:sz w:val="22"/>
          <w:szCs w:val="22"/>
          <w:color w:val="auto"/>
        </w:rPr>
        <w:t>Irvine, California 92618</w:t>
      </w:r>
    </w:p>
    <w:p>
      <w:pPr>
        <w:ind w:left="1300"/>
        <w:spacing w:after="0" w:line="230"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legal@weedmaps.com</w:t>
      </w:r>
    </w:p>
    <w:p>
      <w:pPr>
        <w:spacing w:after="0" w:line="215"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If to the TRA Parties, to the address and other contact information set forth in the records of OpCo from time to time.</w:t>
      </w:r>
    </w:p>
    <w:p>
      <w:pPr>
        <w:sectPr>
          <w:pgSz w:w="11900" w:h="16838" w:orient="portrait"/>
          <w:cols w:equalWidth="0" w:num="1">
            <w:col w:w="11240"/>
          </w:cols>
          <w:pgMar w:left="320" w:top="11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8" w:name="page99"/>
    <w:bookmarkEnd w:id="98"/>
    <w:p>
      <w:pPr>
        <w:jc w:val="both"/>
        <w:spacing w:after="0" w:line="251" w:lineRule="auto"/>
        <w:rPr>
          <w:sz w:val="20"/>
          <w:szCs w:val="20"/>
          <w:color w:val="auto"/>
        </w:rPr>
      </w:pPr>
      <w:r>
        <w:rPr>
          <w:rFonts w:ascii="Arial" w:cs="Arial" w:eastAsia="Arial" w:hAnsi="Arial"/>
          <w:sz w:val="22"/>
          <w:szCs w:val="22"/>
          <w:color w:val="auto"/>
        </w:rPr>
        <w:t>Any party may change its address, fax number or email by giving the other party written notice of its new address, fax number or email in the manner set forth above.</w:t>
      </w:r>
    </w:p>
    <w:p>
      <w:pPr>
        <w:spacing w:after="0" w:line="20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21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Entire Agreement; Third Party Beneficiaries</w:t>
      </w:r>
      <w:r>
        <w:rPr>
          <w:rFonts w:ascii="Arial" w:cs="Arial" w:eastAsia="Arial" w:hAnsi="Arial"/>
          <w:sz w:val="21"/>
          <w:szCs w:val="21"/>
          <w:color w:val="auto"/>
        </w:rPr>
        <w:t>. This Agreement (together with all Exhibits and Schedules to this Agreement), the Merger Agreement (together with the Ancillary Agreements) the LLC Agreement, and the Confidentiality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21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21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Successors; Assignment; Amendments; Waivers</w:t>
      </w:r>
      <w:r>
        <w:rPr>
          <w:rFonts w:ascii="Arial" w:cs="Arial" w:eastAsia="Arial" w:hAnsi="Arial"/>
          <w:sz w:val="22"/>
          <w:szCs w:val="22"/>
          <w:color w:val="auto"/>
        </w:rPr>
        <w:t>.</w:t>
      </w:r>
    </w:p>
    <w:p>
      <w:pPr>
        <w:spacing w:after="0" w:line="233" w:lineRule="exact"/>
        <w:rPr>
          <w:sz w:val="20"/>
          <w:szCs w:val="20"/>
          <w:color w:val="auto"/>
        </w:rPr>
      </w:pPr>
    </w:p>
    <w:p>
      <w:pPr>
        <w:jc w:val="both"/>
        <w:ind w:right="60" w:firstLine="1304"/>
        <w:spacing w:after="0" w:line="270" w:lineRule="auto"/>
        <w:tabs>
          <w:tab w:leader="none" w:pos="1605" w:val="left"/>
        </w:tabs>
        <w:numPr>
          <w:ilvl w:val="0"/>
          <w:numId w:val="87"/>
        </w:numPr>
        <w:rPr>
          <w:rFonts w:ascii="Arial" w:cs="Arial" w:eastAsia="Arial" w:hAnsi="Arial"/>
          <w:sz w:val="19"/>
          <w:szCs w:val="19"/>
          <w:color w:val="auto"/>
        </w:rPr>
      </w:pPr>
      <w:r>
        <w:rPr>
          <w:rFonts w:ascii="Arial" w:cs="Arial" w:eastAsia="Arial" w:hAnsi="Arial"/>
          <w:sz w:val="19"/>
          <w:szCs w:val="19"/>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Arial" w:cs="Arial" w:eastAsia="Arial" w:hAnsi="Arial"/>
          <w:sz w:val="19"/>
          <w:szCs w:val="19"/>
          <w:u w:val="single" w:color="auto"/>
          <w:color w:val="auto"/>
        </w:rPr>
        <w:t>Joinder Requirement</w:t>
      </w:r>
      <w:r>
        <w:rPr>
          <w:rFonts w:ascii="Arial" w:cs="Arial" w:eastAsia="Arial" w:hAnsi="Arial"/>
          <w:sz w:val="19"/>
          <w:szCs w:val="19"/>
          <w:color w:val="auto"/>
        </w:rPr>
        <w:t xml:space="preserve">”), agreeing to become a TRA Party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any TRA Party sells, exchanges, distributes, or otherwise transfers Units to any Person (other than the Corporate Taxpayer or the OpCo) in accordance with the terms of the Exchange Agreement and/or LLC Agreement, such TRA Party shall have the option to assign to the transferee of such Units its rights under this Agreement with respect to such transferred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transferee has satisfied the Joinder Requirement. For the avoidance of doubt, if a TRA Party transfers Units in accordance with the terms of the Exchange Agreement and/or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right="60" w:firstLine="1304"/>
        <w:spacing w:after="0" w:line="273" w:lineRule="auto"/>
        <w:tabs>
          <w:tab w:leader="none" w:pos="16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ectPr>
          <w:pgSz w:w="11900" w:h="16838" w:orient="portrait"/>
          <w:cols w:equalWidth="0" w:num="1">
            <w:col w:w="11240"/>
          </w:cols>
          <w:pgMar w:left="320" w:top="118" w:right="339" w:bottom="10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016" w:gutter="0" w:footer="0" w:header="0"/>
          <w:type w:val="continuous"/>
        </w:sectPr>
      </w:pPr>
    </w:p>
    <w:bookmarkStart w:id="99" w:name="page100"/>
    <w:bookmarkEnd w:id="99"/>
    <w:p>
      <w:pPr>
        <w:jc w:val="both"/>
        <w:ind w:firstLine="1304"/>
        <w:spacing w:after="0" w:line="279" w:lineRule="auto"/>
        <w:tabs>
          <w:tab w:leader="none" w:pos="1597" w:val="left"/>
        </w:tabs>
        <w:numPr>
          <w:ilvl w:val="0"/>
          <w:numId w:val="88"/>
        </w:numPr>
        <w:rPr>
          <w:rFonts w:ascii="Arial" w:cs="Arial" w:eastAsia="Arial" w:hAnsi="Arial"/>
          <w:sz w:val="19"/>
          <w:szCs w:val="19"/>
          <w:color w:val="auto"/>
        </w:rPr>
      </w:pPr>
      <w:r>
        <w:rPr>
          <w:rFonts w:ascii="Arial" w:cs="Arial" w:eastAsia="Arial" w:hAnsi="Arial"/>
          <w:sz w:val="19"/>
          <w:szCs w:val="19"/>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Arial" w:cs="Arial" w:eastAsia="Arial" w:hAnsi="Arial"/>
          <w:sz w:val="19"/>
          <w:szCs w:val="19"/>
          <w:u w:val="single" w:color="auto"/>
          <w:color w:val="auto"/>
        </w:rPr>
        <w:t>Mandatory Assignment</w:t>
      </w:r>
      <w:r>
        <w:rPr>
          <w:rFonts w:ascii="Arial" w:cs="Arial" w:eastAsia="Arial" w:hAnsi="Arial"/>
          <w:sz w:val="19"/>
          <w:szCs w:val="19"/>
          <w:color w:val="auto"/>
        </w:rPr>
        <w:t>”).</w:t>
      </w:r>
    </w:p>
    <w:p>
      <w:pPr>
        <w:spacing w:after="0" w:line="17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of the sections and subsections of this Agreement are for convenience of reference only and are not to be considered in construing this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Waiver of Jury Trial, Jurisdiction</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34" w:lineRule="auto"/>
        <w:tabs>
          <w:tab w:leader="none" w:pos="1591"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213" w:lineRule="exact"/>
        <w:rPr>
          <w:rFonts w:ascii="Arial" w:cs="Arial" w:eastAsia="Arial" w:hAnsi="Arial"/>
          <w:sz w:val="22"/>
          <w:szCs w:val="22"/>
          <w:color w:val="auto"/>
        </w:rPr>
      </w:pPr>
    </w:p>
    <w:p>
      <w:pPr>
        <w:jc w:val="both"/>
        <w:ind w:firstLine="1304"/>
        <w:spacing w:after="0" w:line="273" w:lineRule="auto"/>
        <w:tabs>
          <w:tab w:leader="none" w:pos="1613"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Subject to Section 7.9, each of the parties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 this Section 7.8, however, shall affect the right of any party to serve legal process in any other manner permitted by law or at equity. Each party agrees that a final judgment in any action, suit or proceeding so brought shall be conclusive and may be enforced by suit on the judgment or in any other manner provided by law or at equity. The parties hereby waive, to the fullest extent permitted by applicable law, any objection which they now or hereafter may have to personal jurisdiction or to the laying of venue of any such ancillary suit, action or proceeding brought in any court referred to in this Section 7.8 and such parties agree not to plead or claim the same.</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u w:val="single" w:color="auto"/>
          <w:color w:val="auto"/>
        </w:rPr>
        <w:t>Reconciliation</w:t>
      </w:r>
      <w:r>
        <w:rPr>
          <w:rFonts w:ascii="Arial" w:cs="Arial" w:eastAsia="Arial" w:hAnsi="Arial"/>
          <w:sz w:val="19"/>
          <w:szCs w:val="19"/>
          <w:color w:val="auto"/>
        </w:rPr>
        <w:t>. In the event that the Corporate Taxpayer and the TRA Party Representative are unable to resolve a disagreement with respect to the matters (x) governed by Sections 2.3 and 4.2 or (y) described in the definition of “LIBOR” within the relevant period designated in this Agreement (“</w:t>
      </w:r>
      <w:r>
        <w:rPr>
          <w:rFonts w:ascii="Arial" w:cs="Arial" w:eastAsia="Arial" w:hAnsi="Arial"/>
          <w:sz w:val="19"/>
          <w:szCs w:val="19"/>
          <w:u w:val="single" w:color="auto"/>
          <w:color w:val="auto"/>
        </w:rPr>
        <w:t>Reconciliation Dispute</w:t>
      </w:r>
      <w:r>
        <w:rPr>
          <w:rFonts w:ascii="Arial" w:cs="Arial" w:eastAsia="Arial" w:hAnsi="Arial"/>
          <w:sz w:val="19"/>
          <w:szCs w:val="19"/>
          <w:color w:val="auto"/>
        </w:rPr>
        <w:t>”), the Reconciliation Dispute shall be submitted for determination to a nationally recognized expert (the “</w:t>
      </w:r>
      <w:r>
        <w:rPr>
          <w:rFonts w:ascii="Arial" w:cs="Arial" w:eastAsia="Arial" w:hAnsi="Arial"/>
          <w:sz w:val="19"/>
          <w:szCs w:val="19"/>
          <w:u w:val="single" w:color="auto"/>
          <w:color w:val="auto"/>
        </w:rPr>
        <w:t>Expert</w:t>
      </w:r>
      <w:r>
        <w:rPr>
          <w:rFonts w:ascii="Arial" w:cs="Arial" w:eastAsia="Arial" w:hAnsi="Arial"/>
          <w:sz w:val="19"/>
          <w:szCs w:val="19"/>
          <w:color w:val="auto"/>
        </w:rPr>
        <w:t>”) in the particular area of disagreement mutually acceptable to both parties. The Expert shall be a partner or principal in a nationally recognized accounting or law firm, and unless the Corporate Taxpayer and the TRA Party Representative agree in writing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Basis Schedule or an amendment thereto or the Early Termination Schedule or an amendment thereto within thirty</w:t>
      </w:r>
    </w:p>
    <w:p>
      <w:pPr>
        <w:spacing w:after="0" w:line="7" w:lineRule="exact"/>
        <w:rPr>
          <w:sz w:val="20"/>
          <w:szCs w:val="20"/>
          <w:color w:val="auto"/>
        </w:rPr>
      </w:pPr>
    </w:p>
    <w:p>
      <w:pPr>
        <w:jc w:val="both"/>
        <w:ind w:firstLine="8"/>
        <w:spacing w:after="0" w:line="269" w:lineRule="auto"/>
        <w:tabs>
          <w:tab w:leader="none" w:pos="427" w:val="left"/>
        </w:tabs>
        <w:numPr>
          <w:ilvl w:val="0"/>
          <w:numId w:val="90"/>
        </w:numPr>
        <w:rPr>
          <w:rFonts w:ascii="Arial" w:cs="Arial" w:eastAsia="Arial" w:hAnsi="Arial"/>
          <w:sz w:val="19"/>
          <w:szCs w:val="19"/>
          <w:color w:val="auto"/>
        </w:rPr>
      </w:pPr>
      <w:r>
        <w:rPr>
          <w:rFonts w:ascii="Arial" w:cs="Arial" w:eastAsia="Arial" w:hAnsi="Arial"/>
          <w:sz w:val="19"/>
          <w:szCs w:val="19"/>
          <w:color w:val="auto"/>
        </w:rPr>
        <w:t>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 such proceeding, unless (i) the Expert adopts the TRA Party Representative’s position, in which case the Corporate Taxpayer shall reimburse the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ectPr>
          <w:pgSz w:w="11900" w:h="16838" w:orient="portrait"/>
          <w:cols w:equalWidth="0" w:num="1">
            <w:col w:w="11240"/>
          </w:cols>
          <w:pgMar w:left="320" w:top="118"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0" w:name="page101"/>
    <w:bookmarkEnd w:id="100"/>
    <w:p>
      <w:pPr>
        <w:jc w:val="both"/>
        <w:ind w:firstLine="1296"/>
        <w:spacing w:after="0" w:line="27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Withholding</w:t>
      </w:r>
      <w:r>
        <w:rPr>
          <w:rFonts w:ascii="Arial" w:cs="Arial" w:eastAsia="Arial" w:hAnsi="Arial"/>
          <w:sz w:val="19"/>
          <w:szCs w:val="19"/>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provided, 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(including IRS Form W-9 or the applicable version of IRS Form W-8) reasonably requested by the Corporate Taxpayer in connection with determining whether any such deductions and withholdings are required under the Code or any provision of state, local or foreign tax law.</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u w:val="single" w:color="auto"/>
          <w:color w:val="auto"/>
        </w:rPr>
        <w:t>Admission of the Corporate Taxpayer into a Consolidated Group; Transfers of Corporate Assets</w:t>
      </w:r>
      <w:r>
        <w:rPr>
          <w:rFonts w:ascii="Arial" w:cs="Arial" w:eastAsia="Arial" w:hAnsi="Arial"/>
          <w:sz w:val="19"/>
          <w:szCs w:val="19"/>
          <w:color w:val="auto"/>
        </w:rPr>
        <w:t>.</w:t>
      </w:r>
    </w:p>
    <w:p>
      <w:pPr>
        <w:spacing w:after="0" w:line="268" w:lineRule="exact"/>
        <w:rPr>
          <w:sz w:val="20"/>
          <w:szCs w:val="20"/>
          <w:color w:val="auto"/>
        </w:rPr>
      </w:pPr>
    </w:p>
    <w:p>
      <w:pPr>
        <w:jc w:val="both"/>
        <w:ind w:firstLine="1304"/>
        <w:spacing w:after="0" w:line="282" w:lineRule="auto"/>
        <w:tabs>
          <w:tab w:leader="none" w:pos="1594"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Tax law, then: (i) the provisions of this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spacing w:after="0" w:line="174" w:lineRule="exact"/>
        <w:rPr>
          <w:rFonts w:ascii="Arial" w:cs="Arial" w:eastAsia="Arial" w:hAnsi="Arial"/>
          <w:sz w:val="19"/>
          <w:szCs w:val="19"/>
          <w:color w:val="auto"/>
        </w:rPr>
      </w:pPr>
    </w:p>
    <w:p>
      <w:pPr>
        <w:jc w:val="both"/>
        <w:ind w:firstLine="1304"/>
        <w:spacing w:after="0" w:line="270" w:lineRule="auto"/>
        <w:tabs>
          <w:tab w:leader="none" w:pos="1635"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local or foreign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4" w:lineRule="exact"/>
        <w:rPr>
          <w:sz w:val="20"/>
          <w:szCs w:val="20"/>
          <w:color w:val="auto"/>
        </w:rPr>
      </w:pPr>
    </w:p>
    <w:p>
      <w:pPr>
        <w:jc w:val="both"/>
        <w:ind w:firstLine="1304"/>
        <w:spacing w:after="0" w:line="270" w:lineRule="auto"/>
        <w:tabs>
          <w:tab w:leader="none" w:pos="1610"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(ii) the disclosure of information to the extent necessary for the TRA Party to assert its rights hereunder or defend itself in connection with any action or proceeding arising out of, or relating to, this Agreement, (iii) any information that was in the possession of, or becomes available to, the TRA Party from a source other than the Corporate Taxpayer, its Affiliates or its or their respective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 disclose to any and all Persons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4"/>
        <w:spacing w:after="0" w:line="236" w:lineRule="auto"/>
        <w:tabs>
          <w:tab w:leader="none" w:pos="1613"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21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u w:val="single" w:color="auto"/>
          <w:color w:val="auto"/>
        </w:rPr>
        <w:t>Change in Law</w:t>
      </w:r>
      <w:r>
        <w:rPr>
          <w:rFonts w:ascii="Arial" w:cs="Arial" w:eastAsia="Arial" w:hAnsi="Arial"/>
          <w:sz w:val="19"/>
          <w:szCs w:val="19"/>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w:t>
      </w:r>
    </w:p>
    <w:p>
      <w:pPr>
        <w:spacing w:after="0" w:line="5" w:lineRule="exact"/>
        <w:rPr>
          <w:sz w:val="20"/>
          <w:szCs w:val="20"/>
          <w:color w:val="auto"/>
        </w:rPr>
      </w:pPr>
    </w:p>
    <w:p>
      <w:pPr>
        <w:jc w:val="both"/>
        <w:ind w:firstLine="8"/>
        <w:spacing w:after="0" w:line="234" w:lineRule="auto"/>
        <w:tabs>
          <w:tab w:leader="none" w:pos="381"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shall otherwise be amended in a manner determined by such TRA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214" w:lineRule="exact"/>
        <w:rPr>
          <w:sz w:val="20"/>
          <w:szCs w:val="20"/>
          <w:color w:val="auto"/>
        </w:rPr>
      </w:pPr>
    </w:p>
    <w:p>
      <w:pPr>
        <w:jc w:val="both"/>
        <w:ind w:left="80" w:firstLine="1231"/>
        <w:spacing w:after="0" w:line="274"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Independent Nature of TRA Parties’ Rights and Obligations</w:t>
      </w:r>
      <w:r>
        <w:rPr>
          <w:rFonts w:ascii="Arial" w:cs="Arial" w:eastAsia="Arial" w:hAnsi="Arial"/>
          <w:sz w:val="19"/>
          <w:szCs w:val="19"/>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1220"/>
        <w:spacing w:after="0"/>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u w:val="single" w:color="auto"/>
          <w:color w:val="auto"/>
        </w:rPr>
        <w:t>TRA Party Representative</w:t>
      </w:r>
      <w:r>
        <w:rPr>
          <w:rFonts w:ascii="Arial" w:cs="Arial" w:eastAsia="Arial" w:hAnsi="Arial"/>
          <w:sz w:val="22"/>
          <w:szCs w:val="22"/>
          <w:color w:val="auto"/>
        </w:rPr>
        <w:t>.</w:t>
      </w:r>
    </w:p>
    <w:p>
      <w:pPr>
        <w:spacing w:after="0" w:line="234" w:lineRule="exact"/>
        <w:rPr>
          <w:sz w:val="20"/>
          <w:szCs w:val="20"/>
          <w:color w:val="auto"/>
        </w:rPr>
      </w:pPr>
    </w:p>
    <w:p>
      <w:pPr>
        <w:jc w:val="both"/>
        <w:ind w:firstLine="1224"/>
        <w:spacing w:after="0" w:line="287" w:lineRule="auto"/>
        <w:tabs>
          <w:tab w:leader="none" w:pos="153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69" w:lineRule="exact"/>
        <w:rPr>
          <w:rFonts w:ascii="Arial" w:cs="Arial" w:eastAsia="Arial" w:hAnsi="Arial"/>
          <w:sz w:val="19"/>
          <w:szCs w:val="19"/>
          <w:color w:val="auto"/>
        </w:rPr>
      </w:pPr>
    </w:p>
    <w:p>
      <w:pPr>
        <w:jc w:val="both"/>
        <w:ind w:firstLine="1224"/>
        <w:spacing w:after="0" w:line="274" w:lineRule="auto"/>
        <w:tabs>
          <w:tab w:leader="none" w:pos="1541"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at any time the TRA Party Representative shall incur out of 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pro rata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Section 7.15(b), it may do so at any time and from time to time in its sole discretion).</w:t>
      </w:r>
    </w:p>
    <w:p>
      <w:pPr>
        <w:spacing w:after="0" w:line="185" w:lineRule="exact"/>
        <w:rPr>
          <w:rFonts w:ascii="Arial" w:cs="Arial" w:eastAsia="Arial" w:hAnsi="Arial"/>
          <w:sz w:val="19"/>
          <w:szCs w:val="19"/>
          <w:color w:val="auto"/>
        </w:rPr>
      </w:pPr>
    </w:p>
    <w:p>
      <w:pPr>
        <w:jc w:val="both"/>
        <w:ind w:firstLine="1224"/>
        <w:spacing w:after="0" w:line="270" w:lineRule="auto"/>
        <w:tabs>
          <w:tab w:leader="none" w:pos="1592"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such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subsection (b) above) arising out of or in connection with the acceptance or administration of its duties under this Agreement, and such liability, loss, damage, penalty, fine, cost or expense shall be treated as an expense subject to reimbursement pursuant to the provisions of subsection (b) above,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such good faith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224"/>
        <w:spacing w:after="0" w:line="235" w:lineRule="auto"/>
        <w:tabs>
          <w:tab w:leader="none" w:pos="1587"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Subject to Section 7.6(b),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18" w:right="339" w:bottom="1440" w:gutter="0" w:footer="0" w:header="0"/>
        </w:sectPr>
      </w:pPr>
    </w:p>
    <w:bookmarkStart w:id="103" w:name="page104"/>
    <w:bookmarkEnd w:id="103"/>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CORPORATE TAXPAYER</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TECHNOLOGY, INC.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4" w:name="page105"/>
    <w:bookmarkEnd w:id="104"/>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PARTY REPRESENTATIVE</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GHOST MEDIA GROUP,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5" w:name="page106"/>
    <w:bookmarkEnd w:id="105"/>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CHRISTOPHER BEALS</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6" w:name="page107"/>
    <w:bookmarkEnd w:id="106"/>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GHOST MEDIA GROUP,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7" w:name="page108"/>
    <w:bookmarkEnd w:id="107"/>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420 CASA WAY,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Ham</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Richard 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8" w:name="page109"/>
    <w:bookmarkEnd w:id="108"/>
    <w:p>
      <w:pPr>
        <w:ind w:right="80"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CALILOVE LLC</w:t>
      </w:r>
    </w:p>
    <w:p>
      <w:pPr>
        <w:spacing w:after="0" w:line="229" w:lineRule="exact"/>
        <w:rPr>
          <w:sz w:val="20"/>
          <w:szCs w:val="20"/>
          <w:color w:val="auto"/>
        </w:rPr>
      </w:pPr>
    </w:p>
    <w:tbl>
      <w:tblPr>
        <w:tblLayout w:type="fixed"/>
        <w:tblInd w:w="732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Sabin Burrell</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Sabin Burrell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right="80"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BLACK DOG MANAGEMENT, LLC</w:t>
      </w:r>
    </w:p>
    <w:p>
      <w:pPr>
        <w:spacing w:after="0" w:line="229" w:lineRule="exact"/>
        <w:rPr>
          <w:sz w:val="20"/>
          <w:szCs w:val="20"/>
          <w:color w:val="auto"/>
        </w:rPr>
      </w:pPr>
    </w:p>
    <w:tbl>
      <w:tblPr>
        <w:tblLayout w:type="fixed"/>
        <w:tblInd w:w="732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Sabin Burrell</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Sabin Burrell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CERES HOLDINGS GROUP,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Rubin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William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Partner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1" w:name="page112"/>
    <w:bookmarkEnd w:id="111"/>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CLAY W. HAMLIN, IV</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Clay W. Hamlin,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2" w:name="page113"/>
    <w:bookmarkEnd w:id="112"/>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DOUG FRANCIS</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3" w:name="page114"/>
    <w:bookmarkEnd w:id="113"/>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FCP VENTURES IV,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FCP Ventures IV Manager LLC</w:t>
      </w:r>
    </w:p>
    <w:p>
      <w:pPr>
        <w:spacing w:after="0" w:line="225"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Nirmal Roy</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Nirmal 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4" w:name="page115"/>
    <w:bookmarkEnd w:id="114"/>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GENCO INCENTIVES,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5" w:name="page116"/>
    <w:bookmarkEnd w:id="115"/>
    <w:p>
      <w:pPr>
        <w:ind w:right="80"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INCEPTACON-IV, LLC</w:t>
      </w:r>
    </w:p>
    <w:p>
      <w:pPr>
        <w:spacing w:after="0" w:line="229" w:lineRule="exact"/>
        <w:rPr>
          <w:sz w:val="20"/>
          <w:szCs w:val="20"/>
          <w:color w:val="auto"/>
        </w:rPr>
      </w:pPr>
    </w:p>
    <w:tbl>
      <w:tblPr>
        <w:tblLayout w:type="fixed"/>
        <w:tblInd w:w="73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0"/>
                <w:szCs w:val="20"/>
                <w:color w:val="auto"/>
              </w:rPr>
            </w:pPr>
            <w:r>
              <w:rPr>
                <w:rFonts w:ascii="Arial" w:cs="Arial" w:eastAsia="Arial" w:hAnsi="Arial"/>
                <w:sz w:val="18"/>
                <w:szCs w:val="18"/>
                <w:color w:val="auto"/>
              </w:rPr>
              <w:t>The Inception Companies, LLC</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Manager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Cox</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Brent Cox</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JUSTIN HARTFIELD</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7" w:name="page118"/>
    <w:bookmarkEnd w:id="117"/>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LBCW HOLDINGS, LP</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Chang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Stephen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Investment Officer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8" w:name="page119"/>
    <w:bookmarkEnd w:id="118"/>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OBM HOLDINGS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Cox</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Brent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9" w:name="page120"/>
    <w:bookmarkEnd w:id="119"/>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REDWOOD INVESTMENT</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HOLDINGS, LLC</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JJ</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0" w:name="page121"/>
    <w:bookmarkEnd w:id="120"/>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SCP OPPORTUNITIES FUND LLC –</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SERIES A</w:t>
      </w:r>
    </w:p>
    <w:p>
      <w:pPr>
        <w:sectPr>
          <w:pgSz w:w="11900" w:h="16838" w:orient="portrait"/>
          <w:cols w:equalWidth="0" w:num="1">
            <w:col w:w="11160"/>
          </w:cols>
          <w:pgMar w:left="320" w:top="118" w:right="419" w:bottom="1440" w:gutter="0" w:footer="0" w:header="0"/>
        </w:sectPr>
      </w:pP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Sunderland Capital Partners LP Manager</w:t>
      </w:r>
    </w:p>
    <w:p>
      <w:pPr>
        <w:spacing w:after="0" w:line="170" w:lineRule="exact"/>
        <w:rPr>
          <w:sz w:val="20"/>
          <w:szCs w:val="20"/>
          <w:color w:val="auto"/>
        </w:rPr>
      </w:pPr>
    </w:p>
    <w:p>
      <w:pPr>
        <w:sectPr>
          <w:pgSz w:w="11900" w:h="16838" w:orient="portrait"/>
          <w:cols w:equalWidth="0" w:num="2">
            <w:col w:w="7580" w:space="300"/>
            <w:col w:w="3280"/>
          </w:cols>
          <w:pgMar w:left="320" w:top="118" w:right="419" w:bottom="1440" w:gutter="0" w:footer="0" w:header="0"/>
          <w:type w:val="continuous"/>
        </w:sectPr>
      </w:pPr>
    </w:p>
    <w:p>
      <w:pPr>
        <w:ind w:left="73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Sunderland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7580" w:space="300"/>
            <w:col w:w="3280"/>
          </w:cols>
          <w:pgMar w:left="320" w:top="118" w:right="419" w:bottom="1440" w:gutter="0" w:footer="0" w:header="0"/>
          <w:type w:val="continuous"/>
        </w:sectPr>
      </w:pPr>
    </w:p>
    <w:p>
      <w:pPr>
        <w:spacing w:after="0" w:line="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Thomas Bushley</w:t>
      </w:r>
    </w:p>
    <w:p>
      <w:pPr>
        <w:spacing w:after="0" w:line="5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Thomas Bushley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9"/>
          <w:szCs w:val="19"/>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121" w:name="page122"/>
    <w:bookmarkEnd w:id="121"/>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SEQUOIA INVESTMENT</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HOLDINGS LLC</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Landau</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Steven Landau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2" w:name="page123"/>
    <w:bookmarkEnd w:id="122"/>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SEVEN EIGHT INVESTMENTS,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Desiree Hedge</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Desiree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3" w:name="page124"/>
    <w:bookmarkEnd w:id="123"/>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Board Member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4" w:name="page125"/>
    <w:bookmarkEnd w:id="124"/>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5" w:name="page126"/>
    <w:bookmarkEnd w:id="125"/>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II,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Board Member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6" w:name="page127"/>
    <w:bookmarkEnd w:id="126"/>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II,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7" w:name="page128"/>
    <w:bookmarkEnd w:id="127"/>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INVESTMENT PARTNERS,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Lindberg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Eric Lindberg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8" w:name="page129"/>
    <w:bookmarkEnd w:id="128"/>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INVESTMENT PARTNERS II, LLC</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Lindberg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Eric Lindberg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9" w:name="page130"/>
    <w:bookmarkEnd w:id="129"/>
    <w:p>
      <w:pPr>
        <w:ind w:firstLine="1296"/>
        <w:spacing w:after="0" w:line="251" w:lineRule="auto"/>
        <w:rPr>
          <w:sz w:val="20"/>
          <w:szCs w:val="20"/>
          <w:color w:val="auto"/>
        </w:rPr>
      </w:pPr>
      <w:r>
        <w:rPr>
          <w:rFonts w:ascii="Arial" w:cs="Arial" w:eastAsia="Arial" w:hAnsi="Arial"/>
          <w:sz w:val="22"/>
          <w:szCs w:val="22"/>
          <w:color w:val="auto"/>
        </w:rPr>
        <w:t>IN WITNESS WHEREOF, the Corporate Taxpayer, the TRA Party Representative and each TRA Party have duly executed this Agreement as of the date first written above.</w:t>
      </w:r>
    </w:p>
    <w:p>
      <w:pPr>
        <w:spacing w:after="0" w:line="203"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YOUNG FAMILY LIMITED PARTNERSHIP</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Morris Young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Morris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-130175</wp:posOffset>
            </wp:positionV>
            <wp:extent cx="21342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7"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AGREEMENT</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HOLDING COMPANY, LLC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 Delaware limited liability company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June 16, 2021</w:t>
      </w:r>
    </w:p>
    <w:p>
      <w:pPr>
        <w:spacing w:after="0" w:line="23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THE LIMITED LIABILITY COMPANY UNITS OF WM HOLDING COMPANY, LLC HAVE NOT BEEN REGISTERED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FOURTH AMENDED AND RESTATED OPERATING AGREEMENT; AND (III) ANY OTHER TERMS AND CONDITIONS AGREED TO IN WRITING BETWEEN THE MANAGING MEMBER AND THE APPLICABLE MEMBER. THE UNITS MAY NOT BE TRANSFERRED OF RECORD EXCEPT IN COMPLIANCE WITH SUCH LAWS, THIS FOURTH AMENDED AND RESTATED OPERATING AGREEMENT, AND ANY OTHER TERMS AND CONDITIONS AGREED TO IN WRITING BY THE MANAGING MEMBER AND THE APPLICABLE MEMBER. THEREFORE, PURCHASERS AND OTHER TRANSFEREES OF SUCH UNITS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520" w:type="dxa"/>
            <w:vAlign w:val="bottom"/>
            <w:gridSpan w:val="2"/>
          </w:tcPr>
          <w:p>
            <w:pPr>
              <w:ind w:left="11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Definitions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FORMATION, TERM, PURPOSE AND POWERS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Formation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2.02</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Name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2.03</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Term</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2.04</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Offices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2.05</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Agent for Service of Process; Existence and Good Standing; Foreign Qualification</w:t>
            </w: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2.06</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Business Purpose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2.07</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Powers of the Company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2.08</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Members; Reclassification; Admission of New Members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2.09</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Resignation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2.10</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Representations of Members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MANAGEMENT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Managing Member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3.02</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Compensation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3.03</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Expenses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3.04</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Officers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3.05</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Authority of Members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3.06</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Action by Written Consent or Ratification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3.07</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Restrictions on Termination Transactions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DISTRIBUTIONS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Distributions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4.02</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Liquidation Distribution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4.03</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Limitations on Distribution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4.04</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Earnout Company Units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4.05</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Use of Distribution Funds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CAPITAL CONTRIBUTIONS; CAPITAL ACCOUNTS; TAX ALLOCATIONS; TAX MATTERS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Initial Capital Contributions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5.02</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 Additional Capital Contributions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5.03</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 Accounts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5.04</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Allocations of Profits and Losses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5.05</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Special Allocations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615"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615"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7640" w:type="dxa"/>
            <w:vAlign w:val="bottom"/>
          </w:tcPr>
          <w:p>
            <w:pPr>
              <w:ind w:left="3280"/>
              <w:spacing w:after="0"/>
              <w:rPr>
                <w:sz w:val="20"/>
                <w:szCs w:val="20"/>
                <w:color w:val="auto"/>
              </w:rPr>
            </w:pPr>
            <w:r>
              <w:rPr>
                <w:rFonts w:ascii="Arial" w:cs="Arial" w:eastAsia="Arial" w:hAnsi="Arial"/>
                <w:sz w:val="22"/>
                <w:szCs w:val="22"/>
                <w:b w:val="1"/>
                <w:bCs w:val="1"/>
                <w:color w:val="auto"/>
              </w:rPr>
              <w:t>TABLE OF CONTENTS</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3"/>
                <w:szCs w:val="23"/>
                <w:color w:val="auto"/>
              </w:rPr>
            </w:pPr>
          </w:p>
        </w:tc>
        <w:tc>
          <w:tcPr>
            <w:tcW w:w="7640" w:type="dxa"/>
            <w:vAlign w:val="bottom"/>
          </w:tcPr>
          <w:p>
            <w:pPr>
              <w:ind w:left="3940"/>
              <w:spacing w:after="0"/>
              <w:rPr>
                <w:sz w:val="20"/>
                <w:szCs w:val="20"/>
                <w:color w:val="auto"/>
              </w:rPr>
            </w:pPr>
            <w:r>
              <w:rPr>
                <w:rFonts w:ascii="Arial" w:cs="Arial" w:eastAsia="Arial" w:hAnsi="Arial"/>
                <w:sz w:val="22"/>
                <w:szCs w:val="22"/>
                <w:color w:val="auto"/>
              </w:rPr>
              <w:t>(continued)</w:t>
            </w:r>
          </w:p>
        </w:tc>
        <w:tc>
          <w:tcPr>
            <w:tcW w:w="2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11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5.06</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Tax Allocations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5.07</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Tax Advances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5.08</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 Representative.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5.09</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Allocation Provisions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5.10</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Survival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BOOKS AND RECORDS; REPORTS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6.01</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Books and Records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COMPANY UNITS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7.01</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7.02</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Register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7.03</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Registered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7.04</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Issuances, Repurchases and Redemptions, Recapitalizations</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7.05</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Class P Units</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7.06</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Triggering Events for Management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VIII TRANSFER RESTRICTIONS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8.01</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Member Transfers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8.02</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Mandatory Exchanges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8.03</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Encumbrances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8.04</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Further Restrictions</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8.05</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Rights of Assignees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8.06</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Admissions, Resignations and Removals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8.07</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Admission of Assignees as Substitute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8.08</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Resignation and Removal of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8.09</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Withholding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8.10</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Allocations in Respect of Transferred Units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IX DISSOLUTION, LIQUIDATION AND TERMINATION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9.01</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 Dissolution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9.02</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Events Causing Dissolution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9.03</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Distribution upon Dissolution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9.04</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Time for Liquidation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9.05</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Termination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9.06</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Claims of the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9.07</w:t>
            </w: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Survival of Certain Provisions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372"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372"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7600" w:type="dxa"/>
            <w:vAlign w:val="bottom"/>
          </w:tcPr>
          <w:p>
            <w:pPr>
              <w:ind w:left="3240"/>
              <w:spacing w:after="0"/>
              <w:rPr>
                <w:sz w:val="20"/>
                <w:szCs w:val="20"/>
                <w:color w:val="auto"/>
              </w:rPr>
            </w:pPr>
            <w:r>
              <w:rPr>
                <w:rFonts w:ascii="Arial" w:cs="Arial" w:eastAsia="Arial" w:hAnsi="Arial"/>
                <w:sz w:val="22"/>
                <w:szCs w:val="22"/>
                <w:b w:val="1"/>
                <w:bCs w:val="1"/>
                <w:color w:val="auto"/>
              </w:rPr>
              <w:t>TABLE OF CONTENTS</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3"/>
                <w:szCs w:val="23"/>
                <w:color w:val="auto"/>
              </w:rPr>
            </w:pPr>
          </w:p>
        </w:tc>
        <w:tc>
          <w:tcPr>
            <w:tcW w:w="7600" w:type="dxa"/>
            <w:vAlign w:val="bottom"/>
          </w:tcPr>
          <w:p>
            <w:pPr>
              <w:ind w:left="3900"/>
              <w:spacing w:after="0"/>
              <w:rPr>
                <w:sz w:val="20"/>
                <w:szCs w:val="20"/>
                <w:color w:val="auto"/>
              </w:rPr>
            </w:pPr>
            <w:r>
              <w:rPr>
                <w:rFonts w:ascii="Arial" w:cs="Arial" w:eastAsia="Arial" w:hAnsi="Arial"/>
                <w:sz w:val="22"/>
                <w:szCs w:val="22"/>
                <w:color w:val="auto"/>
              </w:rPr>
              <w:t>(continued)</w:t>
            </w:r>
          </w:p>
        </w:tc>
        <w:tc>
          <w:tcPr>
            <w:tcW w:w="2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12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 LIABILITY AND INDEMNIFICATION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10.01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Liability of Members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10.02</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 MISCELLANEOUS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Severability</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11.02</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Notices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11.03</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Cumulative Remedies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11.04</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Binding Effect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11.05</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Interpretation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11.06</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Counterparts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11.07</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Further Assurances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11.08</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Entire Agreement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11.09</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Governing Law</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11.10</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Submission to Jurisdiction; Waiver of Jury Trial</w:t>
            </w: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Expenses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11.12</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Amendments and Waivers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11.13</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 Third Party Beneficiaries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11.14</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Headings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11.15</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Power of Attorney</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11.16</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Separate Agreements; Schedules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11.17</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Partnership Status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11.18</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Delivery by Facsimile or Email</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FOURTH 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AGREEMENT OF</w:t>
      </w:r>
    </w:p>
    <w:p>
      <w:pPr>
        <w:jc w:val="center"/>
        <w:spacing w:after="0"/>
        <w:rPr>
          <w:sz w:val="20"/>
          <w:szCs w:val="20"/>
          <w:color w:val="auto"/>
        </w:rPr>
      </w:pPr>
      <w:r>
        <w:rPr>
          <w:rFonts w:ascii="Arial" w:cs="Arial" w:eastAsia="Arial" w:hAnsi="Arial"/>
          <w:sz w:val="22"/>
          <w:szCs w:val="22"/>
          <w:b w:val="1"/>
          <w:bCs w:val="1"/>
          <w:color w:val="auto"/>
        </w:rPr>
        <w:t>WM HOLDING COMPANY, LLC</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of WM Holding Company, LLC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made as of June 16,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among WM Technology, Inc., a Delaware corporation, as the Managing Member, and the Members set forth on Schedule I hereto and each other person who is or at any time becomes a Member in accordance with the terms of this Agreement and the Act.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was formed as a limited liability company pursuant to the Act upon the filing of the Certificate in</w:t>
      </w:r>
      <w:r>
        <w:rPr>
          <w:rFonts w:ascii="Arial" w:cs="Arial" w:eastAsia="Arial" w:hAnsi="Arial"/>
          <w:sz w:val="22"/>
          <w:szCs w:val="22"/>
          <w:b w:val="1"/>
          <w:bCs w:val="1"/>
          <w:color w:val="auto"/>
        </w:rPr>
        <w:t xml:space="preserve"> </w:t>
      </w:r>
      <w:r>
        <w:rPr>
          <w:rFonts w:ascii="Arial" w:cs="Arial" w:eastAsia="Arial" w:hAnsi="Arial"/>
          <w:sz w:val="22"/>
          <w:szCs w:val="22"/>
          <w:color w:val="auto"/>
        </w:rPr>
        <w:t>the office of the Secretary of State of the State of Delaware on September 4, 2014;</w:t>
      </w:r>
    </w:p>
    <w:p>
      <w:pPr>
        <w:spacing w:after="0" w:line="18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the Company entered into that certain Restructuring Agreement, dated November 1, 2014 (the “</w:t>
      </w:r>
      <w:r>
        <w:rPr>
          <w:rFonts w:ascii="Arial" w:cs="Arial" w:eastAsia="Arial" w:hAnsi="Arial"/>
          <w:sz w:val="19"/>
          <w:szCs w:val="19"/>
          <w:b w:val="1"/>
          <w:bCs w:val="1"/>
          <w:i w:val="1"/>
          <w:iCs w:val="1"/>
          <w:color w:val="auto"/>
        </w:rPr>
        <w:t>Original</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by and between the Company and certain of the Members, which was amended by that certain First Amendment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Operating Agreement of WM Holding Company, LLC, entered into by the Company and certain of the Members;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Original Agreement was amended and restated in its entirety by that certain Amended and Restated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Company Operating Agreement of WM Holding Company, LLC, effective as of October 30, 2015, as amended by that certain Amendment No. 1, dated as of March 22, 2016, and effective as of October 30, 2015, and that certain Amendment No. 2, effective as of March 23, 2017 (collectively, the “</w:t>
      </w:r>
      <w:r>
        <w:rPr>
          <w:rFonts w:ascii="Arial" w:cs="Arial" w:eastAsia="Arial" w:hAnsi="Arial"/>
          <w:sz w:val="20"/>
          <w:szCs w:val="20"/>
          <w:b w:val="1"/>
          <w:bCs w:val="1"/>
          <w:i w:val="1"/>
          <w:iCs w:val="1"/>
          <w:color w:val="auto"/>
        </w:rPr>
        <w:t>First A&amp;R Operating Agreement</w:t>
      </w:r>
      <w:r>
        <w:rPr>
          <w:rFonts w:ascii="Arial" w:cs="Arial" w:eastAsia="Arial" w:hAnsi="Arial"/>
          <w:sz w:val="20"/>
          <w:szCs w:val="20"/>
          <w:color w:val="auto"/>
        </w:rPr>
        <w:t>”);</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First A&amp;R Operating Agreement was amended and restated in its entirety by that certain Second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Operating Agreement of WM Holding Company, LLC, effective as of May 7, 2018 (the “</w:t>
      </w:r>
      <w:r>
        <w:rPr>
          <w:rFonts w:ascii="Arial" w:cs="Arial" w:eastAsia="Arial" w:hAnsi="Arial"/>
          <w:sz w:val="22"/>
          <w:szCs w:val="22"/>
          <w:b w:val="1"/>
          <w:bCs w:val="1"/>
          <w:i w:val="1"/>
          <w:iCs w:val="1"/>
          <w:color w:val="auto"/>
        </w:rPr>
        <w:t>Second A&amp;R Operating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Second A&amp;R Operating Agreement was amended and restated in its entirety by that certain Third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Operating Agreement of WM Holding Company, LLC, effective as of August 15, 2018 (the “</w:t>
      </w:r>
      <w:r>
        <w:rPr>
          <w:rFonts w:ascii="Arial" w:cs="Arial" w:eastAsia="Arial" w:hAnsi="Arial"/>
          <w:sz w:val="22"/>
          <w:szCs w:val="22"/>
          <w:b w:val="1"/>
          <w:bCs w:val="1"/>
          <w:i w:val="1"/>
          <w:iCs w:val="1"/>
          <w:color w:val="auto"/>
        </w:rPr>
        <w:t>Existing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concurrently with the effectiveness of this Agreement, in accordance with the Agreement and Plan of Merger,</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December 10, 2020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by and among Silver Spike Acquisition Corp. (the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Silver Spike Merger Sub LLC (the “</w:t>
      </w:r>
      <w:r>
        <w:rPr>
          <w:rFonts w:ascii="Arial" w:cs="Arial" w:eastAsia="Arial" w:hAnsi="Arial"/>
          <w:sz w:val="22"/>
          <w:szCs w:val="22"/>
          <w:b w:val="1"/>
          <w:bCs w:val="1"/>
          <w:i w:val="1"/>
          <w:iCs w:val="1"/>
          <w:color w:val="auto"/>
        </w:rPr>
        <w:t>Merger Sub</w:t>
      </w:r>
      <w:r>
        <w:rPr>
          <w:rFonts w:ascii="Arial" w:cs="Arial" w:eastAsia="Arial" w:hAnsi="Arial"/>
          <w:sz w:val="22"/>
          <w:szCs w:val="22"/>
          <w:color w:val="auto"/>
        </w:rPr>
        <w:t>”), the Company and Ghost Media Group, LLC, solely in its capacity as the Holder Representative, Merger Sub has merged with and into the Company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with the Company being the entity surviving the Merger;</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pursuant to the Merger, (i) each of the Class A-1 Units, Class A-2 Units and Class A-3 Units (as each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defined in the Existing Agreement) outstanding prior to the effectiveness of this Agreement were cancelled and certain of the holders thereof received the number of Class A Units set forth opposite such Member’s name on Schedule I hereto and (ii) each of the Class B Units (as defined in the Existing Agreement) outstanding prior to the effectiveness of this Agreement were cancelled and the holders thereof received the number of Class P Units set forth opposite such Member’s name on Schedule I hereto, in each case, in accordance with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of the Merger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both"/>
        <w:ind w:firstLine="648"/>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pursuant to the Merger Agreement, (i) the Members have agreed to amend and restate the Existing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 its entirety as set forth herein and (ii) WM Technology, Inc., by its execution and delivery of this Agreement, is hereby admitted to the Company as a Member and is hereby substituted as Managing Member, and in such capacity shall have the rights and obligations as provided in this Agreement.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premises and agreements of the parties set forth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hereby acknowledged, the Members and the Managing Member hereby agree to amend and restate the Existing Agreement to read in its entirety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1.01 Definitions</w:t>
      </w:r>
      <w:r>
        <w:rPr>
          <w:rFonts w:ascii="Arial" w:cs="Arial" w:eastAsia="Arial" w:hAnsi="Arial"/>
          <w:sz w:val="22"/>
          <w:szCs w:val="22"/>
          <w:color w:val="auto"/>
        </w:rPr>
        <w:t>. Capitalized terms used herein without definition have the following meanings (such meanings being</w:t>
      </w:r>
      <w:r>
        <w:rPr>
          <w:rFonts w:ascii="Arial" w:cs="Arial" w:eastAsia="Arial" w:hAnsi="Arial"/>
          <w:sz w:val="22"/>
          <w:szCs w:val="22"/>
          <w:b w:val="1"/>
          <w:bCs w:val="1"/>
          <w:color w:val="auto"/>
        </w:rPr>
        <w:t xml:space="preserve"> </w:t>
      </w:r>
      <w:r>
        <w:rPr>
          <w:rFonts w:ascii="Arial" w:cs="Arial" w:eastAsia="Arial" w:hAnsi="Arial"/>
          <w:sz w:val="22"/>
          <w:szCs w:val="22"/>
          <w:color w:val="auto"/>
        </w:rPr>
        <w:t>equally applicable to both the singular and plural form of the terms defined):</w:t>
      </w:r>
    </w:p>
    <w:p>
      <w:pPr>
        <w:spacing w:after="0" w:line="19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Act</w:t>
      </w:r>
      <w:r>
        <w:rPr>
          <w:rFonts w:ascii="Arial" w:cs="Arial" w:eastAsia="Arial" w:hAnsi="Arial"/>
          <w:sz w:val="22"/>
          <w:szCs w:val="22"/>
          <w:color w:val="auto"/>
        </w:rPr>
        <w:t>” means, the Delaware Limited Liability Company Act, 6 Del. C. Section 18-101, et seq., as it may be amended from time to time.</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Capital Account Balance</w:t>
      </w:r>
      <w:r>
        <w:rPr>
          <w:rFonts w:ascii="Arial" w:cs="Arial" w:eastAsia="Arial" w:hAnsi="Arial"/>
          <w:sz w:val="19"/>
          <w:szCs w:val="19"/>
          <w:color w:val="auto"/>
        </w:rPr>
        <w:t>” means, with respect to each Member, the balance in such Member’s Capital Account adjusted (i) by 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(5), and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21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with respect to a specified Person, any other Person that directly, or indirectly through one or more intermediaries, Controls, is Controlled by, or is under common Control with, such specified Person.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preamble of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Assignee</w:t>
      </w:r>
      <w:r>
        <w:rPr>
          <w:rFonts w:ascii="Arial" w:cs="Arial" w:eastAsia="Arial" w:hAnsi="Arial"/>
          <w:sz w:val="22"/>
          <w:szCs w:val="22"/>
          <w:color w:val="auto"/>
        </w:rPr>
        <w:t>” has the meaning set forth in Section 8.05.</w:t>
      </w:r>
    </w:p>
    <w:p>
      <w:pPr>
        <w:spacing w:after="0" w:line="23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Assumed Tax Rate</w:t>
      </w:r>
      <w:r>
        <w:rPr>
          <w:rFonts w:ascii="Arial" w:cs="Arial" w:eastAsia="Arial" w:hAnsi="Arial"/>
          <w:sz w:val="19"/>
          <w:szCs w:val="19"/>
          <w:color w:val="auto"/>
        </w:rPr>
        <w:t>” means the highest effective marginal combined U.S. federal, state and local income tax rate (including, without limitation, the tax imposed under Section 1411 of the Code on net investment income) for a Fiscal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but not taking into account any deduction under Section 199A of the Code or any similar state or local law), as determined in good faith by the Managing Member. For the avoidance of doubt, the Assumed Tax Rate shall be the same for all Members.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both"/>
        <w:ind w:firstLine="135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Cash</w:t>
      </w:r>
      <w:r>
        <w:rPr>
          <w:rFonts w:ascii="Arial" w:cs="Arial" w:eastAsia="Arial" w:hAnsi="Arial"/>
          <w:sz w:val="19"/>
          <w:szCs w:val="19"/>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Managing Member.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Account</w:t>
      </w:r>
      <w:r>
        <w:rPr>
          <w:rFonts w:ascii="Arial" w:cs="Arial" w:eastAsia="Arial" w:hAnsi="Arial"/>
          <w:sz w:val="19"/>
          <w:szCs w:val="19"/>
          <w:color w:val="auto"/>
        </w:rPr>
        <w:t xml:space="preserve">” means the separate capital account maintained for each Member in accordance with </w:t>
      </w:r>
      <w:r>
        <w:rPr>
          <w:rFonts w:ascii="Arial" w:cs="Arial" w:eastAsia="Arial" w:hAnsi="Arial"/>
          <w:sz w:val="19"/>
          <w:szCs w:val="19"/>
          <w:b w:val="1"/>
          <w:bCs w:val="1"/>
          <w:i w:val="1"/>
          <w:iCs w:val="1"/>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5.03 </w:t>
      </w:r>
      <w:r>
        <w:rPr>
          <w:rFonts w:ascii="Arial" w:cs="Arial" w:eastAsia="Arial" w:hAnsi="Arial"/>
          <w:sz w:val="22"/>
          <w:szCs w:val="22"/>
          <w:color w:val="auto"/>
        </w:rPr>
        <w:t>hereof.</w:t>
      </w:r>
    </w:p>
    <w:p>
      <w:pPr>
        <w:spacing w:after="0" w:line="21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 Contribution</w:t>
      </w:r>
      <w:r>
        <w:rPr>
          <w:rFonts w:ascii="Arial" w:cs="Arial" w:eastAsia="Arial" w:hAnsi="Arial"/>
          <w:sz w:val="21"/>
          <w:szCs w:val="21"/>
          <w:color w:val="auto"/>
        </w:rPr>
        <w:t xml:space="preserve">” means, with respect to any Member, the aggregate amount of money contributed to the Company and the initial Carrying Value of any property (other than money), net of any liabilities assumed by the Company upon contribution or to which such property is subject, contributed to the Company pursuant to </w:t>
      </w:r>
      <w:r>
        <w:rPr>
          <w:rFonts w:ascii="Arial" w:cs="Arial" w:eastAsia="Arial" w:hAnsi="Arial"/>
          <w:sz w:val="21"/>
          <w:szCs w:val="21"/>
          <w:b w:val="1"/>
          <w:bCs w:val="1"/>
          <w:i w:val="1"/>
          <w:iCs w:val="1"/>
          <w:color w:val="auto"/>
        </w:rPr>
        <w:t>Article V</w:t>
      </w:r>
      <w:r>
        <w:rPr>
          <w:rFonts w:ascii="Arial" w:cs="Arial" w:eastAsia="Arial" w:hAnsi="Arial"/>
          <w:sz w:val="21"/>
          <w:szCs w:val="21"/>
          <w:color w:val="auto"/>
        </w:rPr>
        <w:t>.</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Carrying Value</w:t>
      </w:r>
      <w:r>
        <w:rPr>
          <w:rFonts w:ascii="Arial" w:cs="Arial" w:eastAsia="Arial" w:hAnsi="Arial"/>
          <w:sz w:val="19"/>
          <w:szCs w:val="19"/>
          <w:color w:val="auto"/>
        </w:rPr>
        <w:t xml:space="preserve">” means, with respect to any Company asset, the asset’s adjusted basis for U.S. federal income tax purposes, except that the initial carrying value of assets contributed to the Company shall be their respective gross fair market values on the date of contribution as determined by the Managing Member in its reasonable discretion, and the Carrying Values of all Company assets shall be adjusted to equal their respective fair market values, in accordance with the rules set forth in Treasury Regulation Section 1.704-1(b)(2)(iv)(f), except as otherwise provided herein, as of: (a) the date of the acquisition of any additional limited liability company interest in the Company by any new or existing Member in exchange for more than a de minimis Capital Contribution; (b) the date of the distribution of more than a de minimis amount of Company assets to a Member as consideration for an interest in the Company; (c) the liquidation of the Company within the meaning of Treasury Regulations Section 1.704-1(b)(2)(ii)(g); (d)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(e) the acquisition of an interest in the Company upon the exercise of a noncompensatory option in accordance with Treasury Regulations Section 1.704-1(b)(2)(iv) (s); (f) on the Effective Date in connection with the closing of the transactions contemplated by the Merger Agreement, or (g) any other date specified in the Treasury Regulations;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adjustments pursuant to clauses (a), (b), (d) (other than the issuance of LTIP Units) and (f) above shall be made only if such adjustments are deemed necessary or appropriate by the Managing Member in its reasonable discretion to reflect the relative economic interests of the Members; and </w:t>
      </w:r>
      <w:r>
        <w:rPr>
          <w:rFonts w:ascii="Arial" w:cs="Arial" w:eastAsia="Arial" w:hAnsi="Arial"/>
          <w:sz w:val="19"/>
          <w:szCs w:val="19"/>
          <w:i w:val="1"/>
          <w:iCs w:val="1"/>
          <w:color w:val="auto"/>
        </w:rPr>
        <w:t>provided further</w:t>
      </w:r>
      <w:r>
        <w:rPr>
          <w:rFonts w:ascii="Arial" w:cs="Arial" w:eastAsia="Arial" w:hAnsi="Arial"/>
          <w:sz w:val="19"/>
          <w:szCs w:val="19"/>
          <w:color w:val="auto"/>
        </w:rPr>
        <w:t>, if any noncompensatory option is outstanding, Carrying Values shall be adjusted in accordance with Treasury Regulations Sections 1.704-1(b)(2)(iv)(f)(1) and 1.704-1(b)(2)(iv)(h)(2). The Carrying Value of any Company asset distributed to any Member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w:t>
      </w:r>
      <w:r>
        <w:rPr>
          <w:rFonts w:ascii="Arial" w:cs="Arial" w:eastAsia="Arial" w:hAnsi="Arial"/>
          <w:sz w:val="19"/>
          <w:szCs w:val="19"/>
          <w:b w:val="1"/>
          <w:bCs w:val="1"/>
          <w:i w:val="1"/>
          <w:iCs w:val="1"/>
          <w:color w:val="auto"/>
        </w:rPr>
        <w:t>Profits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rather than the amount of depreciation determined for U.S. federal income tax purposes, and depreciation shall be calculated by reference to Carrying Value rather than tax basis once Carrying Value differs from tax basis. The Carrying Value of Company assets shall be increased (or decreased) to reflect any adjustments to the adjusted basis of such assets pursuant to Code Section 734(b), but only to the extent that such adjustments are taken into account in determining Capital Accounts pursuant to Treasury Regulations Section 1.704-1(b)(2)(iv)(m); </w:t>
      </w:r>
      <w:r>
        <w:rPr>
          <w:rFonts w:ascii="Arial" w:cs="Arial" w:eastAsia="Arial" w:hAnsi="Arial"/>
          <w:sz w:val="19"/>
          <w:szCs w:val="19"/>
          <w:i w:val="1"/>
          <w:iCs w:val="1"/>
          <w:color w:val="auto"/>
        </w:rPr>
        <w:t>provided</w:t>
      </w:r>
      <w:r>
        <w:rPr>
          <w:rFonts w:ascii="Arial" w:cs="Arial" w:eastAsia="Arial" w:hAnsi="Arial"/>
          <w:sz w:val="19"/>
          <w:szCs w:val="19"/>
          <w:color w:val="auto"/>
        </w:rPr>
        <w:t>, however, that Carrying Values shall not be adjusted pursuant to this sentence to the extent that the Managing Member reasonably determines that an adjustment pursuant to the first sentence of this definition is necessary or appropriate in connection with the transaction that would otherwise result in an adjustment pursuant to this sentence.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both"/>
        <w:ind w:right="20"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w:t>
      </w:r>
      <w:r>
        <w:rPr>
          <w:rFonts w:ascii="Arial" w:cs="Arial" w:eastAsia="Arial" w:hAnsi="Arial"/>
          <w:sz w:val="22"/>
          <w:szCs w:val="22"/>
          <w:color w:val="auto"/>
        </w:rPr>
        <w:t>” means the Certificate of Formation of the Company as filed in the office of the Secretary of State of the State of Delaware on September 4, 2014, as amended.</w:t>
      </w:r>
    </w:p>
    <w:p>
      <w:pPr>
        <w:spacing w:after="0" w:line="20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Class</w:t>
      </w:r>
      <w:r>
        <w:rPr>
          <w:rFonts w:ascii="Arial" w:cs="Arial" w:eastAsia="Arial" w:hAnsi="Arial"/>
          <w:sz w:val="21"/>
          <w:szCs w:val="21"/>
          <w:color w:val="auto"/>
        </w:rPr>
        <w:t>” means the classes of Units into which the limited liability company interests in the Company may be classified or divided from time to time by the Managing Member pursuant to the provisions of this Agreement. As of the date of this Agreement the only Classes are the Class A Units and Class P Units. Subclasses within a Class shall not be separate Classes for purposes of this Agreement. For all purposes hereunder and under the Act, only such Classes expressly established under this Agreement, including by the Managing Member in accordance with this Agreement, shall be deemed to be a class of limited liability company interests in the Company. For the avoidance of doubt, to the extent that the Managing Member holds limited liability company interests of any Class, the Managing Member shall not be deemed to hold a separate Class of such interests from any other Member because it is the Managing Member.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A Common Stock</w:t>
      </w:r>
      <w:r>
        <w:rPr>
          <w:rFonts w:ascii="Arial" w:cs="Arial" w:eastAsia="Arial" w:hAnsi="Arial"/>
          <w:sz w:val="19"/>
          <w:szCs w:val="19"/>
          <w:color w:val="auto"/>
        </w:rPr>
        <w:t>” means the Class A common stock of the Managing Member, par value $0.0001 per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21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Class A Percentage Interest</w:t>
      </w:r>
      <w:r>
        <w:rPr>
          <w:rFonts w:ascii="Arial" w:cs="Arial" w:eastAsia="Arial" w:hAnsi="Arial"/>
          <w:sz w:val="21"/>
          <w:szCs w:val="21"/>
          <w:color w:val="auto"/>
        </w:rPr>
        <w:t xml:space="preserve">” means, with respect to any Member, the quotient obtained by dividing the aggregate number of Class A Units then owned by such Member by the aggregate number of Class A Units then owned by all Members;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Unvested Units shall not be taken into account in determining such quotient.</w:t>
      </w:r>
    </w:p>
    <w:p>
      <w:pPr>
        <w:spacing w:after="0" w:line="19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A/LTIP Percentage Interest</w:t>
      </w:r>
      <w:r>
        <w:rPr>
          <w:rFonts w:ascii="Arial" w:cs="Arial" w:eastAsia="Arial" w:hAnsi="Arial"/>
          <w:sz w:val="22"/>
          <w:szCs w:val="22"/>
          <w:color w:val="auto"/>
        </w:rPr>
        <w:t xml:space="preserve">” means, with respect to any Member, the quotient obtained by dividing the aggregate number of Class A Units and LTIP Units then owned by such Member by the aggregate number of Class A Units and LTIP Units then owned by all Members;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Unvested Units shall not be taken into account in determining such quotient.</w:t>
      </w:r>
    </w:p>
    <w:p>
      <w:pPr>
        <w:spacing w:after="0" w:line="21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means the Units of limited liability company interest in the Company designated as the “</w:t>
      </w:r>
      <w:r>
        <w:rPr>
          <w:rFonts w:ascii="Arial" w:cs="Arial" w:eastAsia="Arial" w:hAnsi="Arial"/>
          <w:sz w:val="22"/>
          <w:szCs w:val="22"/>
          <w:b w:val="1"/>
          <w:bCs w:val="1"/>
          <w:i w:val="1"/>
          <w:iCs w:val="1"/>
          <w:color w:val="auto"/>
        </w:rPr>
        <w:t>Class A</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herein and having the rights pertaining thereto as are set forth in this Agreement.</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 Capital Account Amount</w:t>
      </w:r>
      <w:r>
        <w:rPr>
          <w:rFonts w:ascii="Arial" w:cs="Arial" w:eastAsia="Arial" w:hAnsi="Arial"/>
          <w:sz w:val="22"/>
          <w:szCs w:val="22"/>
          <w:color w:val="auto"/>
        </w:rPr>
        <w:t>” means, from time to time, the Capital Account a Member would have if such Member held a single Class A Unit.</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P Units</w:t>
      </w:r>
      <w:r>
        <w:rPr>
          <w:rFonts w:ascii="Arial" w:cs="Arial" w:eastAsia="Arial" w:hAnsi="Arial"/>
          <w:sz w:val="22"/>
          <w:szCs w:val="22"/>
          <w:color w:val="auto"/>
        </w:rPr>
        <w:t>” means the Units of limited liability company interest in the Company designated as the “</w:t>
      </w:r>
      <w:r>
        <w:rPr>
          <w:rFonts w:ascii="Arial" w:cs="Arial" w:eastAsia="Arial" w:hAnsi="Arial"/>
          <w:sz w:val="22"/>
          <w:szCs w:val="22"/>
          <w:b w:val="1"/>
          <w:bCs w:val="1"/>
          <w:i w:val="1"/>
          <w:iCs w:val="1"/>
          <w:color w:val="auto"/>
        </w:rPr>
        <w:t>Class P</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herein and having the rights pertaining thereto as are set forth in this Agreement.</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P Unit Agreement</w:t>
      </w:r>
      <w:r>
        <w:rPr>
          <w:rFonts w:ascii="Arial" w:cs="Arial" w:eastAsia="Arial" w:hAnsi="Arial"/>
          <w:sz w:val="22"/>
          <w:szCs w:val="22"/>
          <w:color w:val="auto"/>
        </w:rPr>
        <w:t>” means a Class P Unit Agreement between the Company and a Management Member as in effect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V Common Stock</w:t>
      </w:r>
      <w:r>
        <w:rPr>
          <w:rFonts w:ascii="Arial" w:cs="Arial" w:eastAsia="Arial" w:hAnsi="Arial"/>
          <w:sz w:val="22"/>
          <w:szCs w:val="22"/>
          <w:color w:val="auto"/>
        </w:rPr>
        <w:t>” has the meaning set forth in the Managing Member Charter.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from time to time.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the meaning set forth in the preamble of this Agreement.</w:t>
      </w:r>
    </w:p>
    <w:p>
      <w:pPr>
        <w:spacing w:after="0" w:line="233"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Minimum Gain</w:t>
      </w:r>
      <w:r>
        <w:rPr>
          <w:rFonts w:ascii="Arial" w:cs="Arial" w:eastAsia="Arial" w:hAnsi="Arial"/>
          <w:sz w:val="22"/>
          <w:szCs w:val="22"/>
          <w:color w:val="auto"/>
        </w:rPr>
        <w:t>” has the meaning ascribed to the term “partnership minimum gain” set forth in Treasury Regulations Sections 1.704-2(b)(2) and 1.704-2(d).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Competing Activity</w:t>
      </w:r>
      <w:r>
        <w:rPr>
          <w:rFonts w:ascii="Arial" w:cs="Arial" w:eastAsia="Arial" w:hAnsi="Arial"/>
          <w:sz w:val="19"/>
          <w:szCs w:val="19"/>
          <w:color w:val="auto"/>
        </w:rPr>
        <w:t>” means (a) any type of business activity or operation which relates, directly or indirectly, or is otherwise competitive with, any of the businesses of the Company or any Affiliate of the Company, as such businesses may be conducted (or contemplated to be conducted) from time to time (including, for the avoidance of doubt) any promotional, service provider or any other type of remuneration-providing (whether monetary, in-kind or otherwise) relationship with any entity, business, company, enterprise, joint venture or other business which relates, directly or indirectly, or is otherwise competitive with, any of the businesses of the Company or any Affiliate of the Company, as such businesses may be conducted (or contemplated to be conducted) from time to time); (b) the direct or indirect ownership, receipt or holding of any Equity Interest, debt securities or other financial interest in any entity, business, company, enterprise, joint venture or other business which relates, directly or indirectly, or is otherwise competitive with, any of the businesses of the Company or any Affiliate of the Company, as such businesses may be conducted (or contemplated to be conducted) from time to time; or (c) engagement in any activity which has the general effect of being materially detrimental to the business, profitability or prospects of the Company or any Affiliate of the Company. Notwithstanding the foregoing, “Competing Activity,” as such term is applied to any Management Member, shall not include any activity disclosed to the Managing Member by such Management Member and preapproved in writing by the Managing Member in the Managing Member’s sole and absolute discretion.</w:t>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Contingencies</w:t>
      </w:r>
      <w:r>
        <w:rPr>
          <w:rFonts w:ascii="Arial" w:cs="Arial" w:eastAsia="Arial" w:hAnsi="Arial"/>
          <w:sz w:val="22"/>
          <w:szCs w:val="22"/>
          <w:color w:val="auto"/>
        </w:rPr>
        <w:t>” has the meaning set forth in Section 9.03(a).</w:t>
      </w:r>
    </w:p>
    <w:p>
      <w:pPr>
        <w:spacing w:after="0" w:line="23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21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Transaction</w:t>
      </w:r>
      <w:r>
        <w:rPr>
          <w:rFonts w:ascii="Arial" w:cs="Arial" w:eastAsia="Arial" w:hAnsi="Arial"/>
          <w:sz w:val="22"/>
          <w:szCs w:val="22"/>
          <w:color w:val="auto"/>
        </w:rPr>
        <w:t xml:space="preserve"> ” means any liquidation, dissolution or winding up of the Company (whether occurring through one transaction or a series of related transactions, and whether voluntary or involuntary) and any other sale, redemption or Transfer of Units.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Individual</w:t>
      </w:r>
      <w:r>
        <w:rPr>
          <w:rFonts w:ascii="Arial" w:cs="Arial" w:eastAsia="Arial" w:hAnsi="Arial"/>
          <w:sz w:val="22"/>
          <w:szCs w:val="22"/>
          <w:color w:val="auto"/>
        </w:rPr>
        <w:t>” has the meaning set forth in Section 5.08.</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the inability of a Person to exercise his or her rights or fulfill his or her obligations to the Company or its Affiliates on account of medically determinable physical or mental illness or incapacity for a period of one-hundred eighty (180) consecutive days or any one-hundred eight (180) days in any twelve (12)-month period, as determined by the Managing Member.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Disabling Event</w:t>
      </w:r>
      <w:r>
        <w:rPr>
          <w:rFonts w:ascii="Arial" w:cs="Arial" w:eastAsia="Arial" w:hAnsi="Arial"/>
          <w:sz w:val="21"/>
          <w:szCs w:val="21"/>
          <w:color w:val="auto"/>
        </w:rPr>
        <w:t>” means the Managing Member ceasing to be the Managing Member of the Company.</w:t>
      </w:r>
    </w:p>
    <w:p>
      <w:pPr>
        <w:spacing w:after="0" w:line="24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Earnout Company Units</w:t>
      </w:r>
      <w:r>
        <w:rPr>
          <w:rFonts w:ascii="Arial" w:cs="Arial" w:eastAsia="Arial" w:hAnsi="Arial"/>
          <w:sz w:val="22"/>
          <w:szCs w:val="22"/>
          <w:color w:val="auto"/>
        </w:rPr>
        <w:t>” has the meaning set forth in the Sponsor Letter Agreement. The Earnout Company Units issued and outstanding as of the Closing Date (as defined in the Merger Agreement) are held by the Managing Member, designated as such as set forth in Schedule I attached hereto.</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has the meaning set forth in the preamble of this Agreement.</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Class P Unit</w:t>
      </w:r>
      <w:r>
        <w:rPr>
          <w:rFonts w:ascii="Arial" w:cs="Arial" w:eastAsia="Arial" w:hAnsi="Arial"/>
          <w:sz w:val="22"/>
          <w:szCs w:val="22"/>
          <w:color w:val="auto"/>
        </w:rPr>
        <w:t>” means a Class P Unit, the Participation Threshold of which is zero (taking into account any adjustments described in clauses (i) and (ii) of Section 7.05(e)).</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Encumbrance</w:t>
      </w:r>
      <w:r>
        <w:rPr>
          <w:rFonts w:ascii="Arial" w:cs="Arial" w:eastAsia="Arial" w:hAnsi="Arial"/>
          <w:sz w:val="22"/>
          <w:szCs w:val="22"/>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Equitized LTIP Series</w:t>
      </w:r>
      <w:r>
        <w:rPr>
          <w:rFonts w:ascii="Arial" w:cs="Arial" w:eastAsia="Arial" w:hAnsi="Arial"/>
          <w:sz w:val="22"/>
          <w:szCs w:val="22"/>
          <w:color w:val="auto"/>
        </w:rPr>
        <w:t>” means an LTIP Series composed of Equitized LTIP Series Units.</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Equitized LTIP Series Units</w:t>
      </w:r>
      <w:r>
        <w:rPr>
          <w:rFonts w:ascii="Arial" w:cs="Arial" w:eastAsia="Arial" w:hAnsi="Arial"/>
          <w:sz w:val="22"/>
          <w:szCs w:val="22"/>
          <w:color w:val="auto"/>
        </w:rPr>
        <w:t>” has the meaning set forth in Section 5.03(b).</w:t>
      </w:r>
    </w:p>
    <w:p>
      <w:pPr>
        <w:spacing w:after="0" w:line="23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Agreement</w:t>
      </w:r>
      <w:r>
        <w:rPr>
          <w:rFonts w:ascii="Arial" w:cs="Arial" w:eastAsia="Arial" w:hAnsi="Arial"/>
          <w:sz w:val="22"/>
          <w:szCs w:val="22"/>
          <w:color w:val="auto"/>
        </w:rPr>
        <w:t>” means the exchange agreement dated as of or about the date hereof among the Company, Managing Member, the other Members of the Company from time to time party thereto, and the other parties thereto, as amended from time to time.</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Transaction</w:t>
      </w:r>
      <w:r>
        <w:rPr>
          <w:rFonts w:ascii="Arial" w:cs="Arial" w:eastAsia="Arial" w:hAnsi="Arial"/>
          <w:sz w:val="22"/>
          <w:szCs w:val="22"/>
          <w:color w:val="auto"/>
        </w:rPr>
        <w:t>” means an exchange of (i) Class A Units and Class V Common Stock, or (ii) Class P Units that are Vested Units which are exchanged for Class A Units, in each case for shares of Class A Common Stock of the Managing Member pursuant to, and in accordance with, the Exchange Agreement (including pursuant to a Direct Exchange (as defined in the Exchange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Existing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Family Group</w:t>
      </w:r>
      <w:r>
        <w:rPr>
          <w:rFonts w:ascii="Arial" w:cs="Arial" w:eastAsia="Arial" w:hAnsi="Arial"/>
          <w:sz w:val="19"/>
          <w:szCs w:val="19"/>
          <w:color w:val="auto"/>
        </w:rPr>
        <w:t>” means, with respect to a Person who is an individual, (a) such Person’s spouse and direct descendants (whether natural or adopted) (collectively, for purposes of this definition, “</w:t>
      </w:r>
      <w:r>
        <w:rPr>
          <w:rFonts w:ascii="Arial" w:cs="Arial" w:eastAsia="Arial" w:hAnsi="Arial"/>
          <w:sz w:val="19"/>
          <w:szCs w:val="19"/>
          <w:b w:val="1"/>
          <w:bCs w:val="1"/>
          <w:i w:val="1"/>
          <w:iCs w:val="1"/>
          <w:color w:val="auto"/>
        </w:rPr>
        <w:t>relatives</w:t>
      </w:r>
      <w:r>
        <w:rPr>
          <w:rFonts w:ascii="Arial" w:cs="Arial" w:eastAsia="Arial" w:hAnsi="Arial"/>
          <w:sz w:val="19"/>
          <w:szCs w:val="19"/>
          <w:color w:val="auto"/>
        </w:rPr>
        <w:t>”), and (b) any trust, the trustee of which is such Person and which at all times is and remains solely for the benefit of such Person and/or such Person’s relatives.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A&amp;R Operating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Fiscal Year</w:t>
      </w:r>
      <w:r>
        <w:rPr>
          <w:rFonts w:ascii="Arial" w:cs="Arial" w:eastAsia="Arial" w:hAnsi="Arial"/>
          <w:sz w:val="22"/>
          <w:szCs w:val="22"/>
          <w:color w:val="auto"/>
        </w:rPr>
        <w:t xml:space="preserve">” means, unless otherwise determined by the Managing Member in its sole discretion in accordance with </w:t>
      </w:r>
      <w:r>
        <w:rPr>
          <w:rFonts w:ascii="Arial" w:cs="Arial" w:eastAsia="Arial" w:hAnsi="Arial"/>
          <w:sz w:val="22"/>
          <w:szCs w:val="22"/>
          <w:b w:val="1"/>
          <w:bCs w:val="1"/>
          <w:i w:val="1"/>
          <w:iCs w:val="1"/>
          <w:color w:val="auto"/>
        </w:rPr>
        <w:t>Section 11.12</w:t>
      </w:r>
      <w:r>
        <w:rPr>
          <w:rFonts w:ascii="Arial" w:cs="Arial" w:eastAsia="Arial" w:hAnsi="Arial"/>
          <w:sz w:val="22"/>
          <w:szCs w:val="22"/>
          <w:color w:val="auto"/>
        </w:rPr>
        <w:t>, any twelve-month period commencing on January 1 and ending on December 31.</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accounting principles generally accepted in the United States of America as in effect from time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Incapacity</w:t>
      </w:r>
      <w:r>
        <w:rPr>
          <w:rFonts w:ascii="Arial" w:cs="Arial" w:eastAsia="Arial" w:hAnsi="Arial"/>
          <w:sz w:val="21"/>
          <w:szCs w:val="21"/>
          <w:color w:val="auto"/>
        </w:rPr>
        <w:t>” means, with respect to any Person, the bankruptcy, dissolution, termination of such Person.</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“Income Amount</w:t>
      </w:r>
      <w:r>
        <w:rPr>
          <w:rFonts w:ascii="Arial" w:cs="Arial" w:eastAsia="Arial" w:hAnsi="Arial"/>
          <w:sz w:val="22"/>
          <w:szCs w:val="22"/>
          <w:color w:val="auto"/>
        </w:rPr>
        <w:t>” has the meaning set forth in Section 4.01(c)(ii).</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means (a) the Managing Member, (b) any additional or substitute Managing Member, (c) any Person who is or was a Partnership Representative, officer or director of the Managing Member or any additional or substitute Managing Member, (d) any Person that is required to be indemnified by the Managing Member as an “indemnitee” in accordance with the certificate of incorporation and/or bylaws of the Managing Member as in effect from time to time, (e) any officer or director of the Managing Member or any additional or substitute Managing Member who is or was serving at the request of the Managing Member or any additional or substitute Managing Member as an officer, director, employee, member, Member, Partnership Representative, agent, fiduciary or trustee of another Person; provided, that a Person shall not be an Indemnitee by reason of providing, on a fee-for-services basis, trustee, fiduciary or custodial services, (f) any Officer, (g) any other Person the Managing Member in its sole discretion designates as an “Indemnitee” for purposes of this Agreement, (h) any former officer or Manager of the Company pursuant to Section 9.02 of the Merger Agreement and (i) any heir, executor or administrator with respect to Persons named in clauses (a) through (h).</w:t>
      </w:r>
    </w:p>
    <w:p>
      <w:pPr>
        <w:spacing w:after="0" w:line="200" w:lineRule="exact"/>
        <w:rPr>
          <w:sz w:val="20"/>
          <w:szCs w:val="20"/>
          <w:color w:val="auto"/>
        </w:rPr>
      </w:pPr>
    </w:p>
    <w:p>
      <w:pPr>
        <w:spacing w:after="0" w:line="231" w:lineRule="exact"/>
        <w:rPr>
          <w:sz w:val="20"/>
          <w:szCs w:val="20"/>
          <w:color w:val="auto"/>
        </w:rPr>
      </w:pPr>
    </w:p>
    <w:p>
      <w:pPr>
        <w:jc w:val="both"/>
        <w:ind w:firstLine="135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Agent</w:t>
      </w:r>
      <w:r>
        <w:rPr>
          <w:rFonts w:ascii="Arial" w:cs="Arial" w:eastAsia="Arial" w:hAnsi="Arial"/>
          <w:sz w:val="22"/>
          <w:szCs w:val="22"/>
          <w:color w:val="auto"/>
        </w:rPr>
        <w:t>” has the meaning set forth in Section 9.03.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LTIP Series Sub-Account</w:t>
      </w:r>
      <w:r>
        <w:rPr>
          <w:rFonts w:ascii="Arial" w:cs="Arial" w:eastAsia="Arial" w:hAnsi="Arial"/>
          <w:sz w:val="22"/>
          <w:szCs w:val="22"/>
          <w:color w:val="auto"/>
        </w:rPr>
        <w:t>” has the meaning set forth in Section 5.03(b).</w:t>
      </w:r>
    </w:p>
    <w:p>
      <w:pPr>
        <w:spacing w:after="0" w:line="23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LTIP Unit</w:t>
      </w:r>
      <w:r>
        <w:rPr>
          <w:rFonts w:ascii="Arial" w:cs="Arial" w:eastAsia="Arial" w:hAnsi="Arial"/>
          <w:sz w:val="21"/>
          <w:szCs w:val="21"/>
          <w:color w:val="auto"/>
        </w:rPr>
        <w:t>” means a Unit which is designated as an LTIP Unit in the relevant Vesting Agreement or other documentation pursuant to which such LTIP Unit is granted or issued, having the rights, powers, privileges, restrictions, qualifications and limitations set forth in Schedule II hereto or in this Agreement in respect of the holder, as well as the relevant Vesting Agreement or other documentation pursuant to which such LTIP Unit is granted or issued. LTIP Units that are issued on the same date shall be designated as one or more separate series of LTIP Units (each such series, an “</w:t>
      </w:r>
      <w:r>
        <w:rPr>
          <w:rFonts w:ascii="Arial" w:cs="Arial" w:eastAsia="Arial" w:hAnsi="Arial"/>
          <w:sz w:val="21"/>
          <w:szCs w:val="21"/>
          <w:b w:val="1"/>
          <w:bCs w:val="1"/>
          <w:i w:val="1"/>
          <w:iCs w:val="1"/>
          <w:color w:val="auto"/>
        </w:rPr>
        <w:t>LTIP Series</w:t>
      </w:r>
      <w:r>
        <w:rPr>
          <w:rFonts w:ascii="Arial" w:cs="Arial" w:eastAsia="Arial" w:hAnsi="Arial"/>
          <w:sz w:val="21"/>
          <w:szCs w:val="21"/>
          <w:color w:val="auto"/>
        </w:rPr>
        <w:t>” and any LTIP Unit in respect of a given series, an “</w:t>
      </w:r>
      <w:r>
        <w:rPr>
          <w:rFonts w:ascii="Arial" w:cs="Arial" w:eastAsia="Arial" w:hAnsi="Arial"/>
          <w:sz w:val="21"/>
          <w:szCs w:val="21"/>
          <w:b w:val="1"/>
          <w:bCs w:val="1"/>
          <w:i w:val="1"/>
          <w:iCs w:val="1"/>
          <w:color w:val="auto"/>
        </w:rPr>
        <w:t>LTIP Series Unit</w:t>
      </w:r>
      <w:r>
        <w:rPr>
          <w:rFonts w:ascii="Arial" w:cs="Arial" w:eastAsia="Arial" w:hAnsi="Arial"/>
          <w:sz w:val="21"/>
          <w:szCs w:val="21"/>
          <w:color w:val="auto"/>
        </w:rPr>
        <w: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LTIP Unit Member</w:t>
      </w:r>
      <w:r>
        <w:rPr>
          <w:rFonts w:ascii="Arial" w:cs="Arial" w:eastAsia="Arial" w:hAnsi="Arial"/>
          <w:sz w:val="19"/>
          <w:szCs w:val="19"/>
          <w:color w:val="auto"/>
        </w:rPr>
        <w:t>” means any Person that holds LTIP Units or Class A Units resulting from a conversion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LTIP Units.</w:t>
      </w:r>
    </w:p>
    <w:p>
      <w:pPr>
        <w:spacing w:after="0" w:line="21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Malfeasance</w:t>
      </w:r>
      <w:r>
        <w:rPr>
          <w:rFonts w:ascii="Arial" w:cs="Arial" w:eastAsia="Arial" w:hAnsi="Arial"/>
          <w:sz w:val="19"/>
          <w:szCs w:val="19"/>
          <w:color w:val="auto"/>
        </w:rPr>
        <w:t>” has the meaning set forth in the applicable Service Provider’s individual agreement (including any employment agreement, offer letter, severance agreement or equity award agreement) and, if no individual agreement exists, it shall mean (a) any act of fraud, embezzlement, theft, dishonesty, or any misappropriation of any amount of money or other assets or property of the Company or any Affiliate of the Company, or of a customer or Service Provider of the same; (b) any willful failure to perform or negligence in the performance of one’s duties or responsibilities to the Company or any Affiliate of the Company; (c) any act that brings the Company or any Affiliate of the Company into public disrepute in a manner that could material damage its business, or any other act which could have a material and adverse effect upon the business, interests or reputation of the Company or any Affiliate of the Company; (d) any conviction of, or plea of nolo contendere to, a felony or other crime involving moral turpitude; (e) any breach of any agreement with the Company or any Affiliate of the Company or any violation of any policy of the Company or any Affiliate of the Company in effect from time to time, or acting against the interest of such entities, including soliciting any present, former or future Service Provider of such entities; or (f) misuse of any confidential, secret, privileged or non-public information relating to the Company’s or of its Affiliates’ businesses. The foregoing definition shall not be deemed to be inclusive of all acts or omissions that the Company or any Affiliate of the Company may consider Malfeasance for purposes hereof or limit in any way the exercise of remedies for malfeasance under any applicable employment, consulting or service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2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Managing Member</w:t>
      </w:r>
      <w:r>
        <w:rPr>
          <w:rFonts w:ascii="Arial" w:cs="Arial" w:eastAsia="Arial" w:hAnsi="Arial"/>
          <w:sz w:val="22"/>
          <w:szCs w:val="22"/>
          <w:color w:val="auto"/>
        </w:rPr>
        <w:t>” means WM Technology, Inc., a corporation incorporated under the laws of the State of Delaware, or any successor Managing Member admitted to the Company in accordance with the terms of this Agreement, in its capacity as the managing member of the Company.</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Managing Member Charter</w:t>
      </w:r>
      <w:r>
        <w:rPr>
          <w:rFonts w:ascii="Arial" w:cs="Arial" w:eastAsia="Arial" w:hAnsi="Arial"/>
          <w:sz w:val="22"/>
          <w:szCs w:val="22"/>
          <w:color w:val="auto"/>
        </w:rPr>
        <w:t>” means the certificate of incorporation (or equivalent organizational document) as filed with the secretary of state (or equivalent governmental body or department) of the state in which the Managing Member is incorporated or formed, as applicable, as in effect and amended from time to time.</w:t>
      </w:r>
    </w:p>
    <w:p>
      <w:pPr>
        <w:spacing w:after="0" w:line="21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Mark-to-Market Gain</w:t>
      </w:r>
      <w:r>
        <w:rPr>
          <w:rFonts w:ascii="Arial" w:cs="Arial" w:eastAsia="Arial" w:hAnsi="Arial"/>
          <w:sz w:val="22"/>
          <w:szCs w:val="22"/>
          <w:color w:val="auto"/>
        </w:rPr>
        <w:t>” means gain recognized for Capital Account purposes upon an adjustment to the Carrying Value of any asset, pursuant to the definition of Carrying Value.</w:t>
      </w:r>
    </w:p>
    <w:p>
      <w:pPr>
        <w:spacing w:after="0" w:line="202"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Member</w:t>
      </w:r>
      <w:r>
        <w:rPr>
          <w:rFonts w:ascii="Arial" w:cs="Arial" w:eastAsia="Arial" w:hAnsi="Arial"/>
          <w:sz w:val="19"/>
          <w:szCs w:val="19"/>
          <w:color w:val="auto"/>
        </w:rPr>
        <w:t>” means, at any time, each person listed as a Member (including the Managing Member) on the books and records of the Company, in each case for so long as he, she or it remains a Member of the Company as provided hereunder.</w:t>
      </w:r>
    </w:p>
    <w:p>
      <w:pPr>
        <w:spacing w:after="0" w:line="13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Member Nonrecourse Debt Minimum Gain</w:t>
      </w:r>
      <w:r>
        <w:rPr>
          <w:rFonts w:ascii="Arial" w:cs="Arial" w:eastAsia="Arial" w:hAnsi="Arial"/>
          <w:sz w:val="22"/>
          <w:szCs w:val="22"/>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1.704-2(b)(3)) determined in accordance with Treasury Regulations Section 1.704-2(i)(3).</w:t>
      </w: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Member Nonrecourse Deductions</w:t>
      </w:r>
      <w:r>
        <w:rPr>
          <w:rFonts w:ascii="Arial" w:cs="Arial" w:eastAsia="Arial" w:hAnsi="Arial"/>
          <w:sz w:val="22"/>
          <w:szCs w:val="22"/>
          <w:color w:val="auto"/>
        </w:rPr>
        <w:t>” has the meaning ascribed to the term “partner nonrecourse deductions” set forth in Treasury Regulations Section 1.704-2(i)(2).</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Member’s Required Tax Distribution</w:t>
      </w:r>
      <w:r>
        <w:rPr>
          <w:rFonts w:ascii="Arial" w:cs="Arial" w:eastAsia="Arial" w:hAnsi="Arial"/>
          <w:sz w:val="22"/>
          <w:szCs w:val="22"/>
          <w:color w:val="auto"/>
        </w:rPr>
        <w:t>” has the meaning set forth in Section 4.01(c)(i).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Nonrecourse Deductions</w:t>
      </w:r>
      <w:r>
        <w:rPr>
          <w:rFonts w:ascii="Arial" w:cs="Arial" w:eastAsia="Arial" w:hAnsi="Arial"/>
          <w:sz w:val="22"/>
          <w:szCs w:val="22"/>
          <w:color w:val="auto"/>
        </w:rPr>
        <w:t>” 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each Person designated as an officer of the Company by the Managing Member pursuant to and in accordance with the provisions of Section 3.04, subject to any resolutions of the Managing Member appointing such Person as an officer of the Company or relating to such appointment.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Original Members</w:t>
      </w:r>
      <w:r>
        <w:rPr>
          <w:rFonts w:ascii="Arial" w:cs="Arial" w:eastAsia="Arial" w:hAnsi="Arial"/>
          <w:sz w:val="22"/>
          <w:szCs w:val="22"/>
          <w:color w:val="auto"/>
        </w:rPr>
        <w:t>” means the Members of the Company as of immediately prior to the Effective Time (as defined in the Merger Agreement) of the Merger.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Original Member Representative</w:t>
      </w:r>
      <w:r>
        <w:rPr>
          <w:rFonts w:ascii="Arial" w:cs="Arial" w:eastAsia="Arial" w:hAnsi="Arial"/>
          <w:sz w:val="19"/>
          <w:szCs w:val="19"/>
          <w:color w:val="auto"/>
        </w:rPr>
        <w:t>” means Ghost Media Group, LLC or such other Person as may be appointed from time to time by holders of a majority of Units held by Original Members who hold Units at the time of determination.</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Participating Employee Unit</w:t>
      </w:r>
      <w:r>
        <w:rPr>
          <w:rFonts w:ascii="Arial" w:cs="Arial" w:eastAsia="Arial" w:hAnsi="Arial"/>
          <w:sz w:val="19"/>
          <w:szCs w:val="19"/>
          <w:color w:val="auto"/>
        </w:rPr>
        <w:t>” means any Class P Unit that is both (i) an Eligible Class P Unit and (ii) a Vested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Unit.</w:t>
      </w:r>
    </w:p>
    <w:p>
      <w:pPr>
        <w:spacing w:after="0" w:line="21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Participating Unit</w:t>
      </w:r>
      <w:r>
        <w:rPr>
          <w:rFonts w:ascii="Arial" w:cs="Arial" w:eastAsia="Arial" w:hAnsi="Arial"/>
          <w:sz w:val="22"/>
          <w:szCs w:val="22"/>
          <w:color w:val="auto"/>
        </w:rPr>
        <w:t>” means, with respect to any Distribution (or other allocation of proceeds) pursuant to Section 4.01(a) or Section 4.02 hereof, any Unit, other than (a) LTIP Units and (b) any Class P Unit that is not a Participating Employee Unit.</w:t>
      </w:r>
    </w:p>
    <w:p>
      <w:pPr>
        <w:spacing w:after="0" w:line="21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Representative</w:t>
      </w:r>
      <w:r>
        <w:rPr>
          <w:rFonts w:ascii="Arial" w:cs="Arial" w:eastAsia="Arial" w:hAnsi="Arial"/>
          <w:sz w:val="22"/>
          <w:szCs w:val="22"/>
          <w:color w:val="auto"/>
        </w:rPr>
        <w:t>” has means any Person acting as “tax matters partner” or the “partnership representative” pursuant to Section 5.08.</w:t>
      </w:r>
    </w:p>
    <w:p>
      <w:pPr>
        <w:spacing w:after="0" w:line="202"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Primary Indemnification</w:t>
      </w:r>
      <w:r>
        <w:rPr>
          <w:rFonts w:ascii="Arial" w:cs="Arial" w:eastAsia="Arial" w:hAnsi="Arial"/>
          <w:sz w:val="22"/>
          <w:szCs w:val="22"/>
          <w:color w:val="auto"/>
        </w:rPr>
        <w:t>” has the meaning set forth in Section 10.02(a).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has the meaning set forth in Section 10.02(a).</w:t>
      </w:r>
    </w:p>
    <w:p>
      <w:pPr>
        <w:spacing w:after="0" w:line="23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Profits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means, for each Fiscal Year or other period, the taxable income or loss of the Company, or particular items thereof, determined in accordance with the accounting method used by the Company for U.S. federal income tax purposes with the following adjustments: (a) all items of income, gain, loss or deduction allocated pursuant to Section 5.05 shall not be taken into account in computing such taxable income or loss (but the amounts of items to be specially allocated pursuant to Section 5.05 shall be determined by applying rules analogous to those set forth in this definition of “Profits” and “Losses”); (b) any income of the Company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U.S. federal income tax depreciation, amortization or other cost recovery deduction is zero, the Managing Member may use any reasonable method for purposes of determining depreciation, amortization or other cost recovery deductions in calculating Profits and Losses); (f) to the extent that an adjustment to the adjusted tax basis of any Company asset pursuant to Code Section 734(b) is required pursuant to Treasury Regulation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Company not deductible in computing taxable income or loss, not properly capitalizable and not otherwise taken into account in computing Profits and Losses pursuant to this definition shall be treated as deductible items.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Revised Partnership Audit Provisions</w:t>
      </w:r>
      <w:r>
        <w:rPr>
          <w:rFonts w:ascii="Arial" w:cs="Arial" w:eastAsia="Arial" w:hAnsi="Arial"/>
          <w:sz w:val="22"/>
          <w:szCs w:val="22"/>
          <w:color w:val="auto"/>
        </w:rPr>
        <w:t>” means Code Sections 6221 through 6241, as in effect for taxable years of the Company beginning after December 31, 2017, together with any subsequent amendments thereto, Treasury Regulations promulgated thereunder, and published administrative interpretations thereof, and any comparable provisions of state or local tax law.</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Second A&amp;R Operating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U.S. Securities Act of 1933, as amended, and the rules and regulations promulgated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15"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 Provider</w:t>
      </w:r>
      <w:r>
        <w:rPr>
          <w:rFonts w:ascii="Arial" w:cs="Arial" w:eastAsia="Arial" w:hAnsi="Arial"/>
          <w:sz w:val="19"/>
          <w:szCs w:val="19"/>
          <w:color w:val="auto"/>
        </w:rPr>
        <w:t>” means any Member (in his, her or its individual capacity) or other Person, who at the time in question, is employed by or providing services to the Managing Member, the Company or any of their respective Subsidiaries.</w:t>
      </w:r>
    </w:p>
    <w:p>
      <w:pPr>
        <w:spacing w:after="0" w:line="13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Similar Law</w:t>
      </w:r>
      <w:r>
        <w:rPr>
          <w:rFonts w:ascii="Arial" w:cs="Arial" w:eastAsia="Arial" w:hAnsi="Arial"/>
          <w:sz w:val="22"/>
          <w:szCs w:val="22"/>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21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 Letter Agreement</w:t>
      </w:r>
      <w:r>
        <w:rPr>
          <w:rFonts w:ascii="Arial" w:cs="Arial" w:eastAsia="Arial" w:hAnsi="Arial"/>
          <w:sz w:val="22"/>
          <w:szCs w:val="22"/>
          <w:color w:val="auto"/>
        </w:rPr>
        <w:t>” means that certain Sponsor Letter Agreement, dated December 10, 2020, by and between the Managing Member and the Company.</w:t>
      </w:r>
    </w:p>
    <w:p>
      <w:pPr>
        <w:spacing w:after="0" w:line="20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200" w:lineRule="exact"/>
        <w:rPr>
          <w:sz w:val="20"/>
          <w:szCs w:val="20"/>
          <w:color w:val="auto"/>
        </w:rPr>
      </w:pPr>
    </w:p>
    <w:p>
      <w:pPr>
        <w:spacing w:after="0" w:line="23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Advances</w:t>
      </w:r>
      <w:r>
        <w:rPr>
          <w:rFonts w:ascii="Arial" w:cs="Arial" w:eastAsia="Arial" w:hAnsi="Arial"/>
          <w:sz w:val="22"/>
          <w:szCs w:val="22"/>
          <w:color w:val="auto"/>
        </w:rPr>
        <w:t>” has the meaning set forth in Section 5.07.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Amount</w:t>
      </w:r>
      <w:r>
        <w:rPr>
          <w:rFonts w:ascii="Arial" w:cs="Arial" w:eastAsia="Arial" w:hAnsi="Arial"/>
          <w:sz w:val="22"/>
          <w:szCs w:val="22"/>
          <w:color w:val="auto"/>
        </w:rPr>
        <w:t>” has the meaning set forth in Section 4.01(c)(ii).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Distributions</w:t>
      </w:r>
      <w:r>
        <w:rPr>
          <w:rFonts w:ascii="Arial" w:cs="Arial" w:eastAsia="Arial" w:hAnsi="Arial"/>
          <w:sz w:val="22"/>
          <w:szCs w:val="22"/>
          <w:color w:val="auto"/>
        </w:rPr>
        <w:t>” has the meaning set forth in Section 4.01(c)(ii).</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Tax Estimation Period</w:t>
      </w:r>
      <w:r>
        <w:rPr>
          <w:rFonts w:ascii="Arial" w:cs="Arial" w:eastAsia="Arial" w:hAnsi="Arial"/>
          <w:sz w:val="21"/>
          <w:szCs w:val="21"/>
          <w:color w:val="auto"/>
        </w:rPr>
        <w:t>” shall mean each period from January 1 through March 31, from April 1 through May 31, from June 1 through August 31, and from September 1 through December 31 of each taxable year.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 Receivable Agreement</w:t>
      </w:r>
      <w:r>
        <w:rPr>
          <w:rFonts w:ascii="Arial" w:cs="Arial" w:eastAsia="Arial" w:hAnsi="Arial"/>
          <w:sz w:val="19"/>
          <w:szCs w:val="19"/>
          <w:color w:val="auto"/>
        </w:rPr>
        <w:t>” means the Tax Receivable Agreement dated as of or about the date hereof among the Company, Managing Member and the other parties from time to time party thereto, as amended from time to time.</w:t>
      </w:r>
    </w:p>
    <w:p>
      <w:pPr>
        <w:spacing w:after="0" w:line="13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Termination Transaction</w:t>
      </w:r>
      <w:r>
        <w:rPr>
          <w:rFonts w:ascii="Arial" w:cs="Arial" w:eastAsia="Arial" w:hAnsi="Arial"/>
          <w:sz w:val="21"/>
          <w:szCs w:val="21"/>
          <w:color w:val="auto"/>
        </w:rPr>
        <w:t>”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(b) a sale, lease, exchange or other transfer of all or substantially all of the assets of the Managing Member not in the ordinary course of its business, whether in a single transaction or a series of related transactions, (c) a reclassification, recapitalization or change of the outstanding shares of Class A Common Stock (other than a change in par value, or from par value to no par value, or as a result of a stock split, stock dividend or similar subdivision), (d) the adoption of any plan of liquidation or dissolution of the Managing Member, or (e) a direct or indirect Transfer of all or any portion of the Managing Member’s interest in the Company, other than a Transfer effected in accordance with Section 3.07(a) or Section 3.07(b).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A&amp;R Operating Agreement</w:t>
      </w:r>
      <w:r>
        <w:rPr>
          <w:rFonts w:ascii="Arial" w:cs="Arial" w:eastAsia="Arial" w:hAnsi="Arial"/>
          <w:sz w:val="22"/>
          <w:szCs w:val="22"/>
          <w:color w:val="auto"/>
        </w:rPr>
        <w:t>” has the meaning set forth in the Recitals of this Agreement.</w:t>
      </w:r>
    </w:p>
    <w:p>
      <w:pPr>
        <w:spacing w:after="0" w:line="23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without limitation,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color w:val="auto"/>
        </w:rPr>
        <w:t>” means any Person that is a permitted transferee of a Member’s interest in the Company, or part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1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Regulations</w:t>
      </w:r>
      <w:r>
        <w:rPr>
          <w:rFonts w:ascii="Arial" w:cs="Arial" w:eastAsia="Arial" w:hAnsi="Arial"/>
          <w:sz w:val="22"/>
          <w:szCs w:val="22"/>
          <w:color w:val="auto"/>
        </w:rPr>
        <w:t>” means the income tax regulations, including temporary and proposed regulations, promulgated under the Code, as such regulations may be amended from time to time (including corresponding provisions of succeeding regulations).</w:t>
      </w:r>
    </w:p>
    <w:p>
      <w:pPr>
        <w:spacing w:after="0" w:line="21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means the Class A Units, Class P Units, and any other Class of Units that is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Unvested LTIP Units</w:t>
      </w:r>
      <w:r>
        <w:rPr>
          <w:rFonts w:ascii="Arial" w:cs="Arial" w:eastAsia="Arial" w:hAnsi="Arial"/>
          <w:sz w:val="22"/>
          <w:szCs w:val="22"/>
          <w:color w:val="auto"/>
        </w:rPr>
        <w:t>” has the meaning set forth in Section 2 of Schedule II hereto.</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Unvested Units</w:t>
      </w:r>
      <w:r>
        <w:rPr>
          <w:rFonts w:ascii="Arial" w:cs="Arial" w:eastAsia="Arial" w:hAnsi="Arial"/>
          <w:sz w:val="22"/>
          <w:szCs w:val="22"/>
          <w:color w:val="auto"/>
        </w:rPr>
        <w:t>” means those Units listed as unvested Units in the books and records of the Company, as the same may be amended from time to time in accordance with this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Vested LTIP Units</w:t>
      </w:r>
      <w:r>
        <w:rPr>
          <w:rFonts w:ascii="Arial" w:cs="Arial" w:eastAsia="Arial" w:hAnsi="Arial"/>
          <w:sz w:val="22"/>
          <w:szCs w:val="22"/>
          <w:color w:val="auto"/>
        </w:rPr>
        <w:t>” has the meaning set forth in Section 2 of Schedule II hereto.</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Vested Units</w:t>
      </w:r>
      <w:r>
        <w:rPr>
          <w:rFonts w:ascii="Arial" w:cs="Arial" w:eastAsia="Arial" w:hAnsi="Arial"/>
          <w:sz w:val="22"/>
          <w:szCs w:val="22"/>
          <w:color w:val="auto"/>
        </w:rPr>
        <w:t>” means those Units listed as vested Units in the books and records of the Company, as the same may be amended from time to time in accordance with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Vesting Agreement</w:t>
      </w:r>
      <w:r>
        <w:rPr>
          <w:rFonts w:ascii="Arial" w:cs="Arial" w:eastAsia="Arial" w:hAnsi="Arial"/>
          <w:sz w:val="22"/>
          <w:szCs w:val="22"/>
          <w:color w:val="auto"/>
        </w:rPr>
        <w:t>” has the meaning set forth in Schedule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FORMATION, TERM, PURPOSE AND POWERS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2.01 Formation</w:t>
      </w:r>
      <w:r>
        <w:rPr>
          <w:rFonts w:ascii="Arial" w:cs="Arial" w:eastAsia="Arial" w:hAnsi="Arial"/>
          <w:sz w:val="19"/>
          <w:szCs w:val="19"/>
          <w:color w:val="auto"/>
        </w:rPr>
        <w:t>. The Company was formed as a limited liability company under the provisions of the Act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filing of the Certificate on September 4, 2014.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in its sole discretion deems it advisable, the operation of the Company as a limited liability company, or entity in which the Members have limited liability, in all jurisdictions where the Company proposes to operate and (c) all other filings required to be made by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The execution, delivery and filing of the Certificate and each amendment thereto is hereby ratified, approved and confirmed by the Members.</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2.02 Name</w:t>
      </w:r>
      <w:r>
        <w:rPr>
          <w:rFonts w:ascii="Arial" w:cs="Arial" w:eastAsia="Arial" w:hAnsi="Arial"/>
          <w:sz w:val="22"/>
          <w:szCs w:val="22"/>
          <w:color w:val="auto"/>
        </w:rPr>
        <w:t>. The name of the Company shall be, and the business of the Company shall be conducted under the name</w:t>
      </w:r>
      <w:r>
        <w:rPr>
          <w:rFonts w:ascii="Arial" w:cs="Arial" w:eastAsia="Arial" w:hAnsi="Arial"/>
          <w:sz w:val="22"/>
          <w:szCs w:val="22"/>
          <w:b w:val="1"/>
          <w:bCs w:val="1"/>
          <w:color w:val="auto"/>
        </w:rPr>
        <w:t xml:space="preserve"> </w:t>
      </w:r>
      <w:r>
        <w:rPr>
          <w:rFonts w:ascii="Arial" w:cs="Arial" w:eastAsia="Arial" w:hAnsi="Arial"/>
          <w:sz w:val="22"/>
          <w:szCs w:val="22"/>
          <w:color w:val="auto"/>
        </w:rPr>
        <w:t>of “WM Holding Company, LLC” and all Company business shall be conducted in that name or in such other names that comply with applicable law as the Managing Member in its sole discretion may select from time to time. Subject to the Act, the Managing Member in its sole discretion may change the name of the Company (and amend this Agreement to reflect such change) at any time and from time to time without the consent of any other Person. Prompt notification of any such change shall be given to all Members.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2.03 Term</w:t>
      </w:r>
      <w:r>
        <w:rPr>
          <w:rFonts w:ascii="Arial" w:cs="Arial" w:eastAsia="Arial" w:hAnsi="Arial"/>
          <w:sz w:val="22"/>
          <w:szCs w:val="22"/>
          <w:color w:val="auto"/>
        </w:rPr>
        <w:t>. The term of the Company commenced on the date of the filing of the Certificate, and the term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until the dissolution of the Company in accordance with Article IX. The existence of the Company shall continue until cancellation of the Certificate in the manner required by the Act.</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2.04 Offices</w:t>
      </w:r>
      <w:r>
        <w:rPr>
          <w:rFonts w:ascii="Arial" w:cs="Arial" w:eastAsia="Arial" w:hAnsi="Arial"/>
          <w:sz w:val="22"/>
          <w:szCs w:val="22"/>
          <w:color w:val="auto"/>
        </w:rPr>
        <w:t>. The Company may have offices at such places either within or outside the State of Delaware as the</w:t>
      </w:r>
      <w:r>
        <w:rPr>
          <w:rFonts w:ascii="Arial" w:cs="Arial" w:eastAsia="Arial" w:hAnsi="Arial"/>
          <w:sz w:val="22"/>
          <w:szCs w:val="22"/>
          <w:b w:val="1"/>
          <w:bCs w:val="1"/>
          <w:color w:val="auto"/>
        </w:rPr>
        <w:t xml:space="preserve"> </w:t>
      </w:r>
      <w:r>
        <w:rPr>
          <w:rFonts w:ascii="Arial" w:cs="Arial" w:eastAsia="Arial" w:hAnsi="Arial"/>
          <w:sz w:val="22"/>
          <w:szCs w:val="22"/>
          <w:color w:val="auto"/>
        </w:rPr>
        <w:t>Managing Member from time to time may select in its sole discretion. As of the date hereof, the principal place of business and office of the Company is located at 41 Discovery, Irvine, CA 92618.</w:t>
      </w:r>
    </w:p>
    <w:p>
      <w:pPr>
        <w:spacing w:after="0" w:line="20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color w:val="auto"/>
        </w:rPr>
        <w:t>Agent for Service of Process; Existence and Good Standing; Foreign Qualification</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97" w:lineRule="auto"/>
        <w:tabs>
          <w:tab w:leader="none" w:pos="2101"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The registered office of the Company in the State of Delaware shall be located at c/o Registered Agent Solutions, Inc., 1679 S. Dupont Highway, Suite 100, Dover, Delaware 19901. The name of the registered agent of the Company for service of process on the Company in the State of Delaware at such address shall be Registered Agent Solutions, Inc.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2140" w:hanging="836"/>
        <w:spacing w:after="0"/>
        <w:tabs>
          <w:tab w:leader="none" w:pos="2140" w:val="left"/>
        </w:tabs>
        <w:numPr>
          <w:ilvl w:val="1"/>
          <w:numId w:val="96"/>
        </w:numPr>
        <w:rPr>
          <w:rFonts w:ascii="Arial" w:cs="Arial" w:eastAsia="Arial" w:hAnsi="Arial"/>
          <w:sz w:val="19"/>
          <w:szCs w:val="19"/>
          <w:b w:val="1"/>
          <w:bCs w:val="1"/>
          <w:color w:val="auto"/>
        </w:rPr>
      </w:pPr>
      <w:r>
        <w:rPr>
          <w:rFonts w:ascii="Arial" w:cs="Arial" w:eastAsia="Arial" w:hAnsi="Arial"/>
          <w:sz w:val="19"/>
          <w:szCs w:val="19"/>
          <w:color w:val="auto"/>
        </w:rPr>
        <w:t>The Managing Member in its sole discretion may take all action which may be necessary or appropriate</w:t>
      </w:r>
    </w:p>
    <w:p>
      <w:pPr>
        <w:spacing w:after="0" w:line="42" w:lineRule="exact"/>
        <w:rPr>
          <w:rFonts w:ascii="Arial" w:cs="Arial" w:eastAsia="Arial" w:hAnsi="Arial"/>
          <w:sz w:val="19"/>
          <w:szCs w:val="19"/>
          <w:b w:val="1"/>
          <w:bCs w:val="1"/>
          <w:color w:val="auto"/>
        </w:rPr>
      </w:pPr>
    </w:p>
    <w:p>
      <w:pPr>
        <w:jc w:val="both"/>
        <w:ind w:firstLine="8"/>
        <w:spacing w:after="0" w:line="243" w:lineRule="auto"/>
        <w:tabs>
          <w:tab w:leader="none" w:pos="269" w:val="left"/>
        </w:tabs>
        <w:numPr>
          <w:ilvl w:val="0"/>
          <w:numId w:val="97"/>
        </w:numPr>
        <w:rPr>
          <w:rFonts w:ascii="Arial" w:cs="Arial" w:eastAsia="Arial" w:hAnsi="Arial"/>
          <w:sz w:val="21"/>
          <w:szCs w:val="21"/>
          <w:color w:val="auto"/>
        </w:rPr>
      </w:pPr>
      <w:r>
        <w:rPr>
          <w:rFonts w:ascii="Arial" w:cs="Arial" w:eastAsia="Arial" w:hAnsi="Arial"/>
          <w:sz w:val="21"/>
          <w:szCs w:val="21"/>
          <w:color w:val="auto"/>
        </w:rPr>
        <w:t>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2.06 Business Purpose</w:t>
      </w:r>
      <w:r>
        <w:rPr>
          <w:rFonts w:ascii="Arial" w:cs="Arial" w:eastAsia="Arial" w:hAnsi="Arial"/>
          <w:sz w:val="22"/>
          <w:szCs w:val="22"/>
          <w:color w:val="auto"/>
        </w:rPr>
        <w:t>. The Company was formed for the object and purpose of, and the nature and character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to be conducted by the Company is, engaging in any lawful act or activity for which limited liability companies may be formed under the Act.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2.07 Powers of the Company</w:t>
      </w:r>
      <w:r>
        <w:rPr>
          <w:rFonts w:ascii="Arial" w:cs="Arial" w:eastAsia="Arial" w:hAnsi="Arial"/>
          <w:sz w:val="22"/>
          <w:szCs w:val="22"/>
          <w:color w:val="auto"/>
        </w:rPr>
        <w:t>. Subject to the limitations set forth in this Agreement, the Company will possess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exercise all of the powers and privileges granted to it by the Act including, without limitation,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Section 2.06.</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2.08 Members; Reclassification; Admission of New Members</w:t>
      </w:r>
      <w:r>
        <w:rPr>
          <w:rFonts w:ascii="Arial" w:cs="Arial" w:eastAsia="Arial" w:hAnsi="Arial"/>
          <w:sz w:val="19"/>
          <w:szCs w:val="19"/>
          <w:color w:val="auto"/>
        </w:rPr>
        <w:t>. Each of the Persons listed on Schedule I hereto, as</w:t>
      </w:r>
      <w:r>
        <w:rPr>
          <w:rFonts w:ascii="Arial" w:cs="Arial" w:eastAsia="Arial" w:hAnsi="Arial"/>
          <w:sz w:val="19"/>
          <w:szCs w:val="19"/>
          <w:b w:val="1"/>
          <w:bCs w:val="1"/>
          <w:color w:val="auto"/>
        </w:rPr>
        <w:t xml:space="preserve"> </w:t>
      </w:r>
      <w:r>
        <w:rPr>
          <w:rFonts w:ascii="Arial" w:cs="Arial" w:eastAsia="Arial" w:hAnsi="Arial"/>
          <w:sz w:val="19"/>
          <w:szCs w:val="19"/>
          <w:color w:val="auto"/>
        </w:rPr>
        <w:t>the same may be amended from time to time in accordance with this Agreement, by virtue of its execution this Agreement, are admitted as Members of the Company. The rights, duties and liabilities of the Members shall be as provided in the Act, except as is otherwise expressly provided herein, and the Members consent to the variation of such rights, duties and liabilities as provided herein. Subject to Section 8.07 with respect to substitute Members, a Person may be admitted from time to time as a new Member with the written consent of the Managing Member in its sole 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Section 8.06 or Section 9.02(e) hereof.</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2.09 Resignation</w:t>
      </w:r>
      <w:r>
        <w:rPr>
          <w:rFonts w:ascii="Arial" w:cs="Arial" w:eastAsia="Arial" w:hAnsi="Arial"/>
          <w:sz w:val="22"/>
          <w:szCs w:val="22"/>
          <w:color w:val="auto"/>
        </w:rPr>
        <w:t>. No Member shall have the right to resign as a member of the Company other than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all Units owned by such Member in accordance with Article VIII.</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2.10 Representations of Members</w:t>
      </w:r>
      <w:r>
        <w:rPr>
          <w:rFonts w:ascii="Arial" w:cs="Arial" w:eastAsia="Arial" w:hAnsi="Arial"/>
          <w:sz w:val="22"/>
          <w:szCs w:val="22"/>
          <w:color w:val="auto"/>
        </w:rPr>
        <w:t>. Each Member severally (and not jointly) represents and warrants to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each other Member as of the date of such Member’s admittance to the Company and as of each subsequent date that such Member acquires any additional Units that:</w:t>
      </w:r>
    </w:p>
    <w:p>
      <w:pPr>
        <w:spacing w:after="0" w:line="204" w:lineRule="exact"/>
        <w:rPr>
          <w:sz w:val="20"/>
          <w:szCs w:val="20"/>
          <w:color w:val="auto"/>
        </w:rPr>
      </w:pPr>
    </w:p>
    <w:p>
      <w:pPr>
        <w:ind w:left="2100" w:hanging="796"/>
        <w:spacing w:after="0"/>
        <w:tabs>
          <w:tab w:leader="none" w:pos="210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Authority</w:t>
      </w:r>
    </w:p>
    <w:p>
      <w:pPr>
        <w:spacing w:after="0" w:line="239" w:lineRule="exact"/>
        <w:rPr>
          <w:rFonts w:ascii="Arial" w:cs="Arial" w:eastAsia="Arial" w:hAnsi="Arial"/>
          <w:sz w:val="22"/>
          <w:szCs w:val="22"/>
          <w:b w:val="1"/>
          <w:bCs w:val="1"/>
          <w:color w:val="auto"/>
        </w:rPr>
      </w:pPr>
    </w:p>
    <w:p>
      <w:pPr>
        <w:jc w:val="both"/>
        <w:ind w:firstLine="1952"/>
        <w:spacing w:after="0" w:line="246" w:lineRule="auto"/>
        <w:tabs>
          <w:tab w:leader="none" w:pos="2726" w:val="left"/>
        </w:tabs>
        <w:numPr>
          <w:ilvl w:val="1"/>
          <w:numId w:val="98"/>
        </w:numPr>
        <w:rPr>
          <w:rFonts w:ascii="Arial" w:cs="Arial" w:eastAsia="Arial" w:hAnsi="Arial"/>
          <w:sz w:val="21"/>
          <w:szCs w:val="21"/>
          <w:b w:val="1"/>
          <w:bCs w:val="1"/>
          <w:color w:val="auto"/>
        </w:rPr>
      </w:pPr>
      <w:r>
        <w:rPr>
          <w:rFonts w:ascii="Arial" w:cs="Arial" w:eastAsia="Arial" w:hAnsi="Arial"/>
          <w:sz w:val="21"/>
          <w:szCs w:val="21"/>
          <w:color w:val="auto"/>
        </w:rPr>
        <w:t>To the extent it is not a natural person, (x) it is duly formed, validly existing and in good standing (if applicable) under the Laws of the jurisdiction of its formation, and if required by Law is duly qualified to conduct business and is in good standing in the jurisdiction of its principal place of business (if not formed in such jurisdiction), and (y)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Member have been duly taken.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1952"/>
        <w:spacing w:after="0" w:line="297" w:lineRule="auto"/>
        <w:tabs>
          <w:tab w:leader="none" w:pos="2930" w:val="left"/>
        </w:tabs>
        <w:numPr>
          <w:ilvl w:val="1"/>
          <w:numId w:val="99"/>
        </w:numPr>
        <w:rPr>
          <w:rFonts w:ascii="Arial" w:cs="Arial" w:eastAsia="Arial" w:hAnsi="Arial"/>
          <w:sz w:val="19"/>
          <w:szCs w:val="19"/>
          <w:b w:val="1"/>
          <w:bCs w:val="1"/>
          <w:color w:val="auto"/>
        </w:rPr>
      </w:pPr>
      <w:r>
        <w:rPr>
          <w:rFonts w:ascii="Arial" w:cs="Arial" w:eastAsia="Arial" w:hAnsi="Arial"/>
          <w:sz w:val="19"/>
          <w:szCs w:val="19"/>
          <w:color w:val="auto"/>
        </w:rPr>
        <w:t>It has duly executed and delivered this Agreement, and this Agreement is enforceable against such Member in accordance with its terms, subject to bankruptcy, moratorium, insolvency and other Laws generally affecting creditors’ rights and general principles of equity (whether applied in a proceeding in a court of law or equity).</w:t>
      </w:r>
    </w:p>
    <w:p>
      <w:pPr>
        <w:spacing w:after="0" w:line="155" w:lineRule="exact"/>
        <w:rPr>
          <w:rFonts w:ascii="Arial" w:cs="Arial" w:eastAsia="Arial" w:hAnsi="Arial"/>
          <w:sz w:val="19"/>
          <w:szCs w:val="19"/>
          <w:b w:val="1"/>
          <w:bCs w:val="1"/>
          <w:color w:val="auto"/>
        </w:rPr>
      </w:pPr>
    </w:p>
    <w:p>
      <w:pPr>
        <w:jc w:val="both"/>
        <w:ind w:firstLine="1304"/>
        <w:spacing w:after="0" w:line="239" w:lineRule="auto"/>
        <w:tabs>
          <w:tab w:leader="none" w:pos="2113"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Non-Contravention</w:t>
      </w:r>
      <w:r>
        <w:rPr>
          <w:rFonts w:ascii="Arial" w:cs="Arial" w:eastAsia="Arial" w:hAnsi="Arial"/>
          <w:sz w:val="22"/>
          <w:szCs w:val="22"/>
          <w:color w:val="auto"/>
        </w:rPr>
        <w:t>. Its authorization, execution, delivery, and performance of this Agreement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breach or conflict with or constitute a default under (x) such Member’s charter or other governing documents to the extent it is not a natural person, (y) any material obligation under any other material agreement to which that Member is a party or by which it is bound or (z) applicable Law.</w:t>
      </w:r>
    </w:p>
    <w:p>
      <w:pPr>
        <w:spacing w:after="0" w:line="207" w:lineRule="exact"/>
        <w:rPr>
          <w:rFonts w:ascii="Arial" w:cs="Arial" w:eastAsia="Arial" w:hAnsi="Arial"/>
          <w:sz w:val="22"/>
          <w:szCs w:val="22"/>
          <w:b w:val="1"/>
          <w:bCs w:val="1"/>
          <w:color w:val="auto"/>
        </w:rPr>
      </w:pPr>
    </w:p>
    <w:p>
      <w:pPr>
        <w:jc w:val="both"/>
        <w:ind w:firstLine="1304"/>
        <w:spacing w:after="0" w:line="289" w:lineRule="auto"/>
        <w:tabs>
          <w:tab w:leader="none" w:pos="2157"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Due Inquiry</w:t>
      </w:r>
      <w:r>
        <w:rPr>
          <w:rFonts w:ascii="Arial" w:cs="Arial" w:eastAsia="Arial" w:hAnsi="Arial"/>
          <w:sz w:val="19"/>
          <w:szCs w:val="19"/>
          <w:color w:val="auto"/>
        </w:rPr>
        <w:t>. It has had, prior to the execution and delivery of this Agreement, the opportunity to ask</w:t>
      </w:r>
      <w:r>
        <w:rPr>
          <w:rFonts w:ascii="Arial" w:cs="Arial" w:eastAsia="Arial" w:hAnsi="Arial"/>
          <w:sz w:val="19"/>
          <w:szCs w:val="19"/>
          <w:b w:val="1"/>
          <w:bCs w:val="1"/>
          <w:color w:val="auto"/>
        </w:rPr>
        <w:t xml:space="preserve"> </w:t>
      </w:r>
      <w:r>
        <w:rPr>
          <w:rFonts w:ascii="Arial" w:cs="Arial" w:eastAsia="Arial" w:hAnsi="Arial"/>
          <w:sz w:val="19"/>
          <w:szCs w:val="19"/>
          <w:color w:val="auto"/>
        </w:rPr>
        <w:t>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and received all such information about the Company and the Units as it has requested.</w:t>
      </w:r>
    </w:p>
    <w:p>
      <w:pPr>
        <w:spacing w:after="0" w:line="162" w:lineRule="exact"/>
        <w:rPr>
          <w:rFonts w:ascii="Arial" w:cs="Arial" w:eastAsia="Arial" w:hAnsi="Arial"/>
          <w:sz w:val="19"/>
          <w:szCs w:val="19"/>
          <w:b w:val="1"/>
          <w:bCs w:val="1"/>
          <w:color w:val="auto"/>
        </w:rPr>
      </w:pPr>
    </w:p>
    <w:p>
      <w:pPr>
        <w:jc w:val="both"/>
        <w:ind w:firstLine="1304"/>
        <w:spacing w:after="0" w:line="283" w:lineRule="auto"/>
        <w:tabs>
          <w:tab w:leader="none" w:pos="2113"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Purpose of Investment</w:t>
      </w:r>
      <w:r>
        <w:rPr>
          <w:rFonts w:ascii="Arial" w:cs="Arial" w:eastAsia="Arial" w:hAnsi="Arial"/>
          <w:sz w:val="19"/>
          <w:szCs w:val="19"/>
          <w:color w:val="auto"/>
        </w:rPr>
        <w:t>. It is acquiring and holding its Units solely for investment purposes, for its own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and not for the account 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169" w:lineRule="exact"/>
        <w:rPr>
          <w:rFonts w:ascii="Arial" w:cs="Arial" w:eastAsia="Arial" w:hAnsi="Arial"/>
          <w:sz w:val="19"/>
          <w:szCs w:val="19"/>
          <w:b w:val="1"/>
          <w:bCs w:val="1"/>
          <w:color w:val="auto"/>
        </w:rPr>
      </w:pPr>
    </w:p>
    <w:p>
      <w:pPr>
        <w:jc w:val="both"/>
        <w:ind w:firstLine="1304"/>
        <w:spacing w:after="0" w:line="275" w:lineRule="auto"/>
        <w:tabs>
          <w:tab w:leader="none" w:pos="2211"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Transfer Restrictions</w:t>
      </w:r>
      <w:r>
        <w:rPr>
          <w:rFonts w:ascii="Arial" w:cs="Arial" w:eastAsia="Arial" w:hAnsi="Arial"/>
          <w:sz w:val="19"/>
          <w:szCs w:val="19"/>
          <w:color w:val="auto"/>
        </w:rPr>
        <w:t>. It understands the Units are being Transferred in a transaction not involving a</w:t>
      </w:r>
      <w:r>
        <w:rPr>
          <w:rFonts w:ascii="Arial" w:cs="Arial" w:eastAsia="Arial" w:hAnsi="Arial"/>
          <w:sz w:val="19"/>
          <w:szCs w:val="19"/>
          <w:b w:val="1"/>
          <w:bCs w:val="1"/>
          <w:color w:val="auto"/>
        </w:rPr>
        <w:t xml:space="preserve"> </w:t>
      </w:r>
      <w:r>
        <w:rPr>
          <w:rFonts w:ascii="Arial" w:cs="Arial" w:eastAsia="Arial" w:hAnsi="Arial"/>
          <w:sz w:val="19"/>
          <w:szCs w:val="19"/>
          <w:color w:val="auto"/>
        </w:rPr>
        <w:t>public offering within the meaning of the Securities Act and the Units will comprise “</w:t>
      </w:r>
      <w:r>
        <w:rPr>
          <w:rFonts w:ascii="Arial" w:cs="Arial" w:eastAsia="Arial" w:hAnsi="Arial"/>
          <w:sz w:val="19"/>
          <w:szCs w:val="19"/>
          <w:b w:val="1"/>
          <w:bCs w:val="1"/>
          <w:i w:val="1"/>
          <w:iCs w:val="1"/>
          <w:color w:val="auto"/>
        </w:rPr>
        <w:t>restricted securities</w:t>
      </w:r>
      <w:r>
        <w:rPr>
          <w:rFonts w:ascii="Arial" w:cs="Arial" w:eastAsia="Arial" w:hAnsi="Arial"/>
          <w:sz w:val="19"/>
          <w:szCs w:val="19"/>
          <w:color w:val="auto"/>
        </w:rPr>
        <w:t>” within the meaning of Rule 144(a)(3) under the Securities Act which shall not be sold, pledged, hypothecated or otherwise Transferred except in accordance with the terms of this Agreement and applicable Law. It agrees that, if in the future it decides to offer, resell, pledge or otherwise Transfer any portion of its Units, such Units may be offered, resold, pledged or otherwise Transferred only pursuant to an effective registration statement under the Securities Act or an applicable exemption from registration and/or qualification under the Securities Act and applicable state securities Laws, and as a condition precedent to any such Transfer, it may be required to deliver to the Company an opinion of counsel satisfactory to the Company, and agrees, absent registration or an exemption with respect to its Units, not to resell any such Units.</w:t>
      </w:r>
    </w:p>
    <w:p>
      <w:pPr>
        <w:spacing w:after="0" w:line="176" w:lineRule="exact"/>
        <w:rPr>
          <w:rFonts w:ascii="Arial" w:cs="Arial" w:eastAsia="Arial" w:hAnsi="Arial"/>
          <w:sz w:val="19"/>
          <w:szCs w:val="19"/>
          <w:b w:val="1"/>
          <w:bCs w:val="1"/>
          <w:color w:val="auto"/>
        </w:rPr>
      </w:pPr>
    </w:p>
    <w:p>
      <w:pPr>
        <w:jc w:val="both"/>
        <w:ind w:firstLine="1304"/>
        <w:spacing w:after="0" w:line="269" w:lineRule="auto"/>
        <w:tabs>
          <w:tab w:leader="none" w:pos="2011"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Investor Status</w:t>
      </w:r>
      <w:r>
        <w:rPr>
          <w:rFonts w:ascii="Arial" w:cs="Arial" w:eastAsia="Arial" w:hAnsi="Arial"/>
          <w:sz w:val="19"/>
          <w:szCs w:val="19"/>
          <w:color w:val="auto"/>
        </w:rPr>
        <w:t>. It (i) has adequate means of providing for its current needs and possible contingencies, is</w:t>
      </w:r>
      <w:r>
        <w:rPr>
          <w:rFonts w:ascii="Arial" w:cs="Arial" w:eastAsia="Arial" w:hAnsi="Arial"/>
          <w:sz w:val="19"/>
          <w:szCs w:val="19"/>
          <w:b w:val="1"/>
          <w:bCs w:val="1"/>
          <w:color w:val="auto"/>
        </w:rPr>
        <w:t xml:space="preserve"> </w:t>
      </w:r>
      <w:r>
        <w:rPr>
          <w:rFonts w:ascii="Arial" w:cs="Arial" w:eastAsia="Arial" w:hAnsi="Arial"/>
          <w:sz w:val="19"/>
          <w:szCs w:val="19"/>
          <w:color w:val="auto"/>
        </w:rPr>
        <w:t>able to bear the economic risks of its investment for an indefinite period of time and has a sufficient net worth to sustain a loss of its entire investment in the Company in the event such loss should occur, (ii) is sophisticated in financial matters and has such knowledge and experience in financial and business matters as to be capable of evaluating the merits and risks of an investment in the Company, (iii) is, or is controlled by, an “</w:t>
      </w:r>
      <w:r>
        <w:rPr>
          <w:rFonts w:ascii="Arial" w:cs="Arial" w:eastAsia="Arial" w:hAnsi="Arial"/>
          <w:sz w:val="19"/>
          <w:szCs w:val="19"/>
          <w:b w:val="1"/>
          <w:bCs w:val="1"/>
          <w:i w:val="1"/>
          <w:iCs w:val="1"/>
          <w:color w:val="auto"/>
        </w:rPr>
        <w:t>accredited investor</w:t>
      </w:r>
      <w:r>
        <w:rPr>
          <w:rFonts w:ascii="Arial" w:cs="Arial" w:eastAsia="Arial" w:hAnsi="Arial"/>
          <w:sz w:val="19"/>
          <w:szCs w:val="19"/>
          <w:color w:val="auto"/>
        </w:rPr>
        <w:t>,” as that term is defined in Rule 501(a) of Regulation D, promulgated under the Securities Act, and acknowledges the issuance of Units under this Agreement is being made in reliance on a private placement exemption to “</w:t>
      </w:r>
      <w:r>
        <w:rPr>
          <w:rFonts w:ascii="Arial" w:cs="Arial" w:eastAsia="Arial" w:hAnsi="Arial"/>
          <w:sz w:val="19"/>
          <w:szCs w:val="19"/>
          <w:b w:val="1"/>
          <w:bCs w:val="1"/>
          <w:i w:val="1"/>
          <w:iCs w:val="1"/>
          <w:color w:val="auto"/>
        </w:rPr>
        <w:t>accredited investors</w:t>
      </w:r>
      <w:r>
        <w:rPr>
          <w:rFonts w:ascii="Arial" w:cs="Arial" w:eastAsia="Arial" w:hAnsi="Arial"/>
          <w:sz w:val="19"/>
          <w:szCs w:val="19"/>
          <w:color w:val="auto"/>
        </w:rPr>
        <w:t>”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w:t>
      </w:r>
    </w:p>
    <w:p>
      <w:pPr>
        <w:spacing w:after="0" w:line="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b w:val="1"/>
          <w:bCs w:val="1"/>
          <w:color w:val="auto"/>
        </w:rPr>
        <w:t>ARTICLE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Managing Member</w:t>
      </w:r>
    </w:p>
    <w:p>
      <w:pPr>
        <w:spacing w:after="0" w:line="239" w:lineRule="exact"/>
        <w:rPr>
          <w:sz w:val="20"/>
          <w:szCs w:val="20"/>
          <w:color w:val="auto"/>
        </w:rPr>
      </w:pPr>
    </w:p>
    <w:p>
      <w:pPr>
        <w:jc w:val="both"/>
        <w:ind w:firstLine="1304"/>
        <w:spacing w:after="0"/>
        <w:tabs>
          <w:tab w:leader="none" w:pos="2386"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The business, property and affairs of the Company shall be managed under the sole, absolute and exclusive direction of the Managing Member, which may from time to time delegate authority to Officers or to others to act on behalf of the Company.</w:t>
      </w:r>
    </w:p>
    <w:p>
      <w:pPr>
        <w:spacing w:after="0" w:line="213" w:lineRule="exact"/>
        <w:rPr>
          <w:rFonts w:ascii="Arial" w:cs="Arial" w:eastAsia="Arial" w:hAnsi="Arial"/>
          <w:sz w:val="22"/>
          <w:szCs w:val="22"/>
          <w:b w:val="1"/>
          <w:bCs w:val="1"/>
          <w:color w:val="auto"/>
        </w:rPr>
      </w:pPr>
    </w:p>
    <w:p>
      <w:pPr>
        <w:jc w:val="both"/>
        <w:ind w:firstLine="1304"/>
        <w:spacing w:after="0"/>
        <w:tabs>
          <w:tab w:leader="none" w:pos="2247"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Without limiting the foregoing provisions of this Section 3.01, the Managing Member shall have the general power to manage or cause the management of the Company (which may be delegated to Officers of the Company), including, without limitation, the following powers:</w:t>
      </w:r>
    </w:p>
    <w:p>
      <w:pPr>
        <w:spacing w:after="0" w:line="213" w:lineRule="exact"/>
        <w:rPr>
          <w:rFonts w:ascii="Arial" w:cs="Arial" w:eastAsia="Arial" w:hAnsi="Arial"/>
          <w:sz w:val="22"/>
          <w:szCs w:val="22"/>
          <w:b w:val="1"/>
          <w:bCs w:val="1"/>
          <w:color w:val="auto"/>
        </w:rPr>
      </w:pPr>
    </w:p>
    <w:p>
      <w:pPr>
        <w:ind w:left="2940" w:hanging="988"/>
        <w:spacing w:after="0"/>
        <w:tabs>
          <w:tab w:leader="none" w:pos="2940"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to develop and prepare a business plan each year which will set forth the operating goals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plans for the Company;</w:t>
      </w:r>
    </w:p>
    <w:p>
      <w:pPr>
        <w:spacing w:after="0" w:line="215" w:lineRule="exact"/>
        <w:rPr>
          <w:rFonts w:ascii="Arial" w:cs="Arial" w:eastAsia="Arial" w:hAnsi="Arial"/>
          <w:sz w:val="19"/>
          <w:szCs w:val="19"/>
          <w:b w:val="1"/>
          <w:bCs w:val="1"/>
          <w:color w:val="auto"/>
        </w:rPr>
      </w:pPr>
    </w:p>
    <w:p>
      <w:pPr>
        <w:ind w:firstLine="1952"/>
        <w:spacing w:after="0" w:line="250" w:lineRule="auto"/>
        <w:tabs>
          <w:tab w:leader="none" w:pos="2990"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to execute and deliver or to authorize the execution and delivery of contracts, deeds, leases, licenses, instruments of transfer and other documents on behalf of the Company;</w:t>
      </w:r>
    </w:p>
    <w:p>
      <w:pPr>
        <w:spacing w:after="0" w:line="201" w:lineRule="exact"/>
        <w:rPr>
          <w:rFonts w:ascii="Arial" w:cs="Arial" w:eastAsia="Arial" w:hAnsi="Arial"/>
          <w:sz w:val="22"/>
          <w:szCs w:val="22"/>
          <w:b w:val="1"/>
          <w:bCs w:val="1"/>
          <w:color w:val="auto"/>
        </w:rPr>
      </w:pPr>
    </w:p>
    <w:p>
      <w:pPr>
        <w:ind w:firstLine="1952"/>
        <w:spacing w:after="0" w:line="328" w:lineRule="auto"/>
        <w:tabs>
          <w:tab w:leader="none" w:pos="3044"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to make any expenditures, to lend or borrow money, to assume or guarantee, or otherwise contract for, indebtedness and other liabilities, to issue evidences of indebtedness and to incur any other obligations;</w:t>
      </w:r>
    </w:p>
    <w:p>
      <w:pPr>
        <w:spacing w:after="0" w:line="131" w:lineRule="exact"/>
        <w:rPr>
          <w:rFonts w:ascii="Arial" w:cs="Arial" w:eastAsia="Arial" w:hAnsi="Arial"/>
          <w:sz w:val="19"/>
          <w:szCs w:val="19"/>
          <w:b w:val="1"/>
          <w:bCs w:val="1"/>
          <w:color w:val="auto"/>
        </w:rPr>
      </w:pPr>
    </w:p>
    <w:p>
      <w:pPr>
        <w:ind w:left="2800" w:hanging="848"/>
        <w:spacing w:after="0"/>
        <w:tabs>
          <w:tab w:leader="none" w:pos="2800"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to establish and enforce limits of authority and internal controls with respect to all personnel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functions;</w:t>
      </w:r>
    </w:p>
    <w:p>
      <w:pPr>
        <w:spacing w:after="0" w:line="215" w:lineRule="exact"/>
        <w:rPr>
          <w:rFonts w:ascii="Arial" w:cs="Arial" w:eastAsia="Arial" w:hAnsi="Arial"/>
          <w:sz w:val="19"/>
          <w:szCs w:val="19"/>
          <w:b w:val="1"/>
          <w:bCs w:val="1"/>
          <w:color w:val="auto"/>
        </w:rPr>
      </w:pPr>
    </w:p>
    <w:p>
      <w:pPr>
        <w:ind w:left="2740" w:hanging="788"/>
        <w:spacing w:after="0"/>
        <w:tabs>
          <w:tab w:leader="none" w:pos="2740"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to engage attorneys, consultants and accountants for the Company;</w:t>
      </w:r>
    </w:p>
    <w:p>
      <w:pPr>
        <w:spacing w:after="0" w:line="233" w:lineRule="exact"/>
        <w:rPr>
          <w:rFonts w:ascii="Arial" w:cs="Arial" w:eastAsia="Arial" w:hAnsi="Arial"/>
          <w:sz w:val="22"/>
          <w:szCs w:val="22"/>
          <w:b w:val="1"/>
          <w:bCs w:val="1"/>
          <w:color w:val="auto"/>
        </w:rPr>
      </w:pPr>
    </w:p>
    <w:p>
      <w:pPr>
        <w:ind w:left="2760" w:hanging="808"/>
        <w:spacing w:after="0"/>
        <w:tabs>
          <w:tab w:leader="none" w:pos="2760"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to develop or cause to be developed accounting procedures for the maintenance of the Company’s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books of account; and</w:t>
      </w:r>
    </w:p>
    <w:p>
      <w:pPr>
        <w:spacing w:after="0" w:line="215" w:lineRule="exact"/>
        <w:rPr>
          <w:rFonts w:ascii="Arial" w:cs="Arial" w:eastAsia="Arial" w:hAnsi="Arial"/>
          <w:sz w:val="19"/>
          <w:szCs w:val="19"/>
          <w:b w:val="1"/>
          <w:bCs w:val="1"/>
          <w:color w:val="auto"/>
        </w:rPr>
      </w:pPr>
    </w:p>
    <w:p>
      <w:pPr>
        <w:ind w:left="2860" w:hanging="908"/>
        <w:spacing w:after="0"/>
        <w:tabs>
          <w:tab w:leader="none" w:pos="2860"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to do all such other acts as shall be authorized in this Agreement or by the Members in writing</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from time to time.</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3.02 Compensation</w:t>
      </w:r>
      <w:r>
        <w:rPr>
          <w:rFonts w:ascii="Arial" w:cs="Arial" w:eastAsia="Arial" w:hAnsi="Arial"/>
          <w:sz w:val="22"/>
          <w:szCs w:val="22"/>
          <w:color w:val="auto"/>
        </w:rPr>
        <w:t>. The Managing Member shall not be entitled to any compensation for services rendered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its capacity as Managing Member.</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3.03 Expenses</w:t>
      </w:r>
      <w:r>
        <w:rPr>
          <w:rFonts w:ascii="Arial" w:cs="Arial" w:eastAsia="Arial" w:hAnsi="Arial"/>
          <w:sz w:val="19"/>
          <w:szCs w:val="19"/>
          <w:color w:val="auto"/>
        </w:rPr>
        <w:t>. The Company shall pay, or cause to be paid, all costs, fees, operating expenses and other expenses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(including the costs, fees and expenses of attorneys, accountants or other professionals) incurred in pursuing and conducting, or otherwise related to, the activities of the Company. The Company shall also, in the sole discretion of the Managing Member, bear and/or reimburse the Managing Member for (i) any costs, fees or expenses incurred by the Managing Member in connection with serving as the Managing Member and (ii) all other expenses allocable to the Company or otherwise incurred by the Managing Member in connection with operating the Company’s business (including expenses allocated to the Managing Member by its Affiliates).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limitation, compensation and meeting costs of any board of directors or similar body of the Managing Member, any salary, bonus, incentive compensation and other amounts paid to any Person including Affiliates of the Managing Member to perform services for the Company, litigation costs and damages arising from litigation, accounting and legal costs and franchise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pay or bear any income tax obligations of the Managing Member or any obligations of the Managing Member under the Tax Receivable Agreement. Reimbursements pursuant to this Section 3.03 shall be in addition to any reimbursement to the Managing Member as a result of indemnification pursuant to Section 10.02.</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49" w:name="page150"/>
    <w:bookmarkEnd w:id="149"/>
    <w:p>
      <w:pPr>
        <w:jc w:val="both"/>
        <w:ind w:firstLine="648"/>
        <w:spacing w:after="0" w:line="271" w:lineRule="auto"/>
        <w:rPr>
          <w:sz w:val="20"/>
          <w:szCs w:val="20"/>
          <w:color w:val="auto"/>
        </w:rPr>
      </w:pPr>
      <w:r>
        <w:rPr>
          <w:rFonts w:ascii="Arial" w:cs="Arial" w:eastAsia="Arial" w:hAnsi="Arial"/>
          <w:sz w:val="19"/>
          <w:szCs w:val="19"/>
          <w:b w:val="1"/>
          <w:bCs w:val="1"/>
          <w:color w:val="auto"/>
        </w:rPr>
        <w:t>3.04 Officers</w:t>
      </w:r>
      <w:r>
        <w:rPr>
          <w:rFonts w:ascii="Arial" w:cs="Arial" w:eastAsia="Arial" w:hAnsi="Arial"/>
          <w:sz w:val="19"/>
          <w:szCs w:val="19"/>
          <w:color w:val="auto"/>
        </w:rPr>
        <w:t>. Subject to the direction and oversight of the Managing Member, the day-to-day administration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of the Company may be carried out by persons who may be designated as officers by the Managing Member, with titles including but not limited to “assistant secretary,” “assistant treasurer,” “chairman,” “chief executive officer,” “chief financial officer,” “chief operating officer,” “director,” “general counsel,” “general manager,” “managing director,” “president,” “principal accounting officer,” “secretary,” “senior chairman,” “senior managing director,” “treasurer,” “vice chairman,” “executive vice president” or “vice president,” and as and to the extent authorized by the Managing Member in its sole discretion. The officers of the Company shall have such titles and powers and perform such duties as shall be determined from time to time by the Managing Member and otherwise as shall customarily pertain to such offices. Any number of offices may be held by the same person. In its sole discretion, the Managing Member may choose not to fill any office for any period as it may deem advisable. All officers and other persons providing services to or for the benefit of the Company shall be subject to the supervision and direction of the Managing Member and may be removed, with or without cause, from such office by the Managing Member and the authority, duties or responsibilities of any employee, agent or officer of the Company may be suspended by the Managing Member from time to time, in each case in the sole discretion of the Managing Member. The Managing Member shall not cease to be a Managing Member of the Company as a result of the delegation of any duties hereunder. No officer of the Company, in its capacity as such, shall be considered a Managing Member of the Company by agreement, as a result of the performance of its duties hereunder or otherwise.</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3.05 Authority of Members</w:t>
      </w:r>
      <w:r>
        <w:rPr>
          <w:rFonts w:ascii="Arial" w:cs="Arial" w:eastAsia="Arial" w:hAnsi="Arial"/>
          <w:sz w:val="19"/>
          <w:szCs w:val="19"/>
          <w:color w:val="auto"/>
        </w:rPr>
        <w:t>. No Member (other than the Managing Member), in its capacity as such, shall participate</w:t>
      </w:r>
      <w:r>
        <w:rPr>
          <w:rFonts w:ascii="Arial" w:cs="Arial" w:eastAsia="Arial" w:hAnsi="Arial"/>
          <w:sz w:val="19"/>
          <w:szCs w:val="19"/>
          <w:b w:val="1"/>
          <w:bCs w:val="1"/>
          <w:color w:val="auto"/>
        </w:rPr>
        <w:t xml:space="preserve"> </w:t>
      </w:r>
      <w:r>
        <w:rPr>
          <w:rFonts w:ascii="Arial" w:cs="Arial" w:eastAsia="Arial" w:hAnsi="Arial"/>
          <w:sz w:val="19"/>
          <w:szCs w:val="19"/>
          <w:color w:val="auto"/>
        </w:rPr>
        <w:t>in or have any control over the business of the Company. Except as expressly provided herein, the Units do not confer any rights upon the Members to participate in the affairs of the Company described in this Agreement. Except as expressly provided herein,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Section 3.05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Company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3.06 Action by Written Consent or Ratification</w:t>
      </w:r>
      <w:r>
        <w:rPr>
          <w:rFonts w:ascii="Arial" w:cs="Arial" w:eastAsia="Arial" w:hAnsi="Arial"/>
          <w:sz w:val="22"/>
          <w:szCs w:val="22"/>
          <w:color w:val="auto"/>
        </w:rPr>
        <w:t>. Any action required or permitted to be taken by the Members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Agreement shall be taken if all Members whose consent or ratification is required consent thereto or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p>
      <w:pPr>
        <w:jc w:val="both"/>
        <w:ind w:firstLine="648"/>
        <w:spacing w:after="0" w:line="275" w:lineRule="auto"/>
        <w:rPr>
          <w:sz w:val="20"/>
          <w:szCs w:val="20"/>
          <w:color w:val="auto"/>
        </w:rPr>
      </w:pPr>
      <w:r>
        <w:rPr>
          <w:rFonts w:ascii="Arial" w:cs="Arial" w:eastAsia="Arial" w:hAnsi="Arial"/>
          <w:sz w:val="19"/>
          <w:szCs w:val="19"/>
          <w:b w:val="1"/>
          <w:bCs w:val="1"/>
          <w:color w:val="auto"/>
        </w:rPr>
        <w:t>3.07 Restrictions on Termination Transactions</w:t>
      </w:r>
      <w:r>
        <w:rPr>
          <w:rFonts w:ascii="Arial" w:cs="Arial" w:eastAsia="Arial" w:hAnsi="Arial"/>
          <w:sz w:val="19"/>
          <w:szCs w:val="19"/>
          <w:color w:val="auto"/>
        </w:rPr>
        <w:t>. The Managing Member shall not engage in, or cause or permit, a</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Transaction, unless either (x) the Termination Transaction has been approved by Members holding a majority of the Class A Units held by all Members (excluding the Managing Member and any Members controlled by the Managing Member) or</w:t>
      </w:r>
    </w:p>
    <w:p>
      <w:pPr>
        <w:spacing w:after="0" w:line="2"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following conditions are satisfied:</w:t>
      </w:r>
    </w:p>
    <w:p>
      <w:pPr>
        <w:spacing w:after="0" w:line="215" w:lineRule="exact"/>
        <w:rPr>
          <w:rFonts w:ascii="Arial" w:cs="Arial" w:eastAsia="Arial" w:hAnsi="Arial"/>
          <w:sz w:val="22"/>
          <w:szCs w:val="22"/>
          <w:color w:val="auto"/>
        </w:rPr>
      </w:pPr>
    </w:p>
    <w:p>
      <w:pPr>
        <w:jc w:val="both"/>
        <w:ind w:firstLine="1304"/>
        <w:spacing w:after="0" w:line="270" w:lineRule="auto"/>
        <w:tabs>
          <w:tab w:leader="none" w:pos="2090"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 xml:space="preserve">in connection with any such Termination Transaction, (i) each holder of Class A Units and Class P Units (other than the Managing Member and its wholly owned Subsidiaries) will receive, or will have the right to elect to receive, for each Class A Unit or Class P Unit an amount of cash, securities or other property equal to the product of (x) the number of shares of Class A Common Stock into which a Class A Unit or Class P Unit is then exchangeable pursuant to the Exchange Agreement and (y) the greatest amount of cash, securities or other property paid to a holder of one share of Class A Common Stock in consideration of one share of Class A Common Stock pursuant to the terms of such Termination Transaction; </w:t>
      </w:r>
      <w:r>
        <w:rPr>
          <w:rFonts w:ascii="Arial" w:cs="Arial" w:eastAsia="Arial" w:hAnsi="Arial"/>
          <w:sz w:val="19"/>
          <w:szCs w:val="19"/>
          <w:i w:val="1"/>
          <w:iCs w:val="1"/>
          <w:color w:val="auto"/>
        </w:rPr>
        <w:t>provided</w:t>
      </w:r>
      <w:r>
        <w:rPr>
          <w:rFonts w:ascii="Arial" w:cs="Arial" w:eastAsia="Arial" w:hAnsi="Arial"/>
          <w:sz w:val="19"/>
          <w:szCs w:val="19"/>
          <w:color w:val="auto"/>
        </w:rPr>
        <w:t>, that the condition set forth in this Section 3.07(a)(i) shall be deemed to have been satisfied if, in connection with such Termination Transaction, a purchase, tender or exchange offer shall have been made to and accepted by the holders of a majority of the outstanding shares of Class A Common Stock, and each holder of Class A Units or Class P Units (other than the Managing Member and its wholly owned subsidiaries) will receive, or will have the right to elect to receive, the greatest amount of cash, securities or other property which such holder of Class A Units or Class P Units would have received had such Class A Units or Class P Units been exchanged for shares of Class A Common Stock in an Exchange Transaction immediately prior to the expiration of such purchase, tender or exchange offer, such holder of Class A Units or Class P Units had thereupon accepted such purchase, tender or exchange offer and then such Termination Transaction shall have been consummated (the fair market value, at the time of the Termination Transaction, of the amount specified herein with respect to each Class A Unit or Class P Unit is referred to as the “</w:t>
      </w:r>
      <w:r>
        <w:rPr>
          <w:rFonts w:ascii="Arial" w:cs="Arial" w:eastAsia="Arial" w:hAnsi="Arial"/>
          <w:sz w:val="19"/>
          <w:szCs w:val="19"/>
          <w:b w:val="1"/>
          <w:bCs w:val="1"/>
          <w:i w:val="1"/>
          <w:iCs w:val="1"/>
          <w:color w:val="auto"/>
        </w:rPr>
        <w:t>Transaction Consideration</w:t>
      </w:r>
      <w:r>
        <w:rPr>
          <w:rFonts w:ascii="Arial" w:cs="Arial" w:eastAsia="Arial" w:hAnsi="Arial"/>
          <w:sz w:val="19"/>
          <w:szCs w:val="19"/>
          <w:color w:val="auto"/>
        </w:rPr>
        <w:t>”); and (ii) the Company receives an opinion from nationally recognized tax counsel to the effect that such Termination Transaction will be tax-free to each holder of Class A Units and Class P Units (including the Managing Member and its wholly owned Subsidiaries unless waived by the Managing Member) for U.S. federal income tax purposes (except to the extent of cash, marketable securities or other property received); or</w:t>
      </w:r>
    </w:p>
    <w:p>
      <w:pPr>
        <w:spacing w:after="0" w:line="189" w:lineRule="exact"/>
        <w:rPr>
          <w:rFonts w:ascii="Arial" w:cs="Arial" w:eastAsia="Arial" w:hAnsi="Arial"/>
          <w:sz w:val="19"/>
          <w:szCs w:val="19"/>
          <w:b w:val="1"/>
          <w:bCs w:val="1"/>
          <w:color w:val="auto"/>
        </w:rPr>
      </w:pPr>
    </w:p>
    <w:p>
      <w:pPr>
        <w:jc w:val="both"/>
        <w:ind w:firstLine="1304"/>
        <w:spacing w:after="0" w:line="269" w:lineRule="auto"/>
        <w:tabs>
          <w:tab w:leader="none" w:pos="2149"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all of the following conditions are met: (i) substantially all of the assets directly or indirectly owned by the Company prior to the announcement of the Termination Transaction are, immediately after the Termination Transaction, owned directly or indirectly by (x) the Company or (y) another limited liability company or limited partnership organized or existing under the laws of the United States, any state thereof, the District of Columbia, or any territory thereof, which is the survivor of a merger, consolidation or combination of assets with the Company (in each case, the “</w:t>
      </w:r>
      <w:r>
        <w:rPr>
          <w:rFonts w:ascii="Arial" w:cs="Arial" w:eastAsia="Arial" w:hAnsi="Arial"/>
          <w:sz w:val="19"/>
          <w:szCs w:val="19"/>
          <w:b w:val="1"/>
          <w:bCs w:val="1"/>
          <w:i w:val="1"/>
          <w:iCs w:val="1"/>
          <w:color w:val="auto"/>
        </w:rPr>
        <w:t>Surviving Company</w:t>
      </w:r>
      <w:r>
        <w:rPr>
          <w:rFonts w:ascii="Arial" w:cs="Arial" w:eastAsia="Arial" w:hAnsi="Arial"/>
          <w:sz w:val="19"/>
          <w:szCs w:val="19"/>
          <w:color w:val="auto"/>
        </w:rPr>
        <w:t>”); (ii) the Surviving Company is classified as a partnership for U.S. Federal income tax purposes; (iii) the Members (other than entities controlled by the Managing Member) that held Class A Units and Class P Units immediately prior to the consummation of such Termination Transaction own a percentage interest of the Surviving Company based on the proportion of the relative fair market value of the net assets of the Company to the other net assets of the Surviving Company immediately prior to the consummation of such transaction; (iv) the rights of such Members with respect to the Surviving Company are at least as favorable as those of Members holding Class A Units and Class P Units (including any rights under the Tax Receivable Agreement, unless such Termination Transaction constitutes a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for purposes of the Tax Receivable Agreement or otherwise results in payments of cash to the TRA Parties (as defined in the Tax Receivable Agreement) equivalent to (and in lieu of) the payments that would be required to be made to such TRA Parties if such Termination Transaction did constitute a “Change of Control” for such purposes) immediately prior to the consummation of such transaction (except to the extent that any such rights are consistent with clause (v) below) and as those applicable to any other Members (not including the Managing Member); and (v) such rights include the right, to the same extent provided to holders of Class A Units and Class P Units pursuant to the Exchange Agreement, to exchange their interests in the Surviving Company for: (1) a number of such publicly traded common equity securities with a fair market value, as of the date of consummation of such Termination Transaction, equal to the Transaction Consideration, subject to antidilution adjustments comparable to those set forth in Section 2.2 of the Exchange Agreement (the “</w:t>
      </w:r>
      <w:r>
        <w:rPr>
          <w:rFonts w:ascii="Arial" w:cs="Arial" w:eastAsia="Arial" w:hAnsi="Arial"/>
          <w:sz w:val="19"/>
          <w:szCs w:val="19"/>
          <w:b w:val="1"/>
          <w:bCs w:val="1"/>
          <w:i w:val="1"/>
          <w:iCs w:val="1"/>
          <w:color w:val="auto"/>
        </w:rPr>
        <w:t>Successor Shares Amount</w:t>
      </w:r>
      <w:r>
        <w:rPr>
          <w:rFonts w:ascii="Arial" w:cs="Arial" w:eastAsia="Arial" w:hAnsi="Arial"/>
          <w:sz w:val="19"/>
          <w:szCs w:val="19"/>
          <w:color w:val="auto"/>
        </w:rPr>
        <w:t>”); and/or (2) cash in an amount equal to the fair market value of the Successor Shares Amount at the time of such exchange, determined in a manner consistent with the definition of “Cash Exchange Payment” as set forth in the Exchange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1" w:name="page152"/>
    <w:bookmarkEnd w:id="151"/>
    <w:p>
      <w:pPr>
        <w:jc w:val="both"/>
        <w:ind w:firstLine="1304"/>
        <w:spacing w:after="0" w:line="297" w:lineRule="auto"/>
        <w:tabs>
          <w:tab w:leader="none" w:pos="2258"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In connection with any Termination Transaction permitted by Section 3.07(b) hereof, the relative fair market values shall be reasonably determined by the Managing Member as of the time of such transaction and, to the extent applicable, shall be no less favorable to the Members than the relative values reflected in the terms of such transaction.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Distributions</w:t>
      </w:r>
    </w:p>
    <w:p>
      <w:pPr>
        <w:spacing w:after="0" w:line="233" w:lineRule="exact"/>
        <w:rPr>
          <w:sz w:val="20"/>
          <w:szCs w:val="20"/>
          <w:color w:val="auto"/>
        </w:rPr>
      </w:pPr>
    </w:p>
    <w:p>
      <w:pPr>
        <w:jc w:val="both"/>
        <w:ind w:firstLine="1304"/>
        <w:spacing w:after="0" w:line="274" w:lineRule="auto"/>
        <w:tabs>
          <w:tab w:leader="none" w:pos="2128"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Operating Distributions. </w:t>
      </w:r>
      <w:r>
        <w:rPr>
          <w:rFonts w:ascii="Arial" w:cs="Arial" w:eastAsia="Arial" w:hAnsi="Arial"/>
          <w:sz w:val="19"/>
          <w:szCs w:val="19"/>
          <w:color w:val="auto"/>
        </w:rPr>
        <w:t>The Managing Member, in its sole discretion, may authorize distributions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extent of Available Cash) by the Company to the Members at any time and from time to time. Subject to Section 4.01(b) with respect to Class P Units and to Section 4.01(c) with respect to Tax Distributions, all Distributions by the Company other than those made in connection with dissolution of the Company pursuant to Section 4.02, shall be made or allocated to holders of Participating Units and LTIP Units pro rata based on the number of Participating Units and/or LTIP Units held by each such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distributions in respect of Unvested LTIP Units shall be held back and shall be payable at the same time as the underlying LTIP Units become Vested LTIP Units, and if such LTIP Units are forfeited, the former holder of such LTIP Units shall have no right to receive such distributions. For the avoidance of doubt, if a Distribution in respect of an Unvested LTIP Unit is held back pursuant to this Section 4.01(a), the LTIP Series Sub-Account in respect of such Unvested LTIP Unit shall be treated as reduced pursuant to and for purposes of applying Section 5.03(b).</w:t>
      </w:r>
    </w:p>
    <w:p>
      <w:pPr>
        <w:spacing w:after="0" w:line="178" w:lineRule="exact"/>
        <w:rPr>
          <w:rFonts w:ascii="Arial" w:cs="Arial" w:eastAsia="Arial" w:hAnsi="Arial"/>
          <w:sz w:val="19"/>
          <w:szCs w:val="19"/>
          <w:b w:val="1"/>
          <w:bCs w:val="1"/>
          <w:color w:val="auto"/>
        </w:rPr>
      </w:pPr>
    </w:p>
    <w:p>
      <w:pPr>
        <w:jc w:val="both"/>
        <w:ind w:firstLine="1304"/>
        <w:spacing w:after="0" w:line="246" w:lineRule="auto"/>
        <w:tabs>
          <w:tab w:leader="none" w:pos="2059"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Class P Units</w:t>
      </w:r>
      <w:r>
        <w:rPr>
          <w:rFonts w:ascii="Arial" w:cs="Arial" w:eastAsia="Arial" w:hAnsi="Arial"/>
          <w:sz w:val="21"/>
          <w:szCs w:val="21"/>
          <w:color w:val="auto"/>
        </w:rPr>
        <w:t>. For the avoidance of doubt, if the amount to be distributed pursuant to Section 4.01(a) and</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4.02 with respect to any particular Distribution would cause the amount of any outstanding Class P Unit’s Participation Threshold to be reduced to zero, then such Class P Unit shall constitute an Eligible Class P Unit for purposes of Section 4.01(a) and Section 4.02 only after the portion of the amount to be distributed in such Distribution that would cause such Class P Unit’s Participation Threshold to be reduced to (but not below) zero has first been distributed to the holders of outstanding Participating Units (taking into account outstanding Class P Units that have lesser Participation Thresholds (determined immediately prior to such Distribution)). For the avoidance of doubt, if any Class P Unit is an Unvested Unit as of the date of any Distribution, such Unvested Unit shall not participate in such Distribution (but such Distribution may reduce the Participation Threshold of such Unvested Unit).</w:t>
      </w:r>
    </w:p>
    <w:p>
      <w:pPr>
        <w:spacing w:after="0" w:line="202" w:lineRule="exact"/>
        <w:rPr>
          <w:rFonts w:ascii="Arial" w:cs="Arial" w:eastAsia="Arial" w:hAnsi="Arial"/>
          <w:sz w:val="21"/>
          <w:szCs w:val="21"/>
          <w:b w:val="1"/>
          <w:bCs w:val="1"/>
          <w:color w:val="auto"/>
        </w:rPr>
      </w:pPr>
    </w:p>
    <w:p>
      <w:pPr>
        <w:jc w:val="both"/>
        <w:ind w:firstLine="1304"/>
        <w:spacing w:after="0" w:line="272" w:lineRule="auto"/>
        <w:tabs>
          <w:tab w:leader="none" w:pos="2103"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Distributions (i) </w:t>
      </w:r>
      <w:r>
        <w:rPr>
          <w:rFonts w:ascii="Arial" w:cs="Arial" w:eastAsia="Arial" w:hAnsi="Arial"/>
          <w:sz w:val="19"/>
          <w:szCs w:val="19"/>
          <w:color w:val="auto"/>
        </w:rPr>
        <w:t>With respect to each Member the Company shall calculate the excess of (x)(A) the</w:t>
      </w:r>
      <w:r>
        <w:rPr>
          <w:rFonts w:ascii="Arial" w:cs="Arial" w:eastAsia="Arial" w:hAnsi="Arial"/>
          <w:sz w:val="19"/>
          <w:szCs w:val="19"/>
          <w:b w:val="1"/>
          <w:bCs w:val="1"/>
          <w:color w:val="auto"/>
        </w:rPr>
        <w:t xml:space="preserve"> </w:t>
      </w:r>
      <w:r>
        <w:rPr>
          <w:rFonts w:ascii="Arial" w:cs="Arial" w:eastAsia="Arial" w:hAnsi="Arial"/>
          <w:sz w:val="19"/>
          <w:szCs w:val="19"/>
          <w:color w:val="auto"/>
        </w:rPr>
        <w:t>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Section 4.01(a) and Section 4.02,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9"/>
          <w:szCs w:val="19"/>
          <w:b w:val="1"/>
          <w:bCs w:val="1"/>
          <w:i w:val="1"/>
          <w:iCs w:val="1"/>
          <w:color w:val="auto"/>
        </w:rPr>
        <w:t>Member’s Required Tax Distribution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Managing Member may make adjustments in its reasonable discretion to reflect transactions occurring during the taxable year. For purposes of this Agreement, the “</w:t>
      </w:r>
      <w:r>
        <w:rPr>
          <w:rFonts w:ascii="Arial" w:cs="Arial" w:eastAsia="Arial" w:hAnsi="Arial"/>
          <w:sz w:val="19"/>
          <w:szCs w:val="19"/>
          <w:b w:val="1"/>
          <w:bCs w:val="1"/>
          <w:i w:val="1"/>
          <w:iCs w:val="1"/>
          <w:color w:val="auto"/>
        </w:rPr>
        <w:t>Income Amount</w:t>
      </w:r>
      <w:r>
        <w:rPr>
          <w:rFonts w:ascii="Arial" w:cs="Arial" w:eastAsia="Arial" w:hAnsi="Arial"/>
          <w:sz w:val="19"/>
          <w:szCs w:val="19"/>
          <w:color w:val="auto"/>
        </w:rPr>
        <w:t>” for a Tax Estimation Period shall equal, with respect to any Member, the net taxable income of the Company allocated or allocable to such Member for such Tax Estimation Period (excluding any compensation paid to a Member outside of this Agreement). For purposes of computing the Tax Amount, the net taxable income shall be determined without regard to any special adjustments of tax items required as a result of any election under Section 754 of the Code, including adjustments required by Sections 734 and 743 of the Code.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firstLine="1952"/>
        <w:spacing w:after="0" w:line="272" w:lineRule="auto"/>
        <w:tabs>
          <w:tab w:leader="none" w:pos="2856"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 xml:space="preserve">At least five (5) days before the quarterly due date for payment by corporations or individuals (whichever is earlier) on a calendar year under the Code, the Company shall distribute (to the extent of Available Cash) to the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upon the number of Units held by each such Member, an aggregate amount of cash sufficient to provide each such Member with a distribution at least equal to such other Member’s Required Tax Distribution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the Members shall only receive distributions in respect of their Class P Units or LTIP Units to the extent of their Member’s Required Tax Distribution for such period in respect of such Class P Units or LTIP Units (i.e., which may not result in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distribution in respect of the Class P Units or the LTIP Units, as applicable), and shall not receive any amount in excess of such amount in respect of their Class P Units or LTIP Units, as applicable) (with amounts distributed pursuant to this Section 4.01(c), “</w:t>
      </w:r>
      <w:r>
        <w:rPr>
          <w:rFonts w:ascii="Arial" w:cs="Arial" w:eastAsia="Arial" w:hAnsi="Arial"/>
          <w:sz w:val="19"/>
          <w:szCs w:val="19"/>
          <w:b w:val="1"/>
          <w:bCs w:val="1"/>
          <w:i w:val="1"/>
          <w:iCs w:val="1"/>
          <w:color w:val="auto"/>
        </w:rPr>
        <w:t>Tax Distributions</w:t>
      </w:r>
      <w:r>
        <w:rPr>
          <w:rFonts w:ascii="Arial" w:cs="Arial" w:eastAsia="Arial" w:hAnsi="Arial"/>
          <w:sz w:val="19"/>
          <w:szCs w:val="19"/>
          <w:color w:val="auto"/>
        </w:rPr>
        <w:t xml:space="preserve">”). Any Tax Distributions shall be treated in all respects as advances against future distributions pursuant to Section 4.01(a) and Section 4.02;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Tax Distributions made with respect to Class P Units or LTIP Units which subsequently convert into Class A Units pursuant to Section 5.03(b) shall be treated in all respects as advances against any such future distributions made with respect to such Class A Units.</w:t>
      </w:r>
    </w:p>
    <w:p>
      <w:pPr>
        <w:spacing w:after="0" w:line="188" w:lineRule="exact"/>
        <w:rPr>
          <w:rFonts w:ascii="Arial" w:cs="Arial" w:eastAsia="Arial" w:hAnsi="Arial"/>
          <w:sz w:val="19"/>
          <w:szCs w:val="19"/>
          <w:b w:val="1"/>
          <w:bCs w:val="1"/>
          <w:color w:val="auto"/>
        </w:rPr>
      </w:pPr>
    </w:p>
    <w:p>
      <w:pPr>
        <w:jc w:val="both"/>
        <w:ind w:firstLine="1952"/>
        <w:spacing w:after="0" w:line="252" w:lineRule="auto"/>
        <w:tabs>
          <w:tab w:leader="none" w:pos="2724" w:val="left"/>
        </w:tabs>
        <w:numPr>
          <w:ilvl w:val="0"/>
          <w:numId w:val="105"/>
        </w:numPr>
        <w:rPr>
          <w:rFonts w:ascii="Arial" w:cs="Arial" w:eastAsia="Arial" w:hAnsi="Arial"/>
          <w:sz w:val="21"/>
          <w:szCs w:val="21"/>
          <w:b w:val="1"/>
          <w:bCs w:val="1"/>
          <w:color w:val="auto"/>
        </w:rPr>
      </w:pPr>
      <w:r>
        <w:rPr>
          <w:rFonts w:ascii="Arial" w:cs="Arial" w:eastAsia="Arial" w:hAnsi="Arial"/>
          <w:sz w:val="21"/>
          <w:szCs w:val="21"/>
          <w:color w:val="auto"/>
        </w:rPr>
        <w:t>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Section 4.01(a) and Section 4.02.</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4.02 Liquidation Distribution</w:t>
      </w:r>
      <w:r>
        <w:rPr>
          <w:rFonts w:ascii="Arial" w:cs="Arial" w:eastAsia="Arial" w:hAnsi="Arial"/>
          <w:sz w:val="19"/>
          <w:szCs w:val="19"/>
          <w:color w:val="auto"/>
        </w:rPr>
        <w:t>. Subject to Section 4.01(b) with respect to Class P Units and Section 4.01(c)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Tax Distributions, all Distributions by the Company, and all proceeds (whether received by the Company or directly by the Members) in connection with dissolution of the Company shall be made or allocated among the holders of Participating Units and Vested LTIP Units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 number of Participating Units and Vested LTIP Units held by each such holder.</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4.03 Limitations on Distribution</w:t>
      </w:r>
      <w:r>
        <w:rPr>
          <w:rFonts w:ascii="Arial" w:cs="Arial" w:eastAsia="Arial" w:hAnsi="Arial"/>
          <w:sz w:val="21"/>
          <w:szCs w:val="21"/>
          <w:color w:val="auto"/>
        </w:rPr>
        <w:t>. Notwithstanding any provision to the contrary contained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Managing Member shall not make a distribution to any Member if such distribution would (i) violate Section 18-607 of the Act or other applicable Law, or (ii) in the case of LTIP Units, to the extent such distribution or payment would cause the balance of a Member’s LTIP Series Sub-Account in respect of such LTIP Series Units to be less than zero.</w:t>
      </w:r>
    </w:p>
    <w:p>
      <w:pPr>
        <w:spacing w:after="0" w:line="19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4.04 Earnout Company Units</w:t>
      </w:r>
      <w:r>
        <w:rPr>
          <w:rFonts w:ascii="Arial" w:cs="Arial" w:eastAsia="Arial" w:hAnsi="Arial"/>
          <w:sz w:val="22"/>
          <w:szCs w:val="22"/>
          <w:color w:val="auto"/>
        </w:rPr>
        <w:t>. Notwithstanding anything in this Article IV to the contrary, for all purposes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IV, any distributions that would be made to the Managing Member pursuant to this Article IV in respect of the Class A Units held by the Managing Member that are Earnout Company Units and that have not satisfied the earnout criteria applicable to the shares of Class A Common Stock set forth in the Sponsor Letter Agreement at the time such distribution is made shall be held back and recorded by the Company and such amounts shall either be (i) released to the Managing Member at such time (if any) as such Earnout Company Units satisfy the earnout criteria set forth in the Sponsor Letter Agreement or (ii) released to the Company at such time as such Earnout Company Units are forfeited to the Company in accordance with the Sponsor Letter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firstLine="648"/>
        <w:spacing w:after="0" w:line="237" w:lineRule="auto"/>
        <w:rPr>
          <w:sz w:val="20"/>
          <w:szCs w:val="20"/>
          <w:color w:val="auto"/>
        </w:rPr>
      </w:pPr>
      <w:r>
        <w:rPr>
          <w:rFonts w:ascii="Arial" w:cs="Arial" w:eastAsia="Arial" w:hAnsi="Arial"/>
          <w:sz w:val="22"/>
          <w:szCs w:val="22"/>
          <w:b w:val="1"/>
          <w:bCs w:val="1"/>
          <w:color w:val="auto"/>
        </w:rPr>
        <w:t>4.05 Use of Distribution Funds</w:t>
      </w:r>
      <w:r>
        <w:rPr>
          <w:rFonts w:ascii="Arial" w:cs="Arial" w:eastAsia="Arial" w:hAnsi="Arial"/>
          <w:sz w:val="22"/>
          <w:szCs w:val="22"/>
          <w:color w:val="auto"/>
        </w:rPr>
        <w:t>. The Managing Member shall use distributions received from the Company for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payment of taxes, obligations under the Tax Receivable Agreement, liabilities or expenses, to loan funds to the Company in accordance with this Agreement, for the payment of dividends to its shareholders or for other general corporate purposes as determined in the sole discretion of the Managing Member; provided that the Managing Member may not use such distributions to acquire any Units, except as otherwise provided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CONTRIBUTIONS; CAPITAL ACCOUNTS;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ALLOCATIONS; TAX MATTERS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5.01 Initial Capital Contributions</w:t>
      </w:r>
      <w:r>
        <w:rPr>
          <w:rFonts w:ascii="Arial" w:cs="Arial" w:eastAsia="Arial" w:hAnsi="Arial"/>
          <w:sz w:val="22"/>
          <w:szCs w:val="22"/>
          <w:color w:val="auto"/>
        </w:rPr>
        <w:t>. The Members have made, on or prior to the date hereof, Capital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in exchange, the Company has issued to the Members the number of Class A Units as specified in the books and records of the Company.</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5.02 No Additional Capital Contributions</w:t>
      </w:r>
      <w:r>
        <w:rPr>
          <w:rFonts w:ascii="Arial" w:cs="Arial" w:eastAsia="Arial" w:hAnsi="Arial"/>
          <w:sz w:val="21"/>
          <w:szCs w:val="21"/>
          <w:color w:val="auto"/>
        </w:rPr>
        <w:t>. No Member shall be required to make additional Capital Contributions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without the consent of such Member or permitted to make additional capital contributions to the Company without the consent of the Managing Member, which may be granted or withheld in its sole discretion.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Capital Accounts</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72" w:lineRule="auto"/>
        <w:tabs>
          <w:tab w:leader="none" w:pos="2051"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A separate capital account (a “</w:t>
      </w:r>
      <w:r>
        <w:rPr>
          <w:rFonts w:ascii="Arial" w:cs="Arial" w:eastAsia="Arial" w:hAnsi="Arial"/>
          <w:sz w:val="19"/>
          <w:szCs w:val="19"/>
          <w:b w:val="1"/>
          <w:bCs w:val="1"/>
          <w:i w:val="1"/>
          <w:iCs w:val="1"/>
          <w:color w:val="auto"/>
        </w:rPr>
        <w:t>Capital Account</w:t>
      </w:r>
      <w:r>
        <w:rPr>
          <w:rFonts w:ascii="Arial" w:cs="Arial" w:eastAsia="Arial" w:hAnsi="Arial"/>
          <w:sz w:val="19"/>
          <w:szCs w:val="19"/>
          <w:color w:val="auto"/>
        </w:rPr>
        <w:t>”) shall be established and maintained for each Member in accordance with the provisions of Treasury Regulations Section 1.704-1(b)(2)(iv) and this Section 5.03. The Company may adjust the Capital Accounts of its Members to reflect revaluations of the property of any Subsidiary of the Company that is treated as a partnership (or entity disregarded from a partnership) for U.S. federal income tax purposes. The Capital Account of each Member shall be credited with such Member’s Capital Contributions, if any, all Profits allocated to such Member pursuant to Section 5.04 and any items of income or gain which are specially allocated pursuant to Section 5.05; and shall be debited with all Losses allocated to such Member pursuant to Section 5.04, any items of loss or deduction of the Company specially allocated to such Member pursuant to Section 5.05, and all cash and the Carrying Value of any property (net of liabilities assumed by such Member and the liabilities to which such property is subject) distributed by the Company to such Member. Any references in any section of this Agreement to the Capital Account of a Member shall be deemed to refer to such Capital Account as the same may be credited or debited from time to 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200" w:lineRule="exact"/>
        <w:rPr>
          <w:rFonts w:ascii="Arial" w:cs="Arial" w:eastAsia="Arial" w:hAnsi="Arial"/>
          <w:sz w:val="19"/>
          <w:szCs w:val="19"/>
          <w:b w:val="1"/>
          <w:bCs w:val="1"/>
          <w:color w:val="auto"/>
        </w:rPr>
      </w:pPr>
    </w:p>
    <w:p>
      <w:pPr>
        <w:spacing w:after="0" w:line="230" w:lineRule="exact"/>
        <w:rPr>
          <w:rFonts w:ascii="Arial" w:cs="Arial" w:eastAsia="Arial" w:hAnsi="Arial"/>
          <w:sz w:val="19"/>
          <w:szCs w:val="19"/>
          <w:b w:val="1"/>
          <w:bCs w:val="1"/>
          <w:color w:val="auto"/>
        </w:rPr>
      </w:pPr>
    </w:p>
    <w:p>
      <w:pPr>
        <w:jc w:val="both"/>
        <w:ind w:firstLine="1304"/>
        <w:spacing w:after="0" w:line="271" w:lineRule="auto"/>
        <w:tabs>
          <w:tab w:leader="none" w:pos="2195"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A separate sub-account (an “</w:t>
      </w:r>
      <w:r>
        <w:rPr>
          <w:rFonts w:ascii="Arial" w:cs="Arial" w:eastAsia="Arial" w:hAnsi="Arial"/>
          <w:sz w:val="19"/>
          <w:szCs w:val="19"/>
          <w:b w:val="1"/>
          <w:bCs w:val="1"/>
          <w:i w:val="1"/>
          <w:iCs w:val="1"/>
          <w:color w:val="auto"/>
        </w:rPr>
        <w:t>LTIP Series Sub-Account</w:t>
      </w:r>
      <w:r>
        <w:rPr>
          <w:rFonts w:ascii="Arial" w:cs="Arial" w:eastAsia="Arial" w:hAnsi="Arial"/>
          <w:sz w:val="19"/>
          <w:szCs w:val="19"/>
          <w:color w:val="auto"/>
        </w:rPr>
        <w:t>”) shall be established and maintained for each Member in respect of each LTIP Series Unit held by such Member. The balance of each LTIP Series Sub-Account shall initially be zero and shall be adjusted as provided in the previous paragraph as if the LTIP Series Sub-Account was a Capital Account and the Member only held the LTIP Series Units of such LTIP Series held by such Member. If at any time the aggregate LTIP Series Sub-Accounts of an LTIP Series equal the product of the number of LTIP Series Units in such LTIP Series and the Class A Unit Capital Account Amount (as determined at such time), the LTIP Series Units of such LTIP Series shall be converted automatically into (i) a separate sub-class of LTIP Series Units (“</w:t>
      </w:r>
      <w:r>
        <w:rPr>
          <w:rFonts w:ascii="Arial" w:cs="Arial" w:eastAsia="Arial" w:hAnsi="Arial"/>
          <w:sz w:val="19"/>
          <w:szCs w:val="19"/>
          <w:b w:val="1"/>
          <w:bCs w:val="1"/>
          <w:i w:val="1"/>
          <w:iCs w:val="1"/>
          <w:color w:val="auto"/>
        </w:rPr>
        <w:t>Equitized LTIP Series Units</w:t>
      </w:r>
      <w:r>
        <w:rPr>
          <w:rFonts w:ascii="Arial" w:cs="Arial" w:eastAsia="Arial" w:hAnsi="Arial"/>
          <w:sz w:val="19"/>
          <w:szCs w:val="19"/>
          <w:color w:val="auto"/>
        </w:rPr>
        <w:t>”), if such LTIP Series Units are Unvested LTIP Units, or (ii) Class A Units, if such LTIP Series Units are Vested LTIP Units. LTIP Series Sub-Accounts shall continue to be maintained for Equitized LTIP Series Units. If an Equitized LTIP Series Unit becomes a Vested LTIP Unit, such Equitized LTIP Series Unit shall be converted automatically into a Class A Unit once the aggregate LTIP Series Sub-Accounts for the Equitized LTIP Series to which such Equitized LTIP Series Unit belongs equal the product of the number of the LTIP Units in such Equitized LTIP Series and the Class A Unit Capital Account Amount (as determined at such time). Upon the automatic conversion of a Vested LTIP Unit into a Class A Unit pursuant to this Section 5.03, the Managing Member shall issue one share of Class V Common Stock per each such converted Class A Unit to the holder thereof.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4" w:name="page155"/>
    <w:bookmarkEnd w:id="154"/>
    <w:p>
      <w:pPr>
        <w:jc w:val="both"/>
        <w:ind w:firstLine="648"/>
        <w:spacing w:after="0" w:line="272" w:lineRule="auto"/>
        <w:rPr>
          <w:sz w:val="20"/>
          <w:szCs w:val="20"/>
          <w:color w:val="auto"/>
        </w:rPr>
      </w:pPr>
      <w:r>
        <w:rPr>
          <w:rFonts w:ascii="Arial" w:cs="Arial" w:eastAsia="Arial" w:hAnsi="Arial"/>
          <w:sz w:val="19"/>
          <w:szCs w:val="19"/>
          <w:b w:val="1"/>
          <w:bCs w:val="1"/>
          <w:color w:val="auto"/>
        </w:rPr>
        <w:t>5.04 Allocations of Profits and Losses</w:t>
      </w:r>
      <w:r>
        <w:rPr>
          <w:rFonts w:ascii="Arial" w:cs="Arial" w:eastAsia="Arial" w:hAnsi="Arial"/>
          <w:sz w:val="19"/>
          <w:szCs w:val="19"/>
          <w:color w:val="auto"/>
        </w:rPr>
        <w:t>. Except as otherwise provided in this Agreement, Profits and Losses (and,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necessary, individual items of income, gain or loss or deduction of the Company) shall be allocated in a manner such that the Capital Account of each Member after giving effect to the special allocations set forth in Section 5.05 is, as nearly as possible, equal (proportionately) to (i) the distributions that would be made pursuant to Article IX if the Company were dissolved, its affairs wound up and its assets sold for cash equal to their Carrying Value, all Company liabilities were satisfied in cash in accordance with their terms (limited with respect to each nonrecourse liability to the Carrying Value of the assets securing such liability) and all remaining or resulting cash was distributed to the Members in accordance with Section 9.03, minus (ii) such Member’s share of Company Minimum Gain and Member Nonrecourse Debt Minimum Gain, computed immediately prior to the hypothetical sale of assets. For purposes of this Article V, (i) no Profits or Losses or items thereof will be allocated in respect of any LTIP Unit pursuant to this Section 5.04 in excess of the amount allocated to a Class A Unit under this Section 5.04, and (ii) each Unvested Unit shall be treated as a Vested Unit. Notwithstanding the foregoing, the Managing Member shall make such adjustments to Capital Accounts as it determines in its reasonable discretion to be appropriate to ensure allocations are made in accordance with a Member’s interest in the Company.</w:t>
      </w:r>
    </w:p>
    <w:p>
      <w:pPr>
        <w:spacing w:after="0" w:line="200" w:lineRule="exact"/>
        <w:rPr>
          <w:sz w:val="20"/>
          <w:szCs w:val="20"/>
          <w:color w:val="auto"/>
        </w:rPr>
      </w:pPr>
    </w:p>
    <w:p>
      <w:pPr>
        <w:spacing w:after="0" w:line="23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Special Allocations</w:t>
      </w:r>
      <w:r>
        <w:rPr>
          <w:rFonts w:ascii="Arial" w:cs="Arial" w:eastAsia="Arial" w:hAnsi="Arial"/>
          <w:sz w:val="19"/>
          <w:szCs w:val="19"/>
          <w:color w:val="auto"/>
        </w:rPr>
        <w:t>. Notwithstanding any other provision in this Article V:</w:t>
      </w:r>
    </w:p>
    <w:p>
      <w:pPr>
        <w:spacing w:after="0" w:line="233" w:lineRule="exact"/>
        <w:rPr>
          <w:sz w:val="20"/>
          <w:szCs w:val="20"/>
          <w:color w:val="auto"/>
        </w:rPr>
      </w:pPr>
    </w:p>
    <w:p>
      <w:pPr>
        <w:jc w:val="both"/>
        <w:ind w:firstLine="1304"/>
        <w:spacing w:after="0" w:line="246" w:lineRule="auto"/>
        <w:tabs>
          <w:tab w:leader="none" w:pos="2412"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Minimum Gain Chargeback</w:t>
      </w:r>
      <w:r>
        <w:rPr>
          <w:rFonts w:ascii="Arial" w:cs="Arial" w:eastAsia="Arial" w:hAnsi="Arial"/>
          <w:sz w:val="21"/>
          <w:szCs w:val="21"/>
          <w:color w:val="auto"/>
        </w:rPr>
        <w:t>. If there is a net decrease in Company Minimum Gain or Member</w:t>
      </w:r>
      <w:r>
        <w:rPr>
          <w:rFonts w:ascii="Arial" w:cs="Arial" w:eastAsia="Arial" w:hAnsi="Arial"/>
          <w:sz w:val="21"/>
          <w:szCs w:val="21"/>
          <w:b w:val="1"/>
          <w:bCs w:val="1"/>
          <w:color w:val="auto"/>
        </w:rPr>
        <w:t xml:space="preserve"> </w:t>
      </w:r>
      <w:r>
        <w:rPr>
          <w:rFonts w:ascii="Arial" w:cs="Arial" w:eastAsia="Arial" w:hAnsi="Arial"/>
          <w:sz w:val="21"/>
          <w:szCs w:val="21"/>
          <w:color w:val="auto"/>
        </w:rPr>
        <w:t>Nonrecourse Debt Minimum Gain (determined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 1.704-2(i)(4). The items to be so allocated shall be determined in accordance with Treasury Regulations Sections 1.704-2(i)(4) and 1.704-2(j)(2). This Section 5.05(a)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202" w:lineRule="exact"/>
        <w:rPr>
          <w:rFonts w:ascii="Arial" w:cs="Arial" w:eastAsia="Arial" w:hAnsi="Arial"/>
          <w:sz w:val="21"/>
          <w:szCs w:val="21"/>
          <w:b w:val="1"/>
          <w:bCs w:val="1"/>
          <w:color w:val="auto"/>
        </w:rPr>
      </w:pPr>
    </w:p>
    <w:p>
      <w:pPr>
        <w:jc w:val="both"/>
        <w:ind w:firstLine="1304"/>
        <w:spacing w:after="0" w:line="276" w:lineRule="auto"/>
        <w:tabs>
          <w:tab w:leader="none" w:pos="2410"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Qualified Income Offset</w:t>
      </w:r>
      <w:r>
        <w:rPr>
          <w:rFonts w:ascii="Arial" w:cs="Arial" w:eastAsia="Arial" w:hAnsi="Arial"/>
          <w:sz w:val="19"/>
          <w:szCs w:val="19"/>
          <w:color w:val="auto"/>
        </w:rPr>
        <w:t>. If any Member unexpectedly receives any adjustments, allocations, or</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provided that an allocation pursuant to this Section 5.05(b) shall be made only to the extent that a Member would have a deficit Adjusted Capital Account Balance in excess of such sum after all other allocations provided for in this Article V have been tentatively made as if this Section 5.05(b) were not in this Agreement. This Section 5.05(b) is intended to comply with the “qualified income offset” requirement of the Code and shall be interpreted consistently therewith.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jc w:val="both"/>
        <w:ind w:firstLine="1304"/>
        <w:spacing w:after="0" w:line="235" w:lineRule="auto"/>
        <w:tabs>
          <w:tab w:leader="none" w:pos="217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Gross Income Allocation</w:t>
      </w:r>
      <w:r>
        <w:rPr>
          <w:rFonts w:ascii="Arial" w:cs="Arial" w:eastAsia="Arial" w:hAnsi="Arial"/>
          <w:sz w:val="22"/>
          <w:szCs w:val="22"/>
          <w:color w:val="auto"/>
        </w:rPr>
        <w:t>. If any Member has a deficit Capital Account at the end of any Fiscal Year</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provided that an allocation pursuant to this Section 5.05(c) shall be made only if and to the extent that a Member would have a deficit Capital Account in excess of such sum after all other allocations provided for in this Article V have been tentatively made as if Section 5.05(b) and this Section 5.05(c) were not in this Agreement.</w:t>
      </w:r>
    </w:p>
    <w:p>
      <w:pPr>
        <w:spacing w:after="0" w:line="206" w:lineRule="exact"/>
        <w:rPr>
          <w:rFonts w:ascii="Arial" w:cs="Arial" w:eastAsia="Arial" w:hAnsi="Arial"/>
          <w:sz w:val="22"/>
          <w:szCs w:val="22"/>
          <w:b w:val="1"/>
          <w:bCs w:val="1"/>
          <w:color w:val="auto"/>
        </w:rPr>
      </w:pPr>
    </w:p>
    <w:p>
      <w:pPr>
        <w:jc w:val="both"/>
        <w:ind w:firstLine="1304"/>
        <w:spacing w:after="0" w:line="251" w:lineRule="auto"/>
        <w:tabs>
          <w:tab w:leader="none" w:pos="2127"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LTIP Unit Gain Allocation</w:t>
      </w:r>
      <w:r>
        <w:rPr>
          <w:rFonts w:ascii="Arial" w:cs="Arial" w:eastAsia="Arial" w:hAnsi="Arial"/>
          <w:sz w:val="21"/>
          <w:szCs w:val="21"/>
          <w:color w:val="auto"/>
        </w:rPr>
        <w:t>. Prior to making any allocations pursuant to Section 5.04 for an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gain recognized on the sale of all or substantially all of the Company’s assets and any Mark-to-Market Gain shall be allocated to the Capital Accounts and LTIP Series Sub-Accounts of the Members in a manner such that, to the extent possible, each LTIP Series converts to Equitized LTIP Series Units or Class A Units pursuant to Section 5.03(b), subject to the following principles as interpreted and applied by the Managing Member in good faith:</w:t>
      </w:r>
    </w:p>
    <w:p>
      <w:pPr>
        <w:spacing w:after="0" w:line="201" w:lineRule="exact"/>
        <w:rPr>
          <w:rFonts w:ascii="Arial" w:cs="Arial" w:eastAsia="Arial" w:hAnsi="Arial"/>
          <w:sz w:val="21"/>
          <w:szCs w:val="21"/>
          <w:b w:val="1"/>
          <w:bCs w:val="1"/>
          <w:color w:val="auto"/>
        </w:rPr>
      </w:pPr>
    </w:p>
    <w:p>
      <w:pPr>
        <w:jc w:val="both"/>
        <w:ind w:firstLine="1952"/>
        <w:spacing w:after="0" w:line="297" w:lineRule="auto"/>
        <w:tabs>
          <w:tab w:leader="none" w:pos="2784"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To the extent such gain is insufficient to cause all LTIP Units to convert to Equitized LTIP Series Units or Class A Units, gain shall be allocated with respect to each LTIP Series (other than any Equitized LTIP Series) based on the order in which each such LTIP Series was issued beginning with the LTIP Series that has been outstanding the longest.</w:t>
      </w:r>
    </w:p>
    <w:p>
      <w:pPr>
        <w:spacing w:after="0" w:line="160" w:lineRule="exact"/>
        <w:rPr>
          <w:rFonts w:ascii="Arial" w:cs="Arial" w:eastAsia="Arial" w:hAnsi="Arial"/>
          <w:sz w:val="19"/>
          <w:szCs w:val="19"/>
          <w:b w:val="1"/>
          <w:bCs w:val="1"/>
          <w:color w:val="auto"/>
        </w:rPr>
      </w:pPr>
    </w:p>
    <w:p>
      <w:pPr>
        <w:jc w:val="both"/>
        <w:ind w:firstLine="1952"/>
        <w:spacing w:after="0" w:line="244" w:lineRule="auto"/>
        <w:tabs>
          <w:tab w:leader="none" w:pos="2821" w:val="left"/>
        </w:tabs>
        <w:numPr>
          <w:ilvl w:val="1"/>
          <w:numId w:val="108"/>
        </w:numPr>
        <w:rPr>
          <w:rFonts w:ascii="Arial" w:cs="Arial" w:eastAsia="Arial" w:hAnsi="Arial"/>
          <w:sz w:val="21"/>
          <w:szCs w:val="21"/>
          <w:b w:val="1"/>
          <w:bCs w:val="1"/>
          <w:color w:val="auto"/>
        </w:rPr>
      </w:pPr>
      <w:r>
        <w:rPr>
          <w:rFonts w:ascii="Arial" w:cs="Arial" w:eastAsia="Arial" w:hAnsi="Arial"/>
          <w:sz w:val="21"/>
          <w:szCs w:val="21"/>
          <w:color w:val="auto"/>
        </w:rPr>
        <w:t>The provisions of this Agreement, including this Section, are intended to ensure that holders of LTIP Units receive “profits interests” within the meaning of Revenue Procedure 93-27, 1993-2 C.B. 343 and 2001-43, 2001-2 C.B. 191. In this regard, it is the intention of the parties to this Agreement that any allocation of gain to an LTIP Series Unit (other than an Equitized LTIP Series Unit) be limited to gain that is economically accrued after the date such LTIP Series Unit is issued (“</w:t>
      </w:r>
      <w:r>
        <w:rPr>
          <w:rFonts w:ascii="Arial" w:cs="Arial" w:eastAsia="Arial" w:hAnsi="Arial"/>
          <w:sz w:val="21"/>
          <w:szCs w:val="21"/>
          <w:b w:val="1"/>
          <w:bCs w:val="1"/>
          <w:i w:val="1"/>
          <w:iCs w:val="1"/>
          <w:color w:val="auto"/>
        </w:rPr>
        <w:t>Available Gains</w:t>
      </w:r>
      <w:r>
        <w:rPr>
          <w:rFonts w:ascii="Arial" w:cs="Arial" w:eastAsia="Arial" w:hAnsi="Arial"/>
          <w:sz w:val="21"/>
          <w:szCs w:val="21"/>
          <w:color w:val="auto"/>
        </w:rPr>
        <w:t xml:space="preserve">”). If the Managing Member subsequently determines that an allocation of gain other than Available Gains was made to an LTIP Unit (other than an Equitized LTIP Series Unit) or that its determination of the aggregate value of the Capital Accounts was otherwise incorrect, it may adjust the values of the aggregate Capital Accounts or other values (and make correlative changes to the allocations previously made and to the Capital Accounts of the Members) or distributions made pursuant to this Agreement to ensure that the intended treatment applies;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adjustments shall be made, to the maximum extent possible, in a manner that does not adversely affect any Member holding Class A Units, with respect to such Units.</w:t>
      </w:r>
    </w:p>
    <w:p>
      <w:pPr>
        <w:spacing w:after="0" w:line="209" w:lineRule="exact"/>
        <w:rPr>
          <w:rFonts w:ascii="Arial" w:cs="Arial" w:eastAsia="Arial" w:hAnsi="Arial"/>
          <w:sz w:val="21"/>
          <w:szCs w:val="21"/>
          <w:b w:val="1"/>
          <w:bCs w:val="1"/>
          <w:color w:val="auto"/>
        </w:rPr>
      </w:pPr>
    </w:p>
    <w:p>
      <w:pPr>
        <w:jc w:val="both"/>
        <w:ind w:firstLine="1304"/>
        <w:spacing w:after="0" w:line="280" w:lineRule="auto"/>
        <w:tabs>
          <w:tab w:leader="none" w:pos="213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Equitized LTIP Series Unit Loss Allocation</w:t>
      </w:r>
      <w:r>
        <w:rPr>
          <w:rFonts w:ascii="Arial" w:cs="Arial" w:eastAsia="Arial" w:hAnsi="Arial"/>
          <w:sz w:val="19"/>
          <w:szCs w:val="19"/>
          <w:color w:val="auto"/>
        </w:rPr>
        <w:t>. If the Equitized LTIP Series Sub-Account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 Equitized LTIP Series Unit exceeds the Class A Unit Capital Account Amount, or would exceed the Class A Unit Capital Account Amount after giving effect to the allocations specified under Section 5.05(d) (for example, as a result of a distribution being made in respect of Class A Units under Section 4.01), a priority allocation of Losses (or items thereof) or other adjusting allocations shall be made to such Equitized LTIP Series Sub-Account in an amount necessary to eliminate such excess or, if there are insufficient Losses (or items thereof) to do so, to reduce such excess to the maximum extent possible.</w:t>
      </w:r>
    </w:p>
    <w:p>
      <w:pPr>
        <w:spacing w:after="0" w:line="171" w:lineRule="exact"/>
        <w:rPr>
          <w:rFonts w:ascii="Arial" w:cs="Arial" w:eastAsia="Arial" w:hAnsi="Arial"/>
          <w:sz w:val="19"/>
          <w:szCs w:val="19"/>
          <w:b w:val="1"/>
          <w:bCs w:val="1"/>
          <w:color w:val="auto"/>
        </w:rPr>
      </w:pPr>
    </w:p>
    <w:p>
      <w:pPr>
        <w:jc w:val="both"/>
        <w:ind w:firstLine="1304"/>
        <w:spacing w:after="0" w:line="239" w:lineRule="auto"/>
        <w:tabs>
          <w:tab w:leader="none" w:pos="213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Nonrecourse Deductions</w:t>
      </w:r>
      <w:r>
        <w:rPr>
          <w:rFonts w:ascii="Arial" w:cs="Arial" w:eastAsia="Arial" w:hAnsi="Arial"/>
          <w:sz w:val="22"/>
          <w:szCs w:val="22"/>
          <w:color w:val="auto"/>
        </w:rPr>
        <w:t>. Nonrecourse Deductions shall be allocated to the Members holding Class A</w:t>
      </w:r>
      <w:r>
        <w:rPr>
          <w:rFonts w:ascii="Arial" w:cs="Arial" w:eastAsia="Arial" w:hAnsi="Arial"/>
          <w:sz w:val="22"/>
          <w:szCs w:val="22"/>
          <w:b w:val="1"/>
          <w:bCs w:val="1"/>
          <w:color w:val="auto"/>
        </w:rPr>
        <w:t xml:space="preserve"> </w:t>
      </w:r>
      <w:r>
        <w:rPr>
          <w:rFonts w:ascii="Arial" w:cs="Arial" w:eastAsia="Arial" w:hAnsi="Arial"/>
          <w:sz w:val="22"/>
          <w:szCs w:val="22"/>
          <w:color w:val="auto"/>
        </w:rPr>
        <w:t>Units, Class P Units and Equitized LTIP Series Units in accordance with their respective Class A Percentage Interest. For the purpose of determining the Class A Percentage Interest in the foregoing sentence, all Equitized LTIP Series Units and Class P Units shall be treated as Class A Units.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6" w:name="page157"/>
    <w:bookmarkEnd w:id="156"/>
    <w:p>
      <w:pPr>
        <w:jc w:val="both"/>
        <w:ind w:firstLine="1304"/>
        <w:spacing w:after="0" w:line="261" w:lineRule="auto"/>
        <w:tabs>
          <w:tab w:leader="none" w:pos="2196"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Member Nonrecourse Deductions</w:t>
      </w:r>
      <w:r>
        <w:rPr>
          <w:rFonts w:ascii="Arial" w:cs="Arial" w:eastAsia="Arial" w:hAnsi="Arial"/>
          <w:sz w:val="21"/>
          <w:szCs w:val="21"/>
          <w:color w:val="auto"/>
        </w:rPr>
        <w:t>. Member Nonrecourse Deductions for any taxable period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allocated to the Member who bears the economic risk of loss with respect to the liability to which such Member Nonrecourse Deductions are attributable in accordance with Treasury Regulations Section 1.704-2(i)(1).</w:t>
      </w:r>
    </w:p>
    <w:p>
      <w:pPr>
        <w:spacing w:after="0" w:line="184" w:lineRule="exact"/>
        <w:rPr>
          <w:rFonts w:ascii="Arial" w:cs="Arial" w:eastAsia="Arial" w:hAnsi="Arial"/>
          <w:sz w:val="21"/>
          <w:szCs w:val="21"/>
          <w:b w:val="1"/>
          <w:bCs w:val="1"/>
          <w:color w:val="auto"/>
        </w:rPr>
      </w:pPr>
    </w:p>
    <w:p>
      <w:pPr>
        <w:jc w:val="both"/>
        <w:ind w:firstLine="1304"/>
        <w:spacing w:after="0" w:line="276" w:lineRule="auto"/>
        <w:tabs>
          <w:tab w:leader="none" w:pos="2181"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Section 754 Adjustments</w:t>
      </w:r>
      <w:r>
        <w:rPr>
          <w:rFonts w:ascii="Arial" w:cs="Arial" w:eastAsia="Arial" w:hAnsi="Arial"/>
          <w:sz w:val="19"/>
          <w:szCs w:val="19"/>
          <w:color w:val="auto"/>
        </w:rPr>
        <w:t>. To the extent an adjustment to the adjusted tax basis of any Company asset,</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Code Section 734(b) or Section 743(b) is required, pursuant to Treasury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 Section 1.704-1(b)(2)(iv)(m)(4) applies.</w:t>
      </w:r>
    </w:p>
    <w:p>
      <w:pPr>
        <w:spacing w:after="0" w:line="176" w:lineRule="exact"/>
        <w:rPr>
          <w:rFonts w:ascii="Arial" w:cs="Arial" w:eastAsia="Arial" w:hAnsi="Arial"/>
          <w:sz w:val="19"/>
          <w:szCs w:val="19"/>
          <w:b w:val="1"/>
          <w:bCs w:val="1"/>
          <w:color w:val="auto"/>
        </w:rPr>
      </w:pPr>
    </w:p>
    <w:p>
      <w:pPr>
        <w:jc w:val="both"/>
        <w:ind w:firstLine="1304"/>
        <w:spacing w:after="0" w:line="237" w:lineRule="auto"/>
        <w:tabs>
          <w:tab w:leader="none" w:pos="2337"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Ameliorative Allocations</w:t>
      </w:r>
      <w:r>
        <w:rPr>
          <w:rFonts w:ascii="Arial" w:cs="Arial" w:eastAsia="Arial" w:hAnsi="Arial"/>
          <w:sz w:val="22"/>
          <w:szCs w:val="22"/>
          <w:color w:val="auto"/>
        </w:rPr>
        <w:t>. Any special allocations of income or gain pursuant to Sections 5.05(a),</w:t>
      </w:r>
      <w:r>
        <w:rPr>
          <w:rFonts w:ascii="Arial" w:cs="Arial" w:eastAsia="Arial" w:hAnsi="Arial"/>
          <w:sz w:val="22"/>
          <w:szCs w:val="22"/>
          <w:b w:val="1"/>
          <w:bCs w:val="1"/>
          <w:color w:val="auto"/>
        </w:rPr>
        <w:t xml:space="preserve"> </w:t>
      </w:r>
      <w:r>
        <w:rPr>
          <w:rFonts w:ascii="Arial" w:cs="Arial" w:eastAsia="Arial" w:hAnsi="Arial"/>
          <w:sz w:val="22"/>
          <w:szCs w:val="22"/>
          <w:color w:val="auto"/>
        </w:rPr>
        <w:t>5.05(b) or 5.05(c) hereof shall be taken into account in computing subsequent allocations pursuant to Section 5.04 and this Section 5.05(i), so that the net amount of any items so allocated and all other items allocated to each Member shall, to the extent possible, be equal to the net amount that would have been allocated to each Member if such allocations pursuant to Sections 5.05(a), 5.05(b) or 5.05(c) had not occurred.</w:t>
      </w:r>
    </w:p>
    <w:p>
      <w:pPr>
        <w:spacing w:after="0" w:line="208" w:lineRule="exact"/>
        <w:rPr>
          <w:rFonts w:ascii="Arial" w:cs="Arial" w:eastAsia="Arial" w:hAnsi="Arial"/>
          <w:sz w:val="22"/>
          <w:szCs w:val="22"/>
          <w:b w:val="1"/>
          <w:bCs w:val="1"/>
          <w:color w:val="auto"/>
        </w:rPr>
      </w:pPr>
    </w:p>
    <w:p>
      <w:pPr>
        <w:jc w:val="both"/>
        <w:ind w:firstLine="1304"/>
        <w:spacing w:after="0" w:line="280" w:lineRule="auto"/>
        <w:tabs>
          <w:tab w:leader="none" w:pos="2227"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Allocations Relating to Taxable Issuance of Company Units</w:t>
      </w:r>
      <w:r>
        <w:rPr>
          <w:rFonts w:ascii="Arial" w:cs="Arial" w:eastAsia="Arial" w:hAnsi="Arial"/>
          <w:sz w:val="19"/>
          <w:szCs w:val="19"/>
          <w:color w:val="auto"/>
        </w:rPr>
        <w:t>. Any income, gain, loss, or deduction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realized as a direct or indirect result of the issuance of Units by the Company to a Member (the "</w:t>
      </w:r>
      <w:r>
        <w:rPr>
          <w:rFonts w:ascii="Arial" w:cs="Arial" w:eastAsia="Arial" w:hAnsi="Arial"/>
          <w:sz w:val="19"/>
          <w:szCs w:val="19"/>
          <w:b w:val="1"/>
          <w:bCs w:val="1"/>
          <w:i w:val="1"/>
          <w:iCs w:val="1"/>
          <w:color w:val="auto"/>
        </w:rPr>
        <w:t>Issuance Items</w:t>
      </w:r>
      <w:r>
        <w:rPr>
          <w:rFonts w:ascii="Arial" w:cs="Arial" w:eastAsia="Arial" w:hAnsi="Arial"/>
          <w:sz w:val="19"/>
          <w:szCs w:val="19"/>
          <w:color w:val="auto"/>
        </w:rPr>
        <w:t>") shall be allocated among the Members so that, to the extent possible, the net amount of such Issuance Items, together with all other allocations under this Agreement to each Member shall be equal to the net amount that would have been allocated to each such Member if the Issuance Items had not been realized. The forfeiture allocations described in Proposed Regulations Section 1.704-1(b)(4)(xii)(C) (2005), and the allocations to which they relate, shall be treated as Issuance Items.</w:t>
      </w:r>
    </w:p>
    <w:p>
      <w:pPr>
        <w:spacing w:after="0" w:line="171" w:lineRule="exact"/>
        <w:rPr>
          <w:rFonts w:ascii="Arial" w:cs="Arial" w:eastAsia="Arial" w:hAnsi="Arial"/>
          <w:sz w:val="19"/>
          <w:szCs w:val="19"/>
          <w:b w:val="1"/>
          <w:bCs w:val="1"/>
          <w:color w:val="auto"/>
        </w:rPr>
      </w:pPr>
    </w:p>
    <w:p>
      <w:pPr>
        <w:ind w:firstLine="1304"/>
        <w:spacing w:after="0" w:line="256" w:lineRule="auto"/>
        <w:tabs>
          <w:tab w:leader="none" w:pos="2073"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Allocation</w:t>
      </w:r>
      <w:r>
        <w:rPr>
          <w:rFonts w:ascii="Arial" w:cs="Arial" w:eastAsia="Arial" w:hAnsi="Arial"/>
          <w:sz w:val="22"/>
          <w:szCs w:val="22"/>
          <w:color w:val="auto"/>
        </w:rPr>
        <w:t>. In the event that the Units of any Member are forfeited, then for the fiscal year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forfeiture or other period (as determined by the Managing Member):</w:t>
      </w:r>
    </w:p>
    <w:p>
      <w:pPr>
        <w:spacing w:after="0" w:line="195" w:lineRule="exact"/>
        <w:rPr>
          <w:rFonts w:ascii="Arial" w:cs="Arial" w:eastAsia="Arial" w:hAnsi="Arial"/>
          <w:sz w:val="22"/>
          <w:szCs w:val="22"/>
          <w:b w:val="1"/>
          <w:bCs w:val="1"/>
          <w:color w:val="auto"/>
        </w:rPr>
      </w:pPr>
    </w:p>
    <w:p>
      <w:pPr>
        <w:jc w:val="both"/>
        <w:ind w:firstLine="1952"/>
        <w:spacing w:after="0" w:line="238" w:lineRule="auto"/>
        <w:tabs>
          <w:tab w:leader="none" w:pos="2817"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items of income, gain, loss, and deduction shall be excluded from the calculation of Profits and Losses and shall be specially allocated to the Member whose Units have been forfeited so as to cause such Member’s Capital Account to equal such Member’s distribution entitlements under Section 4.1 after giving effect to the adjustment in the Member’s Class A/LTIP Percentage Interest resulting from the applicable forfeiture;</w:t>
      </w:r>
    </w:p>
    <w:p>
      <w:pPr>
        <w:spacing w:after="0" w:line="211" w:lineRule="exact"/>
        <w:rPr>
          <w:rFonts w:ascii="Arial" w:cs="Arial" w:eastAsia="Arial" w:hAnsi="Arial"/>
          <w:sz w:val="22"/>
          <w:szCs w:val="22"/>
          <w:b w:val="1"/>
          <w:bCs w:val="1"/>
          <w:color w:val="auto"/>
        </w:rPr>
      </w:pPr>
    </w:p>
    <w:p>
      <w:pPr>
        <w:ind w:firstLine="1952"/>
        <w:spacing w:after="0" w:line="328" w:lineRule="auto"/>
        <w:tabs>
          <w:tab w:leader="none" w:pos="2999" w:val="left"/>
        </w:tabs>
        <w:numPr>
          <w:ilvl w:val="1"/>
          <w:numId w:val="109"/>
        </w:numPr>
        <w:rPr>
          <w:rFonts w:ascii="Arial" w:cs="Arial" w:eastAsia="Arial" w:hAnsi="Arial"/>
          <w:sz w:val="19"/>
          <w:szCs w:val="19"/>
          <w:b w:val="1"/>
          <w:bCs w:val="1"/>
          <w:color w:val="auto"/>
        </w:rPr>
      </w:pPr>
      <w:r>
        <w:rPr>
          <w:rFonts w:ascii="Arial" w:cs="Arial" w:eastAsia="Arial" w:hAnsi="Arial"/>
          <w:sz w:val="19"/>
          <w:szCs w:val="19"/>
          <w:color w:val="auto"/>
        </w:rPr>
        <w:t>the Managing Member may elect to apply another allocation or Capital Account adjustment method to a Unit forfeiture as it reasonably deems appropriate in lieu of the method set forth in this Section 5.05(k).</w:t>
      </w:r>
    </w:p>
    <w:p>
      <w:pPr>
        <w:spacing w:after="0" w:line="1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5.06 Tax Allocations</w:t>
      </w:r>
      <w:r>
        <w:rPr>
          <w:rFonts w:ascii="Arial" w:cs="Arial" w:eastAsia="Arial" w:hAnsi="Arial"/>
          <w:sz w:val="19"/>
          <w:szCs w:val="19"/>
          <w:color w:val="auto"/>
        </w:rPr>
        <w:t>. For income tax purposes, each item of income, gain, loss and deduction of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allocated among the Members in the same manner as the corresponding items of Profits and Losses and specially allocated items are allocated for Capital Account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Managing Member and permitted by the Code and Treasury Regulations, provided that the prior written consent of Original Member Representative (and its successors or assigns) shall be required for use of any method other than the traditional method (without curative allocations) described in Treasury Regulation Section 1.704-3(b)) so as to take account of the difference between Carrying Value and adjusted basis of such asset. Notwithstanding the foregoing, the Managing Member shall make such allocations for tax purposes as it determines in its reasonable discretion, subject to, for so long as the Original Members collectively own at least 10% of the Units, the prior written consent, not to be unreasonably withheld, conditioned or delayed, of the Original Member Representative (and its successors or assigns), to be appropriate to ensure allocations are made in accordance with a Member’s interest in the Company.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jc w:val="both"/>
        <w:ind w:firstLine="648"/>
        <w:spacing w:after="0" w:line="269" w:lineRule="auto"/>
        <w:rPr>
          <w:sz w:val="20"/>
          <w:szCs w:val="20"/>
          <w:color w:val="auto"/>
        </w:rPr>
      </w:pPr>
      <w:r>
        <w:rPr>
          <w:rFonts w:ascii="Arial" w:cs="Arial" w:eastAsia="Arial" w:hAnsi="Arial"/>
          <w:sz w:val="19"/>
          <w:szCs w:val="19"/>
          <w:b w:val="1"/>
          <w:bCs w:val="1"/>
          <w:color w:val="auto"/>
        </w:rPr>
        <w:t>5.07 Tax Advances</w:t>
      </w:r>
      <w:r>
        <w:rPr>
          <w:rFonts w:ascii="Arial" w:cs="Arial" w:eastAsia="Arial" w:hAnsi="Arial"/>
          <w:sz w:val="19"/>
          <w:szCs w:val="19"/>
          <w:color w:val="auto"/>
        </w:rPr>
        <w:t>. If the Company or any other Person in which the Company holds an interest is required by Law</w:t>
      </w:r>
      <w:r>
        <w:rPr>
          <w:rFonts w:ascii="Arial" w:cs="Arial" w:eastAsia="Arial" w:hAnsi="Arial"/>
          <w:sz w:val="19"/>
          <w:szCs w:val="19"/>
          <w:b w:val="1"/>
          <w:bCs w:val="1"/>
          <w:color w:val="auto"/>
        </w:rPr>
        <w:t xml:space="preserve"> </w:t>
      </w:r>
      <w:r>
        <w:rPr>
          <w:rFonts w:ascii="Arial" w:cs="Arial" w:eastAsia="Arial" w:hAnsi="Arial"/>
          <w:sz w:val="19"/>
          <w:szCs w:val="19"/>
          <w:color w:val="auto"/>
        </w:rPr>
        <w:t>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Revised Partnership Audit Provisions, the amount of any taxes imposed under Code Section 1446(f), and any interest, penalties, additions to tax, and expenses related to any such amounts) (“</w:t>
      </w:r>
      <w:r>
        <w:rPr>
          <w:rFonts w:ascii="Arial" w:cs="Arial" w:eastAsia="Arial" w:hAnsi="Arial"/>
          <w:sz w:val="19"/>
          <w:szCs w:val="19"/>
          <w:b w:val="1"/>
          <w:bCs w:val="1"/>
          <w:i w:val="1"/>
          <w:iCs w:val="1"/>
          <w:color w:val="auto"/>
        </w:rPr>
        <w:t>Tax Advances</w:t>
      </w:r>
      <w:r>
        <w:rPr>
          <w:rFonts w:ascii="Arial" w:cs="Arial" w:eastAsia="Arial" w:hAnsi="Arial"/>
          <w:sz w:val="19"/>
          <w:szCs w:val="19"/>
          <w:color w:val="auto"/>
        </w:rPr>
        <w:t>”), the Managing Member may cause the Company to withhold such amounts and cause the Company to make such tax payments as so required. All Tax Advances made on behalf of a Member shall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For all purposes of this Agreement such Member shall be treated as having received the amount of the distribution that is equal to the Tax Advance. Each Member hereby agrees to indemnify and hold harmless the Company and the other Members from and against any liability (including, without limitation, any liability for taxes, penalties, additions to tax or interest other than any penalties, additions to tax or interest imposed as a result of the Company’s failure to withhold or make a tax payment on behalf of such Member which withholding or payment is required pursuant to applicable Law) with respect to income attributable to or distributions or other payments to such Member.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Section 5.08), in each case as reasonably determined by the Managing Member. For the avoidance of doubt, any taxes, penalties, and interest payable under the Revised Partnership Audit Provisions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Managing Member.</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color w:val="auto"/>
        </w:rPr>
        <w:t>Partnership Representative.</w:t>
      </w:r>
    </w:p>
    <w:p>
      <w:pPr>
        <w:spacing w:after="0" w:line="239" w:lineRule="exact"/>
        <w:rPr>
          <w:sz w:val="20"/>
          <w:szCs w:val="20"/>
          <w:color w:val="auto"/>
        </w:rPr>
      </w:pPr>
    </w:p>
    <w:p>
      <w:pPr>
        <w:jc w:val="both"/>
        <w:ind w:firstLine="1304"/>
        <w:spacing w:after="0" w:line="272" w:lineRule="auto"/>
        <w:tabs>
          <w:tab w:leader="none" w:pos="2225"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the Revised Partnership Audit Provisions for taxable years of the Company beginning after December 31, 2017 and ending prior to January 1, 2021. The Managing Member is hereby designated as the “partnership representative” as that term is defined in Revised Partnership Audit Provisions for taxable years of the Company beginning on or after January 1, 2021. In addition, the Managing Member is hereby authorized to designate or remove any other Person selected by the Managing Member as the Partnership Representative. For each Fiscal Year in which the Partnership Representative is an entity, the Company shall appoint an individual identified by the Partnership Representative for such Fiscal Year to act on its behalf (the “</w:t>
      </w:r>
      <w:r>
        <w:rPr>
          <w:rFonts w:ascii="Arial" w:cs="Arial" w:eastAsia="Arial" w:hAnsi="Arial"/>
          <w:sz w:val="19"/>
          <w:szCs w:val="19"/>
          <w:b w:val="1"/>
          <w:bCs w:val="1"/>
          <w:i w:val="1"/>
          <w:iCs w:val="1"/>
          <w:color w:val="auto"/>
        </w:rPr>
        <w:t>Designated Individual</w:t>
      </w:r>
      <w:r>
        <w:rPr>
          <w:rFonts w:ascii="Arial" w:cs="Arial" w:eastAsia="Arial" w:hAnsi="Arial"/>
          <w:sz w:val="19"/>
          <w:szCs w:val="19"/>
          <w:color w:val="auto"/>
        </w:rPr>
        <w:t>”) in accordance with the applicable Regulations or analogous provisions of state or local Law. Each Member hereby expressly consents to such designations and agrees to take, and that the Managing Member is authorized to take (or cause the Company to take), such other actions as may be necessary or advisable pursuant to Treasury Regulations or other Internal Revenue Service or Treasury guidance or state or local Law to cause such designations or evidence such Member’s consent to such designations.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jc w:val="both"/>
        <w:ind w:firstLine="1304"/>
        <w:spacing w:after="0" w:line="248" w:lineRule="auto"/>
        <w:tabs>
          <w:tab w:leader="none" w:pos="1996" w:val="left"/>
        </w:tabs>
        <w:numPr>
          <w:ilvl w:val="0"/>
          <w:numId w:val="111"/>
        </w:numPr>
        <w:rPr>
          <w:rFonts w:ascii="Arial" w:cs="Arial" w:eastAsia="Arial" w:hAnsi="Arial"/>
          <w:sz w:val="21"/>
          <w:szCs w:val="21"/>
          <w:b w:val="1"/>
          <w:bCs w:val="1"/>
          <w:color w:val="auto"/>
        </w:rPr>
      </w:pPr>
      <w:r>
        <w:rPr>
          <w:rFonts w:ascii="Arial" w:cs="Arial" w:eastAsia="Arial" w:hAnsi="Arial"/>
          <w:sz w:val="21"/>
          <w:szCs w:val="21"/>
          <w:color w:val="auto"/>
        </w:rPr>
        <w:t>Subject to this Section 5.08, the Partnership Representative shall have the sole authority to act on behalf of the Company in connection with, make all relevant decisions regarding application of, and to exercise the rights and powers provided for in the Revised Partnership Audit Provisions, including making any elections under the Revised Partnership Audit Provisions or any decisions to settle, compromise, challenge, litigate or otherwise alter the defense of any action, audit or examination before the IRS or any other tax authority (each, an “</w:t>
      </w:r>
      <w:r>
        <w:rPr>
          <w:rFonts w:ascii="Arial" w:cs="Arial" w:eastAsia="Arial" w:hAnsi="Arial"/>
          <w:sz w:val="21"/>
          <w:szCs w:val="21"/>
          <w:b w:val="1"/>
          <w:bCs w:val="1"/>
          <w:i w:val="1"/>
          <w:iCs w:val="1"/>
          <w:color w:val="auto"/>
        </w:rPr>
        <w:t>Audit</w:t>
      </w:r>
      <w:r>
        <w:rPr>
          <w:rFonts w:ascii="Arial" w:cs="Arial" w:eastAsia="Arial" w:hAnsi="Arial"/>
          <w:sz w:val="21"/>
          <w:szCs w:val="21"/>
          <w:color w:val="auto"/>
        </w:rPr>
        <w:t>”), and to expend Company funds for professional services and other expenses reasonably incurred in connection therewith.</w:t>
      </w:r>
    </w:p>
    <w:p>
      <w:pPr>
        <w:spacing w:after="0" w:line="204" w:lineRule="exact"/>
        <w:rPr>
          <w:rFonts w:ascii="Arial" w:cs="Arial" w:eastAsia="Arial" w:hAnsi="Arial"/>
          <w:sz w:val="21"/>
          <w:szCs w:val="21"/>
          <w:b w:val="1"/>
          <w:bCs w:val="1"/>
          <w:color w:val="auto"/>
        </w:rPr>
      </w:pPr>
    </w:p>
    <w:p>
      <w:pPr>
        <w:jc w:val="both"/>
        <w:ind w:firstLine="1304"/>
        <w:spacing w:after="0" w:line="269" w:lineRule="auto"/>
        <w:tabs>
          <w:tab w:leader="none" w:pos="2248"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Without limiting the foregoing, the Partnership Representative shall give prompt written notice to the Original Member Representative of the commencement of any Audit of the Company or any of its Subsidiaries the resolution of which would reasonably be expected to have a disproportionate (compared to the Managing Member) and material adverse effect on the Original Members (a “</w:t>
      </w:r>
      <w:r>
        <w:rPr>
          <w:rFonts w:ascii="Arial" w:cs="Arial" w:eastAsia="Arial" w:hAnsi="Arial"/>
          <w:sz w:val="19"/>
          <w:szCs w:val="19"/>
          <w:b w:val="1"/>
          <w:bCs w:val="1"/>
          <w:i w:val="1"/>
          <w:iCs w:val="1"/>
          <w:color w:val="auto"/>
        </w:rPr>
        <w:t>Specified Audit</w:t>
      </w:r>
      <w:r>
        <w:rPr>
          <w:rFonts w:ascii="Arial" w:cs="Arial" w:eastAsia="Arial" w:hAnsi="Arial"/>
          <w:sz w:val="19"/>
          <w:szCs w:val="19"/>
          <w:color w:val="auto"/>
        </w:rPr>
        <w:t>”). The Partnership Representative shall (i) keep the Original Member Representative reasonably informed of the material developments and status of any such Specified Audit, (ii) permit the Original Member Representative (or its designee) to participate (including using separate counsel), in each case at the Original Members’ sole cost and expense, in any such Specified Audit, and (iii) promptly notify the Original Member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the Partnership Representative shall not (and the Company shall not (and shall not authorize the Partnership Representative to)) settle, compromise or abandon any Specified Audit in a manner that would reasonably be expected to have a disproportionate (compared to the Managing Member) and material adverse effect on the Original Members without the Original Member Representative’s prior written consent (which consent shall not be unreasonably withheld, delayed or conditioned). The Partnership Representative shall obtain the prior written consent of the Original Member Representative (which consent shall not be unreasonably withheld, delayed or conditioned) before (i) making an election under Section 6226(a) of the Code (or any analogous provision of state or local Law) or (ii) taking any material action under the Revised Partnership Audit Provisions that would reasonably be expected to have a disproportionate (compared to the Managing Member) and material adverse effect on the Original Members, in the case of clauses (i) and (ii).</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ind w:firstLine="1304"/>
        <w:spacing w:after="0" w:line="272" w:lineRule="auto"/>
        <w:tabs>
          <w:tab w:leader="none" w:pos="2134"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All expenses incurred by the Partnership Representative or Designated Individual in connection with its duties as partnership representative or designated individual, as applicable, shall be expenses of the Company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Section 5.08(d)), and the Company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Company, any Member or any Affiliate thereof for any costs or losses to any Persons, any diminution in value or any liability whatsoever arising as a result of the performance of its duties pursuant to this Section 5.08 absent (i) willful breach of any provision of this Section 5.08 or (ii) bad faith, fraud, gross negligence or willful misconduct on the part of the Partnership Representative or Designated Individual, as applicable.</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1304"/>
        <w:spacing w:after="0" w:line="238" w:lineRule="auto"/>
        <w:tabs>
          <w:tab w:leader="none" w:pos="2295"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Company, the Partnership Representative, and the Members expressly agree to be bound by the terms of Section 9.04 of the Merger Agreement. Notwithstanding anything to the contrary contained in this Agreement, in the event of any conflict between Section 9.04 of the Merger Agreement and this Agreement, Section 9.04 of the Merger Agreement shall control.</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5.09 Other Allocation Provisions</w:t>
      </w:r>
      <w:r>
        <w:rPr>
          <w:rFonts w:ascii="Arial" w:cs="Arial" w:eastAsia="Arial" w:hAnsi="Arial"/>
          <w:sz w:val="19"/>
          <w:szCs w:val="19"/>
          <w:color w:val="auto"/>
        </w:rPr>
        <w:t>. Certain of the foregoing provisions and the other provisions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maintenance of Capital Accounts are intended to comply with Treasury Regulations Section 1.704-1(b) and shall be interpreted and applied in a manner consistent with such regulations. In addition to amendments effected in accordance with Section 11.12 or otherwise in accordance with this Agreement, Sections 5.03, 5.04 and 5.05 may also, so long as any such amendment does not materially change the relative economic interests of the Members, be amended at any time by the Managing Member if necessary, in the opinion of tax counsel to the Company, to comply with such regulations or any applicable Law.</w:t>
      </w:r>
    </w:p>
    <w:p>
      <w:pPr>
        <w:spacing w:after="0" w:line="17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5.10 Survival</w:t>
      </w:r>
      <w:r>
        <w:rPr>
          <w:rFonts w:ascii="Arial" w:cs="Arial" w:eastAsia="Arial" w:hAnsi="Arial"/>
          <w:sz w:val="19"/>
          <w:szCs w:val="19"/>
          <w:color w:val="auto"/>
        </w:rPr>
        <w:t>. Sections 5.07 and 5.08 shall be interpreted to apply to Members and former Members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the Transfer of a Member’s Units and the termination, dissolution, liquidation and winding up of the Company and, for this purpose to the extent not prohibited by applicable Law, the Company shall be treated as continuing in existence.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BOOKS AND RECORDS; REPORTS</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8"/>
          <w:szCs w:val="18"/>
          <w:b w:val="1"/>
          <w:bCs w:val="1"/>
          <w:color w:val="auto"/>
        </w:rPr>
        <w:t>Books and Records</w:t>
      </w:r>
    </w:p>
    <w:p>
      <w:pPr>
        <w:spacing w:after="0" w:line="239" w:lineRule="exact"/>
        <w:rPr>
          <w:sz w:val="20"/>
          <w:szCs w:val="20"/>
          <w:color w:val="auto"/>
        </w:rPr>
      </w:pPr>
    </w:p>
    <w:p>
      <w:pPr>
        <w:ind w:firstLine="1304"/>
        <w:spacing w:after="0" w:line="250" w:lineRule="auto"/>
        <w:tabs>
          <w:tab w:leader="none" w:pos="2200"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At all times during the continuance of the Company, the Company shall prepare and maintain separate books of account for the Company in accordance with GAAP.</w:t>
      </w:r>
    </w:p>
    <w:p>
      <w:pPr>
        <w:spacing w:after="0" w:line="201" w:lineRule="exact"/>
        <w:rPr>
          <w:rFonts w:ascii="Arial" w:cs="Arial" w:eastAsia="Arial" w:hAnsi="Arial"/>
          <w:sz w:val="22"/>
          <w:szCs w:val="22"/>
          <w:b w:val="1"/>
          <w:bCs w:val="1"/>
          <w:color w:val="auto"/>
        </w:rPr>
      </w:pPr>
    </w:p>
    <w:p>
      <w:pPr>
        <w:jc w:val="both"/>
        <w:ind w:right="20" w:firstLine="1304"/>
        <w:spacing w:after="0"/>
        <w:tabs>
          <w:tab w:leader="none" w:pos="2422"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Except as limited by Section 6.01(c), each Member shall have the right to receive, for a purpose reasonably related to such Member’s interest as a Member in the Company, upon reasonable written demand stating the purpose of such demand and at such Member’s own expense:</w:t>
      </w:r>
    </w:p>
    <w:p>
      <w:pPr>
        <w:spacing w:after="0" w:line="213" w:lineRule="exact"/>
        <w:rPr>
          <w:rFonts w:ascii="Arial" w:cs="Arial" w:eastAsia="Arial" w:hAnsi="Arial"/>
          <w:sz w:val="22"/>
          <w:szCs w:val="22"/>
          <w:b w:val="1"/>
          <w:bCs w:val="1"/>
          <w:color w:val="auto"/>
        </w:rPr>
      </w:pPr>
    </w:p>
    <w:p>
      <w:pPr>
        <w:jc w:val="both"/>
        <w:ind w:firstLine="1952"/>
        <w:spacing w:after="0"/>
        <w:tabs>
          <w:tab w:leader="none" w:pos="2786" w:val="left"/>
        </w:tabs>
        <w:numPr>
          <w:ilvl w:val="1"/>
          <w:numId w:val="113"/>
        </w:numPr>
        <w:rPr>
          <w:rFonts w:ascii="Arial" w:cs="Arial" w:eastAsia="Arial" w:hAnsi="Arial"/>
          <w:sz w:val="22"/>
          <w:szCs w:val="22"/>
          <w:b w:val="1"/>
          <w:bCs w:val="1"/>
          <w:color w:val="auto"/>
        </w:rPr>
      </w:pPr>
      <w:r>
        <w:rPr>
          <w:rFonts w:ascii="Arial" w:cs="Arial" w:eastAsia="Arial" w:hAnsi="Arial"/>
          <w:sz w:val="22"/>
          <w:szCs w:val="22"/>
          <w:color w:val="auto"/>
        </w:rPr>
        <w:t>a copy of the Certificate and this Agreement and all amendments thereto, together with a copy of the executed copies of all powers of attorney pursuant to which the Certificate and this Agreement and all amendments thereto have been executed; and</w:t>
      </w:r>
    </w:p>
    <w:p>
      <w:pPr>
        <w:spacing w:after="0" w:line="213" w:lineRule="exact"/>
        <w:rPr>
          <w:rFonts w:ascii="Arial" w:cs="Arial" w:eastAsia="Arial" w:hAnsi="Arial"/>
          <w:sz w:val="22"/>
          <w:szCs w:val="22"/>
          <w:b w:val="1"/>
          <w:bCs w:val="1"/>
          <w:color w:val="auto"/>
        </w:rPr>
      </w:pPr>
    </w:p>
    <w:p>
      <w:pPr>
        <w:ind w:left="2780" w:hanging="828"/>
        <w:spacing w:after="0"/>
        <w:tabs>
          <w:tab w:leader="none" w:pos="2780" w:val="left"/>
        </w:tabs>
        <w:numPr>
          <w:ilvl w:val="1"/>
          <w:numId w:val="113"/>
        </w:numPr>
        <w:rPr>
          <w:rFonts w:ascii="Arial" w:cs="Arial" w:eastAsia="Arial" w:hAnsi="Arial"/>
          <w:sz w:val="19"/>
          <w:szCs w:val="19"/>
          <w:b w:val="1"/>
          <w:bCs w:val="1"/>
          <w:color w:val="auto"/>
        </w:rPr>
      </w:pPr>
      <w:r>
        <w:rPr>
          <w:rFonts w:ascii="Arial" w:cs="Arial" w:eastAsia="Arial" w:hAnsi="Arial"/>
          <w:sz w:val="19"/>
          <w:szCs w:val="19"/>
          <w:color w:val="auto"/>
        </w:rPr>
        <w:t>promptly after their becoming available, copies of the Company’s U.S. federal income tax returns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for the three most recent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ind w:firstLine="1304"/>
        <w:spacing w:after="0" w:line="275" w:lineRule="auto"/>
        <w:tabs>
          <w:tab w:leader="none" w:pos="2351"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184" w:lineRule="exact"/>
        <w:rPr>
          <w:rFonts w:ascii="Arial" w:cs="Arial" w:eastAsia="Arial" w:hAnsi="Arial"/>
          <w:sz w:val="19"/>
          <w:szCs w:val="19"/>
          <w:b w:val="1"/>
          <w:bCs w:val="1"/>
          <w:color w:val="auto"/>
        </w:rPr>
      </w:pPr>
    </w:p>
    <w:p>
      <w:pPr>
        <w:jc w:val="both"/>
        <w:ind w:firstLine="1304"/>
        <w:spacing w:after="0" w:line="272" w:lineRule="auto"/>
        <w:tabs>
          <w:tab w:leader="none" w:pos="2187"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 xml:space="preserve">The Managing Member shall cause to be prepared and filed all necessary federal and state income tax returns for the Company, including making any tax elections. At the Company’s expense, the Managing Member, within 75 days of the close of the Fiscal Year, shall use commercially reasonable efforts to furnish to each Member that was a Member during such Fiscal Year a Schedule K-1 and such other tax information reasonably required for federal, state and local income tax reporting purposes. The Company shall use commercially reasonable efforts to provide to each Person that was a Member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February 15th of such Fiscal Year, with an estimate of the taxable income, gains, deductions, losses and other items of such Person to be reflected on the Schedule K-1 of such Person for the prior Fiscal Year. The Company also shall provide the Members with such other information as may be reasonably requested for purposes of allowing the Members to prepare and file their own tax returns,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costs or expenses with respect to the foregoing shall be borne by the requesting Member.</w:t>
      </w:r>
    </w:p>
    <w:p>
      <w:pPr>
        <w:spacing w:after="0" w:line="187" w:lineRule="exact"/>
        <w:rPr>
          <w:rFonts w:ascii="Arial" w:cs="Arial" w:eastAsia="Arial" w:hAnsi="Arial"/>
          <w:sz w:val="19"/>
          <w:szCs w:val="19"/>
          <w:b w:val="1"/>
          <w:bCs w:val="1"/>
          <w:color w:val="auto"/>
        </w:rPr>
      </w:pPr>
    </w:p>
    <w:p>
      <w:pPr>
        <w:jc w:val="both"/>
        <w:ind w:firstLine="1304"/>
        <w:spacing w:after="0"/>
        <w:tabs>
          <w:tab w:leader="none" w:pos="2201" w:val="left"/>
        </w:tabs>
        <w:numPr>
          <w:ilvl w:val="0"/>
          <w:numId w:val="114"/>
        </w:numPr>
        <w:rPr>
          <w:rFonts w:ascii="Arial" w:cs="Arial" w:eastAsia="Arial" w:hAnsi="Arial"/>
          <w:sz w:val="22"/>
          <w:szCs w:val="22"/>
          <w:b w:val="1"/>
          <w:bCs w:val="1"/>
          <w:color w:val="auto"/>
        </w:rPr>
      </w:pPr>
      <w:r>
        <w:rPr>
          <w:rFonts w:ascii="Arial" w:cs="Arial" w:eastAsia="Arial" w:hAnsi="Arial"/>
          <w:sz w:val="22"/>
          <w:szCs w:val="22"/>
          <w:color w:val="auto"/>
        </w:rPr>
        <w:t>The Managing Member shall make the following elections on the appropriate tax returns and shall not rescind them without the prior written consent of the Original Member Representative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election described in clause (ii) below cannot be rescinded without the prior written consent of the all the Members):</w:t>
      </w:r>
    </w:p>
    <w:p>
      <w:pPr>
        <w:spacing w:after="0" w:line="213" w:lineRule="exact"/>
        <w:rPr>
          <w:rFonts w:ascii="Arial" w:cs="Arial" w:eastAsia="Arial" w:hAnsi="Arial"/>
          <w:sz w:val="22"/>
          <w:szCs w:val="22"/>
          <w:b w:val="1"/>
          <w:bCs w:val="1"/>
          <w:color w:val="auto"/>
        </w:rPr>
      </w:pPr>
    </w:p>
    <w:p>
      <w:pPr>
        <w:ind w:firstLine="1952"/>
        <w:spacing w:after="0" w:line="250" w:lineRule="auto"/>
        <w:tabs>
          <w:tab w:leader="none" w:pos="2956" w:val="left"/>
        </w:tabs>
        <w:numPr>
          <w:ilvl w:val="1"/>
          <w:numId w:val="114"/>
        </w:numPr>
        <w:rPr>
          <w:rFonts w:ascii="Arial" w:cs="Arial" w:eastAsia="Arial" w:hAnsi="Arial"/>
          <w:sz w:val="22"/>
          <w:szCs w:val="22"/>
          <w:b w:val="1"/>
          <w:bCs w:val="1"/>
          <w:color w:val="auto"/>
        </w:rPr>
      </w:pPr>
      <w:r>
        <w:rPr>
          <w:rFonts w:ascii="Arial" w:cs="Arial" w:eastAsia="Arial" w:hAnsi="Arial"/>
          <w:sz w:val="22"/>
          <w:szCs w:val="22"/>
          <w:color w:val="auto"/>
        </w:rPr>
        <w:t>to adopt an appropriate federal income tax method of accounting and to keep the Company’s books and records on such income-tax method;</w:t>
      </w:r>
    </w:p>
    <w:p>
      <w:pPr>
        <w:spacing w:after="0" w:line="201" w:lineRule="exact"/>
        <w:rPr>
          <w:rFonts w:ascii="Arial" w:cs="Arial" w:eastAsia="Arial" w:hAnsi="Arial"/>
          <w:sz w:val="22"/>
          <w:szCs w:val="22"/>
          <w:b w:val="1"/>
          <w:bCs w:val="1"/>
          <w:color w:val="auto"/>
        </w:rPr>
      </w:pPr>
    </w:p>
    <w:p>
      <w:pPr>
        <w:jc w:val="both"/>
        <w:ind w:firstLine="1952"/>
        <w:spacing w:after="0" w:line="287" w:lineRule="auto"/>
        <w:tabs>
          <w:tab w:leader="none" w:pos="2772" w:val="left"/>
        </w:tabs>
        <w:numPr>
          <w:ilvl w:val="1"/>
          <w:numId w:val="114"/>
        </w:numPr>
        <w:rPr>
          <w:rFonts w:ascii="Arial" w:cs="Arial" w:eastAsia="Arial" w:hAnsi="Arial"/>
          <w:sz w:val="19"/>
          <w:szCs w:val="19"/>
          <w:b w:val="1"/>
          <w:bCs w:val="1"/>
          <w:color w:val="auto"/>
        </w:rPr>
      </w:pPr>
      <w:r>
        <w:rPr>
          <w:rFonts w:ascii="Arial" w:cs="Arial" w:eastAsia="Arial" w:hAnsi="Arial"/>
          <w:sz w:val="19"/>
          <w:szCs w:val="19"/>
          <w:color w:val="auto"/>
        </w:rPr>
        <w:t>to have in effect (and to cause each direct or indirect subsidiary that is treated as a partnership for U.S. federal income tax purposes to have in effect) an election, pursuant to Section 754 of the Code (and any similar election for state or local tax purposes), to adjust the tax basis of Company properties, for the taxable year of the Company that includes the Effective Date and each subsequent taxable year in which an Exchange Transaction occurs; and</w:t>
      </w:r>
    </w:p>
    <w:p>
      <w:pPr>
        <w:spacing w:after="0" w:line="169" w:lineRule="exact"/>
        <w:rPr>
          <w:rFonts w:ascii="Arial" w:cs="Arial" w:eastAsia="Arial" w:hAnsi="Arial"/>
          <w:sz w:val="19"/>
          <w:szCs w:val="19"/>
          <w:b w:val="1"/>
          <w:bCs w:val="1"/>
          <w:color w:val="auto"/>
        </w:rPr>
      </w:pPr>
    </w:p>
    <w:p>
      <w:pPr>
        <w:jc w:val="both"/>
        <w:ind w:firstLine="1952"/>
        <w:spacing w:after="0" w:line="235" w:lineRule="auto"/>
        <w:tabs>
          <w:tab w:leader="none" w:pos="2745" w:val="left"/>
        </w:tabs>
        <w:numPr>
          <w:ilvl w:val="1"/>
          <w:numId w:val="114"/>
        </w:numPr>
        <w:rPr>
          <w:rFonts w:ascii="Arial" w:cs="Arial" w:eastAsia="Arial" w:hAnsi="Arial"/>
          <w:sz w:val="22"/>
          <w:szCs w:val="22"/>
          <w:b w:val="1"/>
          <w:bCs w:val="1"/>
          <w:color w:val="auto"/>
        </w:rPr>
      </w:pPr>
      <w:r>
        <w:rPr>
          <w:rFonts w:ascii="Arial" w:cs="Arial" w:eastAsia="Arial" w:hAnsi="Arial"/>
          <w:sz w:val="22"/>
          <w:szCs w:val="22"/>
          <w:color w:val="auto"/>
        </w:rPr>
        <w:t>any other available election that the Managing Member deems appropriate; provided that, for so long as the Original Members collectively own at least 10% of the Units, the Managing Member shall consult in good faith with the Original Member Representative with respect to any material tax election with respect to the Company that could reasonably be expected to have a disproportionate (as compared to the Managing Member) and adverse effect on the Original Members, and not make such election without the Original Member Representative’s prior written consent (which consent shall not be unreasonably withheld, delayed or conditioned).</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No Member may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ARTICLE VII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UNITS</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7.01</w:t>
      </w:r>
      <w:r>
        <w:rPr>
          <w:sz w:val="20"/>
          <w:szCs w:val="20"/>
          <w:color w:val="auto"/>
        </w:rPr>
        <w:tab/>
      </w:r>
      <w:r>
        <w:rPr>
          <w:rFonts w:ascii="Arial" w:cs="Arial" w:eastAsia="Arial" w:hAnsi="Arial"/>
          <w:sz w:val="19"/>
          <w:szCs w:val="19"/>
          <w:b w:val="1"/>
          <w:bCs w:val="1"/>
          <w:color w:val="auto"/>
        </w:rPr>
        <w:t>Units</w:t>
      </w:r>
      <w:r>
        <w:rPr>
          <w:rFonts w:ascii="Arial" w:cs="Arial" w:eastAsia="Arial" w:hAnsi="Arial"/>
          <w:sz w:val="19"/>
          <w:szCs w:val="19"/>
          <w:color w:val="auto"/>
        </w:rPr>
        <w:t>.</w:t>
      </w:r>
    </w:p>
    <w:p>
      <w:pPr>
        <w:spacing w:after="0" w:line="239" w:lineRule="exact"/>
        <w:rPr>
          <w:sz w:val="20"/>
          <w:szCs w:val="20"/>
          <w:color w:val="auto"/>
        </w:rPr>
      </w:pPr>
    </w:p>
    <w:p>
      <w:pPr>
        <w:ind w:right="20" w:firstLine="1304"/>
        <w:spacing w:after="0" w:line="250" w:lineRule="auto"/>
        <w:tabs>
          <w:tab w:leader="none" w:pos="2223"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Limited liability company interests in the Company shall be represented by Units. At the execution of this Agreement, the Units are comprised of three Classes:</w:t>
      </w:r>
    </w:p>
    <w:p>
      <w:pPr>
        <w:spacing w:after="0" w:line="201" w:lineRule="exact"/>
        <w:rPr>
          <w:rFonts w:ascii="Arial" w:cs="Arial" w:eastAsia="Arial" w:hAnsi="Arial"/>
          <w:sz w:val="22"/>
          <w:szCs w:val="22"/>
          <w:b w:val="1"/>
          <w:bCs w:val="1"/>
          <w:color w:val="auto"/>
        </w:rPr>
      </w:pPr>
    </w:p>
    <w:p>
      <w:pPr>
        <w:jc w:val="both"/>
        <w:ind w:firstLine="1952"/>
        <w:spacing w:after="0"/>
        <w:tabs>
          <w:tab w:leader="none" w:pos="2809" w:val="left"/>
        </w:tabs>
        <w:numPr>
          <w:ilvl w:val="1"/>
          <w:numId w:val="11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xml:space="preserve">”. Immediately after giving effect to the transactions contemplated by the Merger Agreement, each Member holds the number of Class A Units set forth opposite such Member’s name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w:t>
      </w:r>
    </w:p>
    <w:p>
      <w:pPr>
        <w:spacing w:after="0" w:line="213" w:lineRule="exact"/>
        <w:rPr>
          <w:rFonts w:ascii="Arial" w:cs="Arial" w:eastAsia="Arial" w:hAnsi="Arial"/>
          <w:sz w:val="22"/>
          <w:szCs w:val="22"/>
          <w:b w:val="1"/>
          <w:bCs w:val="1"/>
          <w:color w:val="auto"/>
        </w:rPr>
      </w:pPr>
    </w:p>
    <w:p>
      <w:pPr>
        <w:jc w:val="both"/>
        <w:ind w:firstLine="1952"/>
        <w:spacing w:after="0" w:line="246" w:lineRule="auto"/>
        <w:tabs>
          <w:tab w:leader="none" w:pos="2694" w:val="left"/>
        </w:tabs>
        <w:numPr>
          <w:ilvl w:val="1"/>
          <w:numId w:val="11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“Class P Units”</w:t>
      </w:r>
      <w:r>
        <w:rPr>
          <w:rFonts w:ascii="Arial" w:cs="Arial" w:eastAsia="Arial" w:hAnsi="Arial"/>
          <w:sz w:val="21"/>
          <w:szCs w:val="21"/>
          <w:color w:val="auto"/>
        </w:rPr>
        <w:t>. Class P Units shall consist of those Class P Units currently outstanding and those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Class P Units to be issued from time to time under Section 7.05 and the applicable Class P Unit Agreements relating to such Class P Units. Class P Units shall have all the rights, privileges, preferences, and obligations as are specifically provided for in such Class P Unit Agreements and in this Agreement for Class P Units, and as may otherwise be generally applicable to all classes of Units, unless such application is specifically limited to one or more other classes of Units. Notwithstanding anything to the contrary contained herein or in such Class P Unit Agreements, the Class P Units shall not be entitled to vote on any matter subject to a vote of the Members, except as otherwise required by law.</w:t>
      </w:r>
    </w:p>
    <w:p>
      <w:pPr>
        <w:spacing w:after="0" w:line="211" w:lineRule="exact"/>
        <w:rPr>
          <w:rFonts w:ascii="Arial" w:cs="Arial" w:eastAsia="Arial" w:hAnsi="Arial"/>
          <w:sz w:val="21"/>
          <w:szCs w:val="21"/>
          <w:b w:val="1"/>
          <w:bCs w:val="1"/>
          <w:color w:val="auto"/>
        </w:rPr>
      </w:pPr>
    </w:p>
    <w:p>
      <w:pPr>
        <w:jc w:val="both"/>
        <w:ind w:firstLine="1952"/>
        <w:spacing w:after="0" w:line="246" w:lineRule="auto"/>
        <w:tabs>
          <w:tab w:leader="none" w:pos="2781" w:val="left"/>
        </w:tabs>
        <w:numPr>
          <w:ilvl w:val="1"/>
          <w:numId w:val="11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LTIP Units</w:t>
      </w:r>
      <w:r>
        <w:rPr>
          <w:rFonts w:ascii="Arial" w:cs="Arial" w:eastAsia="Arial" w:hAnsi="Arial"/>
          <w:sz w:val="21"/>
          <w:szCs w:val="21"/>
          <w:color w:val="auto"/>
        </w:rPr>
        <w:t>.” LTIP Units shall consist of those Units to be issued under Schedule II hereto and the applicable Vesting Agreements relating to such LTIP Units. LTIP Units shall have all the rights, privileges, preferences, and obligations as are specifically provided for in such Vesting Agreements and in this Agreement (including Schedule II hereto) for LTIP Units, and as may otherwise be generally applicable to all classes of Units, unless such application is specifically limited to one or more other classes of Units. Notwithstanding anything to the contrary contained herein (including Schedule II hereto) or in such Vesting Agreements, the LTIP Units shall not be entitled to vote on any matter subject to a vote of the Members, except as otherwise required by law.</w:t>
      </w:r>
    </w:p>
    <w:p>
      <w:pPr>
        <w:spacing w:after="0" w:line="211" w:lineRule="exact"/>
        <w:rPr>
          <w:rFonts w:ascii="Arial" w:cs="Arial" w:eastAsia="Arial" w:hAnsi="Arial"/>
          <w:sz w:val="21"/>
          <w:szCs w:val="21"/>
          <w:b w:val="1"/>
          <w:bCs w:val="1"/>
          <w:color w:val="auto"/>
        </w:rPr>
      </w:pPr>
    </w:p>
    <w:p>
      <w:pPr>
        <w:jc w:val="both"/>
        <w:ind w:firstLine="1304"/>
        <w:spacing w:after="0" w:line="269" w:lineRule="auto"/>
        <w:tabs>
          <w:tab w:leader="none" w:pos="2055"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Subject to Section 7.04, 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Class A Percentage Interest and Class A/LTIP Percentage Interest, as applicable,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 to issue Units or other Company securities of any newly established class or any existing class to Members or other Persons who may 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 the Class A Units, Class P Units, LTIP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ectPr>
          <w:pgSz w:w="11900" w:h="16838" w:orient="portrait"/>
          <w:cols w:equalWidth="0" w:num="1">
            <w:col w:w="11240"/>
          </w:cols>
          <w:pgMar w:left="320" w:top="11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2" w:name="page163"/>
    <w:bookmarkEnd w:id="162"/>
    <w:p>
      <w:pPr>
        <w:jc w:val="both"/>
        <w:ind w:firstLine="1304"/>
        <w:spacing w:after="0" w:line="238" w:lineRule="auto"/>
        <w:tabs>
          <w:tab w:leader="none" w:pos="2175"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in this Agreement, the Managing Member shall not cause or permit the Company to issue, or authorize the issuance of, any Units unless the Managing Member has a sufficient number of Class A Common Stock authorized, available and reserved for issuance upon an exchange of such newly issued Units for Class A Common Stock pursuant to an Exchange Transaction.</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7.02 Register</w:t>
      </w:r>
      <w:r>
        <w:rPr>
          <w:rFonts w:ascii="Arial" w:cs="Arial" w:eastAsia="Arial" w:hAnsi="Arial"/>
          <w:sz w:val="22"/>
          <w:szCs w:val="22"/>
          <w:color w:val="auto"/>
        </w:rPr>
        <w:t>. The books and records of the Company shall be the definitive record of ownership of each Unit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information with respect to each Member. Unless the Managing Member in its sole discretion shall determine otherwise, Units shall be uncertificated and recorded in the books and records of the Company.</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7.03 Registered Members</w:t>
      </w:r>
      <w:r>
        <w:rPr>
          <w:rFonts w:ascii="Arial" w:cs="Arial" w:eastAsia="Arial" w:hAnsi="Arial"/>
          <w:sz w:val="22"/>
          <w:szCs w:val="22"/>
          <w:color w:val="auto"/>
        </w:rPr>
        <w:t>. The Company shall be entitled to recognize the exclusive right of a Person registered on</w:t>
      </w:r>
      <w:r>
        <w:rPr>
          <w:rFonts w:ascii="Arial" w:cs="Arial" w:eastAsia="Arial" w:hAnsi="Arial"/>
          <w:sz w:val="22"/>
          <w:szCs w:val="22"/>
          <w:b w:val="1"/>
          <w:bCs w:val="1"/>
          <w:color w:val="auto"/>
        </w:rPr>
        <w:t xml:space="preserve"> </w:t>
      </w:r>
      <w:r>
        <w:rPr>
          <w:rFonts w:ascii="Arial" w:cs="Arial" w:eastAsia="Arial" w:hAnsi="Arial"/>
          <w:sz w:val="22"/>
          <w:szCs w:val="22"/>
          <w:color w:val="auto"/>
        </w:rPr>
        <w:t>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8"/>
          <w:szCs w:val="18"/>
          <w:b w:val="1"/>
          <w:bCs w:val="1"/>
          <w:color w:val="auto"/>
        </w:rPr>
        <w:t>Issuances, Repurchases and Redemptions, Recapitalizations</w:t>
      </w:r>
      <w:r>
        <w:rPr>
          <w:rFonts w:ascii="Arial" w:cs="Arial" w:eastAsia="Arial" w:hAnsi="Arial"/>
          <w:sz w:val="18"/>
          <w:szCs w:val="18"/>
          <w:color w:val="auto"/>
        </w:rPr>
        <w:t>.</w:t>
      </w:r>
    </w:p>
    <w:p>
      <w:pPr>
        <w:spacing w:after="0" w:line="239" w:lineRule="exact"/>
        <w:rPr>
          <w:sz w:val="20"/>
          <w:szCs w:val="20"/>
          <w:color w:val="auto"/>
        </w:rPr>
      </w:pPr>
    </w:p>
    <w:p>
      <w:pPr>
        <w:ind w:left="2100" w:hanging="796"/>
        <w:spacing w:after="0"/>
        <w:tabs>
          <w:tab w:leader="none" w:pos="2100" w:val="left"/>
        </w:tabs>
        <w:numPr>
          <w:ilvl w:val="0"/>
          <w:numId w:val="117"/>
        </w:numPr>
        <w:rPr>
          <w:rFonts w:ascii="Arial" w:cs="Arial" w:eastAsia="Arial" w:hAnsi="Arial"/>
          <w:sz w:val="22"/>
          <w:szCs w:val="22"/>
          <w:b w:val="1"/>
          <w:bCs w:val="1"/>
          <w:color w:val="auto"/>
        </w:rPr>
      </w:pPr>
      <w:r>
        <w:rPr>
          <w:rFonts w:ascii="Arial" w:cs="Arial" w:eastAsia="Arial" w:hAnsi="Arial"/>
          <w:sz w:val="22"/>
          <w:szCs w:val="22"/>
          <w:u w:val="single" w:color="auto"/>
          <w:color w:val="auto"/>
        </w:rPr>
        <w:t>Issuances by the Managing Member</w:t>
      </w:r>
    </w:p>
    <w:p>
      <w:pPr>
        <w:spacing w:after="0" w:line="233" w:lineRule="exact"/>
        <w:rPr>
          <w:rFonts w:ascii="Arial" w:cs="Arial" w:eastAsia="Arial" w:hAnsi="Arial"/>
          <w:sz w:val="22"/>
          <w:szCs w:val="22"/>
          <w:b w:val="1"/>
          <w:bCs w:val="1"/>
          <w:color w:val="auto"/>
        </w:rPr>
      </w:pPr>
    </w:p>
    <w:p>
      <w:pPr>
        <w:jc w:val="both"/>
        <w:ind w:firstLine="1952"/>
        <w:spacing w:after="0" w:line="274" w:lineRule="auto"/>
        <w:tabs>
          <w:tab w:leader="none" w:pos="2731" w:val="left"/>
        </w:tabs>
        <w:numPr>
          <w:ilvl w:val="1"/>
          <w:numId w:val="117"/>
        </w:numPr>
        <w:rPr>
          <w:rFonts w:ascii="Arial" w:cs="Arial" w:eastAsia="Arial" w:hAnsi="Arial"/>
          <w:sz w:val="19"/>
          <w:szCs w:val="19"/>
          <w:b w:val="1"/>
          <w:bCs w:val="1"/>
          <w:color w:val="auto"/>
        </w:rPr>
      </w:pPr>
      <w:r>
        <w:rPr>
          <w:rFonts w:ascii="Arial" w:cs="Arial" w:eastAsia="Arial" w:hAnsi="Arial"/>
          <w:sz w:val="19"/>
          <w:szCs w:val="19"/>
          <w:color w:val="auto"/>
        </w:rPr>
        <w:t>Subject to Section 7.04(a)(ii) and the Exchange Agreement, if, at any time after the Closing Date, the Managing Member sells or issues shares of Class A Common Stock or any other Equity Interests of the Managing Member (other than Class V Common Stock), (x) the Company shall concurrently issue to the Managing Member an equal number of Class A Units (if the Managing Member issues Class A Common Stock), or an equal number of such other Equity Interests of the Company corresponding to the Equity Interests issued by the Managing Member (if the Managing Member issues Equity Interests other than Class A Common Stock), and with substantially the same rights to dividends and distributions (including distributions upon liquidation) and other economic rights as those of such Equity Interests of the Managing Member so issued and (y) the Managing Member shall concurrently contribute to the Company, the net proceeds or other property received by the Managing Member, if any, for such Class A Common Stock or other Equity Interest.</w:t>
      </w:r>
    </w:p>
    <w:p>
      <w:pPr>
        <w:spacing w:after="0" w:line="185" w:lineRule="exact"/>
        <w:rPr>
          <w:rFonts w:ascii="Arial" w:cs="Arial" w:eastAsia="Arial" w:hAnsi="Arial"/>
          <w:sz w:val="19"/>
          <w:szCs w:val="19"/>
          <w:b w:val="1"/>
          <w:bCs w:val="1"/>
          <w:color w:val="auto"/>
        </w:rPr>
      </w:pPr>
    </w:p>
    <w:p>
      <w:pPr>
        <w:jc w:val="both"/>
        <w:ind w:firstLine="1952"/>
        <w:spacing w:after="0" w:line="245" w:lineRule="auto"/>
        <w:tabs>
          <w:tab w:leader="none" w:pos="2859" w:val="left"/>
        </w:tabs>
        <w:numPr>
          <w:ilvl w:val="1"/>
          <w:numId w:val="117"/>
        </w:numPr>
        <w:rPr>
          <w:rFonts w:ascii="Arial" w:cs="Arial" w:eastAsia="Arial" w:hAnsi="Arial"/>
          <w:sz w:val="21"/>
          <w:szCs w:val="21"/>
          <w:b w:val="1"/>
          <w:bCs w:val="1"/>
          <w:color w:val="auto"/>
        </w:rPr>
      </w:pPr>
      <w:r>
        <w:rPr>
          <w:rFonts w:ascii="Arial" w:cs="Arial" w:eastAsia="Arial" w:hAnsi="Arial"/>
          <w:sz w:val="21"/>
          <w:szCs w:val="21"/>
          <w:color w:val="auto"/>
        </w:rPr>
        <w:t xml:space="preserve">Notwithstanding anything to the contrary contained in </w:t>
      </w:r>
      <w:r>
        <w:rPr>
          <w:rFonts w:ascii="Arial" w:cs="Arial" w:eastAsia="Arial" w:hAnsi="Arial"/>
          <w:sz w:val="21"/>
          <w:szCs w:val="21"/>
          <w:u w:val="single" w:color="auto"/>
          <w:color w:val="auto"/>
        </w:rPr>
        <w:t>Section 7.04(a)(i)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7.04(a)(iii),</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7.04(a)</w:t>
      </w:r>
      <w:r>
        <w:rPr>
          <w:rFonts w:ascii="Arial" w:cs="Arial" w:eastAsia="Arial" w:hAnsi="Arial"/>
          <w:sz w:val="21"/>
          <w:szCs w:val="21"/>
          <w:color w:val="auto"/>
        </w:rPr>
        <w:t xml:space="preserve"> shall not apply to (x) the issuance and distribution to holders of Class A Common Stock or other Equity Interests of the Managing Member of rights to purchase Equity Interests of the Managing Member under a “poison pill” or similar shareholder rights plan (and upon exchange of Class A Units for Class A Common Stock, such Class A Common Stock will be issued together with a corresponding right under such plan) or (y) the issuance under the Managing Member’s employee benefit plans of any warrants, options, stock appreciation right, restricted stock, restricted stock units, performance based award or other rights to acquire Equity Interests of the Managing Member, but shall in each of the foregoing cases apply to the issuance of Equity Interests of the Managing Member in connection with the exercise or settlement of such warrants, options, stock appreciation right, restricted stock units, performance based awards or the vesting of restricted stock (including as set forth in clause (iii) below, as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both"/>
        <w:ind w:firstLine="1952"/>
        <w:spacing w:after="0" w:line="247" w:lineRule="auto"/>
        <w:tabs>
          <w:tab w:leader="none" w:pos="2844" w:val="left"/>
        </w:tabs>
        <w:numPr>
          <w:ilvl w:val="2"/>
          <w:numId w:val="118"/>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any outstanding Equity Interest of the Managing Member is exercised or otherwise converted and, as a result, any shares of Class A Common Stock or other Equity Interests of the Managing Member are issued (including as a result of the exercise of warrants of the Managing Member), (x) the corresponding Equity Interest outstanding at the Company, if any, shall be similarly exercised or otherwise converted, if applicable, (y) an equivalent number of Class A Units or equivalent Equity Interests of the Company shall be issued to the Managing Member as required by the first sentence of </w:t>
      </w:r>
      <w:r>
        <w:rPr>
          <w:rFonts w:ascii="Arial" w:cs="Arial" w:eastAsia="Arial" w:hAnsi="Arial"/>
          <w:sz w:val="21"/>
          <w:szCs w:val="21"/>
          <w:u w:val="single" w:color="auto"/>
          <w:color w:val="auto"/>
        </w:rPr>
        <w:t>Section 7.04(a)(i)</w:t>
      </w:r>
      <w:r>
        <w:rPr>
          <w:rFonts w:ascii="Arial" w:cs="Arial" w:eastAsia="Arial" w:hAnsi="Arial"/>
          <w:sz w:val="21"/>
          <w:szCs w:val="21"/>
          <w:color w:val="auto"/>
        </w:rPr>
        <w:t>, and (z) the Managing Member shall concurrently contribute to the Company the net proceeds received by the Managing Member from any such exercise or conversion.</w:t>
      </w:r>
    </w:p>
    <w:p>
      <w:pPr>
        <w:spacing w:after="0" w:line="204" w:lineRule="exact"/>
        <w:rPr>
          <w:rFonts w:ascii="Arial" w:cs="Arial" w:eastAsia="Arial" w:hAnsi="Arial"/>
          <w:sz w:val="21"/>
          <w:szCs w:val="21"/>
          <w:b w:val="1"/>
          <w:bCs w:val="1"/>
          <w:color w:val="auto"/>
        </w:rPr>
      </w:pPr>
    </w:p>
    <w:p>
      <w:pPr>
        <w:jc w:val="both"/>
        <w:ind w:firstLine="1304"/>
        <w:spacing w:after="0" w:line="270" w:lineRule="auto"/>
        <w:tabs>
          <w:tab w:leader="none" w:pos="2046" w:val="left"/>
        </w:tabs>
        <w:numPr>
          <w:ilvl w:val="1"/>
          <w:numId w:val="119"/>
        </w:numPr>
        <w:rPr>
          <w:rFonts w:ascii="Arial" w:cs="Arial" w:eastAsia="Arial" w:hAnsi="Arial"/>
          <w:sz w:val="19"/>
          <w:szCs w:val="19"/>
          <w:b w:val="1"/>
          <w:bCs w:val="1"/>
          <w:color w:val="auto"/>
        </w:rPr>
      </w:pPr>
      <w:r>
        <w:rPr>
          <w:rFonts w:ascii="Arial" w:cs="Arial" w:eastAsia="Arial" w:hAnsi="Arial"/>
          <w:sz w:val="19"/>
          <w:szCs w:val="19"/>
          <w:u w:val="single" w:color="auto"/>
          <w:color w:val="auto"/>
        </w:rPr>
        <w:t>New Company Equity Interests</w:t>
      </w:r>
      <w:r>
        <w:rPr>
          <w:rFonts w:ascii="Arial" w:cs="Arial" w:eastAsia="Arial" w:hAnsi="Arial"/>
          <w:sz w:val="19"/>
          <w:szCs w:val="19"/>
          <w:color w:val="auto"/>
        </w:rPr>
        <w:t>. Except pursuant to the Exchange Agreement, (x) the Company may not issue any additional Class A Units or Equity Interests of the Company to the Managing Member or any of its Subsidiaries (other than the Company and its Subsidiaries) unless substantially simultaneously therewith the Managing Member or such Subsidiary issues or transfers an equal number of newly-issued shares of Class A Common Stock of the Managing Member (or relevant Equity Interest of such Subsidiary) to another Person or Persons and contributes the net proceeds therefrom to the Company, and</w:t>
      </w:r>
    </w:p>
    <w:p>
      <w:pPr>
        <w:spacing w:after="0" w:line="4" w:lineRule="exact"/>
        <w:rPr>
          <w:rFonts w:ascii="Arial" w:cs="Arial" w:eastAsia="Arial" w:hAnsi="Arial"/>
          <w:sz w:val="19"/>
          <w:szCs w:val="19"/>
          <w:b w:val="1"/>
          <w:bCs w:val="1"/>
          <w:color w:val="auto"/>
        </w:rPr>
      </w:pPr>
    </w:p>
    <w:p>
      <w:pPr>
        <w:jc w:val="both"/>
        <w:ind w:firstLine="8"/>
        <w:spacing w:after="0" w:line="232" w:lineRule="auto"/>
        <w:tabs>
          <w:tab w:leader="none" w:pos="32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may not issue any other Equity Interests of the Company to the Managing Member or any of its Subsidiaries (other than the Company and its Subsidiaries) unless substantially simultaneously therewith the Managing Member or such Subsidiary issues or transfers, to another Person, an equal number of newly-issued shares of Equity Interests of the Managing Member or such Subsidiary with substantially the same rights to dividends and distributions (including distributions upon liquidation) and other economic rights as those of such Equity Interests of the Company and contributes the net proceeds therefrom to the Company.</w:t>
      </w:r>
    </w:p>
    <w:p>
      <w:pPr>
        <w:spacing w:after="0" w:line="215" w:lineRule="exact"/>
        <w:rPr>
          <w:rFonts w:ascii="Arial" w:cs="Arial" w:eastAsia="Arial" w:hAnsi="Arial"/>
          <w:sz w:val="22"/>
          <w:szCs w:val="22"/>
          <w:color w:val="auto"/>
        </w:rPr>
      </w:pPr>
    </w:p>
    <w:p>
      <w:pPr>
        <w:ind w:left="2080" w:hanging="776"/>
        <w:spacing w:after="0"/>
        <w:tabs>
          <w:tab w:leader="none" w:pos="2080" w:val="left"/>
        </w:tabs>
        <w:numPr>
          <w:ilvl w:val="1"/>
          <w:numId w:val="120"/>
        </w:numPr>
        <w:rPr>
          <w:rFonts w:ascii="Arial" w:cs="Arial" w:eastAsia="Arial" w:hAnsi="Arial"/>
          <w:sz w:val="22"/>
          <w:szCs w:val="22"/>
          <w:b w:val="1"/>
          <w:bCs w:val="1"/>
          <w:color w:val="auto"/>
        </w:rPr>
      </w:pPr>
      <w:r>
        <w:rPr>
          <w:rFonts w:ascii="Arial" w:cs="Arial" w:eastAsia="Arial" w:hAnsi="Arial"/>
          <w:sz w:val="22"/>
          <w:szCs w:val="22"/>
          <w:u w:val="single" w:color="auto"/>
          <w:color w:val="auto"/>
        </w:rPr>
        <w:t>Repurchases and Redemptions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952"/>
        <w:spacing w:after="0" w:line="273" w:lineRule="auto"/>
        <w:tabs>
          <w:tab w:leader="none" w:pos="2755" w:val="left"/>
        </w:tabs>
        <w:numPr>
          <w:ilvl w:val="2"/>
          <w:numId w:val="120"/>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7.05</w:t>
      </w:r>
      <w:r>
        <w:rPr>
          <w:rFonts w:ascii="Arial" w:cs="Arial" w:eastAsia="Arial" w:hAnsi="Arial"/>
          <w:sz w:val="19"/>
          <w:szCs w:val="19"/>
          <w:color w:val="auto"/>
        </w:rPr>
        <w:t>, neither the Managing Member nor any of its Subsidiaries (other than the Company and its Subsidiaries) may redeem, repurchase or otherwise acquire (A) Class A Common Stock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Class A Units for the same price per security, if any, or (B) any other Equity Interests of the Managing Member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the corresponding class or series of Equity Interests of the Company with the same rights to dividends and distributions (including distributions upon liquidation) and other economic rights as those of such Equity Interests of the Managing Member or such Subsidiary for the same price per security, if 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both"/>
        <w:ind w:firstLine="1952"/>
        <w:spacing w:after="0" w:line="273" w:lineRule="auto"/>
        <w:tabs>
          <w:tab w:leader="none" w:pos="2759" w:val="left"/>
        </w:tabs>
        <w:numPr>
          <w:ilvl w:val="1"/>
          <w:numId w:val="121"/>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7.06</w:t>
      </w:r>
      <w:r>
        <w:rPr>
          <w:rFonts w:ascii="Arial" w:cs="Arial" w:eastAsia="Arial" w:hAnsi="Arial"/>
          <w:sz w:val="19"/>
          <w:szCs w:val="19"/>
          <w:color w:val="auto"/>
        </w:rPr>
        <w:t>, the Company may not redeem, repurchase or otherwise acquire (x) any Class A Units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an equal number of shares of Class A Common Stock for the same price per security from holders thereof or (y) any other Equity Interests of the Company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for the same price per security an equal number of Equity Interests of the Managing Member (or such Subsidiary) of a corresponding class or series with substantially the same rights to dividends and distributions (including distributions upon liquidation) and other economic rights as those of such Equity Interests of the Managing Member or such Subsidiary.</w:t>
      </w:r>
    </w:p>
    <w:p>
      <w:pPr>
        <w:spacing w:after="0" w:line="182" w:lineRule="exact"/>
        <w:rPr>
          <w:rFonts w:ascii="Arial" w:cs="Arial" w:eastAsia="Arial" w:hAnsi="Arial"/>
          <w:sz w:val="19"/>
          <w:szCs w:val="19"/>
          <w:b w:val="1"/>
          <w:bCs w:val="1"/>
          <w:color w:val="auto"/>
        </w:rPr>
      </w:pPr>
    </w:p>
    <w:p>
      <w:pPr>
        <w:ind w:left="2100" w:hanging="796"/>
        <w:spacing w:after="0"/>
        <w:tabs>
          <w:tab w:leader="none" w:pos="2100" w:val="left"/>
        </w:tabs>
        <w:numPr>
          <w:ilvl w:val="0"/>
          <w:numId w:val="122"/>
        </w:numPr>
        <w:rPr>
          <w:rFonts w:ascii="Arial" w:cs="Arial" w:eastAsia="Arial" w:hAnsi="Arial"/>
          <w:sz w:val="22"/>
          <w:szCs w:val="22"/>
          <w:b w:val="1"/>
          <w:bCs w:val="1"/>
          <w:color w:val="auto"/>
        </w:rPr>
      </w:pPr>
      <w:r>
        <w:rPr>
          <w:rFonts w:ascii="Arial" w:cs="Arial" w:eastAsia="Arial" w:hAnsi="Arial"/>
          <w:sz w:val="22"/>
          <w:szCs w:val="22"/>
          <w:u w:val="single" w:color="auto"/>
          <w:color w:val="auto"/>
        </w:rPr>
        <w:t>Equity Subdivisions and Combinations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952"/>
        <w:spacing w:after="0" w:line="235" w:lineRule="auto"/>
        <w:tabs>
          <w:tab w:leader="none" w:pos="3110" w:val="left"/>
        </w:tabs>
        <w:numPr>
          <w:ilvl w:val="1"/>
          <w:numId w:val="122"/>
        </w:numPr>
        <w:rPr>
          <w:rFonts w:ascii="Arial" w:cs="Arial" w:eastAsia="Arial" w:hAnsi="Arial"/>
          <w:sz w:val="22"/>
          <w:szCs w:val="22"/>
          <w:b w:val="1"/>
          <w:bCs w:val="1"/>
          <w:color w:val="auto"/>
        </w:rPr>
      </w:pPr>
      <w:r>
        <w:rPr>
          <w:rFonts w:ascii="Arial" w:cs="Arial" w:eastAsia="Arial" w:hAnsi="Arial"/>
          <w:sz w:val="22"/>
          <w:szCs w:val="22"/>
          <w:color w:val="auto"/>
        </w:rPr>
        <w:t>The Company shall not in any manner effect any subdivision (by any equity split, equity distribution, reclassification, recapitalization or otherwise) or combination (by reverse equity split, reclassification, recapitalization or otherwise) of the outstanding Equity Interests of the Company unless accompanied by an identical subdivision or combination, as applicable, of the outstanding related class or series of Equity Interest of the Managing Member, with corresponding changes made with respect to any other exchangeable or convertible Equity Interests of the Company and the Managing Member.</w:t>
      </w:r>
    </w:p>
    <w:p>
      <w:pPr>
        <w:spacing w:after="0" w:line="215" w:lineRule="exact"/>
        <w:rPr>
          <w:sz w:val="20"/>
          <w:szCs w:val="20"/>
          <w:color w:val="auto"/>
        </w:rPr>
      </w:pPr>
    </w:p>
    <w:p>
      <w:pPr>
        <w:jc w:val="both"/>
        <w:ind w:firstLine="1952"/>
        <w:spacing w:after="0" w:line="235" w:lineRule="auto"/>
        <w:tabs>
          <w:tab w:leader="none" w:pos="2780"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the Managing Member shall not in any manner effect any subdivision (by any equity split, equity distribution, reclassification, recapitalization or otherwise) or combination (by reverse equity split, reclassification, recapitalization or otherwise) of any class or series of Equity Interest of the Managing Member, unless accompanied by an identical subdivision or combination, as applicable, of the outstanding related class or series of Equity Interest of the Company, with corresponding changes made with respect to any applicable exchangeable or convertible Equity Interests of the Company and the Managing Member.</w:t>
      </w:r>
    </w:p>
    <w:p>
      <w:pPr>
        <w:spacing w:after="0" w:line="214" w:lineRule="exact"/>
        <w:rPr>
          <w:rFonts w:ascii="Arial" w:cs="Arial" w:eastAsia="Arial" w:hAnsi="Arial"/>
          <w:sz w:val="22"/>
          <w:szCs w:val="22"/>
          <w:b w:val="1"/>
          <w:bCs w:val="1"/>
          <w:color w:val="auto"/>
        </w:rPr>
      </w:pPr>
    </w:p>
    <w:p>
      <w:pPr>
        <w:jc w:val="both"/>
        <w:ind w:firstLine="1304"/>
        <w:spacing w:after="0" w:line="273" w:lineRule="auto"/>
        <w:tabs>
          <w:tab w:leader="none" w:pos="2143" w:val="left"/>
        </w:tabs>
        <w:numPr>
          <w:ilvl w:val="0"/>
          <w:numId w:val="124"/>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 Authority</w:t>
      </w:r>
      <w:r>
        <w:rPr>
          <w:rFonts w:ascii="Arial" w:cs="Arial" w:eastAsia="Arial" w:hAnsi="Arial"/>
          <w:sz w:val="19"/>
          <w:szCs w:val="19"/>
          <w:color w:val="auto"/>
        </w:rPr>
        <w:t xml:space="preserve">. For the avoidance of doubt, but subject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7.05</w:t>
      </w:r>
      <w:r>
        <w:rPr>
          <w:rFonts w:ascii="Arial" w:cs="Arial" w:eastAsia="Arial" w:hAnsi="Arial"/>
          <w:sz w:val="19"/>
          <w:szCs w:val="19"/>
          <w:color w:val="auto"/>
        </w:rPr>
        <w:t>, the Company and the Managing Member shall be permitted to undertake all actions, including an issuance, redemption, reclassification, distribution, division or recapitalization, with respect to the Class A Units as the Managing Member determines is necessary to maintain at all times a one-to-one ratio between (i) the number of Class A Units owned by the Members, directly or indirectly, and the number of outstanding shares of Class A Common Stock, and (ii) the number of outstanding shares of Class V Common Stock held by any Member other than the Managing Member and the number of Class A Units held by such Member disregarding, for purposes of maintaining the one-to-one ratios in clause (i), (A) options, rights or securities of the Managing Member issued under any plan involving the issuance of any Equity Interests that are convertible into or exercisable or exchangeable for shares of Class A Common Stock, (B) treasury stock, or (C) preferred stock or other debt or equity securities (including warrants, options or rights) issued by the Managing Member that are convertible or into or exercisable or exchangeable for Class A Common Stock (but in each case prior to such conversion, exercise or exchange).</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Class P Units</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48" w:lineRule="auto"/>
        <w:tabs>
          <w:tab w:leader="none" w:pos="2076" w:val="left"/>
        </w:tabs>
        <w:numPr>
          <w:ilvl w:val="0"/>
          <w:numId w:val="125"/>
        </w:numPr>
        <w:rPr>
          <w:rFonts w:ascii="Arial" w:cs="Arial" w:eastAsia="Arial" w:hAnsi="Arial"/>
          <w:sz w:val="21"/>
          <w:szCs w:val="21"/>
          <w:b w:val="1"/>
          <w:bCs w:val="1"/>
          <w:color w:val="auto"/>
        </w:rPr>
      </w:pPr>
      <w:r>
        <w:rPr>
          <w:rFonts w:ascii="Arial" w:cs="Arial" w:eastAsia="Arial" w:hAnsi="Arial"/>
          <w:sz w:val="21"/>
          <w:szCs w:val="21"/>
          <w:color w:val="auto"/>
        </w:rPr>
        <w:t>From time to time, the Managing Member shall have the power and discretion to approve the issuance of Class P Units to any director, employee, officer, consultant or other service provider of the Managing Member, the Company or any Subsidiary of the Company (each such person, a “</w:t>
      </w:r>
      <w:r>
        <w:rPr>
          <w:rFonts w:ascii="Arial" w:cs="Arial" w:eastAsia="Arial" w:hAnsi="Arial"/>
          <w:sz w:val="21"/>
          <w:szCs w:val="21"/>
          <w:b w:val="1"/>
          <w:bCs w:val="1"/>
          <w:color w:val="auto"/>
        </w:rPr>
        <w:t>Management Member</w:t>
      </w:r>
      <w:r>
        <w:rPr>
          <w:rFonts w:ascii="Arial" w:cs="Arial" w:eastAsia="Arial" w:hAnsi="Arial"/>
          <w:sz w:val="21"/>
          <w:szCs w:val="21"/>
          <w:color w:val="auto"/>
        </w:rPr>
        <w:t>”). The Managing Member shall have power and discretion to approve which directors, employees, officers, consultants or other service providers shall be offered and issued such Class P Units, the number of Class P Units to be offered and issued to each Management Member and the purchase price and other terms and conditions with respect thereto.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ind w:firstLine="1304"/>
        <w:spacing w:after="0" w:line="248" w:lineRule="auto"/>
        <w:tabs>
          <w:tab w:leader="none" w:pos="2149" w:val="left"/>
        </w:tabs>
        <w:numPr>
          <w:ilvl w:val="0"/>
          <w:numId w:val="126"/>
        </w:numPr>
        <w:rPr>
          <w:rFonts w:ascii="Arial" w:cs="Arial" w:eastAsia="Arial" w:hAnsi="Arial"/>
          <w:sz w:val="21"/>
          <w:szCs w:val="21"/>
          <w:b w:val="1"/>
          <w:bCs w:val="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are designed to provide incentives to directors, employees, officers, consultants or other service providers of the Company or its Subsidiaries. This </w:t>
      </w:r>
      <w:r>
        <w:rPr>
          <w:rFonts w:ascii="Arial" w:cs="Arial" w:eastAsia="Arial" w:hAnsi="Arial"/>
          <w:sz w:val="21"/>
          <w:szCs w:val="21"/>
          <w:u w:val="single" w:color="auto"/>
          <w:color w:val="auto"/>
        </w:rPr>
        <w:t>Section 7.05</w:t>
      </w:r>
      <w:r>
        <w:rPr>
          <w:rFonts w:ascii="Arial" w:cs="Arial" w:eastAsia="Arial" w:hAnsi="Arial"/>
          <w:sz w:val="21"/>
          <w:szCs w:val="21"/>
          <w:color w:val="auto"/>
        </w:rPr>
        <w:t>, together with the other terms of this Agreement and the Class P Unit Agreements relating to Class P Units, are intended to be a compensatory benefit plan within the meaning of Rule 701 of the Securities Act, and, unless and until the Company’s Equity Interests are publicly traded, the issuance of Class P Units are, to the extent permitted by applicable federal securities laws, intended to qualify for the exemption from registration under Rule 701 of the Securities Act.</w:t>
      </w:r>
    </w:p>
    <w:p>
      <w:pPr>
        <w:spacing w:after="0" w:line="204" w:lineRule="exact"/>
        <w:rPr>
          <w:rFonts w:ascii="Arial" w:cs="Arial" w:eastAsia="Arial" w:hAnsi="Arial"/>
          <w:sz w:val="21"/>
          <w:szCs w:val="21"/>
          <w:b w:val="1"/>
          <w:bCs w:val="1"/>
          <w:color w:val="auto"/>
        </w:rPr>
      </w:pPr>
    </w:p>
    <w:p>
      <w:pPr>
        <w:jc w:val="both"/>
        <w:ind w:firstLine="1304"/>
        <w:spacing w:after="0"/>
        <w:tabs>
          <w:tab w:leader="none" w:pos="2176"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On the date hereof, the Managing Member will establish and document in the books and records of the Company the current Participation Threshold (as defined below) amount, and, if applicable, vesting schedule, with respect to Class P units that are outstanding on the Effective Date.</w:t>
      </w:r>
    </w:p>
    <w:p>
      <w:pPr>
        <w:spacing w:after="0" w:line="213" w:lineRule="exact"/>
        <w:rPr>
          <w:rFonts w:ascii="Arial" w:cs="Arial" w:eastAsia="Arial" w:hAnsi="Arial"/>
          <w:sz w:val="22"/>
          <w:szCs w:val="22"/>
          <w:b w:val="1"/>
          <w:bCs w:val="1"/>
          <w:color w:val="auto"/>
        </w:rPr>
      </w:pPr>
    </w:p>
    <w:p>
      <w:pPr>
        <w:jc w:val="both"/>
        <w:ind w:firstLine="1304"/>
        <w:spacing w:after="0" w:line="272" w:lineRule="auto"/>
        <w:tabs>
          <w:tab w:leader="none" w:pos="2104"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On the date of each future grant of Class P Units to a Management Member, the Managing Member will establish (and document in the applicable Class P Unit Agreement) an initial “</w:t>
      </w:r>
      <w:r>
        <w:rPr>
          <w:rFonts w:ascii="Arial" w:cs="Arial" w:eastAsia="Arial" w:hAnsi="Arial"/>
          <w:sz w:val="19"/>
          <w:szCs w:val="19"/>
          <w:b w:val="1"/>
          <w:bCs w:val="1"/>
          <w:i w:val="1"/>
          <w:iCs w:val="1"/>
          <w:color w:val="auto"/>
        </w:rPr>
        <w:t>Participation Threshold</w:t>
      </w:r>
      <w:r>
        <w:rPr>
          <w:rFonts w:ascii="Arial" w:cs="Arial" w:eastAsia="Arial" w:hAnsi="Arial"/>
          <w:sz w:val="19"/>
          <w:szCs w:val="19"/>
          <w:color w:val="auto"/>
        </w:rPr>
        <w:t>” amount with respect to each such Class P Unit granted on such date. The Participation Threshold with respect to each Class P Unit will be at least equal to the amount a Class A Unit would receive on the date of issuance of such Class P Unit in a hypothetical liquidation of the Company on the date of issuance of such Class P Unit in which the Company sold its assets for their Fair Market Value, satisfied its liabilities (excluding any nonrecourse liabilities to the extent the balance of such liabilities exceeds the fair market value of the assets that secure them) and distributed the net proceeds to the holders of Units in liquidation of the Company. The determination by the Managing Member of each Participation Threshold (as reasonably determined by the Managing Member based on the public trading price of Class A Common Stock) shall be final, conclusive and binding on all Members. Each Class P Unit is intended to be a “profits interest” within the meaning of IRS Revenue Procedures 93-27 and 2001-43 and is issued with the intention that under current interpretations of the Code the recipient will not realize income upon the issuance of the Class P Unit, and that neither the Company nor any Member is entitled to any deduction either immediately or through depreciation or amortization as a result of the issuance of such Class P Unit.</w:t>
      </w:r>
    </w:p>
    <w:p>
      <w:pPr>
        <w:spacing w:after="0" w:line="182" w:lineRule="exact"/>
        <w:rPr>
          <w:rFonts w:ascii="Arial" w:cs="Arial" w:eastAsia="Arial" w:hAnsi="Arial"/>
          <w:sz w:val="19"/>
          <w:szCs w:val="19"/>
          <w:b w:val="1"/>
          <w:bCs w:val="1"/>
          <w:color w:val="auto"/>
        </w:rPr>
      </w:pPr>
    </w:p>
    <w:p>
      <w:pPr>
        <w:ind w:left="2280" w:hanging="976"/>
        <w:spacing w:after="0"/>
        <w:tabs>
          <w:tab w:leader="none" w:pos="2280"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Each Class P Unit’s Participation Threshold shall be adjusted after the grant of such Class P Unit as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follows:</w:t>
      </w:r>
    </w:p>
    <w:p>
      <w:pPr>
        <w:spacing w:after="0" w:line="215" w:lineRule="exact"/>
        <w:rPr>
          <w:rFonts w:ascii="Arial" w:cs="Arial" w:eastAsia="Arial" w:hAnsi="Arial"/>
          <w:sz w:val="19"/>
          <w:szCs w:val="19"/>
          <w:b w:val="1"/>
          <w:bCs w:val="1"/>
          <w:color w:val="auto"/>
        </w:rPr>
      </w:pPr>
    </w:p>
    <w:p>
      <w:pPr>
        <w:jc w:val="both"/>
        <w:ind w:firstLine="1952"/>
        <w:spacing w:after="0" w:line="236" w:lineRule="auto"/>
        <w:tabs>
          <w:tab w:leader="none" w:pos="2953" w:val="left"/>
        </w:tabs>
        <w:numPr>
          <w:ilvl w:val="1"/>
          <w:numId w:val="126"/>
        </w:numPr>
        <w:rPr>
          <w:rFonts w:ascii="Arial" w:cs="Arial" w:eastAsia="Arial" w:hAnsi="Arial"/>
          <w:sz w:val="22"/>
          <w:szCs w:val="22"/>
          <w:b w:val="1"/>
          <w:bCs w:val="1"/>
          <w:color w:val="auto"/>
        </w:rPr>
      </w:pPr>
      <w:r>
        <w:rPr>
          <w:rFonts w:ascii="Arial" w:cs="Arial" w:eastAsia="Arial" w:hAnsi="Arial"/>
          <w:sz w:val="22"/>
          <w:szCs w:val="22"/>
          <w:color w:val="auto"/>
        </w:rPr>
        <w:t xml:space="preserve">In the event of any Distribution pursuant to </w:t>
      </w:r>
      <w:r>
        <w:rPr>
          <w:rFonts w:ascii="Arial" w:cs="Arial" w:eastAsia="Arial" w:hAnsi="Arial"/>
          <w:sz w:val="22"/>
          <w:szCs w:val="22"/>
          <w:u w:val="single" w:color="auto"/>
          <w:color w:val="auto"/>
        </w:rPr>
        <w:t>Section 4.01(a) or Section 4.02,</w:t>
      </w:r>
      <w:r>
        <w:rPr>
          <w:rFonts w:ascii="Arial" w:cs="Arial" w:eastAsia="Arial" w:hAnsi="Arial"/>
          <w:sz w:val="22"/>
          <w:szCs w:val="22"/>
          <w:color w:val="auto"/>
        </w:rPr>
        <w:t xml:space="preserve"> the Participation Threshold of each Class P Unit outstanding at the time of such Distribution shall be reduced (but not below zero) by the amount distributable to the holder of a single Class A Unit in connection with such Distribution (determined pursuant to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or Section 4.02</w:t>
      </w:r>
      <w:r>
        <w:rPr>
          <w:rFonts w:ascii="Arial" w:cs="Arial" w:eastAsia="Arial" w:hAnsi="Arial"/>
          <w:sz w:val="22"/>
          <w:szCs w:val="22"/>
          <w:color w:val="auto"/>
        </w:rPr>
        <w:t xml:space="preserve"> of this Agreement and taking into account all Class P Units that are entitled to participate in such Distribution as contemplated by </w:t>
      </w:r>
      <w:r>
        <w:rPr>
          <w:rFonts w:ascii="Arial" w:cs="Arial" w:eastAsia="Arial" w:hAnsi="Arial"/>
          <w:sz w:val="22"/>
          <w:szCs w:val="22"/>
          <w:u w:val="single" w:color="auto"/>
          <w:color w:val="auto"/>
        </w:rPr>
        <w:t>Section 4.01</w:t>
      </w:r>
      <w:r>
        <w:rPr>
          <w:rFonts w:ascii="Arial" w:cs="Arial" w:eastAsia="Arial" w:hAnsi="Arial"/>
          <w:sz w:val="22"/>
          <w:szCs w:val="22"/>
          <w:color w:val="auto"/>
        </w:rPr>
        <w:t>); and</w:t>
      </w:r>
    </w:p>
    <w:p>
      <w:pPr>
        <w:spacing w:after="0" w:line="214" w:lineRule="exact"/>
        <w:rPr>
          <w:rFonts w:ascii="Arial" w:cs="Arial" w:eastAsia="Arial" w:hAnsi="Arial"/>
          <w:sz w:val="22"/>
          <w:szCs w:val="22"/>
          <w:b w:val="1"/>
          <w:bCs w:val="1"/>
          <w:color w:val="auto"/>
        </w:rPr>
      </w:pPr>
    </w:p>
    <w:p>
      <w:pPr>
        <w:jc w:val="both"/>
        <w:ind w:firstLine="1952"/>
        <w:spacing w:after="0" w:line="236" w:lineRule="auto"/>
        <w:tabs>
          <w:tab w:leader="none" w:pos="3066" w:val="left"/>
        </w:tabs>
        <w:numPr>
          <w:ilvl w:val="1"/>
          <w:numId w:val="126"/>
        </w:numPr>
        <w:rPr>
          <w:rFonts w:ascii="Arial" w:cs="Arial" w:eastAsia="Arial" w:hAnsi="Arial"/>
          <w:sz w:val="22"/>
          <w:szCs w:val="22"/>
          <w:b w:val="1"/>
          <w:bCs w:val="1"/>
          <w:color w:val="auto"/>
        </w:rPr>
      </w:pPr>
      <w:r>
        <w:rPr>
          <w:rFonts w:ascii="Arial" w:cs="Arial" w:eastAsia="Arial" w:hAnsi="Arial"/>
          <w:sz w:val="22"/>
          <w:szCs w:val="22"/>
          <w:color w:val="auto"/>
        </w:rPr>
        <w:t>If the Company at any time subdivides (by any Unit split, Unit dividend or otherwise) its outstanding Units into a greater number of Units, the Participation Threshold of each Class P Unit in effect immediately prior to such subdivision shall be proportionately reduced, and if the Company at any time combines (by reverse Unit split or otherwise) its outstanding Units into a smaller number of Units, the Participation Threshold of each Class P Unit in effect immediately prior to such combination shall be proportionately increased.</w:t>
      </w:r>
    </w:p>
    <w:p>
      <w:pPr>
        <w:spacing w:after="0" w:line="214" w:lineRule="exact"/>
        <w:rPr>
          <w:rFonts w:ascii="Arial" w:cs="Arial" w:eastAsia="Arial" w:hAnsi="Arial"/>
          <w:sz w:val="22"/>
          <w:szCs w:val="22"/>
          <w:b w:val="1"/>
          <w:bCs w:val="1"/>
          <w:color w:val="auto"/>
        </w:rPr>
      </w:pPr>
    </w:p>
    <w:p>
      <w:pPr>
        <w:jc w:val="both"/>
        <w:ind w:firstLine="1304"/>
        <w:spacing w:after="0" w:line="235" w:lineRule="auto"/>
        <w:tabs>
          <w:tab w:leader="none" w:pos="2145"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In connection with any approved issuance of Class P Units to a Management Member hereunder, such Management Member shall, if it has not already done so, execute a counterpart to this Agreement (or a joinder to this Agreement in a form acceptable to the Company), accepting and agreeing to be bound by all terms and conditions hereof, and shall enter into such other documents and instruments to effect such purchase (including, without limitation, a Class P Unit Agreement) as are required by the Managing Member and in connection therewith, be admitted as a member of the Company, if not already a Member.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both"/>
        <w:ind w:firstLine="1304"/>
        <w:spacing w:after="0" w:line="248" w:lineRule="auto"/>
        <w:tabs>
          <w:tab w:leader="none" w:pos="2293" w:val="left"/>
        </w:tabs>
        <w:numPr>
          <w:ilvl w:val="0"/>
          <w:numId w:val="127"/>
        </w:numPr>
        <w:rPr>
          <w:rFonts w:ascii="Arial" w:cs="Arial" w:eastAsia="Arial" w:hAnsi="Arial"/>
          <w:sz w:val="21"/>
          <w:szCs w:val="21"/>
          <w:b w:val="1"/>
          <w:bCs w:val="1"/>
          <w:color w:val="auto"/>
        </w:rPr>
      </w:pPr>
      <w:r>
        <w:rPr>
          <w:rFonts w:ascii="Arial" w:cs="Arial" w:eastAsia="Arial" w:hAnsi="Arial"/>
          <w:sz w:val="21"/>
          <w:szCs w:val="21"/>
          <w:color w:val="auto"/>
        </w:rPr>
        <w:t xml:space="preserve">If the Managing Member so determines, the Class P Units issued to any Management Member shall become vested in accordance with the vesting schedule determined by the Managing Member in connection with the issuance of such Class P Units (and reflected in the relevant Class P Unit Agreement), which may be time-based or performance-based. Notwithstanding any other provision in this </w:t>
      </w:r>
      <w:r>
        <w:rPr>
          <w:rFonts w:ascii="Arial" w:cs="Arial" w:eastAsia="Arial" w:hAnsi="Arial"/>
          <w:sz w:val="21"/>
          <w:szCs w:val="21"/>
          <w:u w:val="single" w:color="auto"/>
          <w:color w:val="auto"/>
        </w:rPr>
        <w:t>Section 7.05</w:t>
      </w:r>
      <w:r>
        <w:rPr>
          <w:rFonts w:ascii="Arial" w:cs="Arial" w:eastAsia="Arial" w:hAnsi="Arial"/>
          <w:sz w:val="21"/>
          <w:szCs w:val="21"/>
          <w:color w:val="auto"/>
        </w:rPr>
        <w:t>, each recipient of a Class P Unit hereby agrees that such recipient shall make a valid and timely election in respect of such Unit, upon receipt thereof, pursuant to Section 83(b) of the Code and promptly provide evidence of such election to the Company.</w:t>
      </w:r>
    </w:p>
    <w:p>
      <w:pPr>
        <w:spacing w:after="0" w:line="204" w:lineRule="exact"/>
        <w:rPr>
          <w:rFonts w:ascii="Arial" w:cs="Arial" w:eastAsia="Arial" w:hAnsi="Arial"/>
          <w:sz w:val="21"/>
          <w:szCs w:val="21"/>
          <w:b w:val="1"/>
          <w:bCs w:val="1"/>
          <w:color w:val="auto"/>
        </w:rPr>
      </w:pPr>
    </w:p>
    <w:p>
      <w:pPr>
        <w:jc w:val="both"/>
        <w:ind w:firstLine="1304"/>
        <w:spacing w:after="0" w:line="272" w:lineRule="auto"/>
        <w:tabs>
          <w:tab w:leader="none" w:pos="2010"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By executing this Agreement, each Member authorizes and directs the Company to elect to have the “Safe Harbor” described in the proposed Revenue Procedure set forth in Internal Revenue Service Notice 2005-43 (the “</w:t>
      </w:r>
      <w:r>
        <w:rPr>
          <w:rFonts w:ascii="Arial" w:cs="Arial" w:eastAsia="Arial" w:hAnsi="Arial"/>
          <w:sz w:val="19"/>
          <w:szCs w:val="19"/>
          <w:b w:val="1"/>
          <w:bCs w:val="1"/>
          <w:color w:val="auto"/>
        </w:rPr>
        <w:t>IRS Notice</w:t>
      </w:r>
      <w:r>
        <w:rPr>
          <w:rFonts w:ascii="Arial" w:cs="Arial" w:eastAsia="Arial" w:hAnsi="Arial"/>
          <w:sz w:val="19"/>
          <w:szCs w:val="19"/>
          <w:color w:val="auto"/>
        </w:rPr>
        <w:t xml:space="preserve">”) apply to any interest in the Company transferred to a service provider by the Company on or after the effective date of such Revenue Procedure in connection with services provided to the Company, including the Class P Units and LTIP Units. For purposes of making such Safe Harbor election, the Partnership Representative is hereby designated as the “member who has responsibility for federal income tax reporting” by the Company and, accordingly, execution of such Safe Harbor election by the Partnership Representative constitutes execution of a “Safe Harbor Election” in accordance with Section 3.03(1) of the IRS Notice. The Company and each Member hereby agree to comply with all requirements of the Safe Harbor described in the IRS Notice, including, without limitation, the requirement that each Member shall prepare and file all federal income tax returns reporting the income tax effects of each “Safe Harbor Partnership Interest” issued by the Company in a manner consistent with the requirements of the IRS Notice. A Member’s obligations to comply with the requirements of this </w:t>
      </w:r>
      <w:r>
        <w:rPr>
          <w:rFonts w:ascii="Arial" w:cs="Arial" w:eastAsia="Arial" w:hAnsi="Arial"/>
          <w:sz w:val="19"/>
          <w:szCs w:val="19"/>
          <w:u w:val="single" w:color="auto"/>
          <w:color w:val="auto"/>
        </w:rPr>
        <w:t>Section 7.05(h)</w:t>
      </w:r>
      <w:r>
        <w:rPr>
          <w:rFonts w:ascii="Arial" w:cs="Arial" w:eastAsia="Arial" w:hAnsi="Arial"/>
          <w:sz w:val="19"/>
          <w:szCs w:val="19"/>
          <w:color w:val="auto"/>
        </w:rPr>
        <w:t xml:space="preserve">, shall survive such Member’s ceasing to be a member of the Company and/or the dissolution, liquidation, winding up and termination of the Company, and, for purposes of this </w:t>
      </w:r>
      <w:r>
        <w:rPr>
          <w:rFonts w:ascii="Arial" w:cs="Arial" w:eastAsia="Arial" w:hAnsi="Arial"/>
          <w:sz w:val="19"/>
          <w:szCs w:val="19"/>
          <w:u w:val="single" w:color="auto"/>
          <w:color w:val="auto"/>
        </w:rPr>
        <w:t>Section 7.05(h)</w:t>
      </w:r>
      <w:r>
        <w:rPr>
          <w:rFonts w:ascii="Arial" w:cs="Arial" w:eastAsia="Arial" w:hAnsi="Arial"/>
          <w:sz w:val="19"/>
          <w:szCs w:val="19"/>
          <w:color w:val="auto"/>
        </w:rPr>
        <w:t>, the Company shall be treated as continuing in existence.</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9"/>
          <w:szCs w:val="19"/>
          <w:b w:val="1"/>
          <w:bCs w:val="1"/>
          <w:color w:val="auto"/>
        </w:rPr>
        <w:t>Triggering Events for Management Members.</w:t>
      </w:r>
    </w:p>
    <w:p>
      <w:pPr>
        <w:spacing w:after="0" w:line="239" w:lineRule="exact"/>
        <w:rPr>
          <w:sz w:val="20"/>
          <w:szCs w:val="20"/>
          <w:color w:val="auto"/>
        </w:rPr>
      </w:pPr>
    </w:p>
    <w:p>
      <w:pPr>
        <w:jc w:val="both"/>
        <w:ind w:firstLine="1304"/>
        <w:spacing w:after="0" w:line="238" w:lineRule="auto"/>
        <w:tabs>
          <w:tab w:leader="none" w:pos="2339" w:val="left"/>
        </w:tabs>
        <w:numPr>
          <w:ilvl w:val="0"/>
          <w:numId w:val="128"/>
        </w:numPr>
        <w:rPr>
          <w:rFonts w:ascii="Arial" w:cs="Arial" w:eastAsia="Arial" w:hAnsi="Arial"/>
          <w:sz w:val="22"/>
          <w:szCs w:val="22"/>
          <w:b w:val="1"/>
          <w:bCs w:val="1"/>
          <w:color w:val="auto"/>
        </w:rPr>
      </w:pPr>
      <w:r>
        <w:rPr>
          <w:rFonts w:ascii="Arial" w:cs="Arial" w:eastAsia="Arial" w:hAnsi="Arial"/>
          <w:sz w:val="22"/>
          <w:szCs w:val="22"/>
          <w:color w:val="auto"/>
        </w:rPr>
        <w:t>Upon the occurrence of any of the following events (each, a “</w:t>
      </w:r>
      <w:r>
        <w:rPr>
          <w:rFonts w:ascii="Arial" w:cs="Arial" w:eastAsia="Arial" w:hAnsi="Arial"/>
          <w:sz w:val="22"/>
          <w:szCs w:val="22"/>
          <w:b w:val="1"/>
          <w:bCs w:val="1"/>
          <w:i w:val="1"/>
          <w:iCs w:val="1"/>
          <w:color w:val="auto"/>
        </w:rPr>
        <w:t>Triggering Event</w:t>
      </w:r>
      <w:r>
        <w:rPr>
          <w:rFonts w:ascii="Arial" w:cs="Arial" w:eastAsia="Arial" w:hAnsi="Arial"/>
          <w:sz w:val="22"/>
          <w:szCs w:val="22"/>
          <w:color w:val="auto"/>
        </w:rPr>
        <w:t>”) with respect to a Management Member, the Company shall have the option to purchase all or a portion of such Management Member’s (the “</w:t>
      </w:r>
      <w:r>
        <w:rPr>
          <w:rFonts w:ascii="Arial" w:cs="Arial" w:eastAsia="Arial" w:hAnsi="Arial"/>
          <w:sz w:val="22"/>
          <w:szCs w:val="22"/>
          <w:b w:val="1"/>
          <w:bCs w:val="1"/>
          <w:i w:val="1"/>
          <w:iCs w:val="1"/>
          <w:color w:val="auto"/>
        </w:rPr>
        <w:t>Affected Member</w:t>
      </w:r>
      <w:r>
        <w:rPr>
          <w:rFonts w:ascii="Arial" w:cs="Arial" w:eastAsia="Arial" w:hAnsi="Arial"/>
          <w:sz w:val="22"/>
          <w:szCs w:val="22"/>
          <w:color w:val="auto"/>
        </w:rPr>
        <w:t>”) Class P Units (the “</w:t>
      </w:r>
      <w:r>
        <w:rPr>
          <w:rFonts w:ascii="Arial" w:cs="Arial" w:eastAsia="Arial" w:hAnsi="Arial"/>
          <w:sz w:val="22"/>
          <w:szCs w:val="22"/>
          <w:b w:val="1"/>
          <w:bCs w:val="1"/>
          <w:i w:val="1"/>
          <w:iCs w:val="1"/>
          <w:color w:val="auto"/>
        </w:rPr>
        <w:t>Affected Units</w:t>
      </w:r>
      <w:r>
        <w:rPr>
          <w:rFonts w:ascii="Arial" w:cs="Arial" w:eastAsia="Arial" w:hAnsi="Arial"/>
          <w:sz w:val="22"/>
          <w:szCs w:val="22"/>
          <w:color w:val="auto"/>
        </w:rPr>
        <w:t xml:space="preserve">”) on the date that the Triggering Event occurred at the price and on the terms set forth in this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11" w:lineRule="exact"/>
        <w:rPr>
          <w:rFonts w:ascii="Arial" w:cs="Arial" w:eastAsia="Arial" w:hAnsi="Arial"/>
          <w:sz w:val="22"/>
          <w:szCs w:val="22"/>
          <w:b w:val="1"/>
          <w:bCs w:val="1"/>
          <w:color w:val="auto"/>
        </w:rPr>
      </w:pPr>
    </w:p>
    <w:p>
      <w:pPr>
        <w:jc w:val="both"/>
        <w:ind w:firstLine="1952"/>
        <w:spacing w:after="0" w:line="297" w:lineRule="auto"/>
        <w:tabs>
          <w:tab w:leader="none" w:pos="2884" w:val="left"/>
        </w:tabs>
        <w:numPr>
          <w:ilvl w:val="1"/>
          <w:numId w:val="128"/>
        </w:numPr>
        <w:rPr>
          <w:rFonts w:ascii="Arial" w:cs="Arial" w:eastAsia="Arial" w:hAnsi="Arial"/>
          <w:sz w:val="19"/>
          <w:szCs w:val="19"/>
          <w:b w:val="1"/>
          <w:bCs w:val="1"/>
          <w:color w:val="auto"/>
        </w:rPr>
      </w:pPr>
      <w:r>
        <w:rPr>
          <w:rFonts w:ascii="Arial" w:cs="Arial" w:eastAsia="Arial" w:hAnsi="Arial"/>
          <w:sz w:val="19"/>
          <w:szCs w:val="19"/>
          <w:color w:val="auto"/>
        </w:rPr>
        <w:t>the attachment of, execution against, levy upon or seizure of the Management Member’s Units (other than an attachment solely for jurisdictional purposes) unless (and for only so long as) counsel of the Company determines that such Management Member is in good faith contesting such attachment, execution, levy or other seizure;</w:t>
      </w:r>
    </w:p>
    <w:p>
      <w:pPr>
        <w:spacing w:after="0" w:line="160" w:lineRule="exact"/>
        <w:rPr>
          <w:rFonts w:ascii="Arial" w:cs="Arial" w:eastAsia="Arial" w:hAnsi="Arial"/>
          <w:sz w:val="19"/>
          <w:szCs w:val="19"/>
          <w:b w:val="1"/>
          <w:bCs w:val="1"/>
          <w:color w:val="auto"/>
        </w:rPr>
      </w:pPr>
    </w:p>
    <w:p>
      <w:pPr>
        <w:ind w:right="20" w:firstLine="1952"/>
        <w:spacing w:after="0" w:line="328" w:lineRule="auto"/>
        <w:tabs>
          <w:tab w:leader="none" w:pos="2900" w:val="left"/>
        </w:tabs>
        <w:numPr>
          <w:ilvl w:val="1"/>
          <w:numId w:val="128"/>
        </w:numPr>
        <w:rPr>
          <w:rFonts w:ascii="Arial" w:cs="Arial" w:eastAsia="Arial" w:hAnsi="Arial"/>
          <w:sz w:val="19"/>
          <w:szCs w:val="19"/>
          <w:b w:val="1"/>
          <w:bCs w:val="1"/>
          <w:color w:val="auto"/>
        </w:rPr>
      </w:pPr>
      <w:r>
        <w:rPr>
          <w:rFonts w:ascii="Arial" w:cs="Arial" w:eastAsia="Arial" w:hAnsi="Arial"/>
          <w:sz w:val="19"/>
          <w:szCs w:val="19"/>
          <w:color w:val="auto"/>
        </w:rPr>
        <w:t>(A) an assignment by the Management Member for the benefit of creditors, which assignment includes such Management Member’s Units, or (B) a petition for bankruptcy by or on behalf of the Management Member;</w:t>
      </w:r>
    </w:p>
    <w:p>
      <w:pPr>
        <w:spacing w:after="0" w:line="131" w:lineRule="exact"/>
        <w:rPr>
          <w:rFonts w:ascii="Arial" w:cs="Arial" w:eastAsia="Arial" w:hAnsi="Arial"/>
          <w:sz w:val="19"/>
          <w:szCs w:val="19"/>
          <w:b w:val="1"/>
          <w:bCs w:val="1"/>
          <w:color w:val="auto"/>
        </w:rPr>
      </w:pPr>
    </w:p>
    <w:p>
      <w:pPr>
        <w:ind w:left="2760" w:hanging="808"/>
        <w:spacing w:after="0"/>
        <w:tabs>
          <w:tab w:leader="none" w:pos="2760" w:val="left"/>
        </w:tabs>
        <w:numPr>
          <w:ilvl w:val="1"/>
          <w:numId w:val="128"/>
        </w:numPr>
        <w:rPr>
          <w:rFonts w:ascii="Arial" w:cs="Arial" w:eastAsia="Arial" w:hAnsi="Arial"/>
          <w:sz w:val="22"/>
          <w:szCs w:val="22"/>
          <w:b w:val="1"/>
          <w:bCs w:val="1"/>
          <w:color w:val="auto"/>
        </w:rPr>
      </w:pPr>
      <w:r>
        <w:rPr>
          <w:rFonts w:ascii="Arial" w:cs="Arial" w:eastAsia="Arial" w:hAnsi="Arial"/>
          <w:sz w:val="22"/>
          <w:szCs w:val="22"/>
          <w:color w:val="auto"/>
        </w:rPr>
        <w:t>the death or Disability of the Management Member;</w:t>
      </w:r>
    </w:p>
    <w:p>
      <w:pPr>
        <w:spacing w:after="0" w:line="233" w:lineRule="exact"/>
        <w:rPr>
          <w:rFonts w:ascii="Arial" w:cs="Arial" w:eastAsia="Arial" w:hAnsi="Arial"/>
          <w:sz w:val="22"/>
          <w:szCs w:val="22"/>
          <w:b w:val="1"/>
          <w:bCs w:val="1"/>
          <w:color w:val="auto"/>
        </w:rPr>
      </w:pPr>
    </w:p>
    <w:p>
      <w:pPr>
        <w:jc w:val="both"/>
        <w:ind w:firstLine="1952"/>
        <w:spacing w:after="0" w:line="252" w:lineRule="auto"/>
        <w:tabs>
          <w:tab w:leader="none" w:pos="2813" w:val="left"/>
        </w:tabs>
        <w:numPr>
          <w:ilvl w:val="1"/>
          <w:numId w:val="128"/>
        </w:numPr>
        <w:rPr>
          <w:rFonts w:ascii="Arial" w:cs="Arial" w:eastAsia="Arial" w:hAnsi="Arial"/>
          <w:sz w:val="21"/>
          <w:szCs w:val="21"/>
          <w:b w:val="1"/>
          <w:bCs w:val="1"/>
          <w:color w:val="auto"/>
        </w:rPr>
      </w:pPr>
      <w:r>
        <w:rPr>
          <w:rFonts w:ascii="Arial" w:cs="Arial" w:eastAsia="Arial" w:hAnsi="Arial"/>
          <w:sz w:val="21"/>
          <w:szCs w:val="21"/>
          <w:color w:val="auto"/>
        </w:rPr>
        <w:t>if the Management Member is a legal entity, the winding up an dissolution of such Management Member or the merger or reorganization of such Management Member as a result of which such Management Member does not survive as an entity or the Persons indirectly or directly controlling such Management Member immediately prior to such merger or reorganization no longer control such Management Member;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ind w:firstLine="1952"/>
        <w:spacing w:after="0" w:line="298" w:lineRule="auto"/>
        <w:tabs>
          <w:tab w:leader="none" w:pos="2687"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the possession by any Person of the Management Member’s Units or of a claim to, lien on, interest in or encumbrance upon such Management Member’s Units, other than a Person that acquired such Units, claim, lien, interest or encumbrance upon the Managing Member’s prior written consent in accordance with the conditions hereof;</w:t>
      </w:r>
    </w:p>
    <w:p>
      <w:pPr>
        <w:spacing w:after="0" w:line="158" w:lineRule="exact"/>
        <w:rPr>
          <w:rFonts w:ascii="Arial" w:cs="Arial" w:eastAsia="Arial" w:hAnsi="Arial"/>
          <w:sz w:val="19"/>
          <w:szCs w:val="19"/>
          <w:b w:val="1"/>
          <w:bCs w:val="1"/>
          <w:color w:val="auto"/>
        </w:rPr>
      </w:pPr>
    </w:p>
    <w:p>
      <w:pPr>
        <w:ind w:firstLine="1952"/>
        <w:spacing w:after="0" w:line="250" w:lineRule="auto"/>
        <w:tabs>
          <w:tab w:leader="none" w:pos="2776"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the termination of the Management Member’s employment or services to the Managing Member, the Company or any Subsidiary of the Company for Malfeasance;</w:t>
      </w:r>
    </w:p>
    <w:p>
      <w:pPr>
        <w:spacing w:after="0" w:line="201" w:lineRule="exact"/>
        <w:rPr>
          <w:rFonts w:ascii="Arial" w:cs="Arial" w:eastAsia="Arial" w:hAnsi="Arial"/>
          <w:sz w:val="22"/>
          <w:szCs w:val="22"/>
          <w:b w:val="1"/>
          <w:bCs w:val="1"/>
          <w:color w:val="auto"/>
        </w:rPr>
      </w:pPr>
    </w:p>
    <w:p>
      <w:pPr>
        <w:ind w:right="20" w:firstLine="1952"/>
        <w:spacing w:after="0" w:line="250" w:lineRule="auto"/>
        <w:tabs>
          <w:tab w:leader="none" w:pos="2768"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the Transfer or attempted Transfer (whether voluntary or involuntary) of Units in violation of this Agreement or any other applicable agreement; and</w:t>
      </w:r>
    </w:p>
    <w:p>
      <w:pPr>
        <w:spacing w:after="0" w:line="201" w:lineRule="exact"/>
        <w:rPr>
          <w:rFonts w:ascii="Arial" w:cs="Arial" w:eastAsia="Arial" w:hAnsi="Arial"/>
          <w:sz w:val="22"/>
          <w:szCs w:val="22"/>
          <w:b w:val="1"/>
          <w:bCs w:val="1"/>
          <w:color w:val="auto"/>
        </w:rPr>
      </w:pPr>
    </w:p>
    <w:p>
      <w:pPr>
        <w:ind w:left="2760" w:hanging="808"/>
        <w:spacing w:after="0"/>
        <w:tabs>
          <w:tab w:leader="none" w:pos="2760"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the Management Member engages in Competing Activity.</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Within ten (10) calendar days after the occurrence of any of the above Triggering Events, the Affected Member (or the Affected Member’s representative) shall provide a written communication setting forth the details of such event (the “</w:t>
      </w:r>
      <w:r>
        <w:rPr>
          <w:rFonts w:ascii="Arial" w:cs="Arial" w:eastAsia="Arial" w:hAnsi="Arial"/>
          <w:sz w:val="19"/>
          <w:szCs w:val="19"/>
          <w:b w:val="1"/>
          <w:bCs w:val="1"/>
          <w:i w:val="1"/>
          <w:iCs w:val="1"/>
          <w:color w:val="auto"/>
        </w:rPr>
        <w:t>Triggering Event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Communication</w:t>
      </w:r>
      <w:r>
        <w:rPr>
          <w:rFonts w:ascii="Arial" w:cs="Arial" w:eastAsia="Arial" w:hAnsi="Arial"/>
          <w:sz w:val="19"/>
          <w:szCs w:val="19"/>
          <w:color w:val="auto"/>
        </w:rPr>
        <w:t>”) to the Managing Member. Failure of the Affected Member (or the Affected Member’s representative)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provide such Triggering Event Communication shall in no way prevent the Company from exercising its rights or relieve such Affected Member (the Affected Member’s representative) from satisfying its obligations under this Agreement. Notwithstanding anything to contrary in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(x) the Class P Unit Agreement with respect to certain Class P Units can provide an alternative definition of Triggering Event for purposes of this Agreement, in which case the definition of Triggering Event in the Class P Unit Agreement shall control, and (y) in the event of a Triggering Event set forth in </w:t>
      </w:r>
      <w:r>
        <w:rPr>
          <w:rFonts w:ascii="Arial" w:cs="Arial" w:eastAsia="Arial" w:hAnsi="Arial"/>
          <w:sz w:val="19"/>
          <w:szCs w:val="19"/>
          <w:u w:val="single" w:color="auto"/>
          <w:color w:val="auto"/>
        </w:rPr>
        <w:t>Section 7.06(a)(vi)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the Affected Units shall, at the Company’s option, be automatically forfeited by the Affected Member rather than repurchased for the Triggering Event Purchase Price.</w:t>
      </w:r>
    </w:p>
    <w:p>
      <w:pPr>
        <w:spacing w:after="0" w:line="188" w:lineRule="exact"/>
        <w:rPr>
          <w:sz w:val="20"/>
          <w:szCs w:val="20"/>
          <w:color w:val="auto"/>
        </w:rPr>
      </w:pPr>
    </w:p>
    <w:p>
      <w:pPr>
        <w:jc w:val="both"/>
        <w:ind w:firstLine="1304"/>
        <w:spacing w:after="0" w:line="287" w:lineRule="auto"/>
        <w:tabs>
          <w:tab w:leader="none" w:pos="2054"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 xml:space="preserve">If an Affected Member has Transferred all or any portion of his or her Class P Units to a Transferee,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shall also apply, mutatis mutandis, to such Transferee as though such Transferee was the Management Member referenced in such Section. This Section 7.06 shall be binding upon each Management Member and his or her heirs, executor, administrator, guardian or other legal representative (collectively, his or her “</w:t>
      </w:r>
      <w:r>
        <w:rPr>
          <w:rFonts w:ascii="Arial" w:cs="Arial" w:eastAsia="Arial" w:hAnsi="Arial"/>
          <w:sz w:val="19"/>
          <w:szCs w:val="19"/>
          <w:b w:val="1"/>
          <w:bCs w:val="1"/>
          <w:i w:val="1"/>
          <w:iCs w:val="1"/>
          <w:color w:val="auto"/>
        </w:rPr>
        <w:t>representative</w:t>
      </w:r>
      <w:r>
        <w:rPr>
          <w:rFonts w:ascii="Arial" w:cs="Arial" w:eastAsia="Arial" w:hAnsi="Arial"/>
          <w:sz w:val="19"/>
          <w:szCs w:val="19"/>
          <w:color w:val="auto"/>
        </w:rPr>
        <w:t>”), and his or her Transferees.</w:t>
      </w:r>
    </w:p>
    <w:p>
      <w:pPr>
        <w:spacing w:after="0" w:line="169" w:lineRule="exact"/>
        <w:rPr>
          <w:rFonts w:ascii="Arial" w:cs="Arial" w:eastAsia="Arial" w:hAnsi="Arial"/>
          <w:sz w:val="19"/>
          <w:szCs w:val="19"/>
          <w:b w:val="1"/>
          <w:bCs w:val="1"/>
          <w:color w:val="auto"/>
        </w:rPr>
      </w:pPr>
    </w:p>
    <w:p>
      <w:pPr>
        <w:jc w:val="both"/>
        <w:ind w:firstLine="1304"/>
        <w:spacing w:after="0" w:line="234" w:lineRule="auto"/>
        <w:tabs>
          <w:tab w:leader="none" w:pos="2195"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 xml:space="preserve">Upon the occurrence of a Triggering Event, the Company shall have the option, exercisable at the sole discretion of the Managing Member, to purchase all or any of the Affected Units held by the Affected Member at the price determined in accordance with this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Triggering Event Purchase Price</w:t>
      </w:r>
      <w:r>
        <w:rPr>
          <w:rFonts w:ascii="Arial" w:cs="Arial" w:eastAsia="Arial" w:hAnsi="Arial"/>
          <w:sz w:val="22"/>
          <w:szCs w:val="22"/>
          <w:color w:val="auto"/>
        </w:rPr>
        <w:t>”). The Company may exercise its right to purchase (the “</w:t>
      </w:r>
      <w:r>
        <w:rPr>
          <w:rFonts w:ascii="Arial" w:cs="Arial" w:eastAsia="Arial" w:hAnsi="Arial"/>
          <w:sz w:val="22"/>
          <w:szCs w:val="22"/>
          <w:b w:val="1"/>
          <w:bCs w:val="1"/>
          <w:i w:val="1"/>
          <w:iCs w:val="1"/>
          <w:color w:val="auto"/>
        </w:rPr>
        <w:t>Call Option</w:t>
      </w:r>
      <w:r>
        <w:rPr>
          <w:rFonts w:ascii="Arial" w:cs="Arial" w:eastAsia="Arial" w:hAnsi="Arial"/>
          <w:sz w:val="22"/>
          <w:szCs w:val="22"/>
          <w:color w:val="auto"/>
        </w:rPr>
        <w:t>”) the Affected Units by providing written notice (the “</w:t>
      </w:r>
      <w:r>
        <w:rPr>
          <w:rFonts w:ascii="Arial" w:cs="Arial" w:eastAsia="Arial" w:hAnsi="Arial"/>
          <w:sz w:val="22"/>
          <w:szCs w:val="22"/>
          <w:b w:val="1"/>
          <w:bCs w:val="1"/>
          <w:i w:val="1"/>
          <w:iCs w:val="1"/>
          <w:color w:val="auto"/>
        </w:rPr>
        <w:t>Call Option Exercise Notice</w:t>
      </w:r>
      <w:r>
        <w:rPr>
          <w:rFonts w:ascii="Arial" w:cs="Arial" w:eastAsia="Arial" w:hAnsi="Arial"/>
          <w:sz w:val="22"/>
          <w:szCs w:val="22"/>
          <w:color w:val="auto"/>
        </w:rPr>
        <w:t>”) to the Affected Member at any time following occurrence of the Triggering Event. Upon the occurrence of a Triggering Event, the Affected Member shall forfeit any Class P Units which have not vested pursuant to the terms of the applicable Class P Unit Agreement.</w:t>
      </w:r>
    </w:p>
    <w:p>
      <w:pPr>
        <w:spacing w:after="0" w:line="217" w:lineRule="exact"/>
        <w:rPr>
          <w:rFonts w:ascii="Arial" w:cs="Arial" w:eastAsia="Arial" w:hAnsi="Arial"/>
          <w:sz w:val="22"/>
          <w:szCs w:val="22"/>
          <w:b w:val="1"/>
          <w:bCs w:val="1"/>
          <w:color w:val="auto"/>
        </w:rPr>
      </w:pPr>
    </w:p>
    <w:p>
      <w:pPr>
        <w:ind w:firstLine="1304"/>
        <w:spacing w:after="0" w:line="328" w:lineRule="auto"/>
        <w:tabs>
          <w:tab w:leader="none" w:pos="2121"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In the event the Company provides the Call Option Exercise Notice within thirty (30) calendar days after receipt of the Triggering Event Communication, the Triggering Event Purchase Price shall be calculated as follows:</w:t>
      </w:r>
    </w:p>
    <w:p>
      <w:pPr>
        <w:spacing w:after="0" w:line="131" w:lineRule="exact"/>
        <w:rPr>
          <w:rFonts w:ascii="Arial" w:cs="Arial" w:eastAsia="Arial" w:hAnsi="Arial"/>
          <w:sz w:val="19"/>
          <w:szCs w:val="19"/>
          <w:b w:val="1"/>
          <w:bCs w:val="1"/>
          <w:color w:val="auto"/>
        </w:rPr>
      </w:pPr>
    </w:p>
    <w:p>
      <w:pPr>
        <w:jc w:val="both"/>
        <w:ind w:firstLine="1952"/>
        <w:spacing w:after="0" w:line="252" w:lineRule="auto"/>
        <w:tabs>
          <w:tab w:leader="none" w:pos="2827" w:val="left"/>
        </w:tabs>
        <w:numPr>
          <w:ilvl w:val="1"/>
          <w:numId w:val="130"/>
        </w:numPr>
        <w:rPr>
          <w:rFonts w:ascii="Arial" w:cs="Arial" w:eastAsia="Arial" w:hAnsi="Arial"/>
          <w:sz w:val="21"/>
          <w:szCs w:val="21"/>
          <w:b w:val="1"/>
          <w:bCs w:val="1"/>
          <w:color w:val="auto"/>
        </w:rPr>
      </w:pPr>
      <w:r>
        <w:rPr>
          <w:rFonts w:ascii="Arial" w:cs="Arial" w:eastAsia="Arial" w:hAnsi="Arial"/>
          <w:sz w:val="21"/>
          <w:szCs w:val="21"/>
          <w:color w:val="auto"/>
        </w:rPr>
        <w:t xml:space="preserve">If the Triggering Event is any event set forth in </w:t>
      </w:r>
      <w:r>
        <w:rPr>
          <w:rFonts w:ascii="Arial" w:cs="Arial" w:eastAsia="Arial" w:hAnsi="Arial"/>
          <w:sz w:val="21"/>
          <w:szCs w:val="21"/>
          <w:u w:val="single" w:color="auto"/>
          <w:color w:val="auto"/>
        </w:rPr>
        <w:t>Section 7.06(a)(i)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7.06(a)</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w:t>
      </w:r>
      <w:r>
        <w:rPr>
          <w:rFonts w:ascii="Arial" w:cs="Arial" w:eastAsia="Arial" w:hAnsi="Arial"/>
          <w:sz w:val="21"/>
          <w:szCs w:val="21"/>
          <w:color w:val="auto"/>
        </w:rPr>
        <w:t>, the Triggering Event Purchase Price shall equal the fair market value of the Affected Units that a willing buyer would pay to a willing seller in an arm’s length transaction, as determined by the Managing Member (the “</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on the date that the Triggering Event occurred with respect to each Affected Unit that is a Vested Unit.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both"/>
        <w:ind w:firstLine="1952"/>
        <w:spacing w:after="0" w:line="238" w:lineRule="auto"/>
        <w:tabs>
          <w:tab w:leader="none" w:pos="2788" w:val="left"/>
        </w:tabs>
        <w:numPr>
          <w:ilvl w:val="1"/>
          <w:numId w:val="131"/>
        </w:numPr>
        <w:rPr>
          <w:rFonts w:ascii="Arial" w:cs="Arial" w:eastAsia="Arial" w:hAnsi="Arial"/>
          <w:sz w:val="22"/>
          <w:szCs w:val="22"/>
          <w:b w:val="1"/>
          <w:bCs w:val="1"/>
          <w:color w:val="auto"/>
        </w:rPr>
      </w:pPr>
      <w:r>
        <w:rPr>
          <w:rFonts w:ascii="Arial" w:cs="Arial" w:eastAsia="Arial" w:hAnsi="Arial"/>
          <w:sz w:val="22"/>
          <w:szCs w:val="22"/>
          <w:color w:val="auto"/>
        </w:rPr>
        <w:t xml:space="preserve">If the Triggering Event is an event set forth in </w:t>
      </w:r>
      <w:r>
        <w:rPr>
          <w:rFonts w:ascii="Arial" w:cs="Arial" w:eastAsia="Arial" w:hAnsi="Arial"/>
          <w:sz w:val="22"/>
          <w:szCs w:val="22"/>
          <w:u w:val="single" w:color="auto"/>
          <w:color w:val="auto"/>
        </w:rPr>
        <w:t>Section 7.06(a)(vi)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7.06(a)(viii)</w:t>
      </w:r>
      <w:r>
        <w:rPr>
          <w:rFonts w:ascii="Arial" w:cs="Arial" w:eastAsia="Arial" w:hAnsi="Arial"/>
          <w:sz w:val="22"/>
          <w:szCs w:val="22"/>
          <w:color w:val="auto"/>
        </w:rPr>
        <w:t xml:space="preserve"> and the Company does not exercise its option under </w:t>
      </w:r>
      <w:r>
        <w:rPr>
          <w:rFonts w:ascii="Arial" w:cs="Arial" w:eastAsia="Arial" w:hAnsi="Arial"/>
          <w:sz w:val="22"/>
          <w:szCs w:val="22"/>
          <w:u w:val="single" w:color="auto"/>
          <w:color w:val="auto"/>
        </w:rPr>
        <w:t>Section 7.06(a)</w:t>
      </w:r>
      <w:r>
        <w:rPr>
          <w:rFonts w:ascii="Arial" w:cs="Arial" w:eastAsia="Arial" w:hAnsi="Arial"/>
          <w:sz w:val="22"/>
          <w:szCs w:val="22"/>
          <w:color w:val="auto"/>
        </w:rPr>
        <w:t xml:space="preserve"> to cause the Affected Units to be automatically forfeited, the Triggering Event Purchase Price shall equal ten percent (10%) of the Fair Market Value on the date the Triggering Event occurred with respect to each Affected Unit that is a Vested Unit.</w:t>
      </w:r>
    </w:p>
    <w:p>
      <w:pPr>
        <w:spacing w:after="0" w:line="205" w:lineRule="exact"/>
        <w:rPr>
          <w:rFonts w:ascii="Arial" w:cs="Arial" w:eastAsia="Arial" w:hAnsi="Arial"/>
          <w:sz w:val="22"/>
          <w:szCs w:val="22"/>
          <w:b w:val="1"/>
          <w:bCs w:val="1"/>
          <w:color w:val="auto"/>
        </w:rPr>
      </w:pPr>
    </w:p>
    <w:p>
      <w:pPr>
        <w:ind w:right="20" w:firstLine="1304"/>
        <w:spacing w:after="0" w:line="223" w:lineRule="auto"/>
        <w:tabs>
          <w:tab w:leader="none" w:pos="2081" w:val="left"/>
        </w:tabs>
        <w:numPr>
          <w:ilvl w:val="0"/>
          <w:numId w:val="132"/>
        </w:numPr>
        <w:rPr>
          <w:rFonts w:ascii="Arial" w:cs="Arial" w:eastAsia="Arial" w:hAnsi="Arial"/>
          <w:sz w:val="19"/>
          <w:szCs w:val="19"/>
          <w:b w:val="1"/>
          <w:bCs w:val="1"/>
          <w:color w:val="auto"/>
        </w:rPr>
      </w:pPr>
      <w:r>
        <w:rPr>
          <w:rFonts w:ascii="Arial" w:cs="Arial" w:eastAsia="Arial" w:hAnsi="Arial"/>
          <w:sz w:val="19"/>
          <w:szCs w:val="19"/>
          <w:color w:val="auto"/>
        </w:rPr>
        <w:t>In the event the Company provides the Call Option Exercise Notice following the thirtieth (30</w:t>
      </w:r>
      <w:r>
        <w:rPr>
          <w:rFonts w:ascii="Arial" w:cs="Arial" w:eastAsia="Arial" w:hAnsi="Arial"/>
          <w:sz w:val="30"/>
          <w:szCs w:val="30"/>
          <w:color w:val="auto"/>
          <w:vertAlign w:val="superscript"/>
        </w:rPr>
        <w:t>th</w:t>
      </w:r>
      <w:r>
        <w:rPr>
          <w:rFonts w:ascii="Arial" w:cs="Arial" w:eastAsia="Arial" w:hAnsi="Arial"/>
          <w:sz w:val="19"/>
          <w:szCs w:val="19"/>
          <w:color w:val="auto"/>
        </w:rPr>
        <w:t>) calendar day after receipt of the Triggering Event Communication, the Triggering Event Purchase Price shall be calculated as follows:</w:t>
      </w:r>
    </w:p>
    <w:p>
      <w:pPr>
        <w:spacing w:after="0" w:line="211" w:lineRule="exact"/>
        <w:rPr>
          <w:rFonts w:ascii="Arial" w:cs="Arial" w:eastAsia="Arial" w:hAnsi="Arial"/>
          <w:sz w:val="19"/>
          <w:szCs w:val="19"/>
          <w:b w:val="1"/>
          <w:bCs w:val="1"/>
          <w:color w:val="auto"/>
        </w:rPr>
      </w:pPr>
    </w:p>
    <w:p>
      <w:pPr>
        <w:jc w:val="both"/>
        <w:ind w:firstLine="1952"/>
        <w:spacing w:after="0"/>
        <w:tabs>
          <w:tab w:leader="none" w:pos="2782" w:val="left"/>
        </w:tabs>
        <w:numPr>
          <w:ilvl w:val="1"/>
          <w:numId w:val="132"/>
        </w:numPr>
        <w:rPr>
          <w:rFonts w:ascii="Arial" w:cs="Arial" w:eastAsia="Arial" w:hAnsi="Arial"/>
          <w:sz w:val="22"/>
          <w:szCs w:val="22"/>
          <w:b w:val="1"/>
          <w:bCs w:val="1"/>
          <w:color w:val="auto"/>
        </w:rPr>
      </w:pPr>
      <w:r>
        <w:rPr>
          <w:rFonts w:ascii="Arial" w:cs="Arial" w:eastAsia="Arial" w:hAnsi="Arial"/>
          <w:sz w:val="22"/>
          <w:szCs w:val="22"/>
          <w:color w:val="auto"/>
        </w:rPr>
        <w:t xml:space="preserve">If the Triggering Event is any event set forth in </w:t>
      </w:r>
      <w:r>
        <w:rPr>
          <w:rFonts w:ascii="Arial" w:cs="Arial" w:eastAsia="Arial" w:hAnsi="Arial"/>
          <w:sz w:val="22"/>
          <w:szCs w:val="22"/>
          <w:u w:val="single" w:color="auto"/>
          <w:color w:val="auto"/>
        </w:rPr>
        <w:t>Section 7.06(a)(i)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7.06(a)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the Triggering Event Purchase Price shall equal the Fair Market Value on the date that the Call Option Exercise Notice was issued with respect to each Affected Unit that is a Vested Unit.</w:t>
      </w:r>
    </w:p>
    <w:p>
      <w:pPr>
        <w:spacing w:after="0" w:line="213" w:lineRule="exact"/>
        <w:rPr>
          <w:sz w:val="20"/>
          <w:szCs w:val="20"/>
          <w:color w:val="auto"/>
        </w:rPr>
      </w:pPr>
    </w:p>
    <w:p>
      <w:pPr>
        <w:jc w:val="both"/>
        <w:ind w:firstLine="1952"/>
        <w:spacing w:after="0"/>
        <w:tabs>
          <w:tab w:leader="none" w:pos="2917"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 xml:space="preserve">If the Triggering Event is an event set forth in </w:t>
      </w:r>
      <w:r>
        <w:rPr>
          <w:rFonts w:ascii="Arial" w:cs="Arial" w:eastAsia="Arial" w:hAnsi="Arial"/>
          <w:sz w:val="22"/>
          <w:szCs w:val="22"/>
          <w:u w:val="single" w:color="auto"/>
          <w:color w:val="auto"/>
        </w:rPr>
        <w:t>Section 7.06(a)(vi)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7.06(a)(viii)</w:t>
      </w:r>
      <w:r>
        <w:rPr>
          <w:rFonts w:ascii="Arial" w:cs="Arial" w:eastAsia="Arial" w:hAnsi="Arial"/>
          <w:sz w:val="22"/>
          <w:szCs w:val="22"/>
          <w:color w:val="auto"/>
        </w:rPr>
        <w:t>, the Triggering Event Purchase Price shall equal ten percent (10%) of the Fair Market Value on the date the Call Option Exercise Notice was issued with respect to each Affected Unit that is a Vested Unit.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RESTRICTIONS</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Member Transfers</w:t>
      </w:r>
    </w:p>
    <w:p>
      <w:pPr>
        <w:spacing w:after="0" w:line="239" w:lineRule="exact"/>
        <w:rPr>
          <w:sz w:val="20"/>
          <w:szCs w:val="20"/>
          <w:color w:val="auto"/>
        </w:rPr>
      </w:pPr>
    </w:p>
    <w:p>
      <w:pPr>
        <w:jc w:val="both"/>
        <w:ind w:firstLine="1304"/>
        <w:spacing w:after="0" w:line="271" w:lineRule="auto"/>
        <w:tabs>
          <w:tab w:leader="none" w:pos="2120" w:val="left"/>
        </w:tabs>
        <w:numPr>
          <w:ilvl w:val="0"/>
          <w:numId w:val="134"/>
        </w:numPr>
        <w:rPr>
          <w:rFonts w:ascii="Arial" w:cs="Arial" w:eastAsia="Arial" w:hAnsi="Arial"/>
          <w:sz w:val="19"/>
          <w:szCs w:val="19"/>
          <w:b w:val="1"/>
          <w:bCs w:val="1"/>
          <w:color w:val="auto"/>
        </w:rPr>
      </w:pPr>
      <w:r>
        <w:rPr>
          <w:rFonts w:ascii="Arial" w:cs="Arial" w:eastAsia="Arial" w:hAnsi="Arial"/>
          <w:sz w:val="19"/>
          <w:szCs w:val="19"/>
          <w:color w:val="auto"/>
        </w:rPr>
        <w:t>Except as otherwise agreed to in writing between the Managing Member and the applicable Member and reflected in the books and records of the Company or as otherwise provided in this Article VIII, no Member or Assignee thereof may Transfer all or any portion of its Units or other interest in the Company (or beneficial interest therein) without the prior consent of the Managing Member, which consent may be given or withheld, or made subject to such conditions (including, without limitation,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Member transfers all or a portion of its Class A Units to a transferee in compliance with this Agreement, the Member shall surrender a number of shares of Class V Common Stock to the Managing Member equal to the number of transferred Class A Units, such shares of Class V Common Stock will be immediately cancelled, and the Managing Member shall issue the same number of shares of Class V Common Stock to such transferee upon its admittance to the Company as a Class A Member.</w:t>
      </w:r>
    </w:p>
    <w:p>
      <w:pPr>
        <w:spacing w:after="0" w:line="187" w:lineRule="exact"/>
        <w:rPr>
          <w:rFonts w:ascii="Arial" w:cs="Arial" w:eastAsia="Arial" w:hAnsi="Arial"/>
          <w:sz w:val="19"/>
          <w:szCs w:val="19"/>
          <w:b w:val="1"/>
          <w:bCs w:val="1"/>
          <w:color w:val="auto"/>
        </w:rPr>
      </w:pPr>
    </w:p>
    <w:p>
      <w:pPr>
        <w:jc w:val="both"/>
        <w:ind w:firstLine="1304"/>
        <w:spacing w:after="0" w:line="236" w:lineRule="auto"/>
        <w:tabs>
          <w:tab w:leader="none" w:pos="2299"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Notwithstanding anything otherwise to the contrary in this Section 8.01, without the consent of the Managing Member or any other Person, each Member that is a Member holding at least 5% of the Class A Percentage Interest may Transfer all or any portion of its Class A Units in a Transfer that complies with Section 8.04, unless the Managing Member timely and reasonably objects in accordance with Section 8.04, so long as such transfer does not increase the number of Members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firstLine="1304"/>
        <w:spacing w:after="0" w:line="277" w:lineRule="auto"/>
        <w:tabs>
          <w:tab w:leader="none" w:pos="2027"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otherwise to the contrary in this Section 8.01, each Member may Transfer Units in Exchange Transactions pursuant to, and in accordance with, the Exchange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Member other than a Member holding at least 5% of the Class A Percentage Interest, that such Exchange Transactions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further, that if such policies conflict with the terms of the Exchange Agreement, the provisions of the Exchange Agreement shall apply in lieu thereof to any Exchange Transaction to the extent of such conflict.</w:t>
      </w:r>
    </w:p>
    <w:p>
      <w:pPr>
        <w:spacing w:after="0" w:line="179" w:lineRule="exact"/>
        <w:rPr>
          <w:rFonts w:ascii="Arial" w:cs="Arial" w:eastAsia="Arial" w:hAnsi="Arial"/>
          <w:sz w:val="19"/>
          <w:szCs w:val="19"/>
          <w:b w:val="1"/>
          <w:bCs w:val="1"/>
          <w:color w:val="auto"/>
        </w:rPr>
      </w:pPr>
    </w:p>
    <w:p>
      <w:pPr>
        <w:jc w:val="both"/>
        <w:ind w:firstLine="1304"/>
        <w:spacing w:after="0" w:line="275" w:lineRule="auto"/>
        <w:tabs>
          <w:tab w:leader="none" w:pos="2157"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otherwise to the contrary in this Section 8.01, (i) an individual Member may Transfer all or any portion of his or her Units without consideration to any member of his or her Family Group or (ii) any Affiliate of such Member (including any partner, shareholder or member controlling or under common control with such Member and Affiliated investment fund or vehicle of such Member), but excluding any Affiliate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who operates or engages in a business which competes with the business of Managing Member or the Company, in each case, in a Transfer that complies with Section 8.04 and (iii) the Managing Member may implement other policies and procedures to permit the Transfer of Units by the other Members for personal planning purposes and any such Transfer effected in compliance with such policies and procedures shall not require the prior consent of the Managing Member.</w:t>
      </w:r>
    </w:p>
    <w:p>
      <w:pPr>
        <w:spacing w:after="0" w:line="17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8.02 Mandatory Exchanges</w:t>
      </w:r>
      <w:r>
        <w:rPr>
          <w:rFonts w:ascii="Arial" w:cs="Arial" w:eastAsia="Arial" w:hAnsi="Arial"/>
          <w:sz w:val="22"/>
          <w:szCs w:val="22"/>
          <w:color w:val="auto"/>
        </w:rPr>
        <w:t>. The Managing Member may in its sole discretion at any time and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consent of any Member or other Person, cause to be Transferred to the Managing Member in an Exchange Transaction any and all Units, except for Units held by any Member holding at least 5% of the Class A Percentage Interest. Any such determinations by the Managing Member need not be uniform and may be made selectively among Members, whether or not such Members are similarly situated.</w:t>
      </w:r>
    </w:p>
    <w:p>
      <w:pPr>
        <w:spacing w:after="0" w:line="2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8.03 Encumbrances</w:t>
      </w:r>
      <w:r>
        <w:rPr>
          <w:rFonts w:ascii="Arial" w:cs="Arial" w:eastAsia="Arial" w:hAnsi="Arial"/>
          <w:sz w:val="19"/>
          <w:szCs w:val="19"/>
          <w:color w:val="auto"/>
        </w:rPr>
        <w:t>. No Member or Assignee may create an Encumbrance with respect to all or any portion of its</w:t>
      </w:r>
      <w:r>
        <w:rPr>
          <w:rFonts w:ascii="Arial" w:cs="Arial" w:eastAsia="Arial" w:hAnsi="Arial"/>
          <w:sz w:val="19"/>
          <w:szCs w:val="19"/>
          <w:b w:val="1"/>
          <w:bCs w:val="1"/>
          <w:color w:val="auto"/>
        </w:rPr>
        <w:t xml:space="preserve"> </w:t>
      </w:r>
      <w:r>
        <w:rPr>
          <w:rFonts w:ascii="Arial" w:cs="Arial" w:eastAsia="Arial" w:hAnsi="Arial"/>
          <w:sz w:val="19"/>
          <w:szCs w:val="19"/>
          <w:color w:val="auto"/>
        </w:rPr>
        <w:t>Units (or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1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color w:val="auto"/>
        </w:rPr>
        <w:t>Further Restrictions</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34" w:lineRule="auto"/>
        <w:tabs>
          <w:tab w:leader="none" w:pos="2290" w:val="left"/>
        </w:tabs>
        <w:numPr>
          <w:ilvl w:val="0"/>
          <w:numId w:val="136"/>
        </w:numPr>
        <w:rPr>
          <w:rFonts w:ascii="Arial" w:cs="Arial" w:eastAsia="Arial" w:hAnsi="Arial"/>
          <w:sz w:val="22"/>
          <w:szCs w:val="22"/>
          <w:b w:val="1"/>
          <w:bCs w:val="1"/>
          <w:color w:val="auto"/>
        </w:rPr>
      </w:pPr>
      <w:r>
        <w:rPr>
          <w:rFonts w:ascii="Arial" w:cs="Arial" w:eastAsia="Arial" w:hAnsi="Arial"/>
          <w:sz w:val="22"/>
          <w:szCs w:val="22"/>
          <w:color w:val="auto"/>
        </w:rPr>
        <w:t>Units issued from time to time after the date of this Agreement, including Units issued under equity incentive plans of the Company or the Managing Member (or upon settlement of awards granted under such plans), may be subject to such additional or other terms and conditions, including with regard to vesting, forfeiture, minimum retained ownership and Transfer, as may be agreed between the Managing Member and the applicable Member and reflected in the books and records of the Company. Such requirements, provisions and restrictions need not be uniform and may be waived or released by the Managing Member in its sole discretion with respect to all or a portion of the Units owned by any one or more Members at any time and from time to time, and shall not constitute the breach of any duty hereunder or otherwise existing at law, in equity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right="20" w:firstLine="1304"/>
        <w:spacing w:after="0" w:line="241" w:lineRule="auto"/>
        <w:tabs>
          <w:tab w:leader="none" w:pos="208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Notwithstanding any contrary provision in this Agreement, in no event may any Transfer of a Unit (other than in accordance with the Exchange Agreement) be made by any Member or Assignee if the Managing Member determines that:</w:t>
      </w:r>
    </w:p>
    <w:p>
      <w:pPr>
        <w:spacing w:after="0" w:line="210" w:lineRule="exact"/>
        <w:rPr>
          <w:rFonts w:ascii="Arial" w:cs="Arial" w:eastAsia="Arial" w:hAnsi="Arial"/>
          <w:sz w:val="22"/>
          <w:szCs w:val="22"/>
          <w:b w:val="1"/>
          <w:bCs w:val="1"/>
          <w:color w:val="auto"/>
        </w:rPr>
      </w:pPr>
    </w:p>
    <w:p>
      <w:pPr>
        <w:ind w:left="2920" w:hanging="968"/>
        <w:spacing w:after="0"/>
        <w:tabs>
          <w:tab w:leader="none" w:pos="2920" w:val="left"/>
        </w:tabs>
        <w:numPr>
          <w:ilvl w:val="1"/>
          <w:numId w:val="137"/>
        </w:numPr>
        <w:rPr>
          <w:rFonts w:ascii="Arial" w:cs="Arial" w:eastAsia="Arial" w:hAnsi="Arial"/>
          <w:sz w:val="19"/>
          <w:szCs w:val="19"/>
          <w:b w:val="1"/>
          <w:bCs w:val="1"/>
          <w:color w:val="auto"/>
        </w:rPr>
      </w:pPr>
      <w:r>
        <w:rPr>
          <w:rFonts w:ascii="Arial" w:cs="Arial" w:eastAsia="Arial" w:hAnsi="Arial"/>
          <w:sz w:val="19"/>
          <w:szCs w:val="19"/>
          <w:color w:val="auto"/>
        </w:rPr>
        <w:t>such Transfer is made to any Person who lacks the legal right, power or capacity to own such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Unit;</w:t>
      </w:r>
    </w:p>
    <w:p>
      <w:pPr>
        <w:spacing w:after="0" w:line="215" w:lineRule="exact"/>
        <w:rPr>
          <w:rFonts w:ascii="Arial" w:cs="Arial" w:eastAsia="Arial" w:hAnsi="Arial"/>
          <w:sz w:val="19"/>
          <w:szCs w:val="19"/>
          <w:b w:val="1"/>
          <w:bCs w:val="1"/>
          <w:color w:val="auto"/>
        </w:rPr>
      </w:pPr>
    </w:p>
    <w:p>
      <w:pPr>
        <w:jc w:val="both"/>
        <w:ind w:firstLine="1952"/>
        <w:spacing w:after="0" w:line="287" w:lineRule="auto"/>
        <w:tabs>
          <w:tab w:leader="none" w:pos="2749" w:val="left"/>
        </w:tabs>
        <w:numPr>
          <w:ilvl w:val="1"/>
          <w:numId w:val="137"/>
        </w:numPr>
        <w:rPr>
          <w:rFonts w:ascii="Arial" w:cs="Arial" w:eastAsia="Arial" w:hAnsi="Arial"/>
          <w:sz w:val="19"/>
          <w:szCs w:val="19"/>
          <w:b w:val="1"/>
          <w:bCs w:val="1"/>
          <w:color w:val="auto"/>
        </w:rPr>
      </w:pPr>
      <w:r>
        <w:rPr>
          <w:rFonts w:ascii="Arial" w:cs="Arial" w:eastAsia="Arial" w:hAnsi="Arial"/>
          <w:sz w:val="19"/>
          <w:szCs w:val="19"/>
          <w:color w:val="auto"/>
        </w:rPr>
        <w:t>except pursuant to an Exchange Transaction, such Transfer would require the registration of such transferred Unit or of any Class of Unit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69" w:lineRule="exact"/>
        <w:rPr>
          <w:rFonts w:ascii="Arial" w:cs="Arial" w:eastAsia="Arial" w:hAnsi="Arial"/>
          <w:sz w:val="19"/>
          <w:szCs w:val="19"/>
          <w:b w:val="1"/>
          <w:bCs w:val="1"/>
          <w:color w:val="auto"/>
        </w:rPr>
      </w:pPr>
    </w:p>
    <w:p>
      <w:pPr>
        <w:jc w:val="both"/>
        <w:ind w:firstLine="1952"/>
        <w:spacing w:after="0" w:line="287" w:lineRule="auto"/>
        <w:tabs>
          <w:tab w:leader="none" w:pos="2825" w:val="left"/>
        </w:tabs>
        <w:numPr>
          <w:ilvl w:val="1"/>
          <w:numId w:val="137"/>
        </w:numPr>
        <w:rPr>
          <w:rFonts w:ascii="Arial" w:cs="Arial" w:eastAsia="Arial" w:hAnsi="Arial"/>
          <w:sz w:val="19"/>
          <w:szCs w:val="19"/>
          <w:b w:val="1"/>
          <w:bCs w:val="1"/>
          <w:color w:val="auto"/>
        </w:rPr>
      </w:pPr>
      <w:r>
        <w:rPr>
          <w:rFonts w:ascii="Arial" w:cs="Arial" w:eastAsia="Arial" w:hAnsi="Arial"/>
          <w:sz w:val="19"/>
          <w:szCs w:val="19"/>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169" w:lineRule="exact"/>
        <w:rPr>
          <w:rFonts w:ascii="Arial" w:cs="Arial" w:eastAsia="Arial" w:hAnsi="Arial"/>
          <w:sz w:val="19"/>
          <w:szCs w:val="19"/>
          <w:b w:val="1"/>
          <w:bCs w:val="1"/>
          <w:color w:val="auto"/>
        </w:rPr>
      </w:pPr>
    </w:p>
    <w:p>
      <w:pPr>
        <w:jc w:val="both"/>
        <w:ind w:firstLine="1952"/>
        <w:spacing w:after="0" w:line="236" w:lineRule="auto"/>
        <w:tabs>
          <w:tab w:leader="none" w:pos="2702" w:val="left"/>
        </w:tabs>
        <w:numPr>
          <w:ilvl w:val="1"/>
          <w:numId w:val="137"/>
        </w:numPr>
        <w:rPr>
          <w:rFonts w:ascii="Arial" w:cs="Arial" w:eastAsia="Arial" w:hAnsi="Arial"/>
          <w:sz w:val="22"/>
          <w:szCs w:val="22"/>
          <w:b w:val="1"/>
          <w:bCs w:val="1"/>
          <w:color w:val="auto"/>
        </w:rPr>
      </w:pPr>
      <w:r>
        <w:rPr>
          <w:rFonts w:ascii="Arial" w:cs="Arial" w:eastAsia="Arial" w:hAnsi="Arial"/>
          <w:sz w:val="22"/>
          <w:szCs w:val="22"/>
          <w:color w:val="auto"/>
        </w:rPr>
        <w:t xml:space="preserve">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legal and/or tax opinions shall be required for a Transfer by a Member holding at least 5% of the Class A Percentage Interest; or</w:t>
      </w:r>
    </w:p>
    <w:p>
      <w:pPr>
        <w:spacing w:after="0" w:line="214" w:lineRule="exact"/>
        <w:rPr>
          <w:rFonts w:ascii="Arial" w:cs="Arial" w:eastAsia="Arial" w:hAnsi="Arial"/>
          <w:sz w:val="22"/>
          <w:szCs w:val="22"/>
          <w:b w:val="1"/>
          <w:bCs w:val="1"/>
          <w:color w:val="auto"/>
        </w:rPr>
      </w:pPr>
    </w:p>
    <w:p>
      <w:pPr>
        <w:jc w:val="both"/>
        <w:ind w:firstLine="1952"/>
        <w:spacing w:after="0"/>
        <w:tabs>
          <w:tab w:leader="none" w:pos="2787" w:val="left"/>
        </w:tabs>
        <w:numPr>
          <w:ilvl w:val="1"/>
          <w:numId w:val="137"/>
        </w:numPr>
        <w:rPr>
          <w:rFonts w:ascii="Arial" w:cs="Arial" w:eastAsia="Arial" w:hAnsi="Arial"/>
          <w:sz w:val="22"/>
          <w:szCs w:val="22"/>
          <w:b w:val="1"/>
          <w:bCs w:val="1"/>
          <w:color w:val="auto"/>
        </w:rPr>
      </w:pPr>
      <w:r>
        <w:rPr>
          <w:rFonts w:ascii="Arial" w:cs="Arial" w:eastAsia="Arial" w:hAnsi="Arial"/>
          <w:sz w:val="22"/>
          <w:szCs w:val="22"/>
          <w:color w:val="auto"/>
        </w:rPr>
        <w:t>the Managing Member shall reasonably determine that such Transfer would pose a material risk that the Company would be treated as a “</w:t>
      </w:r>
      <w:r>
        <w:rPr>
          <w:rFonts w:ascii="Arial" w:cs="Arial" w:eastAsia="Arial" w:hAnsi="Arial"/>
          <w:sz w:val="22"/>
          <w:szCs w:val="22"/>
          <w:b w:val="1"/>
          <w:bCs w:val="1"/>
          <w:i w:val="1"/>
          <w:iCs w:val="1"/>
          <w:color w:val="auto"/>
        </w:rPr>
        <w:t>publicly traded partnership</w:t>
      </w:r>
      <w:r>
        <w:rPr>
          <w:rFonts w:ascii="Arial" w:cs="Arial" w:eastAsia="Arial" w:hAnsi="Arial"/>
          <w:sz w:val="22"/>
          <w:szCs w:val="22"/>
          <w:color w:val="auto"/>
        </w:rPr>
        <w:t>” within the meaning of Section 7704 of the Code and the regulations promulgated thereunder.</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determinations with respect to this Section 8.04 shall be made by the Managing Member in its sole discretion; provided, however, that all such determinations with respect to a Member holding at least 5% of the Class A Percentage Interest shall be made by the Managing Member exercising its reasonable discretion.</w:t>
      </w:r>
    </w:p>
    <w:p>
      <w:pPr>
        <w:spacing w:after="0" w:line="213" w:lineRule="exact"/>
        <w:rPr>
          <w:sz w:val="20"/>
          <w:szCs w:val="20"/>
          <w:color w:val="auto"/>
        </w:rPr>
      </w:pPr>
    </w:p>
    <w:p>
      <w:pPr>
        <w:jc w:val="both"/>
        <w:ind w:firstLine="1304"/>
        <w:spacing w:after="0" w:line="245" w:lineRule="auto"/>
        <w:tabs>
          <w:tab w:leader="none" w:pos="2320" w:val="left"/>
        </w:tabs>
        <w:numPr>
          <w:ilvl w:val="0"/>
          <w:numId w:val="138"/>
        </w:numPr>
        <w:rPr>
          <w:rFonts w:ascii="Arial" w:cs="Arial" w:eastAsia="Arial" w:hAnsi="Arial"/>
          <w:sz w:val="21"/>
          <w:szCs w:val="21"/>
          <w:b w:val="1"/>
          <w:bCs w:val="1"/>
          <w:color w:val="auto"/>
        </w:rPr>
      </w:pPr>
      <w:r>
        <w:rPr>
          <w:rFonts w:ascii="Arial" w:cs="Arial" w:eastAsia="Arial" w:hAnsi="Arial"/>
          <w:sz w:val="21"/>
          <w:szCs w:val="21"/>
          <w:color w:val="auto"/>
        </w:rPr>
        <w:t>In addition,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provided that, for such purpose, the Company and the Managing Member shall assume that each Original Member is treated as a single partner within the meaning of Regulations Section 1.7704-1(h) (determined taking into account the rules of Regulations Section 1.7704-1(h)(3)) unless otherwise required by applicable Law), the Managing Member may impose such restrictions on the Transfer of Units or other interests in the Company as the Managing Member may reasonably determine to be necessary or advisable so that the Company is not treated as a “</w:t>
      </w:r>
      <w:r>
        <w:rPr>
          <w:rFonts w:ascii="Arial" w:cs="Arial" w:eastAsia="Arial" w:hAnsi="Arial"/>
          <w:sz w:val="21"/>
          <w:szCs w:val="21"/>
          <w:b w:val="1"/>
          <w:bCs w:val="1"/>
          <w:i w:val="1"/>
          <w:iCs w:val="1"/>
          <w:color w:val="auto"/>
        </w:rPr>
        <w:t>publicly traded partnership</w:t>
      </w:r>
      <w:r>
        <w:rPr>
          <w:rFonts w:ascii="Arial" w:cs="Arial" w:eastAsia="Arial" w:hAnsi="Arial"/>
          <w:sz w:val="21"/>
          <w:szCs w:val="21"/>
          <w:color w:val="auto"/>
        </w:rPr>
        <w:t>” within the meaning of Section 7704 of the Code and the regulations promulgated thereunder.</w:t>
      </w:r>
    </w:p>
    <w:p>
      <w:pPr>
        <w:spacing w:after="0" w:line="211" w:lineRule="exact"/>
        <w:rPr>
          <w:rFonts w:ascii="Arial" w:cs="Arial" w:eastAsia="Arial" w:hAnsi="Arial"/>
          <w:sz w:val="21"/>
          <w:szCs w:val="21"/>
          <w:b w:val="1"/>
          <w:bCs w:val="1"/>
          <w:color w:val="auto"/>
        </w:rPr>
      </w:pPr>
    </w:p>
    <w:p>
      <w:pPr>
        <w:jc w:val="both"/>
        <w:ind w:firstLine="1304"/>
        <w:spacing w:after="0"/>
        <w:tabs>
          <w:tab w:leader="none" w:pos="2117"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Transfers of Units (other than pursuant to an Exchange Transaction) that are otherwise permitted by this Article VIII may only be made on the first day of a fiscal quarter of the Company, unless the Managing Member otherwise agrees.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firstLine="1304"/>
        <w:spacing w:after="0" w:line="241" w:lineRule="auto"/>
        <w:tabs>
          <w:tab w:leader="none" w:pos="2136"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Units that are Unvested Units, LTIP Units, or Class P Units may not be Transferred (other than pursuant to an Exchange Transaction) without the Managing Member’s prior written consent, which may be given or withheld in its sole discretion.</w:t>
      </w:r>
    </w:p>
    <w:p>
      <w:pPr>
        <w:spacing w:after="0" w:line="210" w:lineRule="exact"/>
        <w:rPr>
          <w:rFonts w:ascii="Arial" w:cs="Arial" w:eastAsia="Arial" w:hAnsi="Arial"/>
          <w:sz w:val="22"/>
          <w:szCs w:val="22"/>
          <w:b w:val="1"/>
          <w:bCs w:val="1"/>
          <w:color w:val="auto"/>
        </w:rPr>
      </w:pPr>
    </w:p>
    <w:p>
      <w:pPr>
        <w:ind w:firstLine="1304"/>
        <w:spacing w:after="0" w:line="250" w:lineRule="auto"/>
        <w:tabs>
          <w:tab w:leader="none" w:pos="2120"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 xml:space="preserve">To the fullest extent permitted by law, any Transfer in violation of this Article VIII shall be deemed null and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of no effect.</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8.05 Rights of Assignees</w:t>
      </w:r>
      <w:r>
        <w:rPr>
          <w:rFonts w:ascii="Arial" w:cs="Arial" w:eastAsia="Arial" w:hAnsi="Arial"/>
          <w:sz w:val="21"/>
          <w:szCs w:val="21"/>
          <w:color w:val="auto"/>
        </w:rPr>
        <w:t>. Subject to Section 8.04(b), the Transferee of any permitted Transfer pursuant to this Article</w:t>
      </w:r>
      <w:r>
        <w:rPr>
          <w:rFonts w:ascii="Arial" w:cs="Arial" w:eastAsia="Arial" w:hAnsi="Arial"/>
          <w:sz w:val="21"/>
          <w:szCs w:val="21"/>
          <w:b w:val="1"/>
          <w:bCs w:val="1"/>
          <w:color w:val="auto"/>
        </w:rPr>
        <w:t xml:space="preserve"> </w:t>
      </w:r>
      <w:r>
        <w:rPr>
          <w:rFonts w:ascii="Arial" w:cs="Arial" w:eastAsia="Arial" w:hAnsi="Arial"/>
          <w:sz w:val="21"/>
          <w:szCs w:val="21"/>
          <w:color w:val="auto"/>
        </w:rPr>
        <w:t>VIII will be an assignee only (“</w:t>
      </w:r>
      <w:r>
        <w:rPr>
          <w:rFonts w:ascii="Arial" w:cs="Arial" w:eastAsia="Arial" w:hAnsi="Arial"/>
          <w:sz w:val="21"/>
          <w:szCs w:val="21"/>
          <w:b w:val="1"/>
          <w:bCs w:val="1"/>
          <w:i w:val="1"/>
          <w:iCs w:val="1"/>
          <w:color w:val="auto"/>
        </w:rPr>
        <w:t>Assignee</w:t>
      </w:r>
      <w:r>
        <w:rPr>
          <w:rFonts w:ascii="Arial" w:cs="Arial" w:eastAsia="Arial" w:hAnsi="Arial"/>
          <w:sz w:val="21"/>
          <w:szCs w:val="21"/>
          <w:color w:val="auto"/>
        </w:rPr>
        <w:t>”), and only will receive, to the extent transferred, the distributions and allocations of income, gain, loss, deduction, credit or similar item to which the Member which transferred its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Units to one or more Assignees until such time as the Assignee(s) is admitted to the Company as a Member pursuant to Section 8.07.</w:t>
      </w:r>
    </w:p>
    <w:p>
      <w:pPr>
        <w:spacing w:after="0" w:line="20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8.06</w:t>
      </w:r>
      <w:r>
        <w:rPr>
          <w:sz w:val="20"/>
          <w:szCs w:val="20"/>
          <w:color w:val="auto"/>
        </w:rPr>
        <w:tab/>
      </w:r>
      <w:r>
        <w:rPr>
          <w:rFonts w:ascii="Arial" w:cs="Arial" w:eastAsia="Arial" w:hAnsi="Arial"/>
          <w:sz w:val="18"/>
          <w:szCs w:val="18"/>
          <w:b w:val="1"/>
          <w:bCs w:val="1"/>
          <w:color w:val="auto"/>
        </w:rPr>
        <w:t>Admissions, Resignations and Removals</w:t>
      </w:r>
    </w:p>
    <w:p>
      <w:pPr>
        <w:spacing w:after="0" w:line="239" w:lineRule="exact"/>
        <w:rPr>
          <w:sz w:val="20"/>
          <w:szCs w:val="20"/>
          <w:color w:val="auto"/>
        </w:rPr>
      </w:pPr>
    </w:p>
    <w:p>
      <w:pPr>
        <w:jc w:val="both"/>
        <w:ind w:firstLine="1304"/>
        <w:spacing w:after="0" w:line="282" w:lineRule="auto"/>
        <w:tabs>
          <w:tab w:leader="none" w:pos="2105"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No Person may be admitted to the Company as an additional Managing Member or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w:t>
      </w:r>
    </w:p>
    <w:p>
      <w:pPr>
        <w:spacing w:after="0" w:line="174" w:lineRule="exact"/>
        <w:rPr>
          <w:rFonts w:ascii="Arial" w:cs="Arial" w:eastAsia="Arial" w:hAnsi="Arial"/>
          <w:sz w:val="19"/>
          <w:szCs w:val="19"/>
          <w:b w:val="1"/>
          <w:bCs w:val="1"/>
          <w:color w:val="auto"/>
        </w:rPr>
      </w:pPr>
    </w:p>
    <w:p>
      <w:pPr>
        <w:jc w:val="both"/>
        <w:ind w:firstLine="1304"/>
        <w:spacing w:after="0" w:line="238" w:lineRule="auto"/>
        <w:tabs>
          <w:tab w:leader="none" w:pos="2289"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No Member will be removed or entitled to resign from being a Member of the Company except in accordance with Section 8.08 hereof. Any additional Managing Member or substitute Managing Member admitted as a Managing Member of the Company pursuant to this Section 8.06 is hereby authorized to, and shall, continue the Company without dissolution.</w:t>
      </w:r>
    </w:p>
    <w:p>
      <w:pPr>
        <w:spacing w:after="0" w:line="211" w:lineRule="exact"/>
        <w:rPr>
          <w:rFonts w:ascii="Arial" w:cs="Arial" w:eastAsia="Arial" w:hAnsi="Arial"/>
          <w:sz w:val="22"/>
          <w:szCs w:val="22"/>
          <w:b w:val="1"/>
          <w:bCs w:val="1"/>
          <w:color w:val="auto"/>
        </w:rPr>
      </w:pPr>
    </w:p>
    <w:p>
      <w:pPr>
        <w:jc w:val="both"/>
        <w:ind w:firstLine="1304"/>
        <w:spacing w:after="0"/>
        <w:tabs>
          <w:tab w:leader="none" w:pos="2077"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Except as otherwise provided in Article IX or the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8.07 Admission of Assignees as Substitute Members</w:t>
      </w:r>
      <w:r>
        <w:rPr>
          <w:rFonts w:ascii="Arial" w:cs="Arial" w:eastAsia="Arial" w:hAnsi="Arial"/>
          <w:sz w:val="22"/>
          <w:szCs w:val="22"/>
          <w:color w:val="auto"/>
        </w:rPr>
        <w:t>. An Assignee will become a substitute Member only if and</w:t>
      </w:r>
      <w:r>
        <w:rPr>
          <w:rFonts w:ascii="Arial" w:cs="Arial" w:eastAsia="Arial" w:hAnsi="Arial"/>
          <w:sz w:val="22"/>
          <w:szCs w:val="22"/>
          <w:b w:val="1"/>
          <w:bCs w:val="1"/>
          <w:color w:val="auto"/>
        </w:rPr>
        <w:t xml:space="preserve"> </w:t>
      </w:r>
      <w:r>
        <w:rPr>
          <w:rFonts w:ascii="Arial" w:cs="Arial" w:eastAsia="Arial" w:hAnsi="Arial"/>
          <w:sz w:val="22"/>
          <w:szCs w:val="22"/>
          <w:color w:val="auto"/>
        </w:rPr>
        <w:t>when each of the following conditions is satisfied:</w:t>
      </w:r>
    </w:p>
    <w:p>
      <w:pPr>
        <w:spacing w:after="0" w:line="195" w:lineRule="exact"/>
        <w:rPr>
          <w:sz w:val="20"/>
          <w:szCs w:val="20"/>
          <w:color w:val="auto"/>
        </w:rPr>
      </w:pPr>
    </w:p>
    <w:p>
      <w:pPr>
        <w:jc w:val="both"/>
        <w:ind w:firstLine="1304"/>
        <w:spacing w:after="0"/>
        <w:tabs>
          <w:tab w:leader="none" w:pos="2163"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213" w:lineRule="exact"/>
        <w:rPr>
          <w:rFonts w:ascii="Arial" w:cs="Arial" w:eastAsia="Arial" w:hAnsi="Arial"/>
          <w:sz w:val="22"/>
          <w:szCs w:val="22"/>
          <w:b w:val="1"/>
          <w:bCs w:val="1"/>
          <w:color w:val="auto"/>
        </w:rPr>
      </w:pPr>
    </w:p>
    <w:p>
      <w:pPr>
        <w:jc w:val="both"/>
        <w:ind w:firstLine="1304"/>
        <w:spacing w:after="0" w:line="297" w:lineRule="auto"/>
        <w:tabs>
          <w:tab w:leader="none" w:pos="2175"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if required by the Managing Member, the Managing Member receives written instruments (including, without limitation, copies of any instruments of Transfer and such Assignee’s consent to be bound by this Agreement as a substitute Member) that are in a form satisfactory to the Managing Member (as determined in its sole discretion);</w:t>
      </w:r>
    </w:p>
    <w:p>
      <w:pPr>
        <w:spacing w:after="0" w:line="160" w:lineRule="exact"/>
        <w:rPr>
          <w:rFonts w:ascii="Arial" w:cs="Arial" w:eastAsia="Arial" w:hAnsi="Arial"/>
          <w:sz w:val="19"/>
          <w:szCs w:val="19"/>
          <w:b w:val="1"/>
          <w:bCs w:val="1"/>
          <w:color w:val="auto"/>
        </w:rPr>
      </w:pPr>
    </w:p>
    <w:p>
      <w:pPr>
        <w:ind w:firstLine="1304"/>
        <w:spacing w:after="0" w:line="328" w:lineRule="auto"/>
        <w:tabs>
          <w:tab w:leader="none" w:pos="2132"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both"/>
        <w:ind w:firstLine="1304"/>
        <w:spacing w:after="0" w:line="241" w:lineRule="auto"/>
        <w:tabs>
          <w:tab w:leader="none" w:pos="2291"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if required by the Managing Member, the parties to the Transfer, or any one of them, pays all of the Company’s reasonable expenses connected with such Transfer (including, but not limited to, the reasonable legal and accounting fees of the Company).</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8.08 Resignation and Removal of Members</w:t>
      </w:r>
      <w:r>
        <w:rPr>
          <w:rFonts w:ascii="Arial" w:cs="Arial" w:eastAsia="Arial" w:hAnsi="Arial"/>
          <w:sz w:val="21"/>
          <w:szCs w:val="21"/>
          <w:color w:val="auto"/>
        </w:rPr>
        <w:t>. Subject to Section 8.05, if a Member (other than the Managing</w:t>
      </w:r>
      <w:r>
        <w:rPr>
          <w:rFonts w:ascii="Arial" w:cs="Arial" w:eastAsia="Arial" w:hAnsi="Arial"/>
          <w:sz w:val="21"/>
          <w:szCs w:val="21"/>
          <w:b w:val="1"/>
          <w:bCs w:val="1"/>
          <w:color w:val="auto"/>
        </w:rPr>
        <w:t xml:space="preserve"> </w:t>
      </w:r>
      <w:r>
        <w:rPr>
          <w:rFonts w:ascii="Arial" w:cs="Arial" w:eastAsia="Arial" w:hAnsi="Arial"/>
          <w:sz w:val="21"/>
          <w:szCs w:val="21"/>
          <w:color w:val="auto"/>
        </w:rPr>
        <w:t>Member) ceases to hold any Units then such Member shall cease to be a Member and to have the power to exercise any rights or powers of a member of the Company, and shall be deemed to have resigned from the Company.</w:t>
      </w:r>
    </w:p>
    <w:p>
      <w:pPr>
        <w:spacing w:after="0" w:line="187" w:lineRule="exact"/>
        <w:rPr>
          <w:sz w:val="20"/>
          <w:szCs w:val="20"/>
          <w:color w:val="auto"/>
        </w:rPr>
      </w:pPr>
    </w:p>
    <w:p>
      <w:pPr>
        <w:ind w:right="240" w:firstLine="648"/>
        <w:spacing w:after="0" w:line="283" w:lineRule="auto"/>
        <w:rPr>
          <w:sz w:val="20"/>
          <w:szCs w:val="20"/>
          <w:color w:val="auto"/>
        </w:rPr>
      </w:pPr>
      <w:r>
        <w:rPr>
          <w:rFonts w:ascii="Arial" w:cs="Arial" w:eastAsia="Arial" w:hAnsi="Arial"/>
          <w:sz w:val="19"/>
          <w:szCs w:val="19"/>
          <w:b w:val="1"/>
          <w:bCs w:val="1"/>
          <w:color w:val="auto"/>
        </w:rPr>
        <w:t>8.09 Withholding</w:t>
      </w:r>
      <w:r>
        <w:rPr>
          <w:rFonts w:ascii="Arial" w:cs="Arial" w:eastAsia="Arial" w:hAnsi="Arial"/>
          <w:sz w:val="19"/>
          <w:szCs w:val="19"/>
          <w:color w:val="auto"/>
        </w:rPr>
        <w:t>. In the event any transfer is permitted pursuant to this Article VIII, the transferring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b w:val="1"/>
          <w:bCs w:val="1"/>
          <w:color w:val="auto"/>
        </w:rPr>
        <w:t xml:space="preserve">8.10 Allocations in Respect of Transferred Units. </w:t>
      </w:r>
      <w:r>
        <w:rPr>
          <w:rFonts w:ascii="Arial" w:cs="Arial" w:eastAsia="Arial" w:hAnsi="Arial"/>
          <w:sz w:val="19"/>
          <w:szCs w:val="19"/>
          <w:color w:val="auto"/>
        </w:rPr>
        <w:t>With regard to the Managing Member’s acquisition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Surviving Company Units (as defined in the Merger Agreement),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Managing Member shall consult in good faith with the Original Member Representative and the tax advisors to the Company and allocate the Profits or Losses to the Members of the Company so as to take into account the varying interests of the Members in the Company using an “interim closing of the books” method in a manner that complies with the provisions of Section 706 of the Code and the Treasury Regulations thereunder; provided, however, that such allocations may instead be made in another manner that complies with the provisions of Section 706 of the Code and the Treasury Regulations thereunder and that is selected by the Managing Member (with the prior written consent of the Original Member Representative, not to be unreasonably withheld, conditioned or delayed); provided that, the Original Member Representative shall not have the consent right described in this Section 8.10 in the event that the Original Members collectively own less than 10% of the Units.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LIQUIDATION AND TERMINATION</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9.01 No Dissolution</w:t>
      </w:r>
      <w:r>
        <w:rPr>
          <w:rFonts w:ascii="Arial" w:cs="Arial" w:eastAsia="Arial" w:hAnsi="Arial"/>
          <w:sz w:val="22"/>
          <w:szCs w:val="22"/>
          <w:color w:val="auto"/>
        </w:rPr>
        <w:t>. Except as required by the Act, the Company shall not be dissolved by the admission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Members or resignation of Members in accordance with the terms of this Agreement. The Company may be dissolved, liquidated, wound up and terminated only pursuant to the provisions of this Article IX, and the Members hereby irrevocably waive any and all other rights they may have to cause a dissolution of the Company or a sale or partition of any or all of the Company assets.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9.02 Events Causing Dissolution</w:t>
      </w:r>
      <w:r>
        <w:rPr>
          <w:rFonts w:ascii="Arial" w:cs="Arial" w:eastAsia="Arial" w:hAnsi="Arial"/>
          <w:sz w:val="22"/>
          <w:szCs w:val="22"/>
          <w:color w:val="auto"/>
        </w:rPr>
        <w:t>. The Company shall be dissolved and its affairs shall be wound up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occurrence of any of the following events:</w:t>
      </w:r>
    </w:p>
    <w:p>
      <w:pPr>
        <w:spacing w:after="0" w:line="195" w:lineRule="exact"/>
        <w:rPr>
          <w:sz w:val="20"/>
          <w:szCs w:val="20"/>
          <w:color w:val="auto"/>
        </w:rPr>
      </w:pPr>
    </w:p>
    <w:p>
      <w:pPr>
        <w:jc w:val="both"/>
        <w:ind w:right="20" w:firstLine="1304"/>
        <w:spacing w:after="0"/>
        <w:tabs>
          <w:tab w:leader="none" w:pos="2213" w:val="left"/>
        </w:tabs>
        <w:numPr>
          <w:ilvl w:val="0"/>
          <w:numId w:val="143"/>
        </w:numPr>
        <w:rPr>
          <w:rFonts w:ascii="Arial" w:cs="Arial" w:eastAsia="Arial" w:hAnsi="Arial"/>
          <w:sz w:val="22"/>
          <w:szCs w:val="22"/>
          <w:b w:val="1"/>
          <w:bCs w:val="1"/>
          <w:color w:val="auto"/>
        </w:rPr>
      </w:pPr>
      <w:r>
        <w:rPr>
          <w:rFonts w:ascii="Arial" w:cs="Arial" w:eastAsia="Arial" w:hAnsi="Arial"/>
          <w:sz w:val="22"/>
          <w:szCs w:val="22"/>
          <w:color w:val="auto"/>
        </w:rPr>
        <w:t>the entry of a decree of judicial dissolution of the Company under Section 18-802 of the Act upon the finding by a court of competent jurisdiction that it is not reasonably practicable to carry on the business of the Company in conformity with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ind w:left="2060" w:hanging="756"/>
        <w:spacing w:after="0"/>
        <w:tabs>
          <w:tab w:leader="none" w:pos="2060" w:val="left"/>
        </w:tabs>
        <w:numPr>
          <w:ilvl w:val="0"/>
          <w:numId w:val="144"/>
        </w:numPr>
        <w:rPr>
          <w:rFonts w:ascii="Arial" w:cs="Arial" w:eastAsia="Arial" w:hAnsi="Arial"/>
          <w:sz w:val="19"/>
          <w:szCs w:val="19"/>
          <w:b w:val="1"/>
          <w:bCs w:val="1"/>
          <w:color w:val="auto"/>
        </w:rPr>
      </w:pPr>
      <w:r>
        <w:rPr>
          <w:rFonts w:ascii="Arial" w:cs="Arial" w:eastAsia="Arial" w:hAnsi="Arial"/>
          <w:sz w:val="19"/>
          <w:szCs w:val="19"/>
          <w:color w:val="auto"/>
        </w:rPr>
        <w:t>any event which makes it unlawful for the business of the Company to be carried on by the Members;</w:t>
      </w:r>
    </w:p>
    <w:p>
      <w:pPr>
        <w:spacing w:after="0" w:line="268" w:lineRule="exact"/>
        <w:rPr>
          <w:rFonts w:ascii="Arial" w:cs="Arial" w:eastAsia="Arial" w:hAnsi="Arial"/>
          <w:sz w:val="19"/>
          <w:szCs w:val="19"/>
          <w:b w:val="1"/>
          <w:bCs w:val="1"/>
          <w:color w:val="auto"/>
        </w:rPr>
      </w:pPr>
    </w:p>
    <w:p>
      <w:pPr>
        <w:ind w:left="2080" w:hanging="776"/>
        <w:spacing w:after="0"/>
        <w:tabs>
          <w:tab w:leader="none" w:pos="208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the written consent of all Members;</w:t>
      </w:r>
    </w:p>
    <w:p>
      <w:pPr>
        <w:spacing w:after="0" w:line="233" w:lineRule="exact"/>
        <w:rPr>
          <w:rFonts w:ascii="Arial" w:cs="Arial" w:eastAsia="Arial" w:hAnsi="Arial"/>
          <w:sz w:val="22"/>
          <w:szCs w:val="22"/>
          <w:b w:val="1"/>
          <w:bCs w:val="1"/>
          <w:color w:val="auto"/>
        </w:rPr>
      </w:pPr>
    </w:p>
    <w:p>
      <w:pPr>
        <w:ind w:left="2100" w:hanging="796"/>
        <w:spacing w:after="0"/>
        <w:tabs>
          <w:tab w:leader="none" w:pos="2100" w:val="left"/>
        </w:tabs>
        <w:numPr>
          <w:ilvl w:val="0"/>
          <w:numId w:val="144"/>
        </w:numPr>
        <w:rPr>
          <w:rFonts w:ascii="Arial" w:cs="Arial" w:eastAsia="Arial" w:hAnsi="Arial"/>
          <w:sz w:val="21"/>
          <w:szCs w:val="21"/>
          <w:b w:val="1"/>
          <w:bCs w:val="1"/>
          <w:color w:val="auto"/>
        </w:rPr>
      </w:pPr>
      <w:r>
        <w:rPr>
          <w:rFonts w:ascii="Arial" w:cs="Arial" w:eastAsia="Arial" w:hAnsi="Arial"/>
          <w:sz w:val="21"/>
          <w:szCs w:val="21"/>
          <w:color w:val="auto"/>
        </w:rPr>
        <w:t>at any time there are no Members, unless the Company is continued in accordance with the Act;</w:t>
      </w:r>
    </w:p>
    <w:p>
      <w:pPr>
        <w:spacing w:after="0" w:line="244" w:lineRule="exact"/>
        <w:rPr>
          <w:rFonts w:ascii="Arial" w:cs="Arial" w:eastAsia="Arial" w:hAnsi="Arial"/>
          <w:sz w:val="21"/>
          <w:szCs w:val="21"/>
          <w:b w:val="1"/>
          <w:bCs w:val="1"/>
          <w:color w:val="auto"/>
        </w:rPr>
      </w:pPr>
    </w:p>
    <w:p>
      <w:pPr>
        <w:jc w:val="both"/>
        <w:ind w:firstLine="1304"/>
        <w:spacing w:after="0" w:line="274" w:lineRule="auto"/>
        <w:tabs>
          <w:tab w:leader="none" w:pos="2027" w:val="left"/>
        </w:tabs>
        <w:numPr>
          <w:ilvl w:val="0"/>
          <w:numId w:val="144"/>
        </w:numPr>
        <w:rPr>
          <w:rFonts w:ascii="Arial" w:cs="Arial" w:eastAsia="Arial" w:hAnsi="Arial"/>
          <w:sz w:val="19"/>
          <w:szCs w:val="19"/>
          <w:b w:val="1"/>
          <w:bCs w:val="1"/>
          <w:color w:val="auto"/>
        </w:rPr>
      </w:pPr>
      <w:r>
        <w:rPr>
          <w:rFonts w:ascii="Arial" w:cs="Arial" w:eastAsia="Arial" w:hAnsi="Arial"/>
          <w:sz w:val="19"/>
          <w:szCs w:val="19"/>
          <w:color w:val="auto"/>
        </w:rPr>
        <w:t xml:space="preserve">the Incapacity, withdrawal or resignation of the Managing Member or the occurrence of a Disabling Event with respect to the Managing Member;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will not be dissolved or required to be wound up in connection with any of the events specified in this Section 9.02(e) if: (i) at the time of the occurrence of such event there is at least one other Managing Member of the Company who is hereby authorized to, and elects to, carry on the business of the Company; or (ii) all remaining Members consent to or ratify the continuation of the business of the Company and the appointment of another Managing Member of the Company, effective as of the event that caused the Managing Member to cease to be a Managing Member of the Company, within 120 days following the occurrence of any such event, which consent shall be deemed (and if requested each Member shall provide a written consent or ratification) to have been given for all Members if the holders of more than 50% of the Vested Units then outstanding agree in writing to so continue the business of the Company; or</w:t>
      </w:r>
    </w:p>
    <w:p>
      <w:pPr>
        <w:spacing w:after="0" w:line="185" w:lineRule="exact"/>
        <w:rPr>
          <w:rFonts w:ascii="Arial" w:cs="Arial" w:eastAsia="Arial" w:hAnsi="Arial"/>
          <w:sz w:val="19"/>
          <w:szCs w:val="19"/>
          <w:b w:val="1"/>
          <w:bCs w:val="1"/>
          <w:color w:val="auto"/>
        </w:rPr>
      </w:pPr>
    </w:p>
    <w:p>
      <w:pPr>
        <w:jc w:val="both"/>
        <w:ind w:firstLine="1304"/>
        <w:spacing w:after="0" w:line="246" w:lineRule="auto"/>
        <w:tabs>
          <w:tab w:leader="none" w:pos="2180" w:val="left"/>
        </w:tabs>
        <w:numPr>
          <w:ilvl w:val="0"/>
          <w:numId w:val="144"/>
        </w:numPr>
        <w:rPr>
          <w:rFonts w:ascii="Arial" w:cs="Arial" w:eastAsia="Arial" w:hAnsi="Arial"/>
          <w:sz w:val="21"/>
          <w:szCs w:val="21"/>
          <w:b w:val="1"/>
          <w:bCs w:val="1"/>
          <w:color w:val="auto"/>
        </w:rPr>
      </w:pPr>
      <w:r>
        <w:rPr>
          <w:rFonts w:ascii="Arial" w:cs="Arial" w:eastAsia="Arial" w:hAnsi="Arial"/>
          <w:sz w:val="21"/>
          <w:szCs w:val="21"/>
          <w:color w:val="auto"/>
        </w:rPr>
        <w:t xml:space="preserve">the determination of the Managing Member in its reasonable discretion;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of a dissolution pursuant to this clause (f), the relative economic rights of each Class of Units immediately prior to such dissolution shall be preserved to the greatest extent practicable with respect to distributions made to Members pursuant to Section 9.03 below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9.03 Distribution upon Dissolution</w:t>
      </w:r>
      <w:r>
        <w:rPr>
          <w:rFonts w:ascii="Arial" w:cs="Arial" w:eastAsia="Arial" w:hAnsi="Arial"/>
          <w:sz w:val="22"/>
          <w:szCs w:val="22"/>
          <w:color w:val="auto"/>
        </w:rPr>
        <w:t>. Upon dissolution, the Company shall not be terminated and shall continue until</w:t>
      </w:r>
      <w:r>
        <w:rPr>
          <w:rFonts w:ascii="Arial" w:cs="Arial" w:eastAsia="Arial" w:hAnsi="Arial"/>
          <w:sz w:val="22"/>
          <w:szCs w:val="22"/>
          <w:b w:val="1"/>
          <w:bCs w:val="1"/>
          <w:color w:val="auto"/>
        </w:rPr>
        <w:t xml:space="preserve"> </w:t>
      </w:r>
      <w:r>
        <w:rPr>
          <w:rFonts w:ascii="Arial" w:cs="Arial" w:eastAsia="Arial" w:hAnsi="Arial"/>
          <w:sz w:val="22"/>
          <w:szCs w:val="22"/>
          <w:color w:val="auto"/>
        </w:rPr>
        <w:t>the winding up of the affairs of the Company is completed. Upon the winding up of the Company, the Managing Member, or any other Person designated by the Managing Member (the “</w:t>
      </w:r>
      <w:r>
        <w:rPr>
          <w:rFonts w:ascii="Arial" w:cs="Arial" w:eastAsia="Arial" w:hAnsi="Arial"/>
          <w:sz w:val="22"/>
          <w:szCs w:val="22"/>
          <w:b w:val="1"/>
          <w:bCs w:val="1"/>
          <w:i w:val="1"/>
          <w:iCs w:val="1"/>
          <w:color w:val="auto"/>
        </w:rPr>
        <w:t>Liquidation Agent</w:t>
      </w:r>
      <w:r>
        <w:rPr>
          <w:rFonts w:ascii="Arial" w:cs="Arial" w:eastAsia="Arial" w:hAnsi="Arial"/>
          <w:sz w:val="22"/>
          <w:szCs w:val="22"/>
          <w:color w:val="auto"/>
        </w:rPr>
        <w:t>”), shall take full account of the assets and liabilities of the Company and shall, unless the Managing Member determines otherwise, liquidate the assets of the Company as promptly as is consistent with obtaining the fair value thereof. The proceeds of any liquidation shall be applied and distributed in the following order:</w:t>
      </w:r>
    </w:p>
    <w:p>
      <w:pPr>
        <w:spacing w:after="0" w:line="215" w:lineRule="exact"/>
        <w:rPr>
          <w:sz w:val="20"/>
          <w:szCs w:val="20"/>
          <w:color w:val="auto"/>
        </w:rPr>
      </w:pPr>
    </w:p>
    <w:p>
      <w:pPr>
        <w:jc w:val="both"/>
        <w:ind w:firstLine="1304"/>
        <w:spacing w:after="0" w:line="277" w:lineRule="auto"/>
        <w:tabs>
          <w:tab w:leader="none" w:pos="2104" w:val="left"/>
        </w:tabs>
        <w:numPr>
          <w:ilvl w:val="0"/>
          <w:numId w:val="145"/>
        </w:numPr>
        <w:rPr>
          <w:rFonts w:ascii="Arial" w:cs="Arial" w:eastAsia="Arial" w:hAnsi="Arial"/>
          <w:sz w:val="19"/>
          <w:szCs w:val="19"/>
          <w:b w:val="1"/>
          <w:bCs w:val="1"/>
          <w:color w:val="auto"/>
        </w:rPr>
      </w:pPr>
      <w:r>
        <w:rPr>
          <w:rFonts w:ascii="Arial" w:cs="Arial" w:eastAsia="Arial" w:hAnsi="Arial"/>
          <w:sz w:val="19"/>
          <w:szCs w:val="19"/>
          <w:color w:val="auto"/>
        </w:rPr>
        <w:t>First, to the satisfaction of debts and liabilities of the Company (including satisfaction of all indebtedness to Members and/or their Affiliates to the extent otherwise permitted by law) including the expenses of liquidation, and including the establishment of any reserve which the Liquidation Agent shall deem reasonably necessary for any contingent, conditional or unmatured contractual liabilities or obligations of the Company (“</w:t>
      </w:r>
      <w:r>
        <w:rPr>
          <w:rFonts w:ascii="Arial" w:cs="Arial" w:eastAsia="Arial" w:hAnsi="Arial"/>
          <w:sz w:val="19"/>
          <w:szCs w:val="19"/>
          <w:b w:val="1"/>
          <w:bCs w:val="1"/>
          <w:i w:val="1"/>
          <w:iCs w:val="1"/>
          <w:color w:val="auto"/>
        </w:rPr>
        <w:t>Contingencies</w:t>
      </w:r>
      <w:r>
        <w:rPr>
          <w:rFonts w:ascii="Arial" w:cs="Arial" w:eastAsia="Arial" w:hAnsi="Arial"/>
          <w:sz w:val="19"/>
          <w:szCs w:val="19"/>
          <w:color w:val="auto"/>
        </w:rPr>
        <w:t>”). Any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Section 9.03; and</w:t>
      </w:r>
    </w:p>
    <w:p>
      <w:pPr>
        <w:spacing w:after="0" w:line="178" w:lineRule="exact"/>
        <w:rPr>
          <w:rFonts w:ascii="Arial" w:cs="Arial" w:eastAsia="Arial" w:hAnsi="Arial"/>
          <w:sz w:val="19"/>
          <w:szCs w:val="19"/>
          <w:b w:val="1"/>
          <w:bCs w:val="1"/>
          <w:color w:val="auto"/>
        </w:rPr>
      </w:pPr>
    </w:p>
    <w:p>
      <w:pPr>
        <w:ind w:left="2100" w:hanging="796"/>
        <w:spacing w:after="0"/>
        <w:tabs>
          <w:tab w:leader="none" w:pos="2100" w:val="left"/>
        </w:tabs>
        <w:numPr>
          <w:ilvl w:val="0"/>
          <w:numId w:val="145"/>
        </w:numPr>
        <w:rPr>
          <w:rFonts w:ascii="Arial" w:cs="Arial" w:eastAsia="Arial" w:hAnsi="Arial"/>
          <w:sz w:val="22"/>
          <w:szCs w:val="22"/>
          <w:b w:val="1"/>
          <w:bCs w:val="1"/>
          <w:color w:val="auto"/>
        </w:rPr>
      </w:pPr>
      <w:r>
        <w:rPr>
          <w:rFonts w:ascii="Arial" w:cs="Arial" w:eastAsia="Arial" w:hAnsi="Arial"/>
          <w:sz w:val="22"/>
          <w:szCs w:val="22"/>
          <w:color w:val="auto"/>
        </w:rPr>
        <w:t>The balance, if any, to the Members in accordance with Section 4.02.</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9.04 Time for Liquidation</w:t>
      </w:r>
      <w:r>
        <w:rPr>
          <w:rFonts w:ascii="Arial" w:cs="Arial" w:eastAsia="Arial" w:hAnsi="Arial"/>
          <w:sz w:val="22"/>
          <w:szCs w:val="22"/>
          <w:color w:val="auto"/>
        </w:rPr>
        <w:t>. A reasonable amount of time shall be allowed for the orderly liquidation of the assets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the discharge of liabilities to creditors so as to enable the Liquidation Agent to minimize the losses attendant upon such liquidation.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ind w:firstLine="648"/>
        <w:spacing w:after="0" w:line="261" w:lineRule="auto"/>
        <w:rPr>
          <w:sz w:val="20"/>
          <w:szCs w:val="20"/>
          <w:color w:val="auto"/>
        </w:rPr>
      </w:pPr>
      <w:r>
        <w:rPr>
          <w:rFonts w:ascii="Arial" w:cs="Arial" w:eastAsia="Arial" w:hAnsi="Arial"/>
          <w:sz w:val="21"/>
          <w:szCs w:val="21"/>
          <w:b w:val="1"/>
          <w:bCs w:val="1"/>
          <w:color w:val="auto"/>
        </w:rPr>
        <w:t>9.05 Termination</w:t>
      </w:r>
      <w:r>
        <w:rPr>
          <w:rFonts w:ascii="Arial" w:cs="Arial" w:eastAsia="Arial" w:hAnsi="Arial"/>
          <w:sz w:val="21"/>
          <w:szCs w:val="21"/>
          <w:color w:val="auto"/>
        </w:rPr>
        <w:t>. The Company shall terminate when all of the assets of the Company, after payment of or due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for all debts, liabilities and obligations of the Company, shall have been distributed to the holders of Units in the manner provided for in this Article IX, and the Certificate shall have been cancelled in the manner required by the Act.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9.06 Claims of the Members</w:t>
      </w:r>
      <w:r>
        <w:rPr>
          <w:rFonts w:ascii="Arial" w:cs="Arial" w:eastAsia="Arial" w:hAnsi="Arial"/>
          <w:sz w:val="22"/>
          <w:szCs w:val="22"/>
          <w:color w:val="auto"/>
        </w:rPr>
        <w:t>. The Members shall look solely to the Company’s assets for the return of their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during the existence of the Company, upon dissolution or termination of the Company or otherwise, except to the extent required by the Act.</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9.07 Survival of Certain Provisions</w:t>
      </w:r>
      <w:r>
        <w:rPr>
          <w:rFonts w:ascii="Arial" w:cs="Arial" w:eastAsia="Arial" w:hAnsi="Arial"/>
          <w:sz w:val="22"/>
          <w:szCs w:val="22"/>
          <w:color w:val="auto"/>
        </w:rPr>
        <w:t>. Notwithstanding anything to the contrary in this Agreement,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Sections 5.07, 10.01, 10.02, 11.09 and 11.10 shall survive the termination 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LIABILITY AND INDEMNIFICATION</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10.01</w:t>
      </w:r>
      <w:r>
        <w:rPr>
          <w:sz w:val="20"/>
          <w:szCs w:val="20"/>
          <w:color w:val="auto"/>
        </w:rPr>
        <w:tab/>
      </w:r>
      <w:r>
        <w:rPr>
          <w:rFonts w:ascii="Arial" w:cs="Arial" w:eastAsia="Arial" w:hAnsi="Arial"/>
          <w:sz w:val="19"/>
          <w:szCs w:val="19"/>
          <w:b w:val="1"/>
          <w:bCs w:val="1"/>
          <w:color w:val="auto"/>
        </w:rPr>
        <w:t>Liability of Members</w:t>
      </w:r>
    </w:p>
    <w:p>
      <w:pPr>
        <w:spacing w:after="0" w:line="239" w:lineRule="exact"/>
        <w:rPr>
          <w:sz w:val="20"/>
          <w:szCs w:val="20"/>
          <w:color w:val="auto"/>
        </w:rPr>
      </w:pPr>
    </w:p>
    <w:p>
      <w:pPr>
        <w:jc w:val="both"/>
        <w:ind w:firstLine="1304"/>
        <w:spacing w:after="0" w:line="297" w:lineRule="auto"/>
        <w:tabs>
          <w:tab w:leader="none" w:pos="2127"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Act.</w:t>
      </w:r>
    </w:p>
    <w:p>
      <w:pPr>
        <w:spacing w:after="0" w:line="160" w:lineRule="exact"/>
        <w:rPr>
          <w:rFonts w:ascii="Arial" w:cs="Arial" w:eastAsia="Arial" w:hAnsi="Arial"/>
          <w:sz w:val="19"/>
          <w:szCs w:val="19"/>
          <w:b w:val="1"/>
          <w:bCs w:val="1"/>
          <w:color w:val="auto"/>
        </w:rPr>
      </w:pPr>
    </w:p>
    <w:p>
      <w:pPr>
        <w:jc w:val="both"/>
        <w:ind w:firstLine="1304"/>
        <w:spacing w:after="0" w:line="277" w:lineRule="auto"/>
        <w:tabs>
          <w:tab w:leader="none" w:pos="2096"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Member shall have the duty to act in accordance with the implied contractual covenant of good faith and fair dealing.</w:t>
      </w:r>
    </w:p>
    <w:p>
      <w:pPr>
        <w:spacing w:after="0" w:line="178" w:lineRule="exact"/>
        <w:rPr>
          <w:rFonts w:ascii="Arial" w:cs="Arial" w:eastAsia="Arial" w:hAnsi="Arial"/>
          <w:sz w:val="19"/>
          <w:szCs w:val="19"/>
          <w:b w:val="1"/>
          <w:bCs w:val="1"/>
          <w:color w:val="auto"/>
        </w:rPr>
      </w:pPr>
    </w:p>
    <w:p>
      <w:pPr>
        <w:jc w:val="both"/>
        <w:ind w:firstLine="1304"/>
        <w:spacing w:after="0" w:line="233" w:lineRule="auto"/>
        <w:tabs>
          <w:tab w:leader="none" w:pos="2065"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5" w:name="page176"/>
    <w:bookmarkEnd w:id="175"/>
    <w:p>
      <w:pPr>
        <w:jc w:val="both"/>
        <w:ind w:firstLine="1304"/>
        <w:spacing w:after="0" w:line="234" w:lineRule="auto"/>
        <w:tabs>
          <w:tab w:leader="none" w:pos="2289"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218" w:lineRule="exact"/>
        <w:rPr>
          <w:rFonts w:ascii="Arial" w:cs="Arial" w:eastAsia="Arial" w:hAnsi="Arial"/>
          <w:sz w:val="22"/>
          <w:szCs w:val="22"/>
          <w:b w:val="1"/>
          <w:bCs w:val="1"/>
          <w:color w:val="auto"/>
        </w:rPr>
      </w:pPr>
    </w:p>
    <w:p>
      <w:pPr>
        <w:jc w:val="both"/>
        <w:ind w:firstLine="1304"/>
        <w:spacing w:after="0" w:line="246" w:lineRule="auto"/>
        <w:tabs>
          <w:tab w:leader="none" w:pos="2334" w:val="left"/>
        </w:tabs>
        <w:numPr>
          <w:ilvl w:val="0"/>
          <w:numId w:val="147"/>
        </w:numPr>
        <w:rPr>
          <w:rFonts w:ascii="Arial" w:cs="Arial" w:eastAsia="Arial" w:hAnsi="Arial"/>
          <w:sz w:val="21"/>
          <w:szCs w:val="21"/>
          <w:b w:val="1"/>
          <w:bCs w:val="1"/>
          <w:color w:val="auto"/>
        </w:rPr>
      </w:pPr>
      <w:r>
        <w:rPr>
          <w:rFonts w:ascii="Arial" w:cs="Arial" w:eastAsia="Arial" w:hAnsi="Arial"/>
          <w:sz w:val="21"/>
          <w:szCs w:val="21"/>
          <w:color w:val="auto"/>
        </w:rPr>
        <w:t>Notwithstanding any other provision of this Agreement or otherwise applicable provision of law or equity, whenever in this Agreement the Managing Member is permitted or required to make a decision (i) in its “sole discretion” or under a grant of similar authority or latitude, such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Members, or (ii) in its “good faith” or under another expressed standard, such Managing Member shall act under such express standard and shall not be subject to any other or different standards.</w:t>
      </w:r>
    </w:p>
    <w:p>
      <w:pPr>
        <w:spacing w:after="0" w:line="20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10.02</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9" w:lineRule="auto"/>
        <w:tabs>
          <w:tab w:leader="none" w:pos="2196"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Exculpation and Indemnification</w:t>
      </w:r>
      <w:r>
        <w:rPr>
          <w:rFonts w:ascii="Arial" w:cs="Arial" w:eastAsia="Arial" w:hAnsi="Arial"/>
          <w:sz w:val="19"/>
          <w:szCs w:val="19"/>
          <w:color w:val="auto"/>
        </w:rPr>
        <w:t>. Notwithstanding any other provision of this Agreement,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or implied, to the fullest extent permitted by law, no Indemnitee shall be liable to the Company or any Member for any act or omission in relation to the Company or this Agreement or any transaction contemplated hereby taken or omitted by an Indemnitee unless such Indemnitee’s conduct constituted fraud, bad faith or willful misconduct. To the fullest extent permitted by law, as the same exists or hereafter be amended (but in the case of any such amendment, only to the extent that such amendment permits the Company to provide broader indemnification rights than such law permitted the Company to provide prior to such amendment), the Company shall indemnify any Indemnitee who was or is made or is threatened to be made a party to or is otherwise involved in any threatened, pending or completed action, suit or proceeding (brought in the right of the Company or otherwise), whether civil, criminal, administrative, arbitrative or investigative, and whether formal or informal (hereinafter a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xml:space="preserve">”), including appeals, by reason of his or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Indemnitee shall not be entitled to indemnification hereunder if, but only to the extent that, such Indemnitee’s conduct constituted fraud, bad faith or willful misconduct. Notwithstanding the preceding sentence, except as otherwise provided in Section 10.02(c), the Company shall be required to indemnify an Indemnitee in connection with any action, suit or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 The indemnification of an Indemnitee of the type identified in clause (e)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Arial" w:cs="Arial" w:eastAsia="Arial" w:hAnsi="Arial"/>
          <w:sz w:val="19"/>
          <w:szCs w:val="19"/>
          <w:b w:val="1"/>
          <w:bCs w:val="1"/>
          <w:i w:val="1"/>
          <w:iCs w:val="1"/>
          <w:color w:val="auto"/>
        </w:rPr>
        <w:t>Primary Indemnification</w:t>
      </w:r>
      <w:r>
        <w:rPr>
          <w:rFonts w:ascii="Arial" w:cs="Arial" w:eastAsia="Arial" w:hAnsi="Arial"/>
          <w:sz w:val="19"/>
          <w:szCs w:val="19"/>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Company. The indemnification of any other Indemnitee shall, to the extent not in conflict with such policy, be secondary to any and all payment to which such Indemnitee is entitled from any relevant insurance policy issued to or for the benefit of the Company or any Indemnitee.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ind w:firstLine="1304"/>
        <w:spacing w:after="0" w:line="246" w:lineRule="auto"/>
        <w:tabs>
          <w:tab w:leader="none" w:pos="2194" w:val="left"/>
        </w:tabs>
        <w:numPr>
          <w:ilvl w:val="0"/>
          <w:numId w:val="149"/>
        </w:numPr>
        <w:rPr>
          <w:rFonts w:ascii="Arial" w:cs="Arial" w:eastAsia="Arial" w:hAnsi="Arial"/>
          <w:sz w:val="21"/>
          <w:szCs w:val="21"/>
          <w:b w:val="1"/>
          <w:bCs w:val="1"/>
          <w:color w:val="auto"/>
        </w:rPr>
      </w:pPr>
      <w:r>
        <w:rPr>
          <w:rFonts w:ascii="Arial" w:cs="Arial" w:eastAsia="Arial" w:hAnsi="Arial"/>
          <w:sz w:val="21"/>
          <w:szCs w:val="21"/>
          <w:b w:val="1"/>
          <w:bCs w:val="1"/>
          <w:color w:val="auto"/>
        </w:rPr>
        <w:t>Advancement of Expenses</w:t>
      </w:r>
      <w:r>
        <w:rPr>
          <w:rFonts w:ascii="Arial" w:cs="Arial" w:eastAsia="Arial" w:hAnsi="Arial"/>
          <w:sz w:val="21"/>
          <w:szCs w:val="21"/>
          <w:color w:val="auto"/>
        </w:rPr>
        <w:t>. To the fullest extent permitted by law, the Company shall promptly pay</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expenses (including 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Section 10.02 or otherwise. Notwithstanding the preceding sentence, except as otherwise provided in Section 10.02(c), the Company shall be required to pay expenses of an Indemnitee in connection with any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w:t>
      </w:r>
    </w:p>
    <w:p>
      <w:pPr>
        <w:spacing w:after="0" w:line="202" w:lineRule="exact"/>
        <w:rPr>
          <w:rFonts w:ascii="Arial" w:cs="Arial" w:eastAsia="Arial" w:hAnsi="Arial"/>
          <w:sz w:val="21"/>
          <w:szCs w:val="21"/>
          <w:b w:val="1"/>
          <w:bCs w:val="1"/>
          <w:color w:val="auto"/>
        </w:rPr>
      </w:pPr>
    </w:p>
    <w:p>
      <w:pPr>
        <w:jc w:val="both"/>
        <w:ind w:firstLine="1304"/>
        <w:spacing w:after="0" w:line="236" w:lineRule="auto"/>
        <w:tabs>
          <w:tab w:leader="none" w:pos="213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Unpaid Claims</w:t>
      </w:r>
      <w:r>
        <w:rPr>
          <w:rFonts w:ascii="Arial" w:cs="Arial" w:eastAsia="Arial" w:hAnsi="Arial"/>
          <w:sz w:val="22"/>
          <w:szCs w:val="22"/>
          <w:color w:val="auto"/>
        </w:rPr>
        <w:t>. If a claim for indemnification (following the final disposition of such Proceeding) or</w:t>
      </w:r>
      <w:r>
        <w:rPr>
          <w:rFonts w:ascii="Arial" w:cs="Arial" w:eastAsia="Arial" w:hAnsi="Arial"/>
          <w:sz w:val="22"/>
          <w:szCs w:val="22"/>
          <w:b w:val="1"/>
          <w:bCs w:val="1"/>
          <w:color w:val="auto"/>
        </w:rPr>
        <w:t xml:space="preserve"> </w:t>
      </w:r>
      <w:r>
        <w:rPr>
          <w:rFonts w:ascii="Arial" w:cs="Arial" w:eastAsia="Arial" w:hAnsi="Arial"/>
          <w:sz w:val="22"/>
          <w:szCs w:val="22"/>
          <w:color w:val="auto"/>
        </w:rPr>
        <w:t>advancement of expenses under this Section 10.02 is not paid in full within 30 days after a written claim therefor by any Indemnitee has been received by the Company, such Indemnitee may file proceedings to recover the unpaid amount of such claim and, if successful in whole or in part, shall be entitled to be paid the expense of prosecuting such claim. In any such action the Company shall have the burden of proving that such Indemnitee is not entitled to the requested indemnification or advancement of expenses under applicable Law.</w:t>
      </w:r>
    </w:p>
    <w:p>
      <w:pPr>
        <w:spacing w:after="0" w:line="208" w:lineRule="exact"/>
        <w:rPr>
          <w:rFonts w:ascii="Arial" w:cs="Arial" w:eastAsia="Arial" w:hAnsi="Arial"/>
          <w:sz w:val="22"/>
          <w:szCs w:val="22"/>
          <w:b w:val="1"/>
          <w:bCs w:val="1"/>
          <w:color w:val="auto"/>
        </w:rPr>
      </w:pPr>
    </w:p>
    <w:p>
      <w:pPr>
        <w:jc w:val="both"/>
        <w:ind w:firstLine="1304"/>
        <w:spacing w:after="0" w:line="239" w:lineRule="auto"/>
        <w:tabs>
          <w:tab w:leader="none" w:pos="2046"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w:t>
      </w:r>
      <w:r>
        <w:rPr>
          <w:rFonts w:ascii="Arial" w:cs="Arial" w:eastAsia="Arial" w:hAnsi="Arial"/>
          <w:sz w:val="22"/>
          <w:szCs w:val="22"/>
          <w:b w:val="1"/>
          <w:bCs w:val="1"/>
          <w:color w:val="auto"/>
        </w:rPr>
        <w:t xml:space="preserve"> (i) </w:t>
      </w:r>
      <w:r>
        <w:rPr>
          <w:rFonts w:ascii="Arial" w:cs="Arial" w:eastAsia="Arial" w:hAnsi="Arial"/>
          <w:sz w:val="22"/>
          <w:szCs w:val="22"/>
          <w:color w:val="auto"/>
        </w:rPr>
        <w:t>To the fullest extent permitted by law, the Company may purchase and maintain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any person described in Section 10.02(a) against any liability asserted against such person, whether or not the Company would have the power to indemnify such person against such liability under the provisions of this Section 10.02 or otherwise.</w:t>
      </w:r>
    </w:p>
    <w:p>
      <w:pPr>
        <w:spacing w:after="0" w:line="213" w:lineRule="exact"/>
        <w:rPr>
          <w:rFonts w:ascii="Arial" w:cs="Arial" w:eastAsia="Arial" w:hAnsi="Arial"/>
          <w:sz w:val="22"/>
          <w:szCs w:val="22"/>
          <w:b w:val="1"/>
          <w:bCs w:val="1"/>
          <w:color w:val="auto"/>
        </w:rPr>
      </w:pPr>
    </w:p>
    <w:p>
      <w:pPr>
        <w:jc w:val="both"/>
        <w:ind w:firstLine="1952"/>
        <w:spacing w:after="0" w:line="246" w:lineRule="auto"/>
        <w:tabs>
          <w:tab w:leader="none" w:pos="2919" w:val="left"/>
        </w:tabs>
        <w:numPr>
          <w:ilvl w:val="1"/>
          <w:numId w:val="149"/>
        </w:numPr>
        <w:rPr>
          <w:rFonts w:ascii="Arial" w:cs="Arial" w:eastAsia="Arial" w:hAnsi="Arial"/>
          <w:sz w:val="21"/>
          <w:szCs w:val="21"/>
          <w:b w:val="1"/>
          <w:bCs w:val="1"/>
          <w:color w:val="auto"/>
        </w:rPr>
      </w:pPr>
      <w:r>
        <w:rPr>
          <w:rFonts w:ascii="Arial" w:cs="Arial" w:eastAsia="Arial" w:hAnsi="Arial"/>
          <w:sz w:val="21"/>
          <w:szCs w:val="21"/>
          <w:color w:val="auto"/>
        </w:rPr>
        <w:t>In the event of any payment by the Company under this Section 10.02, the Company shall be subrogated to the extent of such payment to all of the rights of recovery of the Indemnitee from any relevant other Person or under any insurance policy issued to or for the benefit of the Company, such relevant other Person, or any Indemnitee. Each Indemnitee agrees to execute all papers required and take all action necessary to secure such rights, including the execution of such documents as are necessary to enable the Company to bring suit to enforce any such rights in accordance with the terms of such insurance policy or other relevant document. The Company shall pay or reimburse all expenses actually and reasonably incurred by the Indemnitee in connection with such subrogation.</w:t>
      </w:r>
    </w:p>
    <w:p>
      <w:pPr>
        <w:spacing w:after="0" w:line="211" w:lineRule="exact"/>
        <w:rPr>
          <w:rFonts w:ascii="Arial" w:cs="Arial" w:eastAsia="Arial" w:hAnsi="Arial"/>
          <w:sz w:val="21"/>
          <w:szCs w:val="21"/>
          <w:b w:val="1"/>
          <w:bCs w:val="1"/>
          <w:color w:val="auto"/>
        </w:rPr>
      </w:pPr>
    </w:p>
    <w:p>
      <w:pPr>
        <w:jc w:val="both"/>
        <w:ind w:firstLine="1952"/>
        <w:spacing w:after="0" w:line="287" w:lineRule="auto"/>
        <w:tabs>
          <w:tab w:leader="none" w:pos="2971" w:val="left"/>
        </w:tabs>
        <w:numPr>
          <w:ilvl w:val="1"/>
          <w:numId w:val="149"/>
        </w:numPr>
        <w:rPr>
          <w:rFonts w:ascii="Arial" w:cs="Arial" w:eastAsia="Arial" w:hAnsi="Arial"/>
          <w:sz w:val="19"/>
          <w:szCs w:val="19"/>
          <w:b w:val="1"/>
          <w:bCs w:val="1"/>
          <w:color w:val="auto"/>
        </w:rPr>
      </w:pPr>
      <w:r>
        <w:rPr>
          <w:rFonts w:ascii="Arial" w:cs="Arial" w:eastAsia="Arial" w:hAnsi="Arial"/>
          <w:sz w:val="19"/>
          <w:szCs w:val="19"/>
          <w:color w:val="auto"/>
        </w:rPr>
        <w:t>The Company shall not be liable under this Section 10.02 to make any payment of amounts otherwise indemnifiable hereunder (including, but not limited to, judgments, fines and amounts paid in settlement, and excise taxes with respect to an employee benefit plan or penalties) if and to the extent that the applicable Indemnitee has otherwise actually received such payment under this Section 10.02 or any insurance policy, contract, agreement or otherwise.</w:t>
      </w:r>
    </w:p>
    <w:p>
      <w:pPr>
        <w:spacing w:after="0" w:line="163" w:lineRule="exact"/>
        <w:rPr>
          <w:rFonts w:ascii="Arial" w:cs="Arial" w:eastAsia="Arial" w:hAnsi="Arial"/>
          <w:sz w:val="19"/>
          <w:szCs w:val="19"/>
          <w:b w:val="1"/>
          <w:bCs w:val="1"/>
          <w:color w:val="auto"/>
        </w:rPr>
      </w:pPr>
    </w:p>
    <w:p>
      <w:pPr>
        <w:jc w:val="both"/>
        <w:ind w:firstLine="1304"/>
        <w:spacing w:after="0" w:line="244" w:lineRule="auto"/>
        <w:tabs>
          <w:tab w:leader="none" w:pos="2076" w:val="left"/>
        </w:tabs>
        <w:numPr>
          <w:ilvl w:val="0"/>
          <w:numId w:val="149"/>
        </w:numPr>
        <w:rPr>
          <w:rFonts w:ascii="Arial" w:cs="Arial" w:eastAsia="Arial" w:hAnsi="Arial"/>
          <w:sz w:val="21"/>
          <w:szCs w:val="21"/>
          <w:b w:val="1"/>
          <w:bCs w:val="1"/>
          <w:color w:val="auto"/>
        </w:rPr>
      </w:pPr>
      <w:r>
        <w:rPr>
          <w:rFonts w:ascii="Arial" w:cs="Arial" w:eastAsia="Arial" w:hAnsi="Arial"/>
          <w:sz w:val="21"/>
          <w:szCs w:val="21"/>
          <w:b w:val="1"/>
          <w:bCs w:val="1"/>
          <w:color w:val="auto"/>
        </w:rPr>
        <w:t>Non-Exclusivity of Rights</w:t>
      </w:r>
      <w:r>
        <w:rPr>
          <w:rFonts w:ascii="Arial" w:cs="Arial" w:eastAsia="Arial" w:hAnsi="Arial"/>
          <w:sz w:val="21"/>
          <w:szCs w:val="21"/>
          <w:color w:val="auto"/>
        </w:rPr>
        <w:t>. The provisions of this Section 10.02 shall be applicable to all actions, claims,</w:t>
      </w:r>
      <w:r>
        <w:rPr>
          <w:rFonts w:ascii="Arial" w:cs="Arial" w:eastAsia="Arial" w:hAnsi="Arial"/>
          <w:sz w:val="21"/>
          <w:szCs w:val="21"/>
          <w:b w:val="1"/>
          <w:bCs w:val="1"/>
          <w:color w:val="auto"/>
        </w:rPr>
        <w:t xml:space="preserve"> </w:t>
      </w:r>
      <w:r>
        <w:rPr>
          <w:rFonts w:ascii="Arial" w:cs="Arial" w:eastAsia="Arial" w:hAnsi="Arial"/>
          <w:sz w:val="21"/>
          <w:szCs w:val="21"/>
          <w:color w:val="auto"/>
        </w:rPr>
        <w:t>suits or proceedings made or commenced after the date of this Agreement, whether arising from acts or omissions to act occurring before or after its adoption. The provisions of this Section 10.02 shall be deemed to be a contract between the Company and each person entitled to indemnification under this Section 10.02 (or legal representative thereof) who serves in such capacity at any time while this Section 10.02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Section 10.02 shall be found to be invalid or limited in application by reason of any law or regulation, it shall not affect the validity of the remaining provisions hereof. The rights of indemnification provided in this Section 10.02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Company that indemnification of any person whom the Company is obligated to indemnify pursuant to Section 10.02(a) shall be made to the fullest extent permitted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7" w:name="page178"/>
    <w:bookmarkEnd w:id="177"/>
    <w:p>
      <w:pPr>
        <w:jc w:val="both"/>
        <w:ind w:firstLine="1296"/>
        <w:spacing w:after="0" w:line="236" w:lineRule="auto"/>
        <w:rPr>
          <w:sz w:val="20"/>
          <w:szCs w:val="20"/>
          <w:color w:val="auto"/>
        </w:rPr>
      </w:pPr>
      <w:r>
        <w:rPr>
          <w:rFonts w:ascii="Arial" w:cs="Arial" w:eastAsia="Arial" w:hAnsi="Arial"/>
          <w:sz w:val="22"/>
          <w:szCs w:val="22"/>
          <w:color w:val="auto"/>
        </w:rPr>
        <w:t>For purposes of this Section 10.02,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21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Section 10.02 shall not limit the right of the Company, to the extent and in the manner permitted by law, to indemnify and to advance expenses to, and purchase and maintain insurance on behalf of, persons other than persons described in Section 10.02(a).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11.01 Severability</w:t>
      </w:r>
      <w:r>
        <w:rPr>
          <w:rFonts w:ascii="Arial" w:cs="Arial" w:eastAsia="Arial" w:hAnsi="Arial"/>
          <w:sz w:val="21"/>
          <w:szCs w:val="21"/>
          <w:color w:val="auto"/>
        </w:rPr>
        <w:t>. If any term or other provision of this Agreement is held to be invalid, illegal or incapable of being</w:t>
      </w:r>
      <w:r>
        <w:rPr>
          <w:rFonts w:ascii="Arial" w:cs="Arial" w:eastAsia="Arial" w:hAnsi="Arial"/>
          <w:sz w:val="21"/>
          <w:szCs w:val="21"/>
          <w:b w:val="1"/>
          <w:bCs w:val="1"/>
          <w:color w:val="auto"/>
        </w:rPr>
        <w:t xml:space="preserve"> </w:t>
      </w:r>
      <w:r>
        <w:rPr>
          <w:rFonts w:ascii="Arial" w:cs="Arial" w:eastAsia="Arial" w:hAnsi="Arial"/>
          <w:sz w:val="21"/>
          <w:szCs w:val="21"/>
          <w:color w:val="auto"/>
        </w:rPr>
        <w:t>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11.02 Notices</w:t>
      </w:r>
      <w:r>
        <w:rPr>
          <w:rFonts w:ascii="Arial" w:cs="Arial" w:eastAsia="Arial" w:hAnsi="Arial"/>
          <w:sz w:val="22"/>
          <w:szCs w:val="22"/>
          <w:color w:val="auto"/>
        </w:rPr>
        <w:t>. All notices, requests, claims, demands and other communications hereunder shall be in writing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given (and 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Section 11.02):</w:t>
      </w:r>
    </w:p>
    <w:p>
      <w:pPr>
        <w:spacing w:after="0" w:line="222"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WM Holding Company, LLC</w:t>
      </w:r>
    </w:p>
    <w:p>
      <w:pPr>
        <w:ind w:left="1300"/>
        <w:spacing w:after="0" w:line="230" w:lineRule="auto"/>
        <w:rPr>
          <w:sz w:val="20"/>
          <w:szCs w:val="20"/>
          <w:color w:val="auto"/>
        </w:rPr>
      </w:pPr>
      <w:r>
        <w:rPr>
          <w:rFonts w:ascii="Arial" w:cs="Arial" w:eastAsia="Arial" w:hAnsi="Arial"/>
          <w:sz w:val="22"/>
          <w:szCs w:val="22"/>
          <w:color w:val="auto"/>
        </w:rPr>
        <w:t>41 Discovery,</w:t>
      </w:r>
    </w:p>
    <w:p>
      <w:pPr>
        <w:ind w:left="1300"/>
        <w:spacing w:after="0" w:line="231" w:lineRule="auto"/>
        <w:rPr>
          <w:sz w:val="20"/>
          <w:szCs w:val="20"/>
          <w:color w:val="auto"/>
        </w:rPr>
      </w:pPr>
      <w:r>
        <w:rPr>
          <w:rFonts w:ascii="Arial" w:cs="Arial" w:eastAsia="Arial" w:hAnsi="Arial"/>
          <w:sz w:val="22"/>
          <w:szCs w:val="22"/>
          <w:color w:val="auto"/>
        </w:rPr>
        <w:t>Irvine, California 92618</w:t>
      </w:r>
    </w:p>
    <w:p>
      <w:pPr>
        <w:ind w:left="1300"/>
        <w:spacing w:after="0"/>
        <w:rPr>
          <w:sz w:val="20"/>
          <w:szCs w:val="20"/>
          <w:color w:val="auto"/>
        </w:rPr>
      </w:pPr>
      <w:r>
        <w:rPr>
          <w:rFonts w:ascii="Arial" w:cs="Arial" w:eastAsia="Arial" w:hAnsi="Arial"/>
          <w:sz w:val="22"/>
          <w:szCs w:val="22"/>
          <w:color w:val="auto"/>
        </w:rPr>
        <w:t>Attention: General Counsel</w:t>
      </w:r>
    </w:p>
    <w:p>
      <w:pPr>
        <w:spacing w:after="0" w:line="218"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If to any Member other than the Managing Member, to such Member at the address of such Member as set forth on </w:t>
      </w:r>
      <w:r>
        <w:rPr>
          <w:rFonts w:ascii="Arial" w:cs="Arial" w:eastAsia="Arial" w:hAnsi="Arial"/>
          <w:sz w:val="17"/>
          <w:szCs w:val="17"/>
          <w:b w:val="1"/>
          <w:bCs w:val="1"/>
          <w:color w:val="auto"/>
        </w:rPr>
        <w:t>Exhibit A</w:t>
      </w:r>
    </w:p>
    <w:p>
      <w:pPr>
        <w:spacing w:after="0" w:line="267" w:lineRule="exact"/>
        <w:rPr>
          <w:rFonts w:ascii="Arial" w:cs="Arial" w:eastAsia="Arial" w:hAnsi="Arial"/>
          <w:sz w:val="17"/>
          <w:szCs w:val="17"/>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to the Managing Member, to:</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WM Technology, Inc.</w:t>
      </w:r>
    </w:p>
    <w:p>
      <w:pPr>
        <w:ind w:left="1300"/>
        <w:spacing w:after="0" w:line="238" w:lineRule="auto"/>
        <w:rPr>
          <w:sz w:val="20"/>
          <w:szCs w:val="20"/>
          <w:color w:val="auto"/>
        </w:rPr>
      </w:pPr>
      <w:r>
        <w:rPr>
          <w:rFonts w:ascii="Arial" w:cs="Arial" w:eastAsia="Arial" w:hAnsi="Arial"/>
          <w:sz w:val="22"/>
          <w:szCs w:val="22"/>
          <w:color w:val="auto"/>
        </w:rPr>
        <w:t>41 Discovery,</w:t>
      </w:r>
    </w:p>
    <w:p>
      <w:pPr>
        <w:ind w:left="1300"/>
        <w:spacing w:after="0" w:line="230" w:lineRule="auto"/>
        <w:rPr>
          <w:sz w:val="20"/>
          <w:szCs w:val="20"/>
          <w:color w:val="auto"/>
        </w:rPr>
      </w:pPr>
      <w:r>
        <w:rPr>
          <w:rFonts w:ascii="Arial" w:cs="Arial" w:eastAsia="Arial" w:hAnsi="Arial"/>
          <w:sz w:val="22"/>
          <w:szCs w:val="22"/>
          <w:color w:val="auto"/>
        </w:rPr>
        <w:t>Irvine, California 92618</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both"/>
        <w:ind w:firstLine="648"/>
        <w:spacing w:after="0" w:line="243" w:lineRule="auto"/>
        <w:rPr>
          <w:sz w:val="20"/>
          <w:szCs w:val="20"/>
          <w:color w:val="auto"/>
        </w:rPr>
      </w:pPr>
      <w:r>
        <w:rPr>
          <w:rFonts w:ascii="Arial" w:cs="Arial" w:eastAsia="Arial" w:hAnsi="Arial"/>
          <w:sz w:val="22"/>
          <w:szCs w:val="22"/>
          <w:b w:val="1"/>
          <w:bCs w:val="1"/>
          <w:color w:val="auto"/>
        </w:rPr>
        <w:t>11.03 Cumulative Remedies</w:t>
      </w:r>
      <w:r>
        <w:rPr>
          <w:rFonts w:ascii="Arial" w:cs="Arial" w:eastAsia="Arial" w:hAnsi="Arial"/>
          <w:sz w:val="22"/>
          <w:szCs w:val="22"/>
          <w:color w:val="auto"/>
        </w:rPr>
        <w:t>. The rights and remedies provided by this Agreement are cumulative and the use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one right or remedy by any party shall not preclude or waive its right to use any or all other remedies. Said rights and remedies are given in addition to any other rights the parties may have by Law.</w:t>
      </w:r>
    </w:p>
    <w:p>
      <w:pPr>
        <w:spacing w:after="0" w:line="20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11.04 Binding Effect</w:t>
      </w:r>
      <w:r>
        <w:rPr>
          <w:rFonts w:ascii="Arial" w:cs="Arial" w:eastAsia="Arial" w:hAnsi="Arial"/>
          <w:sz w:val="19"/>
          <w:szCs w:val="19"/>
          <w:color w:val="auto"/>
        </w:rPr>
        <w:t>. This Agreement shall be binding upon and inure to the benefit of all of the parties and,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this Agreement, their successors, executors, administrators, heirs, legal representatives and assigns.</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11.05 Interpretation</w:t>
      </w:r>
      <w:r>
        <w:rPr>
          <w:rFonts w:ascii="Arial" w:cs="Arial" w:eastAsia="Arial" w:hAnsi="Arial"/>
          <w:sz w:val="22"/>
          <w:szCs w:val="22"/>
          <w:color w:val="auto"/>
        </w:rPr>
        <w:t>. Throughout this Agreement, nouns, pronouns and verbs shall be construed as masculine,</w:t>
      </w:r>
      <w:r>
        <w:rPr>
          <w:rFonts w:ascii="Arial" w:cs="Arial" w:eastAsia="Arial" w:hAnsi="Arial"/>
          <w:sz w:val="22"/>
          <w:szCs w:val="22"/>
          <w:b w:val="1"/>
          <w:bCs w:val="1"/>
          <w:color w:val="auto"/>
        </w:rPr>
        <w:t xml:space="preserve"> </w:t>
      </w:r>
      <w:r>
        <w:rPr>
          <w:rFonts w:ascii="Arial" w:cs="Arial" w:eastAsia="Arial" w:hAnsi="Arial"/>
          <w:sz w:val="22"/>
          <w:szCs w:val="22"/>
          <w:color w:val="auto"/>
        </w:rPr>
        <w:t>feminine, neuter, singular or plural, whichever shall be applicable. Unless otherwise specified, all references herein to “Articles,” “Sections” and paragraphs shall refer to corresponding provisions of this Agreement.</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11.06 Counterparts</w:t>
      </w:r>
      <w:r>
        <w:rPr>
          <w:rFonts w:ascii="Arial" w:cs="Arial" w:eastAsia="Arial" w:hAnsi="Arial"/>
          <w:sz w:val="21"/>
          <w:szCs w:val="21"/>
          <w:color w:val="auto"/>
        </w:rPr>
        <w:t>. This Agreement may be executed and delivered (including by email or facsimile transmission) in</w:t>
      </w:r>
      <w:r>
        <w:rPr>
          <w:rFonts w:ascii="Arial" w:cs="Arial" w:eastAsia="Arial" w:hAnsi="Arial"/>
          <w:sz w:val="21"/>
          <w:szCs w:val="21"/>
          <w:b w:val="1"/>
          <w:bCs w:val="1"/>
          <w:color w:val="auto"/>
        </w:rPr>
        <w:t xml:space="preserve"> </w:t>
      </w:r>
      <w:r>
        <w:rPr>
          <w:rFonts w:ascii="Arial" w:cs="Arial" w:eastAsia="Arial" w:hAnsi="Arial"/>
          <w:sz w:val="21"/>
          <w:szCs w:val="21"/>
          <w:color w:val="auto"/>
        </w:rPr>
        <w:t>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11.06.</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11.07 Further Assurances</w:t>
      </w:r>
      <w:r>
        <w:rPr>
          <w:rFonts w:ascii="Arial" w:cs="Arial" w:eastAsia="Arial" w:hAnsi="Arial"/>
          <w:sz w:val="22"/>
          <w:szCs w:val="22"/>
          <w:color w:val="auto"/>
        </w:rPr>
        <w:t>. Each Member shall perform all other acts and execute and deliver all other documents as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necessary or appropriate to carry out the purposes and intent of this Agreement.</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11.08 Entire Agreement</w:t>
      </w:r>
      <w:r>
        <w:rPr>
          <w:rFonts w:ascii="Arial" w:cs="Arial" w:eastAsia="Arial" w:hAnsi="Arial"/>
          <w:sz w:val="22"/>
          <w:szCs w:val="22"/>
          <w:color w:val="auto"/>
        </w:rPr>
        <w:t>. This Agreement constitutes the entire agreement among the parties hereto pertaining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hereof and supersedes all prior agreements and understandings, whether oral or written, pertaining thereto (including, without limitation, the Existing Agreement).</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11.09 Governing Law</w:t>
      </w:r>
      <w:r>
        <w:rPr>
          <w:rFonts w:ascii="Arial" w:cs="Arial" w:eastAsia="Arial" w:hAnsi="Arial"/>
          <w:sz w:val="22"/>
          <w:szCs w:val="22"/>
          <w:color w:val="auto"/>
        </w:rPr>
        <w:t>. This Agreement shall be governed by, and construed in accordance with, the law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9" w:name="page180"/>
    <w:bookmarkEnd w:id="179"/>
    <w:p>
      <w:pPr>
        <w:ind w:left="660"/>
        <w:spacing w:after="0"/>
        <w:tabs>
          <w:tab w:leader="none" w:pos="138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b w:val="1"/>
          <w:bCs w:val="1"/>
          <w:color w:val="auto"/>
        </w:rPr>
        <w:t>Submission to Jurisdiction; Waiver of Jury Trial</w:t>
      </w:r>
      <w:r>
        <w:rPr>
          <w:rFonts w:ascii="Arial" w:cs="Arial" w:eastAsia="Arial" w:hAnsi="Arial"/>
          <w:sz w:val="19"/>
          <w:szCs w:val="19"/>
          <w:color w:val="auto"/>
        </w:rPr>
        <w:t>.</w:t>
      </w:r>
    </w:p>
    <w:p>
      <w:pPr>
        <w:spacing w:after="0" w:line="240" w:lineRule="exact"/>
        <w:rPr>
          <w:sz w:val="20"/>
          <w:szCs w:val="20"/>
          <w:color w:val="auto"/>
        </w:rPr>
      </w:pPr>
    </w:p>
    <w:p>
      <w:pPr>
        <w:jc w:val="both"/>
        <w:ind w:firstLine="1304"/>
        <w:spacing w:after="0" w:line="267" w:lineRule="auto"/>
        <w:tabs>
          <w:tab w:leader="none" w:pos="2254" w:val="left"/>
        </w:tabs>
        <w:numPr>
          <w:ilvl w:val="1"/>
          <w:numId w:val="152"/>
        </w:numPr>
        <w:rPr>
          <w:rFonts w:ascii="Arial" w:cs="Arial" w:eastAsia="Arial" w:hAnsi="Arial"/>
          <w:sz w:val="19"/>
          <w:szCs w:val="19"/>
          <w:b w:val="1"/>
          <w:bCs w:val="1"/>
          <w:color w:val="auto"/>
        </w:rPr>
      </w:pPr>
      <w:r>
        <w:rPr>
          <w:rFonts w:ascii="Arial" w:cs="Arial" w:eastAsia="Arial" w:hAnsi="Arial"/>
          <w:sz w:val="19"/>
          <w:szCs w:val="19"/>
          <w:color w:val="auto"/>
        </w:rPr>
        <w:t>Any and all disputes which cannot be settled amicably with respect to this Agreement, including any action (at law or in equity), claim, litigation, suit, arbitration, hearing, audit, review, inquiry, proceeding or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Section 11.02.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Section 11.10;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6" w:lineRule="exact"/>
        <w:rPr>
          <w:rFonts w:ascii="Arial" w:cs="Arial" w:eastAsia="Arial" w:hAnsi="Arial"/>
          <w:sz w:val="19"/>
          <w:szCs w:val="19"/>
          <w:b w:val="1"/>
          <w:bCs w:val="1"/>
          <w:color w:val="auto"/>
        </w:rPr>
      </w:pPr>
    </w:p>
    <w:p>
      <w:pPr>
        <w:jc w:val="both"/>
        <w:ind w:firstLine="8"/>
        <w:spacing w:after="0" w:line="248" w:lineRule="auto"/>
        <w:tabs>
          <w:tab w:leader="none" w:pos="35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205" w:lineRule="exact"/>
        <w:rPr>
          <w:rFonts w:ascii="Arial" w:cs="Arial" w:eastAsia="Arial" w:hAnsi="Arial"/>
          <w:sz w:val="21"/>
          <w:szCs w:val="21"/>
          <w:color w:val="auto"/>
        </w:rPr>
      </w:pPr>
    </w:p>
    <w:p>
      <w:pPr>
        <w:jc w:val="both"/>
        <w:ind w:firstLine="1304"/>
        <w:spacing w:after="0" w:line="238" w:lineRule="auto"/>
        <w:tabs>
          <w:tab w:leader="none" w:pos="2113" w:val="left"/>
        </w:tabs>
        <w:numPr>
          <w:ilvl w:val="1"/>
          <w:numId w:val="153"/>
        </w:numPr>
        <w:rPr>
          <w:rFonts w:ascii="Arial" w:cs="Arial" w:eastAsia="Arial" w:hAnsi="Arial"/>
          <w:sz w:val="22"/>
          <w:szCs w:val="22"/>
          <w:b w:val="1"/>
          <w:bCs w:val="1"/>
          <w:color w:val="auto"/>
        </w:rPr>
      </w:pPr>
      <w:r>
        <w:rPr>
          <w:rFonts w:ascii="Arial" w:cs="Arial" w:eastAsia="Arial" w:hAnsi="Arial"/>
          <w:sz w:val="22"/>
          <w:szCs w:val="22"/>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211" w:lineRule="exact"/>
        <w:rPr>
          <w:rFonts w:ascii="Arial" w:cs="Arial" w:eastAsia="Arial" w:hAnsi="Arial"/>
          <w:sz w:val="22"/>
          <w:szCs w:val="22"/>
          <w:b w:val="1"/>
          <w:bCs w:val="1"/>
          <w:color w:val="auto"/>
        </w:rPr>
      </w:pPr>
    </w:p>
    <w:p>
      <w:pPr>
        <w:jc w:val="both"/>
        <w:ind w:firstLine="1304"/>
        <w:spacing w:after="0" w:line="236" w:lineRule="auto"/>
        <w:tabs>
          <w:tab w:leader="none" w:pos="2177" w:val="left"/>
        </w:tabs>
        <w:numPr>
          <w:ilvl w:val="1"/>
          <w:numId w:val="153"/>
        </w:numPr>
        <w:rPr>
          <w:rFonts w:ascii="Arial" w:cs="Arial" w:eastAsia="Arial" w:hAnsi="Arial"/>
          <w:sz w:val="22"/>
          <w:szCs w:val="22"/>
          <w:b w:val="1"/>
          <w:bCs w:val="1"/>
          <w:color w:val="auto"/>
        </w:rPr>
      </w:pPr>
      <w:r>
        <w:rPr>
          <w:rFonts w:ascii="Arial" w:cs="Arial" w:eastAsia="Arial" w:hAnsi="Arial"/>
          <w:sz w:val="22"/>
          <w:szCs w:val="22"/>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214" w:lineRule="exact"/>
        <w:rPr>
          <w:rFonts w:ascii="Arial" w:cs="Arial" w:eastAsia="Arial" w:hAnsi="Arial"/>
          <w:sz w:val="22"/>
          <w:szCs w:val="22"/>
          <w:b w:val="1"/>
          <w:bCs w:val="1"/>
          <w:color w:val="auto"/>
        </w:rPr>
      </w:pPr>
    </w:p>
    <w:p>
      <w:pPr>
        <w:jc w:val="both"/>
        <w:ind w:firstLine="1304"/>
        <w:spacing w:after="0" w:line="235" w:lineRule="auto"/>
        <w:tabs>
          <w:tab w:leader="none" w:pos="2593" w:val="left"/>
        </w:tabs>
        <w:numPr>
          <w:ilvl w:val="1"/>
          <w:numId w:val="153"/>
        </w:numPr>
        <w:rPr>
          <w:rFonts w:ascii="Arial" w:cs="Arial" w:eastAsia="Arial" w:hAnsi="Arial"/>
          <w:sz w:val="22"/>
          <w:szCs w:val="22"/>
          <w:b w:val="1"/>
          <w:bCs w:val="1"/>
          <w:color w:val="auto"/>
        </w:rPr>
      </w:pPr>
      <w:r>
        <w:rPr>
          <w:rFonts w:ascii="Arial" w:cs="Arial" w:eastAsia="Arial" w:hAnsi="Arial"/>
          <w:sz w:val="22"/>
          <w:szCs w:val="22"/>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20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11.11 Expenses</w:t>
      </w:r>
      <w:r>
        <w:rPr>
          <w:rFonts w:ascii="Arial" w:cs="Arial" w:eastAsia="Arial" w:hAnsi="Arial"/>
          <w:sz w:val="19"/>
          <w:szCs w:val="19"/>
          <w:color w:val="auto"/>
        </w:rPr>
        <w:t>. Except as otherwise specified in this Agreement, the Company shall be responsible for all costs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including, without limitation, fees and disbursements of counsel, financial advisors and accountants, incurred by the Members and the Company in connection with the preparation, negotiation, and operation of this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0" w:name="page181"/>
    <w:bookmarkEnd w:id="180"/>
    <w:p>
      <w:pPr>
        <w:ind w:left="660"/>
        <w:spacing w:after="0"/>
        <w:tabs>
          <w:tab w:leader="none" w:pos="144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19"/>
          <w:szCs w:val="19"/>
          <w:b w:val="1"/>
          <w:bCs w:val="1"/>
          <w:color w:val="auto"/>
        </w:rPr>
        <w:t>Amendments and Waivers</w:t>
      </w:r>
    </w:p>
    <w:p>
      <w:pPr>
        <w:spacing w:after="0" w:line="240" w:lineRule="exact"/>
        <w:rPr>
          <w:sz w:val="20"/>
          <w:szCs w:val="20"/>
          <w:color w:val="auto"/>
        </w:rPr>
      </w:pPr>
    </w:p>
    <w:p>
      <w:pPr>
        <w:jc w:val="both"/>
        <w:ind w:firstLine="1304"/>
        <w:spacing w:after="0" w:line="269" w:lineRule="auto"/>
        <w:tabs>
          <w:tab w:leader="none" w:pos="2131" w:val="left"/>
        </w:tabs>
        <w:numPr>
          <w:ilvl w:val="0"/>
          <w:numId w:val="154"/>
        </w:numPr>
        <w:rPr>
          <w:rFonts w:ascii="Arial" w:cs="Arial" w:eastAsia="Arial" w:hAnsi="Arial"/>
          <w:sz w:val="19"/>
          <w:szCs w:val="19"/>
          <w:b w:val="1"/>
          <w:bCs w:val="1"/>
          <w:color w:val="auto"/>
        </w:rPr>
      </w:pPr>
      <w:r>
        <w:rPr>
          <w:rFonts w:ascii="Arial" w:cs="Arial" w:eastAsia="Arial" w:hAnsi="Arial"/>
          <w:sz w:val="19"/>
          <w:szCs w:val="19"/>
          <w:color w:val="auto"/>
        </w:rPr>
        <w:t xml:space="preserve">This Agreement (including the Annexes hereto) may be amended, supplemented, waived or modified by the Managing Member in its sole discretion without the approval of any other Member or other Person so long as such amendment is executed and delivered to the Company by the Original Member Representative;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amendment, including any amendment effected by way of merger, consolidation or transfer of all or substantially all the assets of the Company, may materially and adversely affect the rights of a holder of Units, as such, other than on a pro rata basis with other holders of Units of the same Class without the consent of such holder (or, if there is more than one such holder that is so affected, without the consent of a majority in interest of such affected holders in accordance with their holdings of such Class of Units);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notwithstanding the foregoing, the Managing Member may, without the written consent of any Member or</w:t>
      </w:r>
      <w:r>
        <w:rPr>
          <w:rFonts w:ascii="Arial" w:cs="Arial" w:eastAsia="Arial" w:hAnsi="Arial"/>
          <w:sz w:val="19"/>
          <w:szCs w:val="19"/>
          <w:i w:val="1"/>
          <w:iCs w:val="1"/>
          <w:color w:val="auto"/>
        </w:rPr>
        <w:t xml:space="preserve"> </w:t>
      </w:r>
      <w:r>
        <w:rPr>
          <w:rFonts w:ascii="Arial" w:cs="Arial" w:eastAsia="Arial" w:hAnsi="Arial"/>
          <w:sz w:val="19"/>
          <w:szCs w:val="19"/>
          <w:color w:val="auto"/>
        </w:rPr>
        <w:t>any other Person, amend, supplement, waive or modify any provision of this Agreement, including Schedule I, and execute, swear to, acknowledge, deliver, file and record whatever documents may be required in connection therewith, to reflect: (1) any amendment, supplement, waiver or modification that the Managing Member determines in its reasonable discretion to be necessary or appropriate in connection with the creation, authorization or issuance of Units or any Class or series of equity interest in the Company pursuant to Section 7.01 hereof; (2) the admission, substitution, or withdrawal of Members in accordance with this Agreement, pursuant to Section 8.07 hereof; (3) a change in the name of the Company, the location of the principal place of business of the Company, the registered agent of the Company or the registered office of the Company; (4) any amendment, supplement, waiver or modification that the Managing Member determines in its reasonable discretion to be necessary or appropriate to address changes in U.S. federal income tax regulations, legislation or interpretation; and/or (5) a change in the Fiscal Year or taxable year of the Company and any other changes that the Managing Member determines to be necessary or appropriate as a result of a change in the Fiscal Year or taxable year of the Company including a change in the dates on which distributions are to be made by the Company.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200" w:lineRule="exact"/>
        <w:rPr>
          <w:rFonts w:ascii="Arial" w:cs="Arial" w:eastAsia="Arial" w:hAnsi="Arial"/>
          <w:sz w:val="19"/>
          <w:szCs w:val="19"/>
          <w:b w:val="1"/>
          <w:bCs w:val="1"/>
          <w:color w:val="auto"/>
        </w:rPr>
      </w:pPr>
    </w:p>
    <w:p>
      <w:pPr>
        <w:spacing w:after="0" w:line="242" w:lineRule="exact"/>
        <w:rPr>
          <w:rFonts w:ascii="Arial" w:cs="Arial" w:eastAsia="Arial" w:hAnsi="Arial"/>
          <w:sz w:val="19"/>
          <w:szCs w:val="19"/>
          <w:b w:val="1"/>
          <w:bCs w:val="1"/>
          <w:color w:val="auto"/>
        </w:rPr>
      </w:pPr>
    </w:p>
    <w:p>
      <w:pPr>
        <w:jc w:val="both"/>
        <w:ind w:firstLine="1304"/>
        <w:spacing w:after="0" w:line="252" w:lineRule="auto"/>
        <w:tabs>
          <w:tab w:leader="none" w:pos="2320" w:val="left"/>
        </w:tabs>
        <w:numPr>
          <w:ilvl w:val="0"/>
          <w:numId w:val="154"/>
        </w:numPr>
        <w:rPr>
          <w:rFonts w:ascii="Arial" w:cs="Arial" w:eastAsia="Arial" w:hAnsi="Arial"/>
          <w:sz w:val="21"/>
          <w:szCs w:val="21"/>
          <w:b w:val="1"/>
          <w:bCs w:val="1"/>
          <w:color w:val="auto"/>
        </w:rPr>
      </w:pPr>
      <w:r>
        <w:rPr>
          <w:rFonts w:ascii="Arial" w:cs="Arial" w:eastAsia="Arial" w:hAnsi="Arial"/>
          <w:sz w:val="21"/>
          <w:szCs w:val="21"/>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0" w:lineRule="exact"/>
        <w:rPr>
          <w:rFonts w:ascii="Arial" w:cs="Arial" w:eastAsia="Arial" w:hAnsi="Arial"/>
          <w:sz w:val="21"/>
          <w:szCs w:val="21"/>
          <w:b w:val="1"/>
          <w:bCs w:val="1"/>
          <w:color w:val="auto"/>
        </w:rPr>
      </w:pPr>
    </w:p>
    <w:p>
      <w:pPr>
        <w:jc w:val="both"/>
        <w:ind w:firstLine="1304"/>
        <w:spacing w:after="0" w:line="269" w:lineRule="auto"/>
        <w:tabs>
          <w:tab w:leader="none" w:pos="2201" w:val="left"/>
        </w:tabs>
        <w:numPr>
          <w:ilvl w:val="0"/>
          <w:numId w:val="154"/>
        </w:numPr>
        <w:rPr>
          <w:rFonts w:ascii="Arial" w:cs="Arial" w:eastAsia="Arial" w:hAnsi="Arial"/>
          <w:sz w:val="19"/>
          <w:szCs w:val="19"/>
          <w:b w:val="1"/>
          <w:bCs w:val="1"/>
          <w:color w:val="auto"/>
        </w:rPr>
      </w:pPr>
      <w:r>
        <w:rPr>
          <w:rFonts w:ascii="Arial" w:cs="Arial" w:eastAsia="Arial" w:hAnsi="Arial"/>
          <w:sz w:val="19"/>
          <w:szCs w:val="19"/>
          <w:color w:val="auto"/>
        </w:rPr>
        <w:t>The Managing Member may, in its sole discretion, unilaterally amend this Agreement on or before the effective date of the final regulations to provide for (i) the election of a safe harbor under Proposed Treasury Regulation Section 1.83-3(l) (or any similar provision) under which the fair market value of a Company interest (or interest in an entity treated as a partnership for U.S. federal income tax purposes) that is transferred is treated as being equal to the liquidation value of that interest, (ii) an agreement by the Company and each of its Members to comply with all of the requirements set forth in such regulations and Notice 2005-43 (and any other guidance provided by the Internal Revenue Service with respect to such election) with respect to all Company interests (or interest in an entity treated as a partnership for U.S. federal income tax purposes) transferred in connection with the performance of services while the election remains effective, (iii) the allocation of items of income, gains, deductions and losses required by the final regulations similar to Proposed Treasury Regulation Section 1.704-1(b)</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(4)(xii)(b) and (c), 1.704-1(b)(2)(iv)(b)(1) and any other related amendments.</w:t>
      </w:r>
    </w:p>
    <w:p>
      <w:pPr>
        <w:spacing w:after="0" w:line="215" w:lineRule="exact"/>
        <w:rPr>
          <w:rFonts w:ascii="Arial" w:cs="Arial" w:eastAsia="Arial" w:hAnsi="Arial"/>
          <w:sz w:val="19"/>
          <w:szCs w:val="19"/>
          <w:b w:val="1"/>
          <w:bCs w:val="1"/>
          <w:color w:val="auto"/>
        </w:rPr>
      </w:pPr>
    </w:p>
    <w:p>
      <w:pPr>
        <w:jc w:val="both"/>
        <w:ind w:firstLine="1304"/>
        <w:spacing w:after="0"/>
        <w:tabs>
          <w:tab w:leader="none" w:pos="2494" w:val="left"/>
        </w:tabs>
        <w:numPr>
          <w:ilvl w:val="0"/>
          <w:numId w:val="154"/>
        </w:numPr>
        <w:rPr>
          <w:rFonts w:ascii="Arial" w:cs="Arial" w:eastAsia="Arial" w:hAnsi="Arial"/>
          <w:sz w:val="22"/>
          <w:szCs w:val="22"/>
          <w:b w:val="1"/>
          <w:bCs w:val="1"/>
          <w:color w:val="auto"/>
        </w:rPr>
      </w:pPr>
      <w:r>
        <w:rPr>
          <w:rFonts w:ascii="Arial" w:cs="Arial" w:eastAsia="Arial" w:hAnsi="Arial"/>
          <w:sz w:val="22"/>
          <w:szCs w:val="22"/>
          <w:color w:val="auto"/>
        </w:rPr>
        <w:t>Except as may be otherwise required by law in connection with the winding-up, liquidation, or dissolution of the Company, each Member hereby irrevocably waives any and all rights that it may have to maintain an action for judicial accounting or for partition of any of the Company’s property.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1" w:name="page182"/>
    <w:bookmarkEnd w:id="181"/>
    <w:p>
      <w:pPr>
        <w:jc w:val="both"/>
        <w:ind w:firstLine="648"/>
        <w:spacing w:after="0" w:line="249" w:lineRule="auto"/>
        <w:rPr>
          <w:sz w:val="20"/>
          <w:szCs w:val="20"/>
          <w:color w:val="auto"/>
        </w:rPr>
      </w:pPr>
      <w:r>
        <w:rPr>
          <w:rFonts w:ascii="Arial" w:cs="Arial" w:eastAsia="Arial" w:hAnsi="Arial"/>
          <w:sz w:val="21"/>
          <w:szCs w:val="21"/>
          <w:b w:val="1"/>
          <w:bCs w:val="1"/>
          <w:color w:val="auto"/>
        </w:rPr>
        <w:t>11.13 No Third Party Beneficiaries</w:t>
      </w:r>
      <w:r>
        <w:rPr>
          <w:rFonts w:ascii="Arial" w:cs="Arial" w:eastAsia="Arial" w:hAnsi="Arial"/>
          <w:sz w:val="21"/>
          <w:szCs w:val="21"/>
          <w:color w:val="auto"/>
        </w:rPr>
        <w:t>. This Agreement shall be binding upon and inure solely to the benefit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Section 10.02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employee, officer, director, agent or indemnitee of any Person who is bound by this Agreement or its Affiliates is an intended third party beneficiary of Section 11.10 and shall be entitled to enforce its rights thereunder.</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11.14 Headings</w:t>
      </w:r>
      <w:r>
        <w:rPr>
          <w:rFonts w:ascii="Arial" w:cs="Arial" w:eastAsia="Arial" w:hAnsi="Arial"/>
          <w:sz w:val="22"/>
          <w:szCs w:val="22"/>
          <w:color w:val="auto"/>
        </w:rPr>
        <w:t>. The headings and subheadings in this Agreement are included for convenience and identification only</w:t>
      </w:r>
      <w:r>
        <w:rPr>
          <w:rFonts w:ascii="Arial" w:cs="Arial" w:eastAsia="Arial" w:hAnsi="Arial"/>
          <w:sz w:val="22"/>
          <w:szCs w:val="22"/>
          <w:b w:val="1"/>
          <w:bCs w:val="1"/>
          <w:color w:val="auto"/>
        </w:rPr>
        <w:t xml:space="preserve"> </w:t>
      </w:r>
      <w:r>
        <w:rPr>
          <w:rFonts w:ascii="Arial" w:cs="Arial" w:eastAsia="Arial" w:hAnsi="Arial"/>
          <w:sz w:val="22"/>
          <w:szCs w:val="22"/>
          <w:color w:val="auto"/>
        </w:rPr>
        <w:t>and are in no way intended to describe, interpret, define or limit the scope, extent or intent of this Agreement or any provision hereof.</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11.15 Power of Attorney</w:t>
      </w:r>
      <w:r>
        <w:rPr>
          <w:rFonts w:ascii="Arial" w:cs="Arial" w:eastAsia="Arial" w:hAnsi="Arial"/>
          <w:sz w:val="19"/>
          <w:szCs w:val="19"/>
          <w:color w:val="auto"/>
        </w:rPr>
        <w:t>. Each Member, by its execution hereof, hereby makes, constitutes and appoints the Managing</w:t>
      </w:r>
      <w:r>
        <w:rPr>
          <w:rFonts w:ascii="Arial" w:cs="Arial" w:eastAsia="Arial" w:hAnsi="Arial"/>
          <w:sz w:val="19"/>
          <w:szCs w:val="19"/>
          <w:b w:val="1"/>
          <w:bCs w:val="1"/>
          <w:color w:val="auto"/>
        </w:rPr>
        <w:t xml:space="preserve"> </w:t>
      </w:r>
      <w:r>
        <w:rPr>
          <w:rFonts w:ascii="Arial" w:cs="Arial" w:eastAsia="Arial" w:hAnsi="Arial"/>
          <w:sz w:val="19"/>
          <w:szCs w:val="19"/>
          <w:color w:val="auto"/>
        </w:rPr>
        <w:t>Member as its true and lawful 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amendments to the Certificate required or permitted by law or the provisions of this Agreement; (c) all certificates and other instruments (including consents and ratifications which the Members have agreed to provide upon a matter receiving the agreed support of Members) deemed advisable by the Managing Member to carry out the provisions of this Agreement and Law or to permit the Company to become or to continue as a limited liability company or entity wherein the Members have limited liability in each jurisdiction where the Company may be doing business; (d) all instruments that the Managing Member deems appropriate to reflect a change or modification of this Agreement or the Company in accordance with this Agreement, including, without limitation, the admission of additional Members or substituted Members pursuant to the provisions of this Agreement; (e) all conveyances and other instruments or papers deemed advisable by the Managing Member to effect the liquidation and termination of the Company; and (f) all fictitious or assumed name certificates required or permitted (in light of the Company’s activities) to be filed on behalf of the Company.</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11.16 Separate Agreements; Schedules</w:t>
      </w:r>
      <w:r>
        <w:rPr>
          <w:rFonts w:ascii="Arial" w:cs="Arial" w:eastAsia="Arial" w:hAnsi="Arial"/>
          <w:sz w:val="19"/>
          <w:szCs w:val="19"/>
          <w:color w:val="auto"/>
        </w:rPr>
        <w:t>. Notwithstanding any other provision of this Agreement, including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11.12, the Managing Member in its sole discretion may, or may cause the Company to, without the approval of any Member or other Person, enter into separate subscription, letter or other agreements with individual Members that have become or will become Members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Member(s) party thereto notwithstanding the provisions of this Agreement. The Managing Member in its sole discretion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 Notwithstanding anything to the contrary, solely for U.S. federal income tax purposes, this Agreement, the Tax Receivable Agreement, the Exchange Agreement and any other separate agreement described in this Section 11.16 shall constitute a “partnership agreement” within the meaning of Section 761 of the Code.</w:t>
      </w:r>
    </w:p>
    <w:p>
      <w:pPr>
        <w:spacing w:after="0" w:line="177"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b w:val="1"/>
          <w:bCs w:val="1"/>
          <w:color w:val="auto"/>
        </w:rPr>
        <w:t>11.17 Partnership Status</w:t>
      </w:r>
      <w:r>
        <w:rPr>
          <w:rFonts w:ascii="Arial" w:cs="Arial" w:eastAsia="Arial" w:hAnsi="Arial"/>
          <w:sz w:val="21"/>
          <w:szCs w:val="21"/>
          <w:color w:val="auto"/>
        </w:rPr>
        <w:t>. The Members intend to treat the Company as a partnership for U.S. federal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purposes and notwithstanding anything to the contrary herein, no election to the contrary shall be made.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2" w:name="page183"/>
    <w:bookmarkEnd w:id="182"/>
    <w:p>
      <w:pPr>
        <w:jc w:val="both"/>
        <w:ind w:firstLine="648"/>
        <w:spacing w:after="0" w:line="276" w:lineRule="auto"/>
        <w:rPr>
          <w:sz w:val="20"/>
          <w:szCs w:val="20"/>
          <w:color w:val="auto"/>
        </w:rPr>
      </w:pPr>
      <w:r>
        <w:rPr>
          <w:rFonts w:ascii="Arial" w:cs="Arial" w:eastAsia="Arial" w:hAnsi="Arial"/>
          <w:sz w:val="19"/>
          <w:szCs w:val="19"/>
          <w:b w:val="1"/>
          <w:bCs w:val="1"/>
          <w:color w:val="auto"/>
        </w:rPr>
        <w:t>11.18 Delivery by Facsimile or Email</w:t>
      </w:r>
      <w:r>
        <w:rPr>
          <w:rFonts w:ascii="Arial" w:cs="Arial" w:eastAsia="Arial" w:hAnsi="Arial"/>
          <w:sz w:val="19"/>
          <w:szCs w:val="19"/>
          <w:color w:val="auto"/>
        </w:rPr>
        <w:t>. This Agreement, the agreements referred to herein, and each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EMAINDER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EFT</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3" w:name="page184"/>
    <w:bookmarkEnd w:id="183"/>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HOLDING COMPANY,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4" w:name="page185"/>
    <w:bookmarkEnd w:id="184"/>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MANAGING MEMBER:</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TECHNOLOGY, INC.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85" w:name="page186"/>
    <w:bookmarkEnd w:id="185"/>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CHRISTOPHER BEALS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6" w:name="page187"/>
    <w:bookmarkEnd w:id="186"/>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ARDEN LEE</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7" w:name="page188"/>
    <w:bookmarkEnd w:id="187"/>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BRIAN CAMIRE</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88" w:name="page189"/>
    <w:bookmarkEnd w:id="188"/>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JUANJO FEIJOO</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Juanjo Feijoo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9" w:name="page190"/>
    <w:bookmarkEnd w:id="189"/>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JUSTIN DEAN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Justin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0" w:name="page191"/>
    <w:bookmarkEnd w:id="190"/>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420 CASA WAY,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Richard Ham</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1" w:name="page192"/>
    <w:bookmarkEnd w:id="191"/>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CALILOVE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Sabin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Sabin Burrell</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2" w:name="page193"/>
    <w:bookmarkEnd w:id="192"/>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BLACK DOG MANAGEMENT,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Sabin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Sabin Burrell</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3" w:name="page194"/>
    <w:bookmarkEnd w:id="193"/>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CERES HOLDINGS GROUP,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William Rubin</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Partner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4" w:name="page195"/>
    <w:bookmarkEnd w:id="194"/>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CLAY W. HAMLIN, IV</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Clay W. Hamlin,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5" w:name="page196"/>
    <w:bookmarkEnd w:id="195"/>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DOUG FRANCIS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6" w:name="page197"/>
    <w:bookmarkEnd w:id="196"/>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FCP VENTURES IV,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FCP Ventures IV Manager LLC</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Nirmal 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Nirmal Roy</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7" w:name="page198"/>
    <w:bookmarkEnd w:id="197"/>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CERES HOLDINGS GROUP,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William Rubin</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Partner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8" w:name="page199"/>
    <w:bookmarkEnd w:id="198"/>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GENCO INCENTIVES,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Doug Francis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9" w:name="page200"/>
    <w:bookmarkEnd w:id="199"/>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GHOST MEDIA GROUP,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Justin Hartfield</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Doug Francis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0" w:name="page201"/>
    <w:bookmarkEnd w:id="200"/>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INCEPTACON-IV,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The Inception Companies,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Brent Cox</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1" w:name="page202"/>
    <w:bookmarkEnd w:id="201"/>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JUSTIN HARTFIELD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2" w:name="page203"/>
    <w:bookmarkEnd w:id="202"/>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LBCW HOLDINGS, LP</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Stephen Chang</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Investment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3" w:name="page204"/>
    <w:bookmarkEnd w:id="203"/>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OBM HOLDINGS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Brent Cox</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4" w:name="page205"/>
    <w:bookmarkEnd w:id="204"/>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REDWOOD INVESTMENT HOLDINGS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5" w:name="page206"/>
    <w:bookmarkEnd w:id="205"/>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SCP OPPORTUNITIES FUND LLC – SERIES A</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Sunderland Capital Partners LP</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Sunderland GP LLC</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Bushley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Thomas Bushley</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6" w:name="page207"/>
    <w:bookmarkEnd w:id="206"/>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SEQUOIA INVESTMENT HOLDINGS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Landau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Steven Landau</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7" w:name="page208"/>
    <w:bookmarkEnd w:id="207"/>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SEVEN EIGHT INVESTMENTS,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Desiree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Desiree Hedge</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8" w:name="page209"/>
    <w:bookmarkEnd w:id="208"/>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STEVEN JUNG</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Steven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9" w:name="page210"/>
    <w:bookmarkEnd w:id="209"/>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Justin Hartfield</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Board 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0" w:name="page211"/>
    <w:bookmarkEnd w:id="210"/>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Doug Francis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1" w:name="page212"/>
    <w:bookmarkEnd w:id="211"/>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II,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Justin Hartfield</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Board 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2" w:name="page213"/>
    <w:bookmarkEnd w:id="212"/>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FOUNDERS LEGACY II,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Doug Francis</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3" w:name="page214"/>
    <w:bookmarkEnd w:id="213"/>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INVESTMENT PARTNERS,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Lindberg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Eric Lindberg</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4" w:name="page215"/>
    <w:bookmarkEnd w:id="214"/>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WM INVESTMENT PARTNERS II, LLC</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Lindberg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Eric Lindberg</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5" w:name="page216"/>
    <w:bookmarkEnd w:id="215"/>
    <w:p>
      <w:pPr>
        <w:ind w:firstLine="1296"/>
        <w:spacing w:after="0" w:line="306"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entered into this Agreement or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 by their respective authorized officers, in each case as of the date first above stated.</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OTHER MEMBERS: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YOUNG FAMILY LIMITED PARTNERSHIP</w:t>
      </w:r>
    </w:p>
    <w:p>
      <w:pPr>
        <w:spacing w:after="0" w:line="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Morris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Name: Morris Young</w:t>
      </w:r>
    </w:p>
    <w:p>
      <w:pPr>
        <w:spacing w:after="0" w:line="36"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Fourth Amended and Restated Operating Agreement of WM Holding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1"/>
          <w:szCs w:val="21"/>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86" w:lineRule="exact"/>
        <w:rPr>
          <w:sz w:val="20"/>
          <w:szCs w:val="20"/>
          <w:color w:val="auto"/>
        </w:rPr>
      </w:pPr>
    </w:p>
    <w:p>
      <w:pPr>
        <w:ind w:left="340" w:hanging="332"/>
        <w:spacing w:after="0" w:line="282" w:lineRule="auto"/>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Designation. </w:t>
      </w:r>
      <w:r>
        <w:rPr>
          <w:rFonts w:ascii="Arial" w:cs="Arial" w:eastAsia="Arial" w:hAnsi="Arial"/>
          <w:sz w:val="18"/>
          <w:szCs w:val="18"/>
          <w:color w:val="auto"/>
        </w:rPr>
        <w:t>A class of Units in the Company designated as “LTIP Units” is hereby established. LTIP Units are intended to qualify as “profits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the Company. The number of LTIP Units that may be issued by the Company shall not be limited</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jc w:val="both"/>
        <w:ind w:left="340" w:hanging="332"/>
        <w:spacing w:after="0" w:line="256" w:lineRule="auto"/>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LTIP Units may, in the sole discretion of the Managing Member, be issued subject to vesting, forfeiture and additional restrictions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an award, vesting or other similar agreement (a “</w:t>
      </w:r>
      <w:r>
        <w:rPr>
          <w:rFonts w:ascii="Arial" w:cs="Arial" w:eastAsia="Arial" w:hAnsi="Arial"/>
          <w:sz w:val="18"/>
          <w:szCs w:val="18"/>
          <w:b w:val="1"/>
          <w:bCs w:val="1"/>
          <w:i w:val="1"/>
          <w:iCs w:val="1"/>
          <w:color w:val="auto"/>
        </w:rPr>
        <w:t>Vesting Agreement</w:t>
      </w:r>
      <w:r>
        <w:rPr>
          <w:rFonts w:ascii="Arial" w:cs="Arial" w:eastAsia="Arial" w:hAnsi="Arial"/>
          <w:sz w:val="18"/>
          <w:szCs w:val="18"/>
          <w:color w:val="auto"/>
        </w:rPr>
        <w:t>”). The terms of any Vesting Agreement may be modified by the Managing Member from time to time in its sole discretion, subject to any restrictions on amendment imposed by the relevant Vesting Agreement or by the terms of any stock incentive plan pursuant to which the LTIP Units are issued, if applicable. LTIP Units that have vested and are no longer subject to forfeiture under the terms of a Vesting Agreement are referred to as “</w:t>
      </w:r>
      <w:r>
        <w:rPr>
          <w:rFonts w:ascii="Arial" w:cs="Arial" w:eastAsia="Arial" w:hAnsi="Arial"/>
          <w:sz w:val="18"/>
          <w:szCs w:val="18"/>
          <w:b w:val="1"/>
          <w:bCs w:val="1"/>
          <w:i w:val="1"/>
          <w:iCs w:val="1"/>
          <w:color w:val="auto"/>
        </w:rPr>
        <w:t>Vested LTIP Units</w:t>
      </w:r>
      <w:r>
        <w:rPr>
          <w:rFonts w:ascii="Arial" w:cs="Arial" w:eastAsia="Arial" w:hAnsi="Arial"/>
          <w:sz w:val="18"/>
          <w:szCs w:val="18"/>
          <w:color w:val="auto"/>
        </w:rPr>
        <w:t>;” all other LTIP Units are referred to as “</w:t>
      </w:r>
      <w:r>
        <w:rPr>
          <w:rFonts w:ascii="Arial" w:cs="Arial" w:eastAsia="Arial" w:hAnsi="Arial"/>
          <w:sz w:val="18"/>
          <w:szCs w:val="18"/>
          <w:b w:val="1"/>
          <w:bCs w:val="1"/>
          <w:i w:val="1"/>
          <w:iCs w:val="1"/>
          <w:color w:val="auto"/>
        </w:rPr>
        <w:t>Unvested LTIP Units</w:t>
      </w:r>
      <w:r>
        <w:rPr>
          <w:rFonts w:ascii="Arial" w:cs="Arial" w:eastAsia="Arial" w:hAnsi="Arial"/>
          <w:sz w:val="18"/>
          <w:szCs w:val="18"/>
          <w:color w:val="auto"/>
        </w:rPr>
        <w:t>.”</w:t>
      </w:r>
    </w:p>
    <w:p>
      <w:pPr>
        <w:spacing w:after="0" w:line="214" w:lineRule="exact"/>
        <w:rPr>
          <w:rFonts w:ascii="Arial" w:cs="Arial" w:eastAsia="Arial" w:hAnsi="Arial"/>
          <w:sz w:val="18"/>
          <w:szCs w:val="18"/>
          <w:b w:val="1"/>
          <w:bCs w:val="1"/>
          <w:color w:val="auto"/>
        </w:rPr>
      </w:pPr>
    </w:p>
    <w:p>
      <w:pPr>
        <w:jc w:val="both"/>
        <w:ind w:left="340" w:hanging="332"/>
        <w:spacing w:after="0" w:line="292" w:lineRule="auto"/>
        <w:tabs>
          <w:tab w:leader="none" w:pos="34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Forfeiture or Transfer of Unvested LTIP Units. </w:t>
      </w:r>
      <w:r>
        <w:rPr>
          <w:rFonts w:ascii="Arial" w:cs="Arial" w:eastAsia="Arial" w:hAnsi="Arial"/>
          <w:sz w:val="16"/>
          <w:szCs w:val="16"/>
          <w:color w:val="auto"/>
        </w:rPr>
        <w:t>Unless otherwise specified in the relevant Vesting Agreement, upon the occurrence of any event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specified in a Vesting Agreement resulting in either the forfeiture of any LTIP Units or the repurchase thereof by the Company at a specified purchase price, then, upon the occurrence of the circumstances resulting in such forfeiture or repurchase by the Company, the relevant LTIP Units shall immediately, and without any further action, be treated as cancelled and no longer outstanding for any purpose. Unless otherwise specified in the relevant Vesting Agreement, no consideration or other payment shall be due with respect to any LTIP Units that have been forfeited;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distribution declared with a record date prior to the effective date of such forfeiture, such forfeited LTIP Units shall be included in calculating the applicable holder’s Class A/LTIP Percentage Interest in accordance with Article IV of this Agreement</w:t>
      </w:r>
      <w:r>
        <w:rPr>
          <w:rFonts w:ascii="Arial" w:cs="Arial" w:eastAsia="Arial" w:hAnsi="Arial"/>
          <w:sz w:val="16"/>
          <w:szCs w:val="16"/>
          <w:b w:val="1"/>
          <w:bCs w:val="1"/>
          <w:color w:val="auto"/>
        </w:rPr>
        <w:t>.</w:t>
      </w:r>
    </w:p>
    <w:p>
      <w:pPr>
        <w:spacing w:after="0" w:line="188" w:lineRule="exact"/>
        <w:rPr>
          <w:rFonts w:ascii="Arial" w:cs="Arial" w:eastAsia="Arial" w:hAnsi="Arial"/>
          <w:sz w:val="16"/>
          <w:szCs w:val="16"/>
          <w:b w:val="1"/>
          <w:bCs w:val="1"/>
          <w:color w:val="auto"/>
        </w:rPr>
      </w:pPr>
    </w:p>
    <w:p>
      <w:pPr>
        <w:ind w:left="340" w:hanging="332"/>
        <w:spacing w:after="0" w:line="282" w:lineRule="auto"/>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Legend. </w:t>
      </w:r>
      <w:r>
        <w:rPr>
          <w:rFonts w:ascii="Arial" w:cs="Arial" w:eastAsia="Arial" w:hAnsi="Arial"/>
          <w:sz w:val="18"/>
          <w:szCs w:val="18"/>
          <w:color w:val="auto"/>
        </w:rPr>
        <w:t>Any certificate evidencing an LTIP Unit shall bear an appropriate legend indicating that additional terms, conditions and restrictions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without limitation provisions set forth in the Vesting Agreement, apply to the LTIP Unit.</w:t>
      </w:r>
    </w:p>
    <w:p>
      <w:pPr>
        <w:spacing w:after="0" w:line="18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If an LTIP Unit Adjustment Event (as defined below) occurs, then the Managing Member shall make a corresponding adjustment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LTIP Units to maintain the same correspondence between Class A Units and LTIP Units as existed prior to such LTIP Unit Adjustment Event. The following shall be “</w:t>
      </w:r>
      <w:r>
        <w:rPr>
          <w:rFonts w:ascii="Arial" w:cs="Arial" w:eastAsia="Arial" w:hAnsi="Arial"/>
          <w:sz w:val="16"/>
          <w:szCs w:val="16"/>
          <w:b w:val="1"/>
          <w:bCs w:val="1"/>
          <w:i w:val="1"/>
          <w:iCs w:val="1"/>
          <w:color w:val="auto"/>
        </w:rPr>
        <w:t>LTIP Unit Adjustment Events</w:t>
      </w:r>
      <w:r>
        <w:rPr>
          <w:rFonts w:ascii="Arial" w:cs="Arial" w:eastAsia="Arial" w:hAnsi="Arial"/>
          <w:sz w:val="16"/>
          <w:szCs w:val="16"/>
          <w:color w:val="auto"/>
        </w:rPr>
        <w:t>:” (A) the Company makes a distribution on all outstanding Class A Units in Units, (B) the Company subdivides the outstanding Class A Units into a greater number of Units or combines the outstanding Class A Units into a smaller number of Units, or (C) the Company issues any Units in exchange for its outstanding Class A Units by way of a reclassification or recapitalization. If more than one LTIP Unit Adjustment Event occurs, the adjustment to the LTIP Units need be made only once using a single formula that takes into account each and every LTIP Unit Adjustment Event as if all LTIP Unit Adjustment Events occurred simultaneously. If the Company takes an action affecting the Class A Units other than actions specifically described above as LTIP Unit Adjustment Events and in the opinion of the Managing Member such action would require an adjustment to the LTIP Units to maintain the correspondence between Class A Units and LTIP Units as it existed prior to such action, the Managing Member shall make such adjustment to the LTIP Units, to the extent permitted by law and by the terms of any Vesting Agreement or stock incentive plan pursuant to which the LTIP Units have been issued, in such manner and at such time as the Managing Member, in its sole discretion, may determine to be appropriate under the circumstances to maintain such correspondence. If an adjustment is made to the LTIP Units as herein provided, the Company shall promptly file in the books and records of the Company an officer’s certificate setting forth such adjustment and a brief statement of the facts requiring such adjustment, which certificate shall be conclusive evidence of the correctness of such adjustment absent manifest error. Promptly after filing such certificate, the Company shall mail or otherwise provide notice to each holder of LTIP Units setting forth the adjustment to his or her LTIP Units and the effective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8" w:name="page219"/>
    <w:bookmarkEnd w:id="218"/>
    <w:p>
      <w:pPr>
        <w:ind w:left="332" w:hanging="332"/>
        <w:spacing w:after="0" w:line="282" w:lineRule="auto"/>
        <w:tabs>
          <w:tab w:leader="none" w:pos="33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Members’ Rights to Transfer. </w:t>
      </w:r>
      <w:r>
        <w:rPr>
          <w:rFonts w:ascii="Arial" w:cs="Arial" w:eastAsia="Arial" w:hAnsi="Arial"/>
          <w:sz w:val="18"/>
          <w:szCs w:val="18"/>
          <w:color w:val="auto"/>
        </w:rPr>
        <w:t>Subject to the terms of the relevant Vesting Agreement or other document pursuant to which LTIP Units are granted, a</w:t>
      </w:r>
      <w:r>
        <w:rPr>
          <w:rFonts w:ascii="Arial" w:cs="Arial" w:eastAsia="Arial" w:hAnsi="Arial"/>
          <w:sz w:val="18"/>
          <w:szCs w:val="18"/>
          <w:b w:val="1"/>
          <w:bCs w:val="1"/>
          <w:color w:val="auto"/>
        </w:rPr>
        <w:t xml:space="preserve"> </w:t>
      </w:r>
      <w:r>
        <w:rPr>
          <w:rFonts w:ascii="Arial" w:cs="Arial" w:eastAsia="Arial" w:hAnsi="Arial"/>
          <w:sz w:val="18"/>
          <w:szCs w:val="18"/>
          <w:color w:val="auto"/>
        </w:rPr>
        <w:t>LTIP Unit Member may not transfer all or any portion of his or her LTIP Units</w:t>
      </w:r>
      <w:r>
        <w:rPr>
          <w:rFonts w:ascii="Arial" w:cs="Arial" w:eastAsia="Arial" w:hAnsi="Arial"/>
          <w:sz w:val="18"/>
          <w:szCs w:val="18"/>
          <w:b w:val="1"/>
          <w:bCs w:val="1"/>
          <w:color w:val="auto"/>
        </w:rPr>
        <w:t>.</w:t>
      </w:r>
    </w:p>
    <w:p>
      <w:pPr>
        <w:spacing w:after="0" w:line="188" w:lineRule="exact"/>
        <w:rPr>
          <w:rFonts w:ascii="Arial" w:cs="Arial" w:eastAsia="Arial" w:hAnsi="Arial"/>
          <w:sz w:val="18"/>
          <w:szCs w:val="18"/>
          <w:b w:val="1"/>
          <w:bCs w:val="1"/>
          <w:color w:val="auto"/>
        </w:rPr>
      </w:pPr>
    </w:p>
    <w:p>
      <w:pPr>
        <w:ind w:left="332" w:hanging="332"/>
        <w:spacing w:after="0"/>
        <w:tabs>
          <w:tab w:leader="none" w:pos="33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Allocations and Distributions.</w:t>
      </w:r>
    </w:p>
    <w:p>
      <w:pPr>
        <w:spacing w:after="0" w:line="25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7.1. All distributions shall be made to holders of LTIP Units in accordance with the provisions of Article IV of this Agreement.</w:t>
      </w:r>
    </w:p>
    <w:p>
      <w:pPr>
        <w:spacing w:after="0" w:line="252" w:lineRule="exact"/>
        <w:rPr>
          <w:rFonts w:ascii="Arial" w:cs="Arial" w:eastAsia="Arial" w:hAnsi="Arial"/>
          <w:sz w:val="18"/>
          <w:szCs w:val="18"/>
          <w:b w:val="1"/>
          <w:bCs w:val="1"/>
          <w:color w:val="auto"/>
        </w:rPr>
      </w:pPr>
    </w:p>
    <w:p>
      <w:pPr>
        <w:ind w:left="712"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All allocations, including allocations of Profit and Loss of the Company, special allocations and allocations upon final liquidation, shall be made to holders of LTIP Units in accordance with Article IV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511810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REGISTRATION RIGHTS AGREEMENT</w:t>
      </w:r>
    </w:p>
    <w:p>
      <w:pPr>
        <w:spacing w:after="0" w:line="23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THIS AMENDED AND RESTATED REGISTRATION RIGHTS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June 16, 2021, is made and entered into by and among WM Technology,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Silver Spike Sponsor, LLC, a Delaware limited liability company (the “</w:t>
      </w:r>
      <w:r>
        <w:rPr>
          <w:rFonts w:ascii="Arial" w:cs="Arial" w:eastAsia="Arial" w:hAnsi="Arial"/>
          <w:sz w:val="19"/>
          <w:szCs w:val="19"/>
          <w:b w:val="1"/>
          <w:bCs w:val="1"/>
          <w:i w:val="1"/>
          <w:iCs w:val="1"/>
          <w:color w:val="auto"/>
        </w:rPr>
        <w:t>Sponsor</w:t>
      </w:r>
      <w:r>
        <w:rPr>
          <w:rFonts w:ascii="Arial" w:cs="Arial" w:eastAsia="Arial" w:hAnsi="Arial"/>
          <w:sz w:val="19"/>
          <w:szCs w:val="19"/>
          <w:color w:val="auto"/>
        </w:rPr>
        <w:t>”), and the other undersigned parties listed under Holders on the signature pages hereto (each, a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Holders</w:t>
      </w:r>
      <w:r>
        <w:rPr>
          <w:rFonts w:ascii="Arial" w:cs="Arial" w:eastAsia="Arial" w:hAnsi="Arial"/>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concurrently with the execution of this Agreement, the Company is entering into that certain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Plan of Merger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by and among the Company, Silver Spike Merger Sub LLC, a Delaware limited liability company and wholly owned subsidiary of the Company, WM Holding Company, LLC, a Delaware limited liability company (“</w:t>
      </w:r>
      <w:r>
        <w:rPr>
          <w:rFonts w:ascii="Arial" w:cs="Arial" w:eastAsia="Arial" w:hAnsi="Arial"/>
          <w:sz w:val="22"/>
          <w:szCs w:val="22"/>
          <w:b w:val="1"/>
          <w:bCs w:val="1"/>
          <w:i w:val="1"/>
          <w:iCs w:val="1"/>
          <w:color w:val="auto"/>
        </w:rPr>
        <w:t>WM Holding</w:t>
      </w:r>
      <w:r>
        <w:rPr>
          <w:rFonts w:ascii="Arial" w:cs="Arial" w:eastAsia="Arial" w:hAnsi="Arial"/>
          <w:sz w:val="22"/>
          <w:szCs w:val="22"/>
          <w:color w:val="auto"/>
        </w:rPr>
        <w:t>”) and Ghost Media Group, LLC, a Nevada limited liability company, solely in its capacity as the initial holder representative under the Merger Agreement, to effect the business combination with WM Holding (the “</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Combination</w:t>
      </w:r>
      <w:r>
        <w:rPr>
          <w:rFonts w:ascii="Arial" w:cs="Arial" w:eastAsia="Arial" w:hAnsi="Arial"/>
          <w:sz w:val="22"/>
          <w:szCs w:val="22"/>
          <w:color w:val="auto"/>
        </w:rPr>
        <w:t>”);</w:t>
      </w:r>
    </w:p>
    <w:p>
      <w:pPr>
        <w:spacing w:after="0" w:line="209"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Sponsor are parties to that certain Registration Rights Agreement dated as of August</w:t>
      </w:r>
      <w:r>
        <w:rPr>
          <w:rFonts w:ascii="Arial" w:cs="Arial" w:eastAsia="Arial" w:hAnsi="Arial"/>
          <w:sz w:val="22"/>
          <w:szCs w:val="22"/>
          <w:b w:val="1"/>
          <w:bCs w:val="1"/>
          <w:color w:val="auto"/>
        </w:rPr>
        <w:t xml:space="preserve"> </w:t>
      </w:r>
      <w:r>
        <w:rPr>
          <w:rFonts w:ascii="Arial" w:cs="Arial" w:eastAsia="Arial" w:hAnsi="Arial"/>
          <w:sz w:val="22"/>
          <w:szCs w:val="22"/>
          <w:color w:val="auto"/>
        </w:rPr>
        <w:t>7, 2019 (the “</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 pursuant to which the Company granted the Sponsor certain registration rights with respect to certain securities of the Company; and</w:t>
      </w:r>
    </w:p>
    <w:p>
      <w:pPr>
        <w:spacing w:after="0" w:line="204" w:lineRule="exact"/>
        <w:rPr>
          <w:sz w:val="20"/>
          <w:szCs w:val="20"/>
          <w:color w:val="auto"/>
        </w:rPr>
      </w:pPr>
    </w:p>
    <w:p>
      <w:pPr>
        <w:ind w:right="340"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 a condition of, and as a material inducement for WM Holding to enter into and consummate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contemplated by the Merger Agreement, the Company and the Sponsor have agreed to amend and restate the Original Agreement in order to provide certain registration rights relating to the registration of shares of Common Stock (as defined below) held by the equityholders of WM Holding as of and contingent upon the closing of the Business Combination.</w:t>
      </w:r>
    </w:p>
    <w:p>
      <w:pPr>
        <w:spacing w:after="0" w:line="163" w:lineRule="exact"/>
        <w:rPr>
          <w:sz w:val="20"/>
          <w:szCs w:val="20"/>
          <w:color w:val="auto"/>
        </w:rPr>
      </w:pPr>
    </w:p>
    <w:p>
      <w:pPr>
        <w:ind w:right="160" w:firstLine="648"/>
        <w:spacing w:after="0" w:line="23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representations, covenants and agreements contained herein, and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other good and valuable consideration, the receipt and sufficiency of which are hereby acknowledged, the parties hereto, intending to be legally bound, hereby agree that the Original Agreement is hereby amended and restated in its entirety, as of and contingent upon the closing of the Business Combination,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The terms defined in this Article I shall, for all purposes of this Agreement, have the respective meanings set forth below:</w:t>
      </w:r>
    </w:p>
    <w:p>
      <w:pPr>
        <w:spacing w:after="0" w:line="202"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Disclosure</w:t>
      </w:r>
      <w:r>
        <w:rPr>
          <w:rFonts w:ascii="Arial" w:cs="Arial" w:eastAsia="Arial" w:hAnsi="Arial"/>
          <w:sz w:val="22"/>
          <w:szCs w:val="22"/>
          <w:color w:val="auto"/>
        </w:rPr>
        <w:t>” shall mean any public disclosure of material non-public information, which disclosure, in the good faith judgment of the Chief Executive Officer or any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shall mean the Board of Directors of the Company.</w:t>
      </w:r>
    </w:p>
    <w:p>
      <w:pPr>
        <w:spacing w:after="0" w:line="233" w:lineRule="exact"/>
        <w:rPr>
          <w:sz w:val="20"/>
          <w:szCs w:val="20"/>
          <w:color w:val="auto"/>
        </w:rPr>
      </w:pPr>
    </w:p>
    <w:p>
      <w:pPr>
        <w:ind w:right="5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0" w:name="page221"/>
    <w:bookmarkEnd w:id="22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shall mean the Securities and Exchange Commission.</w:t>
      </w:r>
    </w:p>
    <w:p>
      <w:pPr>
        <w:spacing w:after="0" w:line="233" w:lineRule="exact"/>
        <w:rPr>
          <w:sz w:val="20"/>
          <w:szCs w:val="20"/>
          <w:color w:val="auto"/>
        </w:rPr>
      </w:pPr>
    </w:p>
    <w:p>
      <w:pPr>
        <w:ind w:right="8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shall mean the Class A shares of common stock, par value $0.0001 per share, of the Company outstanding immediately following the transactions contemplated by the Merger Agreement.</w:t>
      </w:r>
    </w:p>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 Equivalents</w:t>
      </w:r>
      <w:r>
        <w:rPr>
          <w:rFonts w:ascii="Arial" w:cs="Arial" w:eastAsia="Arial" w:hAnsi="Arial"/>
          <w:sz w:val="22"/>
          <w:szCs w:val="22"/>
          <w:color w:val="auto"/>
        </w:rPr>
        <w:t>” shall mean any rights, warrants, options, convertible securities or indebtedness, exchangeable securities or indebtedness, or other rights, exercisable for or convertible or exchangeable into, directly or indirectly, Class A Common Stock and securities convertible or exchangeable into Class A Common Stock, whether at the time of issuance or upon the passage of time or the occurrence of such future event, including Units and the Class V Common Stock of the Company.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Demanding Holders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 Registration Period</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 Registration Request</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Effectiveness Date</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it may be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Filing Date</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2.1.1(a)</w:t>
      </w:r>
      <w:r>
        <w:rPr>
          <w:rFonts w:ascii="Arial" w:cs="Arial" w:eastAsia="Arial" w:hAnsi="Arial"/>
          <w:sz w:val="22"/>
          <w:szCs w:val="22"/>
          <w:color w:val="auto"/>
        </w:rPr>
        <w:t>.</w:t>
      </w:r>
    </w:p>
    <w:p>
      <w:pPr>
        <w:spacing w:after="0" w:line="233" w:lineRule="exact"/>
        <w:rPr>
          <w:sz w:val="20"/>
          <w:szCs w:val="20"/>
          <w:color w:val="auto"/>
        </w:rPr>
      </w:pPr>
    </w:p>
    <w:p>
      <w:pPr>
        <w:ind w:right="10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S-1</w:t>
      </w:r>
      <w:r>
        <w:rPr>
          <w:rFonts w:ascii="Arial" w:cs="Arial" w:eastAsia="Arial" w:hAnsi="Arial"/>
          <w:sz w:val="22"/>
          <w:szCs w:val="22"/>
          <w:color w:val="auto"/>
        </w:rPr>
        <w:t>” shall mean Form S-1 for the registration of securities under the Securities Act promulgated by the Commission.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S-1 Shelf</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2.1.6</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S-3</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2.4</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S-3 Shelf</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2.1.6</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Founder Shares Lock-up Period</w:t>
      </w:r>
      <w:r>
        <w:rPr>
          <w:rFonts w:ascii="Arial" w:cs="Arial" w:eastAsia="Arial" w:hAnsi="Arial"/>
          <w:sz w:val="21"/>
          <w:szCs w:val="21"/>
          <w:color w:val="auto"/>
        </w:rPr>
        <w:t>” shall mean, with respect to the Common Stock held by the Sponsor from and after the closing of the Business Combination, the period ending on the earlier of (A) one year after the date hereof or (B) subsequent to the date hereof, (x) if the last reported sale price of the Common Stock equals or exceeds $12.00 per share (as adjusted for share splits, share dividends, rights issuances, subdivisions, reorganizations, recapitalizations and the like) for any 20 trading days within any 30-trading day period commencing at least 150 days after the date of the closing of the Business Combination or (y) in any case, if, after the date hereof, the Company completes a liquidation, merger, amalgamation, share exchange, reorganization or other similar transaction that results in all of the Company’s public shareholders having the right to exchange their shares of common stock for cash, securities or other property.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Insider Letter</w:t>
      </w:r>
      <w:r>
        <w:rPr>
          <w:rFonts w:ascii="Arial" w:cs="Arial" w:eastAsia="Arial" w:hAnsi="Arial"/>
          <w:sz w:val="22"/>
          <w:szCs w:val="22"/>
          <w:color w:val="auto"/>
        </w:rPr>
        <w:t>” shall mean that certain letter agreement, dated as of August 7, 2019, by and among the Company, the Sponsor and each of the Company’s officers, directors and director nominees.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Number of Securities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2.1.4</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shall have the meaning set forth in the Recitals hereto.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Demand Threshold</w:t>
      </w:r>
      <w:r>
        <w:rPr>
          <w:rFonts w:ascii="Arial" w:cs="Arial" w:eastAsia="Arial" w:hAnsi="Arial"/>
          <w:sz w:val="22"/>
          <w:szCs w:val="22"/>
          <w:color w:val="auto"/>
        </w:rPr>
        <w:t>” shall mean $10.0 million.</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Misstatement</w:t>
      </w:r>
      <w:r>
        <w:rPr>
          <w:rFonts w:ascii="Arial" w:cs="Arial" w:eastAsia="Arial" w:hAnsi="Arial"/>
          <w:sz w:val="19"/>
          <w:szCs w:val="19"/>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 shall have the meaning set forth in the Recitals hereto.</w:t>
      </w:r>
    </w:p>
    <w:p>
      <w:pPr>
        <w:spacing w:after="0" w:line="233"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Transferees</w:t>
      </w:r>
      <w:r>
        <w:rPr>
          <w:rFonts w:ascii="Arial" w:cs="Arial" w:eastAsia="Arial" w:hAnsi="Arial"/>
          <w:sz w:val="22"/>
          <w:szCs w:val="22"/>
          <w:color w:val="auto"/>
        </w:rPr>
        <w:t>” shall mean any person or entity to whom the Sponsor is permitted to transfer such Registrable Securities prior to the expiration of the Founder Shares Lock-up Period or Private Placement Lock-up Period, as the case may be, under the Insider Letter and any other applicable agreement between the Sponsor and the Company and to any transferee thereafter.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Piggyback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2.2.1</w:t>
      </w:r>
      <w:r>
        <w:rPr>
          <w:rFonts w:ascii="Arial" w:cs="Arial" w:eastAsia="Arial" w:hAnsi="Arial"/>
          <w:sz w:val="22"/>
          <w:szCs w:val="22"/>
          <w:color w:val="auto"/>
        </w:rPr>
        <w:t>.</w:t>
      </w:r>
    </w:p>
    <w:p>
      <w:pPr>
        <w:spacing w:after="0" w:line="23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Lock-up Period</w:t>
      </w:r>
      <w:r>
        <w:rPr>
          <w:rFonts w:ascii="Arial" w:cs="Arial" w:eastAsia="Arial" w:hAnsi="Arial"/>
          <w:sz w:val="22"/>
          <w:szCs w:val="22"/>
          <w:color w:val="auto"/>
        </w:rPr>
        <w:t>” shall mean, with respect to Private Placement Warrants that are held by the initial purchasers of such Private Placement Warrants or their Permitted Transferees, and any of the shares of Common Stock issued or issuable upon the exercise or conversion of the Private Placement Warrants and that are held by the initial purchasers of the Private Placement Warrants or their Permitted Transferees, the period ending 30 days after the completion of the Business Combination.</w:t>
      </w:r>
    </w:p>
    <w:p>
      <w:pPr>
        <w:spacing w:after="0" w:line="214" w:lineRule="exact"/>
        <w:rPr>
          <w:sz w:val="20"/>
          <w:szCs w:val="20"/>
          <w:color w:val="auto"/>
        </w:rPr>
      </w:pPr>
    </w:p>
    <w:p>
      <w:pPr>
        <w:ind w:right="10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Warrants</w:t>
      </w:r>
      <w:r>
        <w:rPr>
          <w:rFonts w:ascii="Arial" w:cs="Arial" w:eastAsia="Arial" w:hAnsi="Arial"/>
          <w:sz w:val="22"/>
          <w:szCs w:val="22"/>
          <w:color w:val="auto"/>
        </w:rPr>
        <w:t>” shall mean the 7,000,000 warrants purchased on a private placement occurring simultaneously with the closing of the Company’s initial public offering.</w:t>
      </w:r>
    </w:p>
    <w:p>
      <w:pPr>
        <w:spacing w:after="0" w:line="202" w:lineRule="exact"/>
        <w:rPr>
          <w:sz w:val="20"/>
          <w:szCs w:val="20"/>
          <w:color w:val="auto"/>
        </w:rPr>
      </w:pPr>
    </w:p>
    <w:p>
      <w:pPr>
        <w:ind w:right="3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Prospectus</w:t>
      </w:r>
      <w:r>
        <w:rPr>
          <w:rFonts w:ascii="Arial" w:cs="Arial" w:eastAsia="Arial" w:hAnsi="Arial"/>
          <w:sz w:val="22"/>
          <w:szCs w:val="2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213"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Registrable Security</w:t>
      </w:r>
      <w:r>
        <w:rPr>
          <w:rFonts w:ascii="Arial" w:cs="Arial" w:eastAsia="Arial" w:hAnsi="Arial"/>
          <w:sz w:val="19"/>
          <w:szCs w:val="19"/>
          <w:color w:val="auto"/>
        </w:rPr>
        <w:t xml:space="preserve">” shall mean (a) the shares of Common Stock, (b) the Private Placement Warrants (including any shares of Common Stock issued or issuable upon the exercise of any such Private Placement Warrants), (c) any shares of Common Stock issuable upon the exercise, conversion or exchange of Common Stock Equivalents, and (d) any other equity security of the Company issued or issuable with respect to any such shares of Common Stock or Common Stock Equivalents by way of a share dividend or share split or in connection with a combination of shares, recapitalization, merger, consolidation or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entries credits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manner of sale or other restrictions or limitations); or (E) such securities have been sold to, or through, a broker, dealer or underwriter in a public distribution or other public securities transaction.</w:t>
      </w:r>
    </w:p>
    <w:p>
      <w:pPr>
        <w:spacing w:after="0" w:line="200" w:lineRule="exact"/>
        <w:rPr>
          <w:sz w:val="20"/>
          <w:szCs w:val="20"/>
          <w:color w:val="auto"/>
        </w:rPr>
      </w:pPr>
    </w:p>
    <w:p>
      <w:pPr>
        <w:spacing w:after="0" w:line="234"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w:t>
      </w:r>
      <w:r>
        <w:rPr>
          <w:rFonts w:ascii="Arial" w:cs="Arial" w:eastAsia="Arial" w:hAnsi="Arial"/>
          <w:sz w:val="22"/>
          <w:szCs w:val="2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13"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Expenses</w:t>
      </w:r>
      <w:r>
        <w:rPr>
          <w:rFonts w:ascii="Arial" w:cs="Arial" w:eastAsia="Arial" w:hAnsi="Arial"/>
          <w:sz w:val="22"/>
          <w:szCs w:val="22"/>
          <w:color w:val="auto"/>
        </w:rPr>
        <w:t>” shall mean the out-of-pocket expenses of a Registration, including,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2" w:name="page223"/>
    <w:bookmarkEnd w:id="222"/>
    <w:p>
      <w:pPr>
        <w:ind w:left="660" w:right="360" w:firstLine="644"/>
        <w:spacing w:after="0" w:line="329" w:lineRule="auto"/>
        <w:tabs>
          <w:tab w:leader="none" w:pos="166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all registration and filing fees (including fees with respect to filings required to be made with the Financial Industry Regulatory Authority, Inc.) and any securities exchange on which the Common Stock is then listed;</w:t>
      </w:r>
    </w:p>
    <w:p>
      <w:pPr>
        <w:spacing w:after="0" w:line="130" w:lineRule="exact"/>
        <w:rPr>
          <w:rFonts w:ascii="Arial" w:cs="Arial" w:eastAsia="Arial" w:hAnsi="Arial"/>
          <w:sz w:val="19"/>
          <w:szCs w:val="19"/>
          <w:color w:val="auto"/>
        </w:rPr>
      </w:pPr>
    </w:p>
    <w:p>
      <w:pPr>
        <w:ind w:left="660" w:firstLine="644"/>
        <w:spacing w:after="0" w:line="328" w:lineRule="auto"/>
        <w:tabs>
          <w:tab w:leader="none" w:pos="165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fees and expenses of compliance with securities or blue sky laws (including reasonable fees and disbursements of counsel for the Underwriters in connection with blue sky qualifications of Registrable Securities);</w:t>
      </w:r>
    </w:p>
    <w:p>
      <w:pPr>
        <w:spacing w:after="0" w:line="131" w:lineRule="exact"/>
        <w:rPr>
          <w:rFonts w:ascii="Arial" w:cs="Arial" w:eastAsia="Arial" w:hAnsi="Arial"/>
          <w:sz w:val="19"/>
          <w:szCs w:val="19"/>
          <w:color w:val="auto"/>
        </w:rPr>
      </w:pPr>
    </w:p>
    <w:p>
      <w:pPr>
        <w:ind w:left="1640" w:hanging="336"/>
        <w:spacing w:after="0"/>
        <w:tabs>
          <w:tab w:leader="none" w:pos="16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printing, messenger, telephone and delivery expenses;</w:t>
      </w:r>
    </w:p>
    <w:p>
      <w:pPr>
        <w:spacing w:after="0" w:line="233" w:lineRule="exact"/>
        <w:rPr>
          <w:rFonts w:ascii="Arial" w:cs="Arial" w:eastAsia="Arial" w:hAnsi="Arial"/>
          <w:sz w:val="22"/>
          <w:szCs w:val="22"/>
          <w:color w:val="auto"/>
        </w:rPr>
      </w:pPr>
    </w:p>
    <w:p>
      <w:pPr>
        <w:ind w:left="1660" w:hanging="356"/>
        <w:spacing w:after="0"/>
        <w:tabs>
          <w:tab w:leader="none" w:pos="16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reasonable fees and disbursements of counsel for the Company;</w:t>
      </w:r>
    </w:p>
    <w:p>
      <w:pPr>
        <w:spacing w:after="0" w:line="233" w:lineRule="exact"/>
        <w:rPr>
          <w:rFonts w:ascii="Arial" w:cs="Arial" w:eastAsia="Arial" w:hAnsi="Arial"/>
          <w:sz w:val="22"/>
          <w:szCs w:val="22"/>
          <w:color w:val="auto"/>
        </w:rPr>
      </w:pPr>
    </w:p>
    <w:p>
      <w:pPr>
        <w:ind w:left="660" w:right="200" w:firstLine="644"/>
        <w:spacing w:after="0" w:line="250" w:lineRule="auto"/>
        <w:tabs>
          <w:tab w:leader="none" w:pos="163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reasonable fees and disbursements of all independent registered public accountants of the Company incurred specifically in connection with such Registration; and</w:t>
      </w:r>
    </w:p>
    <w:p>
      <w:pPr>
        <w:spacing w:after="0" w:line="201" w:lineRule="exact"/>
        <w:rPr>
          <w:rFonts w:ascii="Arial" w:cs="Arial" w:eastAsia="Arial" w:hAnsi="Arial"/>
          <w:sz w:val="22"/>
          <w:szCs w:val="22"/>
          <w:color w:val="auto"/>
        </w:rPr>
      </w:pPr>
    </w:p>
    <w:p>
      <w:pPr>
        <w:ind w:left="660" w:right="580" w:firstLine="644"/>
        <w:spacing w:after="0" w:line="250" w:lineRule="auto"/>
        <w:tabs>
          <w:tab w:leader="none" w:pos="162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reasonable fees and expenses of one legal counsel selected by the holders of a majority-in-interest of the Registrable Securities to be registered for offer and sale in the applicable Registration.</w:t>
      </w:r>
    </w:p>
    <w:p>
      <w:pPr>
        <w:spacing w:after="0" w:line="202" w:lineRule="exact"/>
        <w:rPr>
          <w:sz w:val="20"/>
          <w:szCs w:val="20"/>
          <w:color w:val="auto"/>
        </w:rPr>
      </w:pPr>
    </w:p>
    <w:p>
      <w:pPr>
        <w:ind w:right="4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Requesting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Securities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3.6.1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w:t>
      </w:r>
      <w:r>
        <w:rPr>
          <w:rFonts w:ascii="Arial" w:cs="Arial" w:eastAsia="Arial" w:hAnsi="Arial"/>
          <w:sz w:val="22"/>
          <w:szCs w:val="22"/>
          <w:i w:val="1"/>
          <w:iCs w:val="1"/>
          <w:color w:val="auto"/>
        </w:rPr>
        <w:t>t</w:t>
      </w:r>
      <w:r>
        <w:rPr>
          <w:rFonts w:ascii="Arial" w:cs="Arial" w:eastAsia="Arial" w:hAnsi="Arial"/>
          <w:sz w:val="22"/>
          <w:szCs w:val="22"/>
          <w:color w:val="auto"/>
        </w:rPr>
        <w:t>” shall mean the Securities Act of 1933, as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 shall have the meaning set forth in the Recitals.</w:t>
      </w:r>
    </w:p>
    <w:p>
      <w:pPr>
        <w:spacing w:after="0" w:line="23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shall mean a securities dealer who purchases any Registrable Securities as principal in an Underwritten Offering and not as part of such dealer’s market-making activities.</w:t>
      </w:r>
    </w:p>
    <w:p>
      <w:pPr>
        <w:spacing w:after="0" w:line="20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Underwritten Registration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Underwritten Offering</w:t>
      </w:r>
      <w:r>
        <w:rPr>
          <w:rFonts w:ascii="Arial" w:cs="Arial" w:eastAsia="Arial" w:hAnsi="Arial"/>
          <w:sz w:val="22"/>
          <w:szCs w:val="22"/>
          <w:color w:val="auto"/>
        </w:rPr>
        <w:t>” shall mean a Registration in which securities of the Company are sold to an Underwriter in a firm commitment underwriting for distribution to the public.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shall mean Surviving Company Membership Units as defined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REGISTRATIONS</w:t>
      </w:r>
    </w:p>
    <w:p>
      <w:pPr>
        <w:ind w:left="66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2.1.1 Request for Registration.</w:t>
      </w:r>
    </w:p>
    <w:p>
      <w:pPr>
        <w:spacing w:after="0" w:line="233" w:lineRule="exact"/>
        <w:rPr>
          <w:sz w:val="20"/>
          <w:szCs w:val="20"/>
          <w:color w:val="auto"/>
        </w:rPr>
      </w:pPr>
    </w:p>
    <w:p>
      <w:pPr>
        <w:ind w:firstLine="1952"/>
        <w:spacing w:after="0" w:line="269" w:lineRule="auto"/>
        <w:tabs>
          <w:tab w:leader="none" w:pos="223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Subject to the provisions of subsection 2.1.4, subsection 2.1.6 and Section 2.4, at any time and from time to time on or after the date the Company consummates the initial Business Combination, either (i) one or more Holders (other than the Sponsor or its affiliates or transferees) or (ii) the Sponsor or its affiliates or transferees , in either case of clause (i) or (ii) representing Registrable Securities with a total offering price reasonably expected to exceed, in the aggregate, the Minimum Demand Threshold,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9"/>
          <w:szCs w:val="19"/>
          <w:b w:val="1"/>
          <w:bCs w:val="1"/>
          <w:i w:val="1"/>
          <w:iCs w:val="1"/>
          <w:color w:val="auto"/>
        </w:rPr>
        <w:t>Demand Registration</w:t>
      </w:r>
      <w:r>
        <w:rPr>
          <w:rFonts w:ascii="Arial" w:cs="Arial" w:eastAsia="Arial" w:hAnsi="Arial"/>
          <w:sz w:val="19"/>
          <w:szCs w:val="19"/>
          <w:color w:val="auto"/>
        </w:rPr>
        <w:t>” and such persons making such written demand, the “</w:t>
      </w:r>
      <w:r>
        <w:rPr>
          <w:rFonts w:ascii="Arial" w:cs="Arial" w:eastAsia="Arial" w:hAnsi="Arial"/>
          <w:sz w:val="19"/>
          <w:szCs w:val="19"/>
          <w:b w:val="1"/>
          <w:bCs w:val="1"/>
          <w:i w:val="1"/>
          <w:iCs w:val="1"/>
          <w:color w:val="auto"/>
        </w:rPr>
        <w:t>Demanding Holders</w:t>
      </w:r>
      <w:r>
        <w:rPr>
          <w:rFonts w:ascii="Arial" w:cs="Arial" w:eastAsia="Arial" w:hAnsi="Arial"/>
          <w:sz w:val="19"/>
          <w:szCs w:val="19"/>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9"/>
          <w:szCs w:val="19"/>
          <w:b w:val="1"/>
          <w:bCs w:val="1"/>
          <w:i w:val="1"/>
          <w:iCs w:val="1"/>
          <w:color w:val="auto"/>
        </w:rPr>
        <w:t>Requesting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shall so notify the Company, in writing, within five (5) days after the receipt by the Holder of the notice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Upon receipt by the Company of any such written notification from a Requesting Holder(s) to the Company, such Requesting Holder(s) shall be entitled to have their Registrable Securities included in a Registration pursuant to a Demand Registration and the Company shall (i) file a Registration Statement in respect of all Registrable Securities requested by the Demanding Holders and Requesting Holder(s) pursuant such Demand Registration, not more than forty five (45) days immediately after the Company’s receipt of the Demand Registration, and (ii) shall effect the registration thereof as soon as practicable thereafter. Under no circumstances shall the Company be obligated to effect more than an (x) aggregate of three (3) Registrations pursuant to a Demand Registration initiated by one or more Holders (other than the Sponsor or its affiliates or transferees) and (y) an aggregate of three (3) Registrations pursuant to a Demand Registration initiated by the Sponsor or its affiliates or transferees, in each case under this subsection 2.1.1 with respect to any or all Registrable Securities; provided, however, that a Registration shall not be counted for such purposes unless a Form S-1 or any similar long-form registration statement that may be available at such time (“</w:t>
      </w:r>
      <w:r>
        <w:rPr>
          <w:rFonts w:ascii="Arial" w:cs="Arial" w:eastAsia="Arial" w:hAnsi="Arial"/>
          <w:sz w:val="19"/>
          <w:szCs w:val="19"/>
          <w:b w:val="1"/>
          <w:bCs w:val="1"/>
          <w:i w:val="1"/>
          <w:iCs w:val="1"/>
          <w:color w:val="auto"/>
        </w:rPr>
        <w:t>Form S-1</w:t>
      </w:r>
      <w:r>
        <w:rPr>
          <w:rFonts w:ascii="Arial" w:cs="Arial" w:eastAsia="Arial" w:hAnsi="Arial"/>
          <w:sz w:val="19"/>
          <w:szCs w:val="19"/>
          <w:color w:val="auto"/>
        </w:rPr>
        <w:t>”) has become effective and all of the Registrable Securities requested by the Requesting Holders to be registered on behalf of the Requesting Holders in such Form S-1 Registration have been sold, in accordance with Section 3.1 of this Agreement. For the avoidance of doubt, each of (i) the holders of a majority-in-interest of the Registrable Securities held by the Holders and (ii) the Sponsor shall be permitted to exercise a Demand Registration Statement pursuant to this subsection 2.1.1 with respect to their Registrable Securities.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firstLine="1296"/>
        <w:spacing w:after="0" w:line="272"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Effective Registration</w:t>
      </w:r>
      <w:r>
        <w:rPr>
          <w:rFonts w:ascii="Arial" w:cs="Arial" w:eastAsia="Arial" w:hAnsi="Arial"/>
          <w:sz w:val="19"/>
          <w:szCs w:val="19"/>
          <w:color w:val="auto"/>
        </w:rPr>
        <w:t xml:space="preserve">. Notwithstanding the provisions of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elects to continue with such Registration and accordingly notify the Company in writing, but in no event later than five (5) days,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3" w:lineRule="exact"/>
        <w:rPr>
          <w:sz w:val="20"/>
          <w:szCs w:val="20"/>
          <w:color w:val="auto"/>
        </w:rPr>
      </w:pPr>
    </w:p>
    <w:p>
      <w:pPr>
        <w:ind w:right="40" w:firstLine="1296"/>
        <w:spacing w:after="0" w:line="271"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Underwritten Offering</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2.1.4, subsection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hereof, if a majority-in-interest of the Demanding Holders so elect and such Demanding Holders advise the Company as part of its Demand Registration that the offering of the Registrable Securities pursuant to such Demand Registration shall be in the form of an Underwritten Offering, then the right of each Demanding Holder and Requesting Holder to include its Registrable Securities in such Registration shall be conditioned upon such Holder’s participation in such Underwritten Offering and the inclusion of such Holder’s Registrable Securities in such Underwritten Offering to the extent provided herein; provided that such Demanding Holder(s) (a) reasonably expect aggregate gross proceeds in excess of the Minimum Demand Threshold from such Underwritten Offerings (it being understood that the Company shall not be required to conduct more than two Underwritten Offerings where the expected aggregate proceeds are below $25,000,000 but in excess of the Minimum Demand Threshold in any 12-month period) or (b) reasonably expects to sell all of the Registrable Securities held by such Holder in such Underwritten Offering but in no event less than $5,000,000 in aggregate gross proceeds. All such Holders proposing to distribute their Registrable Securities through an Underwritten Offering under this </w:t>
      </w:r>
      <w:r>
        <w:rPr>
          <w:rFonts w:ascii="Arial" w:cs="Arial" w:eastAsia="Arial" w:hAnsi="Arial"/>
          <w:sz w:val="19"/>
          <w:szCs w:val="19"/>
          <w:u w:val="single" w:color="auto"/>
          <w:color w:val="auto"/>
        </w:rPr>
        <w:t>subsection 2.1.3</w:t>
      </w:r>
      <w:r>
        <w:rPr>
          <w:rFonts w:ascii="Arial" w:cs="Arial" w:eastAsia="Arial" w:hAnsi="Arial"/>
          <w:sz w:val="19"/>
          <w:szCs w:val="19"/>
          <w:color w:val="auto"/>
        </w:rPr>
        <w:t xml:space="preserve"> shall enter into an underwriting agreement in customary form with the Underwriter(s) selected for such Underwritten Offering by a majority-in-interest of the holders initiating the Demand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041" w:gutter="0" w:footer="0" w:header="0"/>
        </w:sectPr>
      </w:pPr>
    </w:p>
    <w:bookmarkStart w:id="224" w:name="page225"/>
    <w:bookmarkEnd w:id="224"/>
    <w:p>
      <w:pPr>
        <w:ind w:firstLine="1296"/>
        <w:spacing w:after="0" w:line="268"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Reduction of Underwritten Offering</w:t>
      </w:r>
      <w:r>
        <w:rPr>
          <w:rFonts w:ascii="Arial" w:cs="Arial" w:eastAsia="Arial" w:hAnsi="Arial"/>
          <w:sz w:val="19"/>
          <w:szCs w:val="19"/>
          <w:color w:val="auto"/>
        </w:rPr>
        <w:t>. If the managing Underwriter or Underwriters in an Underwritten Registration pursuant to a Demand Registration, in good faith, advises the Company and the Requesting Holders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9"/>
          <w:szCs w:val="19"/>
          <w:b w:val="1"/>
          <w:bCs w:val="1"/>
          <w:i w:val="1"/>
          <w:iCs w:val="1"/>
          <w:color w:val="auto"/>
        </w:rPr>
        <w:t>Maximum Number of Securities</w:t>
      </w:r>
      <w:r>
        <w:rPr>
          <w:rFonts w:ascii="Arial" w:cs="Arial" w:eastAsia="Arial" w:hAnsi="Arial"/>
          <w:sz w:val="19"/>
          <w:szCs w:val="19"/>
          <w:color w:val="auto"/>
        </w:rPr>
        <w:t>”), then the Company shall include in such Underwritten Offering, as follows: (i) first, the Registrable Securities of the Demanding Holders and Requesting 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 respective number of Registrable Securities that each Demanding Holder and Requesting Holder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w:t>
      </w:r>
    </w:p>
    <w:p>
      <w:pPr>
        <w:spacing w:after="0" w:line="6" w:lineRule="exact"/>
        <w:rPr>
          <w:sz w:val="20"/>
          <w:szCs w:val="20"/>
          <w:color w:val="auto"/>
        </w:rPr>
      </w:pPr>
    </w:p>
    <w:p>
      <w:pPr>
        <w:ind w:right="20" w:firstLine="8"/>
        <w:spacing w:after="0" w:line="244" w:lineRule="auto"/>
        <w:tabs>
          <w:tab w:leader="none" w:pos="31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10" w:lineRule="exact"/>
        <w:rPr>
          <w:sz w:val="20"/>
          <w:szCs w:val="20"/>
          <w:color w:val="auto"/>
        </w:rPr>
      </w:pPr>
    </w:p>
    <w:p>
      <w:pPr>
        <w:ind w:right="20" w:firstLine="1296"/>
        <w:spacing w:after="0" w:line="244" w:lineRule="auto"/>
        <w:rPr>
          <w:sz w:val="20"/>
          <w:szCs w:val="20"/>
          <w:color w:val="auto"/>
        </w:rPr>
      </w:pPr>
      <w:r>
        <w:rPr>
          <w:rFonts w:ascii="Arial" w:cs="Arial" w:eastAsia="Arial" w:hAnsi="Arial"/>
          <w:sz w:val="21"/>
          <w:szCs w:val="21"/>
          <w:color w:val="auto"/>
        </w:rPr>
        <w:t xml:space="preserve">2.1.5 </w:t>
      </w:r>
      <w:r>
        <w:rPr>
          <w:rFonts w:ascii="Arial" w:cs="Arial" w:eastAsia="Arial" w:hAnsi="Arial"/>
          <w:sz w:val="21"/>
          <w:szCs w:val="21"/>
          <w:u w:val="single" w:color="auto"/>
          <w:color w:val="auto"/>
        </w:rPr>
        <w:t>Demand Registration Withdrawal</w:t>
      </w:r>
      <w:r>
        <w:rPr>
          <w:rFonts w:ascii="Arial" w:cs="Arial" w:eastAsia="Arial" w:hAnsi="Arial"/>
          <w:sz w:val="21"/>
          <w:szCs w:val="21"/>
          <w:color w:val="auto"/>
        </w:rPr>
        <w:t xml:space="preserve">. Any Demanding Holder or Requesting Holder shall have the right to withdraw from a Registration pursuant to such Demand Registration for any or no reason whatsoever upon written notification to the Company and the Underwriter or Underwriters (if any) of their intention to withdraw from such Registration prior to (x) in the case of a Demand Registration not involving an Underwritten Offering, the effectiveness of the Registration Statement filed with the Commission with respect to the Registration of their Registrable Securities pursuant to such Demand Registration or (y) in the case of a Demand Registration involving an Underwritten Offering, the pricing of such Underwritten Offering; provided, however, that upon withdrawal by a majority-in-interest of the Demanding Holders initiating a Demand Registration,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21"/>
          <w:szCs w:val="21"/>
          <w:u w:val="single" w:color="auto"/>
          <w:color w:val="auto"/>
        </w:rPr>
        <w:t>subsection 2.1.5</w:t>
      </w:r>
      <w:r>
        <w:rPr>
          <w:rFonts w:ascii="Arial" w:cs="Arial" w:eastAsia="Arial" w:hAnsi="Arial"/>
          <w:sz w:val="21"/>
          <w:szCs w:val="21"/>
          <w:color w:val="auto"/>
        </w:rPr>
        <w:t>.</w:t>
      </w:r>
    </w:p>
    <w:p>
      <w:pPr>
        <w:spacing w:after="0" w:line="21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Shelf Registration</w:t>
      </w:r>
      <w:r>
        <w:rPr>
          <w:rFonts w:ascii="Arial" w:cs="Arial" w:eastAsia="Arial" w:hAnsi="Arial"/>
          <w:sz w:val="19"/>
          <w:szCs w:val="19"/>
          <w:color w:val="auto"/>
        </w:rPr>
        <w:t>. The Company shall file within 45 days of the Closing, and use commercially reasonable efforts to cause to be declared effective as soon as practicable thereafter, a Registration Statement for a Shelf Registration on Form S-1 (the “</w:t>
      </w:r>
      <w:r>
        <w:rPr>
          <w:rFonts w:ascii="Arial" w:cs="Arial" w:eastAsia="Arial" w:hAnsi="Arial"/>
          <w:sz w:val="19"/>
          <w:szCs w:val="19"/>
          <w:u w:val="single" w:color="auto"/>
          <w:color w:val="auto"/>
        </w:rPr>
        <w:t>Form S-1 Shelf</w:t>
      </w:r>
      <w:r>
        <w:rPr>
          <w:rFonts w:ascii="Arial" w:cs="Arial" w:eastAsia="Arial" w:hAnsi="Arial"/>
          <w:sz w:val="19"/>
          <w:szCs w:val="19"/>
          <w:color w:val="auto"/>
        </w:rPr>
        <w:t>”) or, if the Company is eligible to use a Registration Statement on Form S-3, a Shelf Registration on Form S-3 (the “</w:t>
      </w:r>
      <w:r>
        <w:rPr>
          <w:rFonts w:ascii="Arial" w:cs="Arial" w:eastAsia="Arial" w:hAnsi="Arial"/>
          <w:sz w:val="19"/>
          <w:szCs w:val="19"/>
          <w:u w:val="single" w:color="auto"/>
          <w:color w:val="auto"/>
        </w:rPr>
        <w:t>Form S-3 Shelf</w:t>
      </w:r>
      <w:r>
        <w:rPr>
          <w:rFonts w:ascii="Arial" w:cs="Arial" w:eastAsia="Arial" w:hAnsi="Arial"/>
          <w:sz w:val="19"/>
          <w:szCs w:val="19"/>
          <w:color w:val="auto"/>
        </w:rPr>
        <w:t>” and together with the Form S-1 Shelf, each a “</w:t>
      </w:r>
      <w:r>
        <w:rPr>
          <w:rFonts w:ascii="Arial" w:cs="Arial" w:eastAsia="Arial" w:hAnsi="Arial"/>
          <w:sz w:val="19"/>
          <w:szCs w:val="19"/>
          <w:u w:val="single" w:color="auto"/>
          <w:color w:val="auto"/>
        </w:rPr>
        <w:t>Shelf</w:t>
      </w:r>
      <w:r>
        <w:rPr>
          <w:rFonts w:ascii="Arial" w:cs="Arial" w:eastAsia="Arial" w:hAnsi="Arial"/>
          <w:sz w:val="19"/>
          <w:szCs w:val="19"/>
          <w:color w:val="auto"/>
        </w:rPr>
        <w:t xml:space="preserve">”), in each case, covering the resale of all the Registrable Securities (determined as of two business days prior to such filing) on a delayed or continuous basis. Such Shelf shall provide for the resale of the Registrable Securities included therein pursuant to any method or combination of methods legally available to, and requested by, any Holder named therein. Notwithstanding anything to the contrary herein, to the extent there is an active Shelf under this </w:t>
      </w:r>
      <w:r>
        <w:rPr>
          <w:rFonts w:ascii="Arial" w:cs="Arial" w:eastAsia="Arial" w:hAnsi="Arial"/>
          <w:sz w:val="19"/>
          <w:szCs w:val="19"/>
          <w:u w:val="single" w:color="auto"/>
          <w:color w:val="auto"/>
        </w:rPr>
        <w:t>subsection 2.1.6</w:t>
      </w:r>
      <w:r>
        <w:rPr>
          <w:rFonts w:ascii="Arial" w:cs="Arial" w:eastAsia="Arial" w:hAnsi="Arial"/>
          <w:sz w:val="19"/>
          <w:szCs w:val="19"/>
          <w:color w:val="auto"/>
        </w:rPr>
        <w:t xml:space="preserve">, covering a Holder’s or Holders’ Registrable Securities, such Holder shall not have rights to make a Demand Registration with respect to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Notwithstanding anything to the contrary herein, to the extent there is an active Shelf under this </w:t>
      </w:r>
      <w:r>
        <w:rPr>
          <w:rFonts w:ascii="Arial" w:cs="Arial" w:eastAsia="Arial" w:hAnsi="Arial"/>
          <w:sz w:val="19"/>
          <w:szCs w:val="19"/>
          <w:u w:val="single" w:color="auto"/>
          <w:color w:val="auto"/>
        </w:rPr>
        <w:t>subsection 2.1.6</w:t>
      </w:r>
      <w:r>
        <w:rPr>
          <w:rFonts w:ascii="Arial" w:cs="Arial" w:eastAsia="Arial" w:hAnsi="Arial"/>
          <w:sz w:val="19"/>
          <w:szCs w:val="19"/>
          <w:color w:val="auto"/>
        </w:rPr>
        <w:t xml:space="preserve">, covering a Holder’s or Holders’ Registrable Securities, and such Holder or Holders qualify as Demanding Holders pursuant to subsection 2.1.1 and wish to request an Underwritten Offering from such Shelf, such Underwritten Offering shall follow the procedures of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subsection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subsection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but such Underwritten Offering shall be made from the Shelf and shall count against the number of Demand Registrations that may be made pursuant to </w:t>
      </w:r>
      <w:r>
        <w:rPr>
          <w:rFonts w:ascii="Arial" w:cs="Arial" w:eastAsia="Arial" w:hAnsi="Arial"/>
          <w:sz w:val="19"/>
          <w:szCs w:val="19"/>
          <w:u w:val="single" w:color="auto"/>
          <w:color w:val="auto"/>
        </w:rPr>
        <w:t>subsection 2.1.1</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both"/>
        <w:ind w:firstLine="1296"/>
        <w:spacing w:after="0" w:line="237"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u w:val="single" w:color="auto"/>
          <w:color w:val="auto"/>
        </w:rPr>
        <w:t>Holder Information Required for Participation in Underwritten Offering</w:t>
      </w:r>
      <w:r>
        <w:rPr>
          <w:rFonts w:ascii="Arial" w:cs="Arial" w:eastAsia="Arial" w:hAnsi="Arial"/>
          <w:sz w:val="20"/>
          <w:szCs w:val="20"/>
          <w:color w:val="auto"/>
        </w:rPr>
        <w:t xml:space="preserve">. At least five (5) business days prior to the first anticipated filing date of a Registration Statement pursuant to this </w:t>
      </w:r>
      <w:r>
        <w:rPr>
          <w:rFonts w:ascii="Arial" w:cs="Arial" w:eastAsia="Arial" w:hAnsi="Arial"/>
          <w:sz w:val="20"/>
          <w:szCs w:val="20"/>
          <w:u w:val="single" w:color="auto"/>
          <w:color w:val="auto"/>
        </w:rPr>
        <w:t>Section 2</w:t>
      </w:r>
      <w:r>
        <w:rPr>
          <w:rFonts w:ascii="Arial" w:cs="Arial" w:eastAsia="Arial" w:hAnsi="Arial"/>
          <w:sz w:val="20"/>
          <w:szCs w:val="20"/>
          <w:color w:val="auto"/>
        </w:rPr>
        <w:t>, the Company shall use reasonable best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second (2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business day prior to the first anticipated filing date of a Registration Statement pursuant to this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w:t>
      </w:r>
    </w:p>
    <w:p>
      <w:pPr>
        <w:spacing w:after="0" w:line="233" w:lineRule="exact"/>
        <w:rPr>
          <w:sz w:val="20"/>
          <w:szCs w:val="20"/>
          <w:color w:val="auto"/>
        </w:rPr>
      </w:pPr>
    </w:p>
    <w:p>
      <w:pPr>
        <w:ind w:right="40" w:firstLine="1296"/>
        <w:spacing w:after="0" w:line="270"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Piggyback Rights</w:t>
      </w:r>
      <w:r>
        <w:rPr>
          <w:rFonts w:ascii="Arial" w:cs="Arial" w:eastAsia="Arial" w:hAnsi="Arial"/>
          <w:sz w:val="19"/>
          <w:szCs w:val="19"/>
          <w:color w:val="auto"/>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9"/>
          <w:szCs w:val="19"/>
          <w:b w:val="1"/>
          <w:bCs w:val="1"/>
          <w:i w:val="1"/>
          <w:iCs w:val="1"/>
          <w:color w:val="auto"/>
        </w:rPr>
        <w:t>Piggyback Registration</w:t>
      </w:r>
      <w:r>
        <w:rPr>
          <w:rFonts w:ascii="Arial" w:cs="Arial" w:eastAsia="Arial" w:hAnsi="Arial"/>
          <w:sz w:val="19"/>
          <w:szCs w:val="19"/>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shall enter into an underwriting agreement in customary form with the Underwriter(s) selected for such Underwritten Offering by the Company.</w:t>
      </w:r>
    </w:p>
    <w:p>
      <w:pPr>
        <w:spacing w:after="0" w:line="200" w:lineRule="exact"/>
        <w:rPr>
          <w:sz w:val="20"/>
          <w:szCs w:val="20"/>
          <w:color w:val="auto"/>
        </w:rPr>
      </w:pPr>
    </w:p>
    <w:p>
      <w:pPr>
        <w:spacing w:after="0" w:line="233" w:lineRule="exact"/>
        <w:rPr>
          <w:sz w:val="20"/>
          <w:szCs w:val="20"/>
          <w:color w:val="auto"/>
        </w:rPr>
      </w:pPr>
    </w:p>
    <w:p>
      <w:pPr>
        <w:ind w:right="40" w:firstLine="1296"/>
        <w:spacing w:after="0" w:line="275"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Reduction of Piggyback Registration</w:t>
      </w:r>
      <w:r>
        <w:rPr>
          <w:rFonts w:ascii="Arial" w:cs="Arial" w:eastAsia="Arial" w:hAnsi="Arial"/>
          <w:sz w:val="19"/>
          <w:szCs w:val="19"/>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and (iii) the shares of Common Stock, if any, as to which Registration has been requested pursuant to separate written contractual piggy-back registration rights of other shareholders of the Company, exceeds the Maximum Number of Securities, then:</w:t>
      </w:r>
    </w:p>
    <w:p>
      <w:pPr>
        <w:spacing w:after="0" w:line="184" w:lineRule="exact"/>
        <w:rPr>
          <w:sz w:val="20"/>
          <w:szCs w:val="20"/>
          <w:color w:val="auto"/>
        </w:rPr>
      </w:pPr>
    </w:p>
    <w:p>
      <w:pPr>
        <w:ind w:right="20" w:firstLine="1952"/>
        <w:spacing w:after="0" w:line="274" w:lineRule="auto"/>
        <w:tabs>
          <w:tab w:leader="none" w:pos="223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shareholders of the Company, which can be sold without exceeding the Maximum Number of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firstLine="1952"/>
        <w:spacing w:after="0" w:line="271" w:lineRule="auto"/>
        <w:tabs>
          <w:tab w:leader="none" w:pos="225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2" w:lineRule="exact"/>
        <w:rPr>
          <w:sz w:val="20"/>
          <w:szCs w:val="20"/>
          <w:color w:val="auto"/>
        </w:rPr>
      </w:pPr>
    </w:p>
    <w:p>
      <w:pPr>
        <w:ind w:right="80" w:firstLine="1296"/>
        <w:spacing w:after="0" w:line="245"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Piggyback Registration Withdrawal</w:t>
      </w:r>
      <w:r>
        <w:rPr>
          <w:rFonts w:ascii="Arial" w:cs="Arial" w:eastAsia="Arial" w:hAnsi="Arial"/>
          <w:sz w:val="21"/>
          <w:szCs w:val="21"/>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21"/>
          <w:szCs w:val="21"/>
          <w:u w:val="single" w:color="auto"/>
          <w:color w:val="auto"/>
        </w:rPr>
        <w:t>subsection 2.2.3</w:t>
      </w:r>
      <w:r>
        <w:rPr>
          <w:rFonts w:ascii="Arial" w:cs="Arial" w:eastAsia="Arial" w:hAnsi="Arial"/>
          <w:sz w:val="21"/>
          <w:szCs w:val="21"/>
          <w:color w:val="auto"/>
        </w:rPr>
        <w:t>.</w:t>
      </w:r>
    </w:p>
    <w:p>
      <w:pPr>
        <w:spacing w:after="0" w:line="211" w:lineRule="exact"/>
        <w:rPr>
          <w:sz w:val="20"/>
          <w:szCs w:val="20"/>
          <w:color w:val="auto"/>
        </w:rPr>
      </w:pPr>
    </w:p>
    <w:p>
      <w:pPr>
        <w:ind w:right="320" w:firstLine="1296"/>
        <w:spacing w:after="0" w:line="328" w:lineRule="auto"/>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u w:val="single" w:color="auto"/>
          <w:color w:val="auto"/>
        </w:rPr>
        <w:t>Unlimited Piggyback Registration Rights</w:t>
      </w:r>
      <w:r>
        <w:rPr>
          <w:rFonts w:ascii="Arial" w:cs="Arial" w:eastAsia="Arial" w:hAnsi="Arial"/>
          <w:sz w:val="19"/>
          <w:szCs w:val="19"/>
          <w:color w:val="auto"/>
        </w:rPr>
        <w:t xml:space="preserve">. For purposes of clarity, any Registration effected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shall not be counted as a Registration pursuant to a Demand Registration effected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w:t>
      </w:r>
    </w:p>
    <w:p>
      <w:pPr>
        <w:spacing w:after="0" w:line="132"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Registrations on Form S-3</w:t>
      </w:r>
      <w:r>
        <w:rPr>
          <w:rFonts w:ascii="Arial" w:cs="Arial" w:eastAsia="Arial" w:hAnsi="Arial"/>
          <w:sz w:val="19"/>
          <w:szCs w:val="19"/>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Arial" w:cs="Arial" w:eastAsia="Arial" w:hAnsi="Arial"/>
          <w:sz w:val="19"/>
          <w:szCs w:val="19"/>
          <w:b w:val="1"/>
          <w:bCs w:val="1"/>
          <w:i w:val="1"/>
          <w:iCs w:val="1"/>
          <w:color w:val="auto"/>
        </w:rPr>
        <w:t>Form S-3</w:t>
      </w:r>
      <w:r>
        <w:rPr>
          <w:rFonts w:ascii="Arial" w:cs="Arial" w:eastAsia="Arial" w:hAnsi="Arial"/>
          <w:sz w:val="19"/>
          <w:szCs w:val="19"/>
          <w:color w:val="auto"/>
        </w:rPr>
        <w:t>”); provided, however,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Section 2.3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7" w:name="page228"/>
    <w:bookmarkEnd w:id="227"/>
    <w:p>
      <w:pPr>
        <w:ind w:right="20" w:firstLine="648"/>
        <w:spacing w:after="0" w:line="27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Restrictions on Registration Rights</w:t>
      </w:r>
      <w:r>
        <w:rPr>
          <w:rFonts w:ascii="Arial" w:cs="Arial" w:eastAsia="Arial" w:hAnsi="Arial"/>
          <w:sz w:val="19"/>
          <w:szCs w:val="19"/>
          <w:color w:val="auto"/>
        </w:rPr>
        <w:t xml:space="preserve">. If (A) during the period starting with the date sixty (60) days prior to the Company’s good faith estimate of the date of the filing of, and ending on a date one hundred and twenty (120) days after the effective date of, a Company-initiated Registration and provided that the Company has delivered written notice to the Holders prior to receipt of a Demand Registration pursuant to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defer its obligation in this manner more than once in any 12-month period.</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Lock-Up</w:t>
      </w:r>
      <w:r>
        <w:rPr>
          <w:rFonts w:ascii="Arial" w:cs="Arial" w:eastAsia="Arial" w:hAnsi="Arial"/>
          <w:sz w:val="19"/>
          <w:szCs w:val="19"/>
          <w:color w:val="auto"/>
        </w:rPr>
        <w:t>. Notwithstanding anything to the contrary in this Agreement, the Company shall not be obligated to effect any Demand Registration or Piggyback Registration of (i) any shares of Common Stock subject to the Founder Shares Lock-Up Period prior to the Founder Shares Lock-Up Period applicable to such shares of Common Stock or (ii) any Private Placement Warrants during the Private Placement Lock-Up Period. Nothing in this Section 2.4 shall limit the Company’s obligation to register all of the Registrable Securities, including such shares of Common Stock subject to the Founder Shares Lock-Up Period and Private Placement Warrants, on the Shelf Registration Statement pursuant to Section 2.4.</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COMPANY PROCEDURES</w:t>
      </w:r>
    </w:p>
    <w:p>
      <w:pPr>
        <w:spacing w:after="0" w:line="21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General Procedures</w:t>
      </w:r>
      <w:r>
        <w:rPr>
          <w:rFonts w:ascii="Arial" w:cs="Arial" w:eastAsia="Arial" w:hAnsi="Arial"/>
          <w:sz w:val="22"/>
          <w:szCs w:val="22"/>
          <w:color w:val="auto"/>
        </w:rPr>
        <w:t>. If at any time on or after the date hereof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212" w:lineRule="exact"/>
        <w:rPr>
          <w:sz w:val="20"/>
          <w:szCs w:val="20"/>
          <w:color w:val="auto"/>
        </w:rPr>
      </w:pPr>
    </w:p>
    <w:p>
      <w:pPr>
        <w:jc w:val="both"/>
        <w:ind w:right="240" w:firstLine="1296"/>
        <w:spacing w:after="0" w:line="297" w:lineRule="auto"/>
        <w:rPr>
          <w:sz w:val="20"/>
          <w:szCs w:val="20"/>
          <w:color w:val="auto"/>
        </w:rPr>
      </w:pPr>
      <w:r>
        <w:rPr>
          <w:rFonts w:ascii="Arial" w:cs="Arial" w:eastAsia="Arial" w:hAnsi="Arial"/>
          <w:sz w:val="19"/>
          <w:szCs w:val="19"/>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61"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211"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9"/>
          <w:szCs w:val="19"/>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28" w:name="page229"/>
    <w:bookmarkEnd w:id="228"/>
    <w:p>
      <w:pPr>
        <w:ind w:right="40" w:firstLine="1296"/>
        <w:spacing w:after="0" w:line="273" w:lineRule="auto"/>
        <w:rPr>
          <w:sz w:val="20"/>
          <w:szCs w:val="20"/>
          <w:color w:val="auto"/>
        </w:rPr>
      </w:pPr>
      <w:r>
        <w:rPr>
          <w:rFonts w:ascii="Arial" w:cs="Arial" w:eastAsia="Arial" w:hAnsi="Arial"/>
          <w:sz w:val="19"/>
          <w:szCs w:val="19"/>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3.1.5 cause all such Registrable Securities to be listed on each securities exchange or automated quotation system on which similar securities issued by the Company are then listed;</w:t>
      </w:r>
    </w:p>
    <w:p>
      <w:pPr>
        <w:spacing w:after="0" w:line="202"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3.1.6 provide a transfer agent or warrant agent, as applicable, and registrar for all such Registrable Securities no later than the effective date of such Registration Statement;</w:t>
      </w:r>
    </w:p>
    <w:p>
      <w:pPr>
        <w:spacing w:after="0" w:line="202"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70"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3.1.8 at least five (5) days prior to the filing of any Registration Statement or Prospectus or any amendment or supplement to such Registration Statement or Prospectus furnish a copy thereof to each seller of such Registrable Securities or its counsel;</w:t>
      </w:r>
    </w:p>
    <w:p>
      <w:pPr>
        <w:spacing w:after="0" w:line="213" w:lineRule="exact"/>
        <w:rPr>
          <w:sz w:val="20"/>
          <w:szCs w:val="20"/>
          <w:color w:val="auto"/>
        </w:rPr>
      </w:pPr>
    </w:p>
    <w:p>
      <w:pPr>
        <w:ind w:right="280" w:firstLine="1296"/>
        <w:spacing w:after="0" w:line="238" w:lineRule="auto"/>
        <w:rPr>
          <w:sz w:val="20"/>
          <w:szCs w:val="20"/>
          <w:color w:val="auto"/>
        </w:rPr>
      </w:pPr>
      <w:r>
        <w:rPr>
          <w:rFonts w:ascii="Arial" w:cs="Arial" w:eastAsia="Arial" w:hAnsi="Arial"/>
          <w:sz w:val="22"/>
          <w:szCs w:val="22"/>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hereof;</w:t>
      </w:r>
    </w:p>
    <w:p>
      <w:pPr>
        <w:spacing w:after="0" w:line="212"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1"/>
          <w:szCs w:val="21"/>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representatives or Underwriters enter into a confidentiality agreement, in form and substance reasonably satisfactory to the Company, prior to the release or disclosure of any such information;</w:t>
      </w:r>
    </w:p>
    <w:p>
      <w:pPr>
        <w:spacing w:after="0" w:line="204"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212" w:lineRule="exact"/>
        <w:rPr>
          <w:sz w:val="20"/>
          <w:szCs w:val="20"/>
          <w:color w:val="auto"/>
        </w:rPr>
      </w:pPr>
    </w:p>
    <w:p>
      <w:pPr>
        <w:ind w:firstLine="1296"/>
        <w:spacing w:after="0" w:line="248" w:lineRule="auto"/>
        <w:rPr>
          <w:sz w:val="20"/>
          <w:szCs w:val="20"/>
          <w:color w:val="auto"/>
        </w:rPr>
      </w:pPr>
      <w:r>
        <w:rPr>
          <w:rFonts w:ascii="Arial" w:cs="Arial" w:eastAsia="Arial" w:hAnsi="Arial"/>
          <w:sz w:val="21"/>
          <w:szCs w:val="21"/>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204"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3.1.13 in the event of any Underwritten Offering, enter into and perform its obligations under an underwriting agreement, in usual and customary form, with the managing Underwriter of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ind w:right="40" w:firstLine="1296"/>
        <w:spacing w:after="0" w:line="252" w:lineRule="auto"/>
        <w:rPr>
          <w:sz w:val="20"/>
          <w:szCs w:val="20"/>
          <w:color w:val="auto"/>
        </w:rPr>
      </w:pPr>
      <w:r>
        <w:rPr>
          <w:rFonts w:ascii="Arial" w:cs="Arial" w:eastAsia="Arial" w:hAnsi="Arial"/>
          <w:sz w:val="21"/>
          <w:szCs w:val="21"/>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201" w:lineRule="exact"/>
        <w:rPr>
          <w:sz w:val="20"/>
          <w:szCs w:val="20"/>
          <w:color w:val="auto"/>
        </w:rPr>
      </w:pPr>
    </w:p>
    <w:p>
      <w:pPr>
        <w:ind w:right="100" w:firstLine="1296"/>
        <w:spacing w:after="0" w:line="297" w:lineRule="auto"/>
        <w:rPr>
          <w:sz w:val="20"/>
          <w:szCs w:val="20"/>
          <w:color w:val="auto"/>
        </w:rPr>
      </w:pPr>
      <w:r>
        <w:rPr>
          <w:rFonts w:ascii="Arial" w:cs="Arial" w:eastAsia="Arial" w:hAnsi="Arial"/>
          <w:sz w:val="19"/>
          <w:szCs w:val="19"/>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61"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3.1.16 otherwise, in good faith, cooperate reasonably with, and take such customary actions as may reasonably be requested by the Holders, in connection with such Registration.</w:t>
      </w:r>
    </w:p>
    <w:p>
      <w:pPr>
        <w:spacing w:after="0" w:line="20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Arial" w:cs="Arial" w:eastAsia="Arial" w:hAnsi="Arial"/>
          <w:sz w:val="19"/>
          <w:szCs w:val="19"/>
          <w:b w:val="1"/>
          <w:bCs w:val="1"/>
          <w:i w:val="1"/>
          <w:iCs w:val="1"/>
          <w:color w:val="auto"/>
        </w:rPr>
        <w:t>Registration Expenses</w:t>
      </w:r>
      <w:r>
        <w:rPr>
          <w:rFonts w:ascii="Arial" w:cs="Arial" w:eastAsia="Arial" w:hAnsi="Arial"/>
          <w:sz w:val="19"/>
          <w:szCs w:val="19"/>
          <w:color w:val="auto"/>
        </w:rPr>
        <w:t>,” reasonable fees and expenses of legal counsel representing the Holders.</w:t>
      </w:r>
    </w:p>
    <w:p>
      <w:pPr>
        <w:spacing w:after="0" w:line="170"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Requirements for Participation in Underwritten Offerings</w:t>
      </w:r>
      <w:r>
        <w:rPr>
          <w:rFonts w:ascii="Arial" w:cs="Arial" w:eastAsia="Arial" w:hAnsi="Arial"/>
          <w:sz w:val="19"/>
          <w:szCs w:val="19"/>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7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Suspension of Sales; Adverse Disclosure</w:t>
      </w:r>
      <w:r>
        <w:rPr>
          <w:rFonts w:ascii="Arial" w:cs="Arial" w:eastAsia="Arial" w:hAnsi="Arial"/>
          <w:sz w:val="19"/>
          <w:szCs w:val="19"/>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w:t>
      </w:r>
    </w:p>
    <w:p>
      <w:pPr>
        <w:spacing w:after="0" w:line="191"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Reporting Obligations</w:t>
      </w:r>
      <w:r>
        <w:rPr>
          <w:rFonts w:ascii="Arial" w:cs="Arial" w:eastAsia="Arial" w:hAnsi="Arial"/>
          <w:sz w:val="21"/>
          <w:szCs w:val="21"/>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the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ind w:left="440"/>
        <w:spacing w:after="0"/>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Lock-Up Restrictions</w:t>
      </w:r>
      <w:r>
        <w:rPr>
          <w:rFonts w:ascii="Arial" w:cs="Arial" w:eastAsia="Arial" w:hAnsi="Arial"/>
          <w:sz w:val="22"/>
          <w:szCs w:val="22"/>
          <w:color w:val="auto"/>
        </w:rPr>
        <w:t>.</w:t>
      </w:r>
    </w:p>
    <w:p>
      <w:pPr>
        <w:spacing w:after="0" w:line="23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3.6.1 During the applicable Lock-Up Periods, none of the Holders shall offer, sell, contract to sell, pledge, grant any option to purchase, make any short sale or otherwise dispose of or distribute any shares of Common Stock that are subject to an applicable Lock-Up Period or any securities convertible into, exercisable for, exchangeable for or that represent the right to receive shares of Common Stock that are subject to an applicable Lock-Up Period, whether now owned or hereinafter acquired, that is owned directly by such Holder (including securities held as a custodian) or with respect to which such Holder has beneficial ownership within the rules and regulations of the Commission (such securities that are subject to an applicable Lock-Up Period, the “</w:t>
      </w:r>
      <w:r>
        <w:rPr>
          <w:rFonts w:ascii="Arial" w:cs="Arial" w:eastAsia="Arial" w:hAnsi="Arial"/>
          <w:sz w:val="19"/>
          <w:szCs w:val="19"/>
          <w:b w:val="1"/>
          <w:bCs w:val="1"/>
          <w:i w:val="1"/>
          <w:iCs w:val="1"/>
          <w:color w:val="auto"/>
        </w:rPr>
        <w:t>Restricted Securities</w:t>
      </w:r>
      <w:r>
        <w:rPr>
          <w:rFonts w:ascii="Arial" w:cs="Arial" w:eastAsia="Arial" w:hAnsi="Arial"/>
          <w:sz w:val="19"/>
          <w:szCs w:val="19"/>
          <w:color w:val="auto"/>
        </w:rPr>
        <w:t>”), other than any transfer to an affiliate of a Holder or to a Permitted Transferee, as applicable. The foregoing restriction is expressly agreed to preclude each Holder, as applicable, from engaging in any hedging or other transaction with respect to Restricted Securities which is designed to or which reasonably could be expected to lead to or result in a sale or disposition of the Restricted Securities even if such Restricted Securities would be disposed of by someone other than such Holder. Such prohibited hedging or other transactions include any short sale or any purchase, sale or grant of any right (including any put or call option) with respect to any of the Restricted Securities of the applicable Holder, or with respect to any security that includes, relates to, or derives any significant part of its value from such Restricted Securities.</w:t>
      </w:r>
    </w:p>
    <w:p>
      <w:pPr>
        <w:spacing w:after="0" w:line="183"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3.6.2 Each Holder hereby represents and warrants that it now has and, except as contemplated by this </w:t>
      </w:r>
      <w:r>
        <w:rPr>
          <w:rFonts w:ascii="Arial" w:cs="Arial" w:eastAsia="Arial" w:hAnsi="Arial"/>
          <w:sz w:val="19"/>
          <w:szCs w:val="19"/>
          <w:u w:val="single" w:color="auto"/>
          <w:color w:val="auto"/>
        </w:rPr>
        <w:t>subsection 3.6.2</w:t>
      </w:r>
      <w:r>
        <w:rPr>
          <w:rFonts w:ascii="Arial" w:cs="Arial" w:eastAsia="Arial" w:hAnsi="Arial"/>
          <w:sz w:val="19"/>
          <w:szCs w:val="19"/>
          <w:color w:val="auto"/>
        </w:rPr>
        <w:t xml:space="preserve"> for the duration of the applicable Lock-Up Period, will have good and marketable title to its Restricted Securities, free and clear of all liens, encumbrances, and claims that could impact the ability of such Existing Holder to comply with the foregoing restrictions Each Existing Holder agrees and consents to the entry of stop transfer instructions with the Company’s transfer agent and registrar against the transfer of any Restricted Securities during the applicable Lock-Up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CONTRIBUTION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ind w:right="80" w:firstLine="1296"/>
        <w:spacing w:after="0" w:line="274" w:lineRule="auto"/>
        <w:rPr>
          <w:sz w:val="20"/>
          <w:szCs w:val="20"/>
          <w:color w:val="auto"/>
        </w:rPr>
      </w:pPr>
      <w:r>
        <w:rPr>
          <w:rFonts w:ascii="Arial" w:cs="Arial" w:eastAsia="Arial" w:hAnsi="Arial"/>
          <w:sz w:val="19"/>
          <w:szCs w:val="19"/>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85"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both"/>
        <w:ind w:right="160" w:firstLine="1296"/>
        <w:spacing w:after="0" w:line="273" w:lineRule="auto"/>
        <w:rPr>
          <w:sz w:val="20"/>
          <w:szCs w:val="20"/>
          <w:color w:val="auto"/>
        </w:rPr>
      </w:pPr>
      <w:r>
        <w:rPr>
          <w:rFonts w:ascii="Arial" w:cs="Arial" w:eastAsia="Arial" w:hAnsi="Arial"/>
          <w:sz w:val="19"/>
          <w:szCs w:val="19"/>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w:t>
      </w:r>
    </w:p>
    <w:p>
      <w:pPr>
        <w:spacing w:after="0" w:line="2" w:lineRule="exact"/>
        <w:rPr>
          <w:sz w:val="20"/>
          <w:szCs w:val="20"/>
          <w:color w:val="auto"/>
        </w:rPr>
      </w:pPr>
    </w:p>
    <w:p>
      <w:pPr>
        <w:ind w:firstLine="8"/>
        <w:spacing w:after="0" w:line="270" w:lineRule="auto"/>
        <w:tabs>
          <w:tab w:leader="none" w:pos="31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1" w:lineRule="exact"/>
        <w:rPr>
          <w:sz w:val="20"/>
          <w:szCs w:val="20"/>
          <w:color w:val="auto"/>
        </w:rPr>
      </w:pPr>
    </w:p>
    <w:p>
      <w:pPr>
        <w:ind w:firstLine="1296"/>
        <w:spacing w:after="0" w:line="249" w:lineRule="auto"/>
        <w:rPr>
          <w:sz w:val="20"/>
          <w:szCs w:val="20"/>
          <w:color w:val="auto"/>
        </w:rPr>
      </w:pPr>
      <w:r>
        <w:rPr>
          <w:rFonts w:ascii="Arial" w:cs="Arial" w:eastAsia="Arial" w:hAnsi="Arial"/>
          <w:sz w:val="21"/>
          <w:szCs w:val="21"/>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205" w:lineRule="exact"/>
        <w:rPr>
          <w:sz w:val="20"/>
          <w:szCs w:val="20"/>
          <w:color w:val="auto"/>
        </w:rPr>
      </w:pPr>
    </w:p>
    <w:p>
      <w:pPr>
        <w:ind w:right="80" w:firstLine="1296"/>
        <w:spacing w:after="0" w:line="270" w:lineRule="auto"/>
        <w:rPr>
          <w:sz w:val="20"/>
          <w:szCs w:val="20"/>
          <w:color w:val="auto"/>
        </w:rPr>
      </w:pPr>
      <w:r>
        <w:rPr>
          <w:rFonts w:ascii="Arial" w:cs="Arial" w:eastAsia="Arial" w:hAnsi="Arial"/>
          <w:sz w:val="19"/>
          <w:szCs w:val="19"/>
          <w:color w:val="auto"/>
        </w:rPr>
        <w:t xml:space="preserve">4.1.5 If the indemnification provided under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liability of any Holder under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9"/>
          <w:szCs w:val="19"/>
          <w:u w:val="single" w:color="auto"/>
          <w:color w:val="auto"/>
        </w:rPr>
        <w:t>subsections 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4.1.2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4.1.3</w:t>
      </w:r>
      <w:r>
        <w:rPr>
          <w:rFonts w:ascii="Arial" w:cs="Arial" w:eastAsia="Arial" w:hAnsi="Arial"/>
          <w:sz w:val="19"/>
          <w:szCs w:val="19"/>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were determined by pro rata allocation or by any other method of allocation, which does not take account of the equitable considerations referred to in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No person guilty of fraudulent misrepresentation (within the meaning of Section 11(f) of the Securities Act) shall be entitled to contribution pursuant to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right="40" w:firstLine="648"/>
        <w:spacing w:after="0" w:line="245"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Notices</w:t>
      </w:r>
      <w:r>
        <w:rPr>
          <w:rFonts w:ascii="Arial" w:cs="Arial" w:eastAsia="Arial" w:hAnsi="Arial"/>
          <w:sz w:val="20"/>
          <w:szCs w:val="20"/>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1114 6th Ave, 41st Floor, New York, New York, 10036, Attention: Chief Financial Officer with a copy to Cooley LLP, Attention: Dave Peinsipp, Kristin Vanderpas, Garth Osterman and Peter Byrne, 101 California Street, 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Floor, San Francisco, CA 94111, ,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Assignment; No Third Party Beneficiaries</w:t>
      </w:r>
      <w:r>
        <w:rPr>
          <w:rFonts w:ascii="Arial" w:cs="Arial" w:eastAsia="Arial" w:hAnsi="Arial"/>
          <w:sz w:val="22"/>
          <w:szCs w:val="22"/>
          <w:color w:val="auto"/>
        </w:rPr>
        <w:t>.</w:t>
      </w:r>
    </w:p>
    <w:p>
      <w:pPr>
        <w:spacing w:after="0" w:line="233"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5.2.1 This Agreement and the rights, duties and obligations of the Company hereunder may not be assigned or delegated by the Company in whole or in part.</w:t>
      </w:r>
    </w:p>
    <w:p>
      <w:pPr>
        <w:spacing w:after="0" w:line="202" w:lineRule="exact"/>
        <w:rPr>
          <w:sz w:val="20"/>
          <w:szCs w:val="20"/>
          <w:color w:val="auto"/>
        </w:rPr>
      </w:pPr>
    </w:p>
    <w:p>
      <w:pPr>
        <w:ind w:firstLine="1296"/>
        <w:spacing w:after="0" w:line="274" w:lineRule="auto"/>
        <w:rPr>
          <w:sz w:val="20"/>
          <w:szCs w:val="20"/>
          <w:color w:val="auto"/>
        </w:rPr>
      </w:pPr>
      <w:r>
        <w:rPr>
          <w:rFonts w:ascii="Arial" w:cs="Arial" w:eastAsia="Arial" w:hAnsi="Arial"/>
          <w:sz w:val="19"/>
          <w:szCs w:val="19"/>
          <w:color w:val="auto"/>
        </w:rPr>
        <w:t>5.2.2 Prior to the expiration of the Founder Shares Lock-up Period or the Private Placement Lock-up Period, as the case may be, the Sponsor may not assign or delegate the Sponsor’s rights, duties or obligations under this Agreement, in whole or in part, except in connection with a transfer of Registrable Securities by the Sponsor to a Permitted Transferee, but only if such Permitted Transferee agrees to become bound by the transfer restrictions set forth in this Agreement and other applicable agreements. Any other Holder may assign or delegate such Holder’s rights, duties or obligations under this Agreement, in whole or in part, if (i) the transferee receives Registrable Securities that constitute at least 1% of the Company’s Common Stock and/or Common Stock Equivalents, (ii) such transfer is not pursuant to Rule 144 under the Securities Act or a registration statement filed pursuant to this Agreement and (iii) the transferee agrees to become bound by the transfer restrictions set forth in this Agreement and other applicable agreements.</w:t>
      </w:r>
    </w:p>
    <w:p>
      <w:pPr>
        <w:spacing w:after="0" w:line="185" w:lineRule="exact"/>
        <w:rPr>
          <w:sz w:val="20"/>
          <w:szCs w:val="20"/>
          <w:color w:val="auto"/>
        </w:rPr>
      </w:pPr>
    </w:p>
    <w:p>
      <w:pPr>
        <w:ind w:right="140" w:firstLine="1296"/>
        <w:spacing w:after="0" w:line="328" w:lineRule="auto"/>
        <w:rPr>
          <w:sz w:val="20"/>
          <w:szCs w:val="20"/>
          <w:color w:val="auto"/>
        </w:rPr>
      </w:pPr>
      <w:r>
        <w:rPr>
          <w:rFonts w:ascii="Arial" w:cs="Arial" w:eastAsia="Arial" w:hAnsi="Arial"/>
          <w:sz w:val="19"/>
          <w:szCs w:val="19"/>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32"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 xml:space="preserve">5.2.4 This Agreement shall not confer any rights or benefits on any persons that are not parties hereto, other than as expressly set forth in this Agreement and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hereof.</w:t>
      </w:r>
    </w:p>
    <w:p>
      <w:pPr>
        <w:spacing w:after="0" w:line="202"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be null and void.</w:t>
      </w:r>
    </w:p>
    <w:p>
      <w:pPr>
        <w:spacing w:after="0" w:line="174"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3" w:name="page234"/>
    <w:bookmarkEnd w:id="233"/>
    <w:p>
      <w:pPr>
        <w:ind w:firstLine="648"/>
        <w:spacing w:after="0" w:line="24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Governing Law; Venue</w:t>
      </w:r>
      <w:r>
        <w:rPr>
          <w:rFonts w:ascii="Arial" w:cs="Arial" w:eastAsia="Arial" w:hAnsi="Arial"/>
          <w:sz w:val="21"/>
          <w:szCs w:val="21"/>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THE AGREEMENT SHALL BE ANY STATE OR FEDERAL COURT IN NEW YORK COUNTY IN THE STATE OF NEW YORK.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21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Amendments and Modifications</w:t>
      </w:r>
      <w:r>
        <w:rPr>
          <w:rFonts w:ascii="Arial" w:cs="Arial" w:eastAsia="Arial" w:hAnsi="Arial"/>
          <w:sz w:val="19"/>
          <w:szCs w:val="19"/>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Other Registration Rights</w:t>
      </w:r>
      <w:r>
        <w:rPr>
          <w:rFonts w:ascii="Arial" w:cs="Arial" w:eastAsia="Arial" w:hAnsi="Arial"/>
          <w:sz w:val="19"/>
          <w:szCs w:val="19"/>
          <w:color w:val="auto"/>
        </w:rPr>
        <w:t>. The Company represents and warrants that no person, other than a Holder of Registrable Securities or those certain investors that agreed on or about the date hereof to purchase shares of Common Stock in a transaction exempt from registration under the Securities Act pursuant to those certain Subscription Agreements dated on or about the date hereof,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This Agreement shall terminate upon the earlier of (i) the tenth anniversary of the date hereof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without limitation on the amount of securities sold or the manner of sale. The provisions of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Article IV shall survive any termination.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4" w:name="page235"/>
    <w:bookmarkEnd w:id="234"/>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WM TECHNOLOGY, INC.</w:t>
      </w:r>
      <w:r>
        <w:rPr>
          <w:rFonts w:ascii="Arial" w:cs="Arial" w:eastAsia="Arial" w:hAnsi="Arial"/>
          <w:sz w:val="18"/>
          <w:szCs w:val="18"/>
          <w:color w:val="auto"/>
        </w:rPr>
        <w:t>,</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Christopher Beals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Chief Executive Officer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35" w:name="page236"/>
    <w:bookmarkEnd w:id="235"/>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SILVER SPIKE SPONSOR, LLC</w:t>
      </w:r>
      <w:r>
        <w:rPr>
          <w:rFonts w:ascii="Arial" w:cs="Arial" w:eastAsia="Arial" w:hAnsi="Arial"/>
          <w:sz w:val="18"/>
          <w:szCs w:val="18"/>
          <w:color w:val="auto"/>
        </w:rPr>
        <w: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Manager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36" w:name="page237"/>
    <w:bookmarkEnd w:id="236"/>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CHRISTOPHER BEALS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ARDEN LEE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38" w:name="page239"/>
    <w:bookmarkEnd w:id="238"/>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BRIAN CAMIRE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39" w:name="page240"/>
    <w:bookmarkEnd w:id="239"/>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JUANJO FEIJOO</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Juanjo Feijoo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0" w:name="page241"/>
    <w:bookmarkEnd w:id="240"/>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JUSTIN DEAN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Justin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1" w:name="page242"/>
    <w:bookmarkEnd w:id="241"/>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DOUG FRANCIS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2" w:name="page243"/>
    <w:bookmarkEnd w:id="242"/>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GENCO INCENTIVES,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Doug Francis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Managing Member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3" w:name="page244"/>
    <w:bookmarkEnd w:id="243"/>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GHOST MEDIA GROUP,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Justin Hartfield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Doug Francis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Manager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4" w:name="page245"/>
    <w:bookmarkEnd w:id="244"/>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JUSTIN HARTFIELD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5" w:name="page246"/>
    <w:bookmarkEnd w:id="245"/>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STEVEN JUNG</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Steven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5715</wp:posOffset>
            </wp:positionV>
            <wp:extent cx="284607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4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6" w:name="page247"/>
    <w:bookmarkEnd w:id="246"/>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WM FOUNDERS LEGACY I,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Justin Hartfield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Board Member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7" w:name="page248"/>
    <w:bookmarkEnd w:id="247"/>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WM FOUNDERS LEGACY I,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Doug Francis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Member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8" w:name="page249"/>
    <w:bookmarkEnd w:id="248"/>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WM FOUNDERS LEGACY II,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Justin Hartfield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Board Member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written above.</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WM FOUNDERS LEGACY II, LLC</w:t>
      </w:r>
    </w:p>
    <w:p>
      <w:pPr>
        <w:spacing w:after="0" w:line="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5715</wp:posOffset>
            </wp:positionV>
            <wp:extent cx="249428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Doug Francis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Member</w:t>
      </w:r>
    </w:p>
    <w:p>
      <w:pPr>
        <w:spacing w:after="0" w:line="231"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384175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118" w:right="45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I</w:t>
      </w:r>
      <w:r>
        <w:rPr>
          <w:rFonts w:ascii="Arial" w:cs="Arial" w:eastAsia="Arial" w:hAnsi="Arial"/>
          <w:sz w:val="13"/>
          <w:szCs w:val="13"/>
          <w:b w:val="1"/>
          <w:bCs w:val="1"/>
          <w:color w:val="auto"/>
        </w:rPr>
        <w:t>NDEMNIFICATION</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dated as of _________________, 2021 and is between WM</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Technology,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______________ (“</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39" w:lineRule="exact"/>
        <w:rPr>
          <w:sz w:val="20"/>
          <w:szCs w:val="20"/>
          <w:color w:val="auto"/>
        </w:rPr>
      </w:pPr>
    </w:p>
    <w:p>
      <w:pPr>
        <w:ind w:left="1400" w:hanging="744"/>
        <w:spacing w:after="0"/>
        <w:tabs>
          <w:tab w:leader="none" w:pos="1400"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Indemnitee’s service to the Company substantially benefits the Company.</w:t>
      </w:r>
    </w:p>
    <w:p>
      <w:pPr>
        <w:spacing w:after="0" w:line="233" w:lineRule="exact"/>
        <w:rPr>
          <w:rFonts w:ascii="Arial" w:cs="Arial" w:eastAsia="Arial" w:hAnsi="Arial"/>
          <w:sz w:val="22"/>
          <w:szCs w:val="22"/>
          <w:b w:val="1"/>
          <w:bCs w:val="1"/>
          <w:color w:val="auto"/>
        </w:rPr>
      </w:pPr>
    </w:p>
    <w:p>
      <w:pPr>
        <w:jc w:val="both"/>
        <w:ind w:firstLine="656"/>
        <w:spacing w:after="0"/>
        <w:tabs>
          <w:tab w:leader="none" w:pos="1436"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213" w:lineRule="exact"/>
        <w:rPr>
          <w:rFonts w:ascii="Arial" w:cs="Arial" w:eastAsia="Arial" w:hAnsi="Arial"/>
          <w:sz w:val="22"/>
          <w:szCs w:val="22"/>
          <w:b w:val="1"/>
          <w:bCs w:val="1"/>
          <w:color w:val="auto"/>
        </w:rPr>
      </w:pPr>
    </w:p>
    <w:p>
      <w:pPr>
        <w:jc w:val="both"/>
        <w:ind w:firstLine="656"/>
        <w:spacing w:after="0"/>
        <w:tabs>
          <w:tab w:leader="none" w:pos="1633"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213" w:lineRule="exact"/>
        <w:rPr>
          <w:rFonts w:ascii="Arial" w:cs="Arial" w:eastAsia="Arial" w:hAnsi="Arial"/>
          <w:sz w:val="22"/>
          <w:szCs w:val="22"/>
          <w:b w:val="1"/>
          <w:bCs w:val="1"/>
          <w:color w:val="auto"/>
        </w:rPr>
      </w:pPr>
    </w:p>
    <w:p>
      <w:pPr>
        <w:jc w:val="both"/>
        <w:ind w:firstLine="656"/>
        <w:spacing w:after="0"/>
        <w:tabs>
          <w:tab w:leader="none" w:pos="1618"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213" w:lineRule="exact"/>
        <w:rPr>
          <w:rFonts w:ascii="Arial" w:cs="Arial" w:eastAsia="Arial" w:hAnsi="Arial"/>
          <w:sz w:val="22"/>
          <w:szCs w:val="22"/>
          <w:b w:val="1"/>
          <w:bCs w:val="1"/>
          <w:color w:val="auto"/>
        </w:rPr>
      </w:pPr>
    </w:p>
    <w:p>
      <w:pPr>
        <w:jc w:val="both"/>
        <w:ind w:firstLine="656"/>
        <w:spacing w:after="0" w:line="297" w:lineRule="auto"/>
        <w:tabs>
          <w:tab w:leader="none" w:pos="1656" w:val="left"/>
        </w:tabs>
        <w:numPr>
          <w:ilvl w:val="0"/>
          <w:numId w:val="163"/>
        </w:numPr>
        <w:rPr>
          <w:rFonts w:ascii="Arial" w:cs="Arial" w:eastAsia="Arial" w:hAnsi="Arial"/>
          <w:sz w:val="19"/>
          <w:szCs w:val="19"/>
          <w:b w:val="1"/>
          <w:bCs w:val="1"/>
          <w:color w:val="auto"/>
        </w:rPr>
      </w:pPr>
      <w:r>
        <w:rPr>
          <w:rFonts w:ascii="Arial" w:cs="Arial" w:eastAsia="Arial" w:hAnsi="Arial"/>
          <w:sz w:val="19"/>
          <w:szCs w:val="19"/>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 as follows:</w:t>
      </w:r>
    </w:p>
    <w:p>
      <w:pPr>
        <w:spacing w:after="0" w:line="227" w:lineRule="exact"/>
        <w:rPr>
          <w:sz w:val="20"/>
          <w:szCs w:val="20"/>
          <w:color w:val="auto"/>
        </w:rPr>
      </w:pPr>
    </w:p>
    <w:p>
      <w:pPr>
        <w:ind w:left="1360" w:hanging="704"/>
        <w:spacing w:after="0"/>
        <w:tabs>
          <w:tab w:leader="none" w:pos="13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82" w:lineRule="auto"/>
        <w:tabs>
          <w:tab w:leader="none" w:pos="2304" w:val="left"/>
        </w:tabs>
        <w:numPr>
          <w:ilvl w:val="1"/>
          <w:numId w:val="1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Beneficial Owner</w:t>
      </w:r>
      <w:r>
        <w:rPr>
          <w:rFonts w:ascii="Arial" w:cs="Arial" w:eastAsia="Arial" w:hAnsi="Arial"/>
          <w:sz w:val="19"/>
          <w:szCs w:val="19"/>
          <w:color w:val="auto"/>
        </w:rPr>
        <w:t>” shall have the meaning given to such term in Rule 13d-3 under the Securities Exchange Act of 1934, as amended;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174" w:lineRule="exact"/>
        <w:rPr>
          <w:rFonts w:ascii="Arial" w:cs="Arial" w:eastAsia="Arial" w:hAnsi="Arial"/>
          <w:sz w:val="19"/>
          <w:szCs w:val="19"/>
          <w:b w:val="1"/>
          <w:bCs w:val="1"/>
          <w:color w:val="auto"/>
        </w:rPr>
      </w:pPr>
    </w:p>
    <w:p>
      <w:pPr>
        <w:ind w:firstLine="1304"/>
        <w:spacing w:after="0" w:line="250" w:lineRule="auto"/>
        <w:tabs>
          <w:tab w:leader="none" w:pos="2383" w:val="left"/>
        </w:tabs>
        <w:numPr>
          <w:ilvl w:val="1"/>
          <w:numId w:val="164"/>
        </w:numPr>
        <w:rPr>
          <w:rFonts w:ascii="Arial" w:cs="Arial" w:eastAsia="Arial" w:hAnsi="Arial"/>
          <w:sz w:val="22"/>
          <w:szCs w:val="22"/>
          <w:b w:val="1"/>
          <w:bCs w:val="1"/>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be deemed to occur upon the earliest to occur after the date of this Agreement of any of the following events:</w:t>
      </w:r>
    </w:p>
    <w:p>
      <w:pPr>
        <w:spacing w:after="0" w:line="201" w:lineRule="exact"/>
        <w:rPr>
          <w:rFonts w:ascii="Arial" w:cs="Arial" w:eastAsia="Arial" w:hAnsi="Arial"/>
          <w:sz w:val="22"/>
          <w:szCs w:val="22"/>
          <w:b w:val="1"/>
          <w:bCs w:val="1"/>
          <w:color w:val="auto"/>
        </w:rPr>
      </w:pPr>
    </w:p>
    <w:p>
      <w:pPr>
        <w:jc w:val="both"/>
        <w:ind w:firstLine="1952"/>
        <w:spacing w:after="0"/>
        <w:tabs>
          <w:tab w:leader="none" w:pos="2931" w:val="left"/>
        </w:tabs>
        <w:numPr>
          <w:ilvl w:val="2"/>
          <w:numId w:val="164"/>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Acquisition of Stock by Third Party. </w:t>
      </w:r>
      <w:r>
        <w:rPr>
          <w:rFonts w:ascii="Arial" w:cs="Arial" w:eastAsia="Arial" w:hAnsi="Arial"/>
          <w:sz w:val="22"/>
          <w:szCs w:val="22"/>
          <w:color w:val="auto"/>
        </w:rPr>
        <w:t>Any Person (as defined below) becomes the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Owner, directly or indirectly, of securities of the Company representing 50% or more of the combined voting power of the Company’s then outstanding securities;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1" w:name="page252"/>
    <w:bookmarkEnd w:id="251"/>
    <w:p>
      <w:pPr>
        <w:jc w:val="both"/>
        <w:ind w:firstLine="1952"/>
        <w:spacing w:after="0" w:line="275" w:lineRule="auto"/>
        <w:tabs>
          <w:tab w:leader="none" w:pos="2856" w:val="left"/>
        </w:tabs>
        <w:numPr>
          <w:ilvl w:val="1"/>
          <w:numId w:val="165"/>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Change in Board Composition. </w:t>
      </w:r>
      <w:r>
        <w:rPr>
          <w:rFonts w:ascii="Arial" w:cs="Arial" w:eastAsia="Arial" w:hAnsi="Arial"/>
          <w:sz w:val="19"/>
          <w:szCs w:val="19"/>
          <w:color w:val="auto"/>
        </w:rPr>
        <w:t>During any period of two consecutive years (not including any</w:t>
      </w:r>
      <w:r>
        <w:rPr>
          <w:rFonts w:ascii="Arial" w:cs="Arial" w:eastAsia="Arial" w:hAnsi="Arial"/>
          <w:sz w:val="19"/>
          <w:szCs w:val="19"/>
          <w:i w:val="1"/>
          <w:iCs w:val="1"/>
          <w:color w:val="auto"/>
        </w:rPr>
        <w:t xml:space="preserve"> </w:t>
      </w:r>
      <w:r>
        <w:rPr>
          <w:rFonts w:ascii="Arial" w:cs="Arial" w:eastAsia="Arial" w:hAnsi="Arial"/>
          <w:sz w:val="19"/>
          <w:szCs w:val="19"/>
          <w:color w:val="auto"/>
        </w:rPr>
        <w:t>period prior to the execution of this Agreement), individuals who at the beginning of such period constituted the Company’s board of directors and any Approved Directors cease for any reason to constitute at least a majority of the members of the Company’s board of directors. “</w:t>
      </w:r>
      <w:r>
        <w:rPr>
          <w:rFonts w:ascii="Arial" w:cs="Arial" w:eastAsia="Arial" w:hAnsi="Arial"/>
          <w:sz w:val="19"/>
          <w:szCs w:val="19"/>
          <w:b w:val="1"/>
          <w:bCs w:val="1"/>
          <w:i w:val="1"/>
          <w:iCs w:val="1"/>
          <w:color w:val="auto"/>
        </w:rPr>
        <w:t>Approved Directors</w:t>
      </w:r>
      <w:r>
        <w:rPr>
          <w:rFonts w:ascii="Arial" w:cs="Arial" w:eastAsia="Arial" w:hAnsi="Arial"/>
          <w:sz w:val="19"/>
          <w:szCs w:val="19"/>
          <w:color w:val="auto"/>
        </w:rPr>
        <w:t>” means new directors (other than a director designated by a person who has entered into an agreement with the Company to effect a transaction described in Sections 1(b)(i), 1(b)(iii) or 1(b)(iv)) whose election or nomination by the board of directors (or, if applicable, by the Company’s stockholders) was approved by a vote of at least two thirds of the directors then still in office who either were directors at the beginning of such two-year period or whose election or nomination for election was previously so approved;</w:t>
      </w:r>
    </w:p>
    <w:p>
      <w:pPr>
        <w:spacing w:after="0" w:line="184" w:lineRule="exact"/>
        <w:rPr>
          <w:rFonts w:ascii="Arial" w:cs="Arial" w:eastAsia="Arial" w:hAnsi="Arial"/>
          <w:sz w:val="19"/>
          <w:szCs w:val="19"/>
          <w:b w:val="1"/>
          <w:bCs w:val="1"/>
          <w:color w:val="auto"/>
        </w:rPr>
      </w:pPr>
    </w:p>
    <w:p>
      <w:pPr>
        <w:jc w:val="both"/>
        <w:ind w:firstLine="1952"/>
        <w:spacing w:after="0" w:line="248" w:lineRule="auto"/>
        <w:tabs>
          <w:tab w:leader="none" w:pos="2902" w:val="left"/>
        </w:tabs>
        <w:numPr>
          <w:ilvl w:val="1"/>
          <w:numId w:val="165"/>
        </w:numPr>
        <w:rPr>
          <w:rFonts w:ascii="Arial" w:cs="Arial" w:eastAsia="Arial" w:hAnsi="Arial"/>
          <w:sz w:val="21"/>
          <w:szCs w:val="21"/>
          <w:b w:val="1"/>
          <w:bCs w:val="1"/>
          <w:color w:val="auto"/>
        </w:rPr>
      </w:pPr>
      <w:r>
        <w:rPr>
          <w:rFonts w:ascii="Arial" w:cs="Arial" w:eastAsia="Arial" w:hAnsi="Arial"/>
          <w:sz w:val="21"/>
          <w:szCs w:val="21"/>
          <w:i w:val="1"/>
          <w:iCs w:val="1"/>
          <w:color w:val="auto"/>
        </w:rPr>
        <w:t xml:space="preserve">Corporate Transactions. </w:t>
      </w:r>
      <w:r>
        <w:rPr>
          <w:rFonts w:ascii="Arial" w:cs="Arial" w:eastAsia="Arial" w:hAnsi="Arial"/>
          <w:sz w:val="21"/>
          <w:szCs w:val="21"/>
          <w:color w:val="auto"/>
        </w:rPr>
        <w:t>The effective date of a merger or consolidation of the Company with</w:t>
      </w:r>
      <w:r>
        <w:rPr>
          <w:rFonts w:ascii="Arial" w:cs="Arial" w:eastAsia="Arial" w:hAnsi="Arial"/>
          <w:sz w:val="21"/>
          <w:szCs w:val="21"/>
          <w:i w:val="1"/>
          <w:iCs w:val="1"/>
          <w:color w:val="auto"/>
        </w:rPr>
        <w:t xml:space="preserve"> </w:t>
      </w:r>
      <w:r>
        <w:rPr>
          <w:rFonts w:ascii="Arial" w:cs="Arial" w:eastAsia="Arial" w:hAnsi="Arial"/>
          <w:sz w:val="21"/>
          <w:szCs w:val="21"/>
          <w:color w:val="auto"/>
        </w:rPr>
        <w:t>any other 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or</w:t>
      </w:r>
    </w:p>
    <w:p>
      <w:pPr>
        <w:spacing w:after="0" w:line="203" w:lineRule="exact"/>
        <w:rPr>
          <w:rFonts w:ascii="Arial" w:cs="Arial" w:eastAsia="Arial" w:hAnsi="Arial"/>
          <w:sz w:val="21"/>
          <w:szCs w:val="21"/>
          <w:b w:val="1"/>
          <w:bCs w:val="1"/>
          <w:color w:val="auto"/>
        </w:rPr>
      </w:pPr>
    </w:p>
    <w:p>
      <w:pPr>
        <w:jc w:val="both"/>
        <w:ind w:right="20" w:firstLine="1952"/>
        <w:spacing w:after="0"/>
        <w:tabs>
          <w:tab w:leader="none" w:pos="2836" w:val="left"/>
        </w:tabs>
        <w:numPr>
          <w:ilvl w:val="1"/>
          <w:numId w:val="165"/>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Liquidation. </w:t>
      </w:r>
      <w:r>
        <w:rPr>
          <w:rFonts w:ascii="Arial" w:cs="Arial" w:eastAsia="Arial" w:hAnsi="Arial"/>
          <w:sz w:val="22"/>
          <w:szCs w:val="22"/>
          <w:color w:val="auto"/>
        </w:rPr>
        <w:t>The approval by the Company’s board of directors of a complete liquidation or the</w:t>
      </w:r>
      <w:r>
        <w:rPr>
          <w:rFonts w:ascii="Arial" w:cs="Arial" w:eastAsia="Arial" w:hAnsi="Arial"/>
          <w:sz w:val="22"/>
          <w:szCs w:val="22"/>
          <w:i w:val="1"/>
          <w:iCs w:val="1"/>
          <w:color w:val="auto"/>
        </w:rPr>
        <w:t xml:space="preserve"> </w:t>
      </w:r>
      <w:r>
        <w:rPr>
          <w:rFonts w:ascii="Arial" w:cs="Arial" w:eastAsia="Arial" w:hAnsi="Arial"/>
          <w:sz w:val="22"/>
          <w:szCs w:val="22"/>
          <w:color w:val="auto"/>
        </w:rPr>
        <w:t>dissolution of the Company or an agreement for the sale, lease or disposition by the Company of all or substantially all of the Company’s assets; or</w:t>
      </w:r>
    </w:p>
    <w:p>
      <w:pPr>
        <w:spacing w:after="0" w:line="213" w:lineRule="exact"/>
        <w:rPr>
          <w:rFonts w:ascii="Arial" w:cs="Arial" w:eastAsia="Arial" w:hAnsi="Arial"/>
          <w:sz w:val="22"/>
          <w:szCs w:val="22"/>
          <w:b w:val="1"/>
          <w:bCs w:val="1"/>
          <w:color w:val="auto"/>
        </w:rPr>
      </w:pPr>
    </w:p>
    <w:p>
      <w:pPr>
        <w:jc w:val="both"/>
        <w:ind w:firstLine="1952"/>
        <w:spacing w:after="0" w:line="238" w:lineRule="auto"/>
        <w:tabs>
          <w:tab w:leader="none" w:pos="2844" w:val="left"/>
        </w:tabs>
        <w:numPr>
          <w:ilvl w:val="1"/>
          <w:numId w:val="165"/>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Other Events. </w:t>
      </w:r>
      <w:r>
        <w:rPr>
          <w:rFonts w:ascii="Arial" w:cs="Arial" w:eastAsia="Arial" w:hAnsi="Arial"/>
          <w:sz w:val="22"/>
          <w:szCs w:val="22"/>
          <w:color w:val="auto"/>
        </w:rPr>
        <w:t>Any other event of a nature that would be required to be reported in response to</w:t>
      </w:r>
      <w:r>
        <w:rPr>
          <w:rFonts w:ascii="Arial" w:cs="Arial" w:eastAsia="Arial" w:hAnsi="Arial"/>
          <w:sz w:val="22"/>
          <w:szCs w:val="22"/>
          <w:i w:val="1"/>
          <w:iCs w:val="1"/>
          <w:color w:val="auto"/>
        </w:rPr>
        <w:t xml:space="preserve"> </w:t>
      </w:r>
      <w:r>
        <w:rPr>
          <w:rFonts w:ascii="Arial" w:cs="Arial" w:eastAsia="Arial" w:hAnsi="Arial"/>
          <w:sz w:val="22"/>
          <w:szCs w:val="22"/>
          <w:color w:val="auto"/>
        </w:rPr>
        <w:t>Item 6(e) of Schedule 14A of Regulation 14A (or in response to any similar item on any similar schedule or form) promulgated under the Securities Exchange Act of 1934, as amended, whether or not the Company is then subject to such reporting requirement.</w:t>
      </w:r>
    </w:p>
    <w:p>
      <w:pPr>
        <w:spacing w:after="0" w:line="211" w:lineRule="exact"/>
        <w:rPr>
          <w:rFonts w:ascii="Arial" w:cs="Arial" w:eastAsia="Arial" w:hAnsi="Arial"/>
          <w:sz w:val="22"/>
          <w:szCs w:val="22"/>
          <w:b w:val="1"/>
          <w:bCs w:val="1"/>
          <w:color w:val="auto"/>
        </w:rPr>
      </w:pPr>
    </w:p>
    <w:p>
      <w:pPr>
        <w:ind w:right="20" w:firstLine="1304"/>
        <w:spacing w:after="0" w:line="250" w:lineRule="auto"/>
        <w:tabs>
          <w:tab w:leader="none" w:pos="2251" w:val="left"/>
        </w:tabs>
        <w:numPr>
          <w:ilvl w:val="0"/>
          <w:numId w:val="16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Status</w:t>
      </w:r>
      <w:r>
        <w:rPr>
          <w:rFonts w:ascii="Arial" w:cs="Arial" w:eastAsia="Arial" w:hAnsi="Arial"/>
          <w:sz w:val="22"/>
          <w:szCs w:val="22"/>
          <w:color w:val="auto"/>
        </w:rPr>
        <w:t>” describes the status of a person who is or was a director, trustee, general partner, managing member, officer, employee, agent or fiduciary of the Company or any other Enterprise.</w:t>
      </w:r>
    </w:p>
    <w:p>
      <w:pPr>
        <w:spacing w:after="0" w:line="201" w:lineRule="exact"/>
        <w:rPr>
          <w:rFonts w:ascii="Arial" w:cs="Arial" w:eastAsia="Arial" w:hAnsi="Arial"/>
          <w:sz w:val="22"/>
          <w:szCs w:val="22"/>
          <w:b w:val="1"/>
          <w:bCs w:val="1"/>
          <w:color w:val="auto"/>
        </w:rPr>
      </w:pPr>
    </w:p>
    <w:p>
      <w:pPr>
        <w:ind w:left="2100" w:hanging="796"/>
        <w:spacing w:after="0"/>
        <w:tabs>
          <w:tab w:leader="none" w:pos="2100" w:val="left"/>
        </w:tabs>
        <w:numPr>
          <w:ilvl w:val="0"/>
          <w:numId w:val="16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DGCL</w:t>
      </w:r>
      <w:r>
        <w:rPr>
          <w:rFonts w:ascii="Arial" w:cs="Arial" w:eastAsia="Arial" w:hAnsi="Arial"/>
          <w:sz w:val="22"/>
          <w:szCs w:val="22"/>
          <w:color w:val="auto"/>
        </w:rPr>
        <w:t>” means the General Corporation Law of the State of Delaware.</w:t>
      </w:r>
    </w:p>
    <w:p>
      <w:pPr>
        <w:spacing w:after="0" w:line="233" w:lineRule="exact"/>
        <w:rPr>
          <w:rFonts w:ascii="Arial" w:cs="Arial" w:eastAsia="Arial" w:hAnsi="Arial"/>
          <w:sz w:val="22"/>
          <w:szCs w:val="22"/>
          <w:b w:val="1"/>
          <w:bCs w:val="1"/>
          <w:color w:val="auto"/>
        </w:rPr>
      </w:pPr>
    </w:p>
    <w:p>
      <w:pPr>
        <w:ind w:right="20" w:firstLine="1304"/>
        <w:spacing w:after="0" w:line="250" w:lineRule="auto"/>
        <w:tabs>
          <w:tab w:leader="none" w:pos="2386" w:val="left"/>
        </w:tabs>
        <w:numPr>
          <w:ilvl w:val="0"/>
          <w:numId w:val="16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Disinterested Director</w:t>
      </w:r>
      <w:r>
        <w:rPr>
          <w:rFonts w:ascii="Arial" w:cs="Arial" w:eastAsia="Arial" w:hAnsi="Arial"/>
          <w:sz w:val="22"/>
          <w:szCs w:val="22"/>
          <w:color w:val="auto"/>
        </w:rPr>
        <w:t>” means a director of the Company who is not and was not a party to the Proceeding in respect of which indemnification is sought by Indemnitee.</w:t>
      </w:r>
    </w:p>
    <w:p>
      <w:pPr>
        <w:spacing w:after="0" w:line="201" w:lineRule="exact"/>
        <w:rPr>
          <w:rFonts w:ascii="Arial" w:cs="Arial" w:eastAsia="Arial" w:hAnsi="Arial"/>
          <w:sz w:val="22"/>
          <w:szCs w:val="22"/>
          <w:b w:val="1"/>
          <w:bCs w:val="1"/>
          <w:color w:val="auto"/>
        </w:rPr>
      </w:pPr>
    </w:p>
    <w:p>
      <w:pPr>
        <w:jc w:val="both"/>
        <w:ind w:firstLine="1304"/>
        <w:spacing w:after="0" w:line="257" w:lineRule="auto"/>
        <w:tabs>
          <w:tab w:leader="none" w:pos="2092" w:val="left"/>
        </w:tabs>
        <w:numPr>
          <w:ilvl w:val="0"/>
          <w:numId w:val="16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Enterprise</w:t>
      </w:r>
      <w:r>
        <w:rPr>
          <w:rFonts w:ascii="Arial" w:cs="Arial" w:eastAsia="Arial" w:hAnsi="Arial"/>
          <w:sz w:val="21"/>
          <w:szCs w:val="21"/>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96" w:lineRule="exact"/>
        <w:rPr>
          <w:rFonts w:ascii="Arial" w:cs="Arial" w:eastAsia="Arial" w:hAnsi="Arial"/>
          <w:sz w:val="21"/>
          <w:szCs w:val="21"/>
          <w:b w:val="1"/>
          <w:bCs w:val="1"/>
          <w:color w:val="auto"/>
        </w:rPr>
      </w:pPr>
    </w:p>
    <w:p>
      <w:pPr>
        <w:jc w:val="both"/>
        <w:ind w:firstLine="1304"/>
        <w:spacing w:after="0" w:line="273" w:lineRule="auto"/>
        <w:tabs>
          <w:tab w:leader="none" w:pos="2155" w:val="left"/>
        </w:tabs>
        <w:numPr>
          <w:ilvl w:val="0"/>
          <w:numId w:val="16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Expenses</w:t>
      </w:r>
      <w:r>
        <w:rPr>
          <w:rFonts w:ascii="Arial" w:cs="Arial" w:eastAsia="Arial" w:hAnsi="Arial"/>
          <w:sz w:val="19"/>
          <w:szCs w:val="19"/>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both"/>
        <w:ind w:firstLine="1304"/>
        <w:spacing w:after="0" w:line="246" w:lineRule="auto"/>
        <w:tabs>
          <w:tab w:leader="none" w:pos="2140" w:val="left"/>
        </w:tabs>
        <w:numPr>
          <w:ilvl w:val="1"/>
          <w:numId w:val="16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Independent Counsel</w:t>
      </w:r>
      <w:r>
        <w:rPr>
          <w:rFonts w:ascii="Arial" w:cs="Arial" w:eastAsia="Arial" w:hAnsi="Arial"/>
          <w:sz w:val="21"/>
          <w:szCs w:val="21"/>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7" w:lineRule="exact"/>
        <w:rPr>
          <w:rFonts w:ascii="Arial" w:cs="Arial" w:eastAsia="Arial" w:hAnsi="Arial"/>
          <w:sz w:val="21"/>
          <w:szCs w:val="21"/>
          <w:b w:val="1"/>
          <w:bCs w:val="1"/>
          <w:color w:val="auto"/>
        </w:rPr>
      </w:pPr>
    </w:p>
    <w:p>
      <w:pPr>
        <w:jc w:val="both"/>
        <w:ind w:firstLine="1304"/>
        <w:spacing w:after="0" w:line="287" w:lineRule="auto"/>
        <w:tabs>
          <w:tab w:leader="none" w:pos="2107" w:val="left"/>
        </w:tabs>
        <w:numPr>
          <w:ilvl w:val="1"/>
          <w:numId w:val="16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shall have the meaning set forth in Sections 13(d) and 14(d) of the Securities Exchange Act of 1934, as amended;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69" w:lineRule="exact"/>
        <w:rPr>
          <w:rFonts w:ascii="Arial" w:cs="Arial" w:eastAsia="Arial" w:hAnsi="Arial"/>
          <w:sz w:val="19"/>
          <w:szCs w:val="19"/>
          <w:b w:val="1"/>
          <w:bCs w:val="1"/>
          <w:color w:val="auto"/>
        </w:rPr>
      </w:pPr>
    </w:p>
    <w:p>
      <w:pPr>
        <w:jc w:val="both"/>
        <w:ind w:firstLine="1304"/>
        <w:spacing w:after="0" w:line="273" w:lineRule="auto"/>
        <w:tabs>
          <w:tab w:leader="none" w:pos="2119" w:val="left"/>
        </w:tabs>
        <w:numPr>
          <w:ilvl w:val="1"/>
          <w:numId w:val="16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87" w:lineRule="exact"/>
        <w:rPr>
          <w:rFonts w:ascii="Arial" w:cs="Arial" w:eastAsia="Arial" w:hAnsi="Arial"/>
          <w:sz w:val="19"/>
          <w:szCs w:val="19"/>
          <w:b w:val="1"/>
          <w:bCs w:val="1"/>
          <w:color w:val="auto"/>
        </w:rPr>
      </w:pPr>
    </w:p>
    <w:p>
      <w:pPr>
        <w:jc w:val="both"/>
        <w:ind w:firstLine="1304"/>
        <w:spacing w:after="0" w:line="252" w:lineRule="auto"/>
        <w:tabs>
          <w:tab w:leader="none" w:pos="2046" w:val="left"/>
        </w:tabs>
        <w:numPr>
          <w:ilvl w:val="1"/>
          <w:numId w:val="16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 the fullest extent permitted by applicable law</w:t>
      </w:r>
      <w:r>
        <w:rPr>
          <w:rFonts w:ascii="Arial" w:cs="Arial" w:eastAsia="Arial" w:hAnsi="Arial"/>
          <w:sz w:val="21"/>
          <w:szCs w:val="21"/>
          <w:color w:val="auto"/>
        </w:rPr>
        <w:t>” means to the fullest extent permitted by all applicable laws, including without limitation: (i) 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200" w:lineRule="exact"/>
        <w:rPr>
          <w:rFonts w:ascii="Arial" w:cs="Arial" w:eastAsia="Arial" w:hAnsi="Arial"/>
          <w:sz w:val="21"/>
          <w:szCs w:val="21"/>
          <w:b w:val="1"/>
          <w:bCs w:val="1"/>
          <w:color w:val="auto"/>
        </w:rPr>
      </w:pPr>
    </w:p>
    <w:p>
      <w:pPr>
        <w:jc w:val="both"/>
        <w:ind w:firstLine="1304"/>
        <w:spacing w:after="0" w:line="246" w:lineRule="auto"/>
        <w:tabs>
          <w:tab w:leader="none" w:pos="2354" w:val="left"/>
        </w:tabs>
        <w:numPr>
          <w:ilvl w:val="1"/>
          <w:numId w:val="167"/>
        </w:numPr>
        <w:rPr>
          <w:rFonts w:ascii="Arial" w:cs="Arial" w:eastAsia="Arial" w:hAnsi="Arial"/>
          <w:sz w:val="21"/>
          <w:szCs w:val="21"/>
          <w:b w:val="1"/>
          <w:bCs w:val="1"/>
          <w:color w:val="auto"/>
        </w:rPr>
      </w:pPr>
      <w:r>
        <w:rPr>
          <w:rFonts w:ascii="Arial" w:cs="Arial" w:eastAsia="Arial" w:hAnsi="Arial"/>
          <w:sz w:val="21"/>
          <w:szCs w:val="21"/>
          <w:color w:val="auto"/>
        </w:rPr>
        <w:t>In connection with any Proceeding relating to an employee benefit plan: references to “</w:t>
      </w:r>
      <w:r>
        <w:rPr>
          <w:rFonts w:ascii="Arial" w:cs="Arial" w:eastAsia="Arial" w:hAnsi="Arial"/>
          <w:sz w:val="21"/>
          <w:szCs w:val="21"/>
          <w:b w:val="1"/>
          <w:bCs w:val="1"/>
          <w:i w:val="1"/>
          <w:iCs w:val="1"/>
          <w:color w:val="auto"/>
        </w:rPr>
        <w:t>fines</w:t>
      </w:r>
      <w:r>
        <w:rPr>
          <w:rFonts w:ascii="Arial" w:cs="Arial" w:eastAsia="Arial" w:hAnsi="Arial"/>
          <w:sz w:val="21"/>
          <w:szCs w:val="21"/>
          <w:color w:val="auto"/>
        </w:rPr>
        <w:t>” shall include any excise taxes assessed on a person with respect to any employee benefit plan; references to “</w:t>
      </w:r>
      <w:r>
        <w:rPr>
          <w:rFonts w:ascii="Arial" w:cs="Arial" w:eastAsia="Arial" w:hAnsi="Arial"/>
          <w:sz w:val="21"/>
          <w:szCs w:val="21"/>
          <w:b w:val="1"/>
          <w:bCs w:val="1"/>
          <w:i w:val="1"/>
          <w:iCs w:val="1"/>
          <w:color w:val="auto"/>
        </w:rPr>
        <w:t>serving at the request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the Company</w:t>
      </w:r>
      <w:r>
        <w:rPr>
          <w:rFonts w:ascii="Arial" w:cs="Arial" w:eastAsia="Arial" w:hAnsi="Arial"/>
          <w:sz w:val="21"/>
          <w:szCs w:val="21"/>
          <w:color w:val="auto"/>
        </w:rPr>
        <w:t>” shall include any service as a director, officer, employee or agent of the Company which imposes duties on,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21"/>
          <w:szCs w:val="21"/>
          <w:b w:val="1"/>
          <w:bCs w:val="1"/>
          <w:i w:val="1"/>
          <w:iCs w:val="1"/>
          <w:color w:val="auto"/>
        </w:rPr>
        <w:t>not opposed to the best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interests of the Company</w:t>
      </w:r>
      <w:r>
        <w:rPr>
          <w:rFonts w:ascii="Arial" w:cs="Arial" w:eastAsia="Arial" w:hAnsi="Arial"/>
          <w:sz w:val="21"/>
          <w:szCs w:val="21"/>
          <w:color w:val="auto"/>
        </w:rPr>
        <w:t>” as referred to in this Agreement.</w:t>
      </w:r>
    </w:p>
    <w:p>
      <w:pPr>
        <w:spacing w:after="0" w:line="205" w:lineRule="exact"/>
        <w:rPr>
          <w:rFonts w:ascii="Arial" w:cs="Arial" w:eastAsia="Arial" w:hAnsi="Arial"/>
          <w:sz w:val="21"/>
          <w:szCs w:val="21"/>
          <w:b w:val="1"/>
          <w:bCs w:val="1"/>
          <w:color w:val="auto"/>
        </w:rPr>
      </w:pPr>
    </w:p>
    <w:p>
      <w:pPr>
        <w:jc w:val="both"/>
        <w:ind w:firstLine="656"/>
        <w:spacing w:after="0" w:line="236" w:lineRule="auto"/>
        <w:tabs>
          <w:tab w:leader="none" w:pos="1566"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Indemnity in Third-Party Proceedings</w:t>
      </w:r>
      <w:r>
        <w:rPr>
          <w:rFonts w:ascii="Arial" w:cs="Arial" w:eastAsia="Arial" w:hAnsi="Arial"/>
          <w:sz w:val="22"/>
          <w:szCs w:val="22"/>
          <w:color w:val="auto"/>
        </w:rPr>
        <w:t>. The Company shall indemnify Indemnitee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this Section 2 if 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jc w:val="both"/>
        <w:ind w:firstLine="656"/>
        <w:spacing w:after="0" w:line="284" w:lineRule="auto"/>
        <w:tabs>
          <w:tab w:leader="none" w:pos="1444"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color w:val="auto"/>
        </w:rPr>
        <w:t>Indemnity in Proceedings by or in the Right of the Company</w:t>
      </w:r>
      <w:r>
        <w:rPr>
          <w:rFonts w:ascii="Arial" w:cs="Arial" w:eastAsia="Arial" w:hAnsi="Arial"/>
          <w:sz w:val="19"/>
          <w:szCs w:val="19"/>
          <w:color w:val="auto"/>
        </w:rPr>
        <w:t>. The Company shall indemnify Indemnitee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provisions 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his or her behalf in connection with such Proceeding or any claim, issue or matter therein.</w:t>
      </w:r>
    </w:p>
    <w:p>
      <w:pPr>
        <w:spacing w:after="0" w:line="165" w:lineRule="exact"/>
        <w:rPr>
          <w:rFonts w:ascii="Arial" w:cs="Arial" w:eastAsia="Arial" w:hAnsi="Arial"/>
          <w:sz w:val="19"/>
          <w:szCs w:val="19"/>
          <w:b w:val="1"/>
          <w:bCs w:val="1"/>
          <w:color w:val="auto"/>
        </w:rPr>
      </w:pPr>
    </w:p>
    <w:p>
      <w:pPr>
        <w:jc w:val="both"/>
        <w:ind w:firstLine="656"/>
        <w:spacing w:after="0" w:line="247" w:lineRule="auto"/>
        <w:tabs>
          <w:tab w:leader="none" w:pos="1471"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color w:val="auto"/>
        </w:rPr>
        <w:t>Indemnification for Expenses of a Party Who is Wholly or Partly Successful</w:t>
      </w:r>
      <w:r>
        <w:rPr>
          <w:rFonts w:ascii="Arial" w:cs="Arial" w:eastAsia="Arial" w:hAnsi="Arial"/>
          <w:sz w:val="21"/>
          <w:szCs w:val="21"/>
          <w:color w:val="auto"/>
        </w:rPr>
        <w:t>. Notwithstanding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this Agreement, in circumstances where indemnification is not available under Section 2 or 3, as the case may be, to the fullest extent permitted by law and to the extent that Indemnitee is a party to, 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204" w:lineRule="exact"/>
        <w:rPr>
          <w:rFonts w:ascii="Arial" w:cs="Arial" w:eastAsia="Arial" w:hAnsi="Arial"/>
          <w:sz w:val="21"/>
          <w:szCs w:val="21"/>
          <w:b w:val="1"/>
          <w:bCs w:val="1"/>
          <w:color w:val="auto"/>
        </w:rPr>
      </w:pPr>
    </w:p>
    <w:p>
      <w:pPr>
        <w:ind w:firstLine="656"/>
        <w:spacing w:after="0" w:line="256" w:lineRule="auto"/>
        <w:tabs>
          <w:tab w:leader="none" w:pos="1498"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Exclusions</w:t>
      </w:r>
      <w:r>
        <w:rPr>
          <w:rFonts w:ascii="Arial" w:cs="Arial" w:eastAsia="Arial" w:hAnsi="Arial"/>
          <w:sz w:val="22"/>
          <w:szCs w:val="22"/>
          <w:color w:val="auto"/>
        </w:rPr>
        <w:t>. Notwithstanding any provision in this Agreement, the Company shall not be obligated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make any indemnity in connection with any Proceeding (or any part of any Proceeding):</w:t>
      </w:r>
    </w:p>
    <w:p>
      <w:pPr>
        <w:spacing w:after="0" w:line="195" w:lineRule="exact"/>
        <w:rPr>
          <w:rFonts w:ascii="Arial" w:cs="Arial" w:eastAsia="Arial" w:hAnsi="Arial"/>
          <w:sz w:val="22"/>
          <w:szCs w:val="22"/>
          <w:b w:val="1"/>
          <w:bCs w:val="1"/>
          <w:color w:val="auto"/>
        </w:rPr>
      </w:pPr>
    </w:p>
    <w:p>
      <w:pPr>
        <w:ind w:firstLine="1304"/>
        <w:spacing w:after="0" w:line="274" w:lineRule="auto"/>
        <w:tabs>
          <w:tab w:leader="none" w:pos="2244" w:val="left"/>
        </w:tabs>
        <w:numPr>
          <w:ilvl w:val="1"/>
          <w:numId w:val="169"/>
        </w:numPr>
        <w:rPr>
          <w:rFonts w:ascii="Arial" w:cs="Arial" w:eastAsia="Arial" w:hAnsi="Arial"/>
          <w:sz w:val="21"/>
          <w:szCs w:val="21"/>
          <w:b w:val="1"/>
          <w:bCs w:val="1"/>
          <w:color w:val="auto"/>
        </w:rPr>
      </w:pPr>
      <w:r>
        <w:rPr>
          <w:rFonts w:ascii="Arial" w:cs="Arial" w:eastAsia="Arial" w:hAnsi="Arial"/>
          <w:sz w:val="21"/>
          <w:szCs w:val="21"/>
          <w:color w:val="auto"/>
        </w:rPr>
        <w:t>for which payment has actually been made to or on behalf of Indemnitee under any statute, insurance policy, indemnity provision, vote or otherwise, except with respect to any excess beyond the amount paid;</w:t>
      </w:r>
    </w:p>
    <w:p>
      <w:pPr>
        <w:spacing w:after="0" w:line="177" w:lineRule="exact"/>
        <w:rPr>
          <w:rFonts w:ascii="Arial" w:cs="Arial" w:eastAsia="Arial" w:hAnsi="Arial"/>
          <w:sz w:val="21"/>
          <w:szCs w:val="21"/>
          <w:b w:val="1"/>
          <w:bCs w:val="1"/>
          <w:color w:val="auto"/>
        </w:rPr>
      </w:pPr>
    </w:p>
    <w:p>
      <w:pPr>
        <w:jc w:val="both"/>
        <w:ind w:firstLine="1304"/>
        <w:spacing w:after="0"/>
        <w:tabs>
          <w:tab w:leader="none" w:pos="2099" w:val="left"/>
        </w:tabs>
        <w:numPr>
          <w:ilvl w:val="1"/>
          <w:numId w:val="169"/>
        </w:numPr>
        <w:rPr>
          <w:rFonts w:ascii="Arial" w:cs="Arial" w:eastAsia="Arial" w:hAnsi="Arial"/>
          <w:sz w:val="22"/>
          <w:szCs w:val="22"/>
          <w:b w:val="1"/>
          <w:bCs w:val="1"/>
          <w:color w:val="auto"/>
        </w:rPr>
      </w:pPr>
      <w:r>
        <w:rPr>
          <w:rFonts w:ascii="Arial" w:cs="Arial" w:eastAsia="Arial" w:hAnsi="Arial"/>
          <w:sz w:val="22"/>
          <w:szCs w:val="22"/>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213" w:lineRule="exact"/>
        <w:rPr>
          <w:rFonts w:ascii="Arial" w:cs="Arial" w:eastAsia="Arial" w:hAnsi="Arial"/>
          <w:sz w:val="22"/>
          <w:szCs w:val="22"/>
          <w:b w:val="1"/>
          <w:bCs w:val="1"/>
          <w:color w:val="auto"/>
        </w:rPr>
      </w:pPr>
    </w:p>
    <w:p>
      <w:pPr>
        <w:jc w:val="both"/>
        <w:ind w:firstLine="1304"/>
        <w:spacing w:after="0" w:line="279" w:lineRule="auto"/>
        <w:tabs>
          <w:tab w:leader="none" w:pos="2128" w:val="left"/>
        </w:tabs>
        <w:numPr>
          <w:ilvl w:val="1"/>
          <w:numId w:val="169"/>
        </w:numPr>
        <w:rPr>
          <w:rFonts w:ascii="Arial" w:cs="Arial" w:eastAsia="Arial" w:hAnsi="Arial"/>
          <w:sz w:val="19"/>
          <w:szCs w:val="19"/>
          <w:b w:val="1"/>
          <w:bCs w:val="1"/>
          <w:color w:val="auto"/>
        </w:rPr>
      </w:pPr>
      <w:r>
        <w:rPr>
          <w:rFonts w:ascii="Arial" w:cs="Arial" w:eastAsia="Arial" w:hAnsi="Arial"/>
          <w:sz w:val="19"/>
          <w:szCs w:val="19"/>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77" w:lineRule="exact"/>
        <w:rPr>
          <w:rFonts w:ascii="Arial" w:cs="Arial" w:eastAsia="Arial" w:hAnsi="Arial"/>
          <w:sz w:val="19"/>
          <w:szCs w:val="19"/>
          <w:b w:val="1"/>
          <w:bCs w:val="1"/>
          <w:color w:val="auto"/>
        </w:rPr>
      </w:pPr>
    </w:p>
    <w:p>
      <w:pPr>
        <w:jc w:val="both"/>
        <w:ind w:firstLine="1304"/>
        <w:spacing w:after="0" w:line="275" w:lineRule="auto"/>
        <w:tabs>
          <w:tab w:leader="none" w:pos="2026" w:val="left"/>
        </w:tabs>
        <w:numPr>
          <w:ilvl w:val="1"/>
          <w:numId w:val="169"/>
        </w:numPr>
        <w:rPr>
          <w:rFonts w:ascii="Arial" w:cs="Arial" w:eastAsia="Arial" w:hAnsi="Arial"/>
          <w:sz w:val="19"/>
          <w:szCs w:val="19"/>
          <w:b w:val="1"/>
          <w:bCs w:val="1"/>
          <w:color w:val="auto"/>
        </w:rPr>
      </w:pPr>
      <w:r>
        <w:rPr>
          <w:rFonts w:ascii="Arial" w:cs="Arial" w:eastAsia="Arial" w:hAnsi="Arial"/>
          <w:sz w:val="19"/>
          <w:szCs w:val="19"/>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10(d)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 not initiated by Indemnitee or (ii) having made any counterclaim (whether permissive or mandatory) in connection with any claim not initiated by Indemnitee;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4" w:name="page255"/>
    <w:bookmarkEnd w:id="254"/>
    <w:p>
      <w:pPr>
        <w:ind w:left="2080" w:hanging="776"/>
        <w:spacing w:after="0"/>
        <w:tabs>
          <w:tab w:leader="none" w:pos="2080" w:val="left"/>
        </w:tabs>
        <w:numPr>
          <w:ilvl w:val="1"/>
          <w:numId w:val="170"/>
        </w:numPr>
        <w:rPr>
          <w:rFonts w:ascii="Arial" w:cs="Arial" w:eastAsia="Arial" w:hAnsi="Arial"/>
          <w:sz w:val="22"/>
          <w:szCs w:val="22"/>
          <w:b w:val="1"/>
          <w:bCs w:val="1"/>
          <w:color w:val="auto"/>
        </w:rPr>
      </w:pPr>
      <w:r>
        <w:rPr>
          <w:rFonts w:ascii="Arial" w:cs="Arial" w:eastAsia="Arial" w:hAnsi="Arial"/>
          <w:sz w:val="22"/>
          <w:szCs w:val="22"/>
          <w:color w:val="auto"/>
        </w:rPr>
        <w:t>if prohibited by the DGCL or other applicable law.</w:t>
      </w:r>
    </w:p>
    <w:p>
      <w:pPr>
        <w:spacing w:after="0" w:line="227" w:lineRule="exact"/>
        <w:rPr>
          <w:rFonts w:ascii="Arial" w:cs="Arial" w:eastAsia="Arial" w:hAnsi="Arial"/>
          <w:sz w:val="22"/>
          <w:szCs w:val="22"/>
          <w:b w:val="1"/>
          <w:bCs w:val="1"/>
          <w:color w:val="auto"/>
        </w:rPr>
      </w:pPr>
    </w:p>
    <w:p>
      <w:pPr>
        <w:jc w:val="both"/>
        <w:ind w:firstLine="656"/>
        <w:spacing w:after="0" w:line="272" w:lineRule="auto"/>
        <w:tabs>
          <w:tab w:leader="none" w:pos="1471"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Advances of Expenses</w:t>
      </w:r>
      <w:r>
        <w:rPr>
          <w:rFonts w:ascii="Arial" w:cs="Arial" w:eastAsia="Arial" w:hAnsi="Arial"/>
          <w:sz w:val="19"/>
          <w:szCs w:val="19"/>
          <w:color w:val="auto"/>
        </w:rPr>
        <w:t>. The Company shall advance the Expenses incurred by Indemnitee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Proceeding prior to its final disposition, and such advancement shall be made as soon as reasonably practicable, but in any event no later than 10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Arial" w:cs="Arial" w:eastAsia="Arial" w:hAnsi="Arial"/>
          <w:sz w:val="19"/>
          <w:szCs w:val="19"/>
          <w:i w:val="1"/>
          <w:iCs w:val="1"/>
          <w:color w:val="auto"/>
        </w:rPr>
        <w:t>except</w:t>
      </w:r>
      <w:r>
        <w:rPr>
          <w:rFonts w:ascii="Arial" w:cs="Arial" w:eastAsia="Arial" w:hAnsi="Arial"/>
          <w:sz w:val="19"/>
          <w:szCs w:val="19"/>
          <w:color w:val="auto"/>
        </w:rPr>
        <w:t>, with respect to advances of expenses made pursuant to Section 10(c), in which case Indemnitee makes the undertaking provided in Section 10(c). This Section 6 shall not apply to the extent advancement is prohibited by law and shall not apply to any Proceeding (or any part of any Proceeding) for which indemnity is not permitted under this Agreement, but shall apply to any Proceeding (or any part of any Proceeding) referenced in Section 5(b) or 5(c) prior to a determination that Indemnitee is not entitled to be indemnified by the Company.</w:t>
      </w:r>
    </w:p>
    <w:p>
      <w:pPr>
        <w:spacing w:after="0" w:line="200" w:lineRule="exact"/>
        <w:rPr>
          <w:rFonts w:ascii="Arial" w:cs="Arial" w:eastAsia="Arial" w:hAnsi="Arial"/>
          <w:sz w:val="19"/>
          <w:szCs w:val="19"/>
          <w:b w:val="1"/>
          <w:bCs w:val="1"/>
          <w:color w:val="auto"/>
        </w:rPr>
      </w:pPr>
    </w:p>
    <w:p>
      <w:pPr>
        <w:spacing w:after="0" w:line="230" w:lineRule="exact"/>
        <w:rPr>
          <w:rFonts w:ascii="Arial" w:cs="Arial" w:eastAsia="Arial" w:hAnsi="Arial"/>
          <w:sz w:val="19"/>
          <w:szCs w:val="19"/>
          <w:b w:val="1"/>
          <w:bCs w:val="1"/>
          <w:color w:val="auto"/>
        </w:rPr>
      </w:pPr>
    </w:p>
    <w:p>
      <w:pPr>
        <w:ind w:left="1420" w:hanging="764"/>
        <w:spacing w:after="0"/>
        <w:tabs>
          <w:tab w:leader="none" w:pos="142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Procedures for Notification and Defense of Claim</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34" w:lineRule="auto"/>
        <w:tabs>
          <w:tab w:leader="none" w:pos="2048" w:val="left"/>
        </w:tabs>
        <w:numPr>
          <w:ilvl w:val="1"/>
          <w:numId w:val="171"/>
        </w:numPr>
        <w:rPr>
          <w:rFonts w:ascii="Arial" w:cs="Arial" w:eastAsia="Arial" w:hAnsi="Arial"/>
          <w:sz w:val="22"/>
          <w:szCs w:val="22"/>
          <w:b w:val="1"/>
          <w:bCs w:val="1"/>
          <w:color w:val="auto"/>
        </w:rPr>
      </w:pPr>
      <w:r>
        <w:rPr>
          <w:rFonts w:ascii="Arial" w:cs="Arial" w:eastAsia="Arial" w:hAnsi="Arial"/>
          <w:sz w:val="22"/>
          <w:szCs w:val="22"/>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17" w:lineRule="exact"/>
        <w:rPr>
          <w:rFonts w:ascii="Arial" w:cs="Arial" w:eastAsia="Arial" w:hAnsi="Arial"/>
          <w:sz w:val="22"/>
          <w:szCs w:val="22"/>
          <w:b w:val="1"/>
          <w:bCs w:val="1"/>
          <w:color w:val="auto"/>
        </w:rPr>
      </w:pPr>
    </w:p>
    <w:p>
      <w:pPr>
        <w:jc w:val="both"/>
        <w:ind w:firstLine="1304"/>
        <w:spacing w:after="0" w:line="282" w:lineRule="auto"/>
        <w:tabs>
          <w:tab w:leader="none" w:pos="2159"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174" w:lineRule="exact"/>
        <w:rPr>
          <w:rFonts w:ascii="Arial" w:cs="Arial" w:eastAsia="Arial" w:hAnsi="Arial"/>
          <w:sz w:val="19"/>
          <w:szCs w:val="19"/>
          <w:b w:val="1"/>
          <w:bCs w:val="1"/>
          <w:color w:val="auto"/>
        </w:rPr>
      </w:pPr>
    </w:p>
    <w:p>
      <w:pPr>
        <w:jc w:val="both"/>
        <w:ind w:firstLine="1304"/>
        <w:spacing w:after="0" w:line="271" w:lineRule="auto"/>
        <w:tabs>
          <w:tab w:leader="none" w:pos="2082"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ind w:right="20" w:firstLine="1304"/>
        <w:spacing w:after="0" w:line="251" w:lineRule="auto"/>
        <w:tabs>
          <w:tab w:leader="none" w:pos="2135" w:val="left"/>
        </w:tabs>
        <w:numPr>
          <w:ilvl w:val="1"/>
          <w:numId w:val="172"/>
        </w:numPr>
        <w:rPr>
          <w:rFonts w:ascii="Arial" w:cs="Arial" w:eastAsia="Arial" w:hAnsi="Arial"/>
          <w:sz w:val="22"/>
          <w:szCs w:val="22"/>
          <w:b w:val="1"/>
          <w:bCs w:val="1"/>
          <w:color w:val="auto"/>
        </w:rPr>
      </w:pPr>
      <w:r>
        <w:rPr>
          <w:rFonts w:ascii="Arial" w:cs="Arial" w:eastAsia="Arial" w:hAnsi="Arial"/>
          <w:sz w:val="22"/>
          <w:szCs w:val="22"/>
          <w:color w:val="auto"/>
        </w:rPr>
        <w:t>Indemnitee shall give the Company such information and cooperation in connection with the Proceeding as may be reasonably appropriate.</w:t>
      </w:r>
    </w:p>
    <w:p>
      <w:pPr>
        <w:spacing w:after="0" w:line="200" w:lineRule="exact"/>
        <w:rPr>
          <w:rFonts w:ascii="Arial" w:cs="Arial" w:eastAsia="Arial" w:hAnsi="Arial"/>
          <w:sz w:val="22"/>
          <w:szCs w:val="22"/>
          <w:b w:val="1"/>
          <w:bCs w:val="1"/>
          <w:color w:val="auto"/>
        </w:rPr>
      </w:pPr>
    </w:p>
    <w:p>
      <w:pPr>
        <w:jc w:val="both"/>
        <w:ind w:firstLine="1304"/>
        <w:spacing w:after="0" w:line="248" w:lineRule="auto"/>
        <w:tabs>
          <w:tab w:leader="none" w:pos="2085" w:val="left"/>
        </w:tabs>
        <w:numPr>
          <w:ilvl w:val="1"/>
          <w:numId w:val="172"/>
        </w:numPr>
        <w:rPr>
          <w:rFonts w:ascii="Arial" w:cs="Arial" w:eastAsia="Arial" w:hAnsi="Arial"/>
          <w:sz w:val="21"/>
          <w:szCs w:val="21"/>
          <w:b w:val="1"/>
          <w:bCs w:val="1"/>
          <w:color w:val="auto"/>
        </w:rPr>
      </w:pPr>
      <w:r>
        <w:rPr>
          <w:rFonts w:ascii="Arial" w:cs="Arial" w:eastAsia="Arial" w:hAnsi="Arial"/>
          <w:sz w:val="21"/>
          <w:szCs w:val="21"/>
          <w:color w:val="auto"/>
        </w:rPr>
        <w:t>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203" w:lineRule="exact"/>
        <w:rPr>
          <w:rFonts w:ascii="Arial" w:cs="Arial" w:eastAsia="Arial" w:hAnsi="Arial"/>
          <w:sz w:val="21"/>
          <w:szCs w:val="21"/>
          <w:b w:val="1"/>
          <w:bCs w:val="1"/>
          <w:color w:val="auto"/>
        </w:rPr>
      </w:pPr>
    </w:p>
    <w:p>
      <w:pPr>
        <w:jc w:val="both"/>
        <w:ind w:firstLine="1304"/>
        <w:spacing w:after="0"/>
        <w:tabs>
          <w:tab w:leader="none" w:pos="2118" w:val="left"/>
        </w:tabs>
        <w:numPr>
          <w:ilvl w:val="1"/>
          <w:numId w:val="172"/>
        </w:numPr>
        <w:rPr>
          <w:rFonts w:ascii="Arial" w:cs="Arial" w:eastAsia="Arial" w:hAnsi="Arial"/>
          <w:sz w:val="22"/>
          <w:szCs w:val="22"/>
          <w:b w:val="1"/>
          <w:bCs w:val="1"/>
          <w:color w:val="auto"/>
        </w:rPr>
      </w:pPr>
      <w:r>
        <w:rPr>
          <w:rFonts w:ascii="Arial" w:cs="Arial" w:eastAsia="Arial" w:hAnsi="Arial"/>
          <w:sz w:val="22"/>
          <w:szCs w:val="22"/>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207" w:lineRule="exact"/>
        <w:rPr>
          <w:rFonts w:ascii="Arial" w:cs="Arial" w:eastAsia="Arial" w:hAnsi="Arial"/>
          <w:sz w:val="22"/>
          <w:szCs w:val="22"/>
          <w:b w:val="1"/>
          <w:bCs w:val="1"/>
          <w:color w:val="auto"/>
        </w:rPr>
      </w:pPr>
    </w:p>
    <w:p>
      <w:pPr>
        <w:ind w:left="1420" w:hanging="764"/>
        <w:spacing w:after="0"/>
        <w:tabs>
          <w:tab w:leader="none" w:pos="142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Procedures upon Application for Indemnification</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36" w:lineRule="auto"/>
        <w:tabs>
          <w:tab w:leader="none" w:pos="2044"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214" w:lineRule="exact"/>
        <w:rPr>
          <w:rFonts w:ascii="Arial" w:cs="Arial" w:eastAsia="Arial" w:hAnsi="Arial"/>
          <w:sz w:val="22"/>
          <w:szCs w:val="22"/>
          <w:b w:val="1"/>
          <w:bCs w:val="1"/>
          <w:color w:val="auto"/>
        </w:rPr>
      </w:pPr>
    </w:p>
    <w:p>
      <w:pPr>
        <w:jc w:val="both"/>
        <w:ind w:firstLine="1304"/>
        <w:spacing w:after="0" w:line="270" w:lineRule="auto"/>
        <w:tabs>
          <w:tab w:leader="none" w:pos="2211" w:val="left"/>
        </w:tabs>
        <w:numPr>
          <w:ilvl w:val="1"/>
          <w:numId w:val="173"/>
        </w:numPr>
        <w:rPr>
          <w:rFonts w:ascii="Arial" w:cs="Arial" w:eastAsia="Arial" w:hAnsi="Arial"/>
          <w:sz w:val="19"/>
          <w:szCs w:val="19"/>
          <w:b w:val="1"/>
          <w:bCs w:val="1"/>
          <w:color w:val="auto"/>
        </w:rPr>
      </w:pPr>
      <w:r>
        <w:rPr>
          <w:rFonts w:ascii="Arial" w:cs="Arial" w:eastAsia="Arial" w:hAnsi="Arial"/>
          <w:sz w:val="19"/>
          <w:szCs w:val="19"/>
          <w:color w:val="auto"/>
        </w:rPr>
        <w:t>Upon written request by Indemnitee for indemnification pursuant to Section 8(a), a determination with respect to Indemnitee’s entitlement thereto shall be made no later than 30 days after the Company’s receipt of Indemnitee’s written request for indemnification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the Company does not deliver a determination that Indemnitee is not entitled to indemnification within 30 days after the Company’s receipt of Indemnitee’s written request for indemnification, then the requisite determination of entitlement to indemnification shall be deemed to have been made and Indemnitee shall be entitled to such indemnification absent a prohibition of such indemnification under applicable law.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jc w:val="both"/>
        <w:ind w:firstLine="1304"/>
        <w:spacing w:after="0" w:line="269" w:lineRule="auto"/>
        <w:tabs>
          <w:tab w:leader="none" w:pos="2153" w:val="left"/>
        </w:tabs>
        <w:numPr>
          <w:ilvl w:val="1"/>
          <w:numId w:val="174"/>
        </w:numPr>
        <w:rPr>
          <w:rFonts w:ascii="Arial" w:cs="Arial" w:eastAsia="Arial" w:hAnsi="Arial"/>
          <w:sz w:val="19"/>
          <w:szCs w:val="19"/>
          <w:b w:val="1"/>
          <w:bCs w:val="1"/>
          <w:color w:val="auto"/>
        </w:rPr>
      </w:pPr>
      <w:r>
        <w:rPr>
          <w:rFonts w:ascii="Arial" w:cs="Arial" w:eastAsia="Arial" w:hAnsi="Arial"/>
          <w:sz w:val="19"/>
          <w:szCs w:val="19"/>
          <w:color w:val="auto"/>
        </w:rPr>
        <w:t>In the event the determination of entitlement to indemnification is to be made by Independent Counsel pursuant to Section 8(b), the Independent Counsel shall be selected as provided in this Section 8(c).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8(a)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8(b). Upon the due commencement of any judicial proceeding or arbitration pursuant to Section 10(a), the Independent Counsel shall be discharged and relieved of any further responsibility in such capacity (subject to the applicable standards of professional conduct then prevailing).</w:t>
      </w:r>
    </w:p>
    <w:p>
      <w:pPr>
        <w:spacing w:after="0" w:line="200" w:lineRule="exact"/>
        <w:rPr>
          <w:rFonts w:ascii="Arial" w:cs="Arial" w:eastAsia="Arial" w:hAnsi="Arial"/>
          <w:sz w:val="19"/>
          <w:szCs w:val="19"/>
          <w:b w:val="1"/>
          <w:bCs w:val="1"/>
          <w:color w:val="auto"/>
        </w:rPr>
      </w:pPr>
    </w:p>
    <w:p>
      <w:pPr>
        <w:spacing w:after="0" w:line="246" w:lineRule="exact"/>
        <w:rPr>
          <w:rFonts w:ascii="Arial" w:cs="Arial" w:eastAsia="Arial" w:hAnsi="Arial"/>
          <w:sz w:val="19"/>
          <w:szCs w:val="19"/>
          <w:b w:val="1"/>
          <w:bCs w:val="1"/>
          <w:color w:val="auto"/>
        </w:rPr>
      </w:pPr>
    </w:p>
    <w:p>
      <w:pPr>
        <w:jc w:val="both"/>
        <w:ind w:firstLine="1304"/>
        <w:spacing w:after="0"/>
        <w:tabs>
          <w:tab w:leader="none" w:pos="2304" w:val="left"/>
        </w:tabs>
        <w:numPr>
          <w:ilvl w:val="1"/>
          <w:numId w:val="174"/>
        </w:numPr>
        <w:rPr>
          <w:rFonts w:ascii="Arial" w:cs="Arial" w:eastAsia="Arial" w:hAnsi="Arial"/>
          <w:sz w:val="22"/>
          <w:szCs w:val="22"/>
          <w:b w:val="1"/>
          <w:bCs w:val="1"/>
          <w:color w:val="auto"/>
        </w:rPr>
      </w:pPr>
      <w:r>
        <w:rPr>
          <w:rFonts w:ascii="Arial" w:cs="Arial" w:eastAsia="Arial" w:hAnsi="Arial"/>
          <w:sz w:val="22"/>
          <w:szCs w:val="22"/>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w:t>
      </w:r>
    </w:p>
    <w:p>
      <w:pPr>
        <w:spacing w:after="0" w:line="207" w:lineRule="exact"/>
        <w:rPr>
          <w:rFonts w:ascii="Arial" w:cs="Arial" w:eastAsia="Arial" w:hAnsi="Arial"/>
          <w:sz w:val="22"/>
          <w:szCs w:val="22"/>
          <w:b w:val="1"/>
          <w:bCs w:val="1"/>
          <w:color w:val="auto"/>
        </w:rPr>
      </w:pPr>
    </w:p>
    <w:p>
      <w:pPr>
        <w:ind w:left="1420" w:hanging="764"/>
        <w:spacing w:after="0"/>
        <w:tabs>
          <w:tab w:leader="none" w:pos="142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Presumptions and Effect of Certain Proceedings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38" w:lineRule="auto"/>
        <w:tabs>
          <w:tab w:leader="none" w:pos="1999" w:val="left"/>
        </w:tabs>
        <w:numPr>
          <w:ilvl w:val="1"/>
          <w:numId w:val="175"/>
        </w:numPr>
        <w:rPr>
          <w:rFonts w:ascii="Arial" w:cs="Arial" w:eastAsia="Arial" w:hAnsi="Arial"/>
          <w:sz w:val="22"/>
          <w:szCs w:val="22"/>
          <w:b w:val="1"/>
          <w:bCs w:val="1"/>
          <w:color w:val="auto"/>
        </w:rPr>
      </w:pPr>
      <w:r>
        <w:rPr>
          <w:rFonts w:ascii="Arial" w:cs="Arial" w:eastAsia="Arial" w:hAnsi="Arial"/>
          <w:sz w:val="22"/>
          <w:szCs w:val="22"/>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211" w:lineRule="exact"/>
        <w:rPr>
          <w:rFonts w:ascii="Arial" w:cs="Arial" w:eastAsia="Arial" w:hAnsi="Arial"/>
          <w:sz w:val="22"/>
          <w:szCs w:val="22"/>
          <w:b w:val="1"/>
          <w:bCs w:val="1"/>
          <w:color w:val="auto"/>
        </w:rPr>
      </w:pPr>
    </w:p>
    <w:p>
      <w:pPr>
        <w:jc w:val="both"/>
        <w:ind w:firstLine="1304"/>
        <w:spacing w:after="0" w:line="282" w:lineRule="auto"/>
        <w:tabs>
          <w:tab w:leader="none" w:pos="2056" w:val="left"/>
        </w:tabs>
        <w:numPr>
          <w:ilvl w:val="1"/>
          <w:numId w:val="175"/>
        </w:numPr>
        <w:rPr>
          <w:rFonts w:ascii="Arial" w:cs="Arial" w:eastAsia="Arial" w:hAnsi="Arial"/>
          <w:sz w:val="19"/>
          <w:szCs w:val="19"/>
          <w:b w:val="1"/>
          <w:bCs w:val="1"/>
          <w:color w:val="auto"/>
        </w:rPr>
      </w:pPr>
      <w:r>
        <w:rPr>
          <w:rFonts w:ascii="Arial" w:cs="Arial" w:eastAsia="Arial" w:hAnsi="Arial"/>
          <w:sz w:val="19"/>
          <w:szCs w:val="19"/>
          <w:color w:val="auto"/>
        </w:rPr>
        <w:t xml:space="preserve">The termination of any Proceeding or of any claim, issue or matter therein, by judgment, order, settlement or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both"/>
        <w:ind w:firstLine="1304"/>
        <w:spacing w:after="0" w:line="244" w:lineRule="auto"/>
        <w:tabs>
          <w:tab w:leader="none" w:pos="2126" w:val="left"/>
        </w:tabs>
        <w:numPr>
          <w:ilvl w:val="2"/>
          <w:numId w:val="176"/>
        </w:numPr>
        <w:rPr>
          <w:rFonts w:ascii="Arial" w:cs="Arial" w:eastAsia="Arial" w:hAnsi="Arial"/>
          <w:sz w:val="21"/>
          <w:szCs w:val="21"/>
          <w:b w:val="1"/>
          <w:bCs w:val="1"/>
          <w:color w:val="auto"/>
        </w:rPr>
      </w:pPr>
      <w:r>
        <w:rPr>
          <w:rFonts w:ascii="Arial" w:cs="Arial" w:eastAsia="Arial" w:hAnsi="Arial"/>
          <w:sz w:val="21"/>
          <w:szCs w:val="21"/>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9(c) shall not be deemed to be exclusive or to limit in any way the other circumstances in which Indemnitee may be deemed to have met the applicable standard of conduct set forth in this Agreement. Whether or not the foregoing provisions of this Section 9(c)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213" w:lineRule="exact"/>
        <w:rPr>
          <w:rFonts w:ascii="Arial" w:cs="Arial" w:eastAsia="Arial" w:hAnsi="Arial"/>
          <w:sz w:val="21"/>
          <w:szCs w:val="21"/>
          <w:b w:val="1"/>
          <w:bCs w:val="1"/>
          <w:color w:val="auto"/>
        </w:rPr>
      </w:pPr>
    </w:p>
    <w:p>
      <w:pPr>
        <w:ind w:firstLine="1304"/>
        <w:spacing w:after="0" w:line="328" w:lineRule="auto"/>
        <w:tabs>
          <w:tab w:leader="none" w:pos="2139" w:val="left"/>
        </w:tabs>
        <w:numPr>
          <w:ilvl w:val="2"/>
          <w:numId w:val="176"/>
        </w:numPr>
        <w:rPr>
          <w:rFonts w:ascii="Arial" w:cs="Arial" w:eastAsia="Arial" w:hAnsi="Arial"/>
          <w:sz w:val="19"/>
          <w:szCs w:val="19"/>
          <w:b w:val="1"/>
          <w:bCs w:val="1"/>
          <w:color w:val="auto"/>
        </w:rPr>
      </w:pPr>
      <w:r>
        <w:rPr>
          <w:rFonts w:ascii="Arial" w:cs="Arial" w:eastAsia="Arial" w:hAnsi="Arial"/>
          <w:sz w:val="19"/>
          <w:szCs w:val="19"/>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31" w:lineRule="exact"/>
        <w:rPr>
          <w:rFonts w:ascii="Arial" w:cs="Arial" w:eastAsia="Arial" w:hAnsi="Arial"/>
          <w:sz w:val="19"/>
          <w:szCs w:val="19"/>
          <w:b w:val="1"/>
          <w:bCs w:val="1"/>
          <w:color w:val="auto"/>
        </w:rPr>
      </w:pPr>
    </w:p>
    <w:p>
      <w:pPr>
        <w:jc w:val="both"/>
        <w:ind w:firstLine="1304"/>
        <w:spacing w:after="0" w:line="279" w:lineRule="auto"/>
        <w:tabs>
          <w:tab w:leader="none" w:pos="2323" w:val="left"/>
        </w:tabs>
        <w:numPr>
          <w:ilvl w:val="2"/>
          <w:numId w:val="176"/>
        </w:numPr>
        <w:rPr>
          <w:rFonts w:ascii="Arial" w:cs="Arial" w:eastAsia="Arial" w:hAnsi="Arial"/>
          <w:sz w:val="19"/>
          <w:szCs w:val="19"/>
          <w:b w:val="1"/>
          <w:bCs w:val="1"/>
          <w:color w:val="auto"/>
        </w:rPr>
      </w:pPr>
      <w:r>
        <w:rPr>
          <w:rFonts w:ascii="Arial" w:cs="Arial" w:eastAsia="Arial" w:hAnsi="Arial"/>
          <w:sz w:val="19"/>
          <w:szCs w:val="19"/>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71" w:lineRule="exact"/>
        <w:rPr>
          <w:rFonts w:ascii="Arial" w:cs="Arial" w:eastAsia="Arial" w:hAnsi="Arial"/>
          <w:sz w:val="19"/>
          <w:szCs w:val="19"/>
          <w:b w:val="1"/>
          <w:bCs w:val="1"/>
          <w:color w:val="auto"/>
        </w:rPr>
      </w:pPr>
    </w:p>
    <w:p>
      <w:pPr>
        <w:ind w:left="1420" w:hanging="764"/>
        <w:spacing w:after="0"/>
        <w:tabs>
          <w:tab w:leader="none" w:pos="1420" w:val="left"/>
        </w:tabs>
        <w:numPr>
          <w:ilvl w:val="1"/>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Remedies of Indemnitee</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71" w:lineRule="auto"/>
        <w:tabs>
          <w:tab w:leader="none" w:pos="2226" w:val="left"/>
        </w:tabs>
        <w:numPr>
          <w:ilvl w:val="2"/>
          <w:numId w:val="177"/>
        </w:numPr>
        <w:rPr>
          <w:rFonts w:ascii="Arial" w:cs="Arial" w:eastAsia="Arial" w:hAnsi="Arial"/>
          <w:sz w:val="19"/>
          <w:szCs w:val="19"/>
          <w:b w:val="1"/>
          <w:bCs w:val="1"/>
          <w:color w:val="auto"/>
        </w:rPr>
      </w:pPr>
      <w:r>
        <w:rPr>
          <w:rFonts w:ascii="Arial" w:cs="Arial" w:eastAsia="Arial" w:hAnsi="Arial"/>
          <w:sz w:val="19"/>
          <w:szCs w:val="19"/>
          <w:color w:val="auto"/>
        </w:rPr>
        <w:t>Subject to Section 10(e), in the event that (i) a determination is made pursuant to Section 8(b) that Indemnitee is not entitled to indemnification under this Agreement, (ii) advancement of Expenses is not timely made pursuant to Section 6 or 10(d), (iii) no determination of entitlement to indemnification shall have been made pursuant to Section 8 within 30 days after the later of the receipt by the Company of the request for indemnification or the final disposition of the Proceeding,</w:t>
      </w:r>
    </w:p>
    <w:p>
      <w:pPr>
        <w:spacing w:after="0" w:line="3" w:lineRule="exact"/>
        <w:rPr>
          <w:rFonts w:ascii="Arial" w:cs="Arial" w:eastAsia="Arial" w:hAnsi="Arial"/>
          <w:sz w:val="19"/>
          <w:szCs w:val="19"/>
          <w:b w:val="1"/>
          <w:bCs w:val="1"/>
          <w:color w:val="auto"/>
        </w:rPr>
      </w:pPr>
    </w:p>
    <w:p>
      <w:pPr>
        <w:jc w:val="both"/>
        <w:ind w:firstLine="8"/>
        <w:spacing w:after="0" w:line="270" w:lineRule="auto"/>
        <w:tabs>
          <w:tab w:leader="none" w:pos="37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payment of indemnification pursuant to this Agreement is not made (A) within 10 days after a determination has been made that Indemnitee is entitled to indemnification or (B) with respect to indemnification pursuant to Sections 4, 5 and 10(d),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10(a);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clause shall not apply in respect of a proceeding brought by Indemnitee to enforce his or her rights under Section 4. The Company shall not oppose Indemnitee’s right to seek any such adjudication or award in arbitration in accordance with this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both"/>
        <w:ind w:firstLine="1304"/>
        <w:spacing w:after="0" w:line="273" w:lineRule="auto"/>
        <w:tabs>
          <w:tab w:leader="none" w:pos="2071" w:val="left"/>
        </w:tabs>
        <w:numPr>
          <w:ilvl w:val="1"/>
          <w:numId w:val="179"/>
        </w:numPr>
        <w:rPr>
          <w:rFonts w:ascii="Arial" w:cs="Arial" w:eastAsia="Arial" w:hAnsi="Arial"/>
          <w:sz w:val="19"/>
          <w:szCs w:val="19"/>
          <w:b w:val="1"/>
          <w:bCs w:val="1"/>
          <w:color w:val="auto"/>
        </w:rPr>
      </w:pPr>
      <w:r>
        <w:rPr>
          <w:rFonts w:ascii="Arial" w:cs="Arial" w:eastAsia="Arial" w:hAnsi="Arial"/>
          <w:sz w:val="19"/>
          <w:szCs w:val="19"/>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8 that Indemnitee is not entitled to indemnification, any judicial proceeding or arbitration commenced pursuant to this Section 10 shall be conducted in all respects as a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trial, or arbitration, on the merits, and Indemnitee shall not be prejudiced by reason of that adverse determination. In any judicial proceeding or arbitration commenced pursuant to this Section 10,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182" w:lineRule="exact"/>
        <w:rPr>
          <w:rFonts w:ascii="Arial" w:cs="Arial" w:eastAsia="Arial" w:hAnsi="Arial"/>
          <w:sz w:val="19"/>
          <w:szCs w:val="19"/>
          <w:b w:val="1"/>
          <w:bCs w:val="1"/>
          <w:color w:val="auto"/>
        </w:rPr>
      </w:pPr>
    </w:p>
    <w:p>
      <w:pPr>
        <w:jc w:val="both"/>
        <w:ind w:firstLine="1304"/>
        <w:spacing w:after="0" w:line="246" w:lineRule="auto"/>
        <w:tabs>
          <w:tab w:leader="none" w:pos="2024" w:val="left"/>
        </w:tabs>
        <w:numPr>
          <w:ilvl w:val="1"/>
          <w:numId w:val="179"/>
        </w:numPr>
        <w:rPr>
          <w:rFonts w:ascii="Arial" w:cs="Arial" w:eastAsia="Arial" w:hAnsi="Arial"/>
          <w:sz w:val="21"/>
          <w:szCs w:val="21"/>
          <w:b w:val="1"/>
          <w:bCs w:val="1"/>
          <w:color w:val="auto"/>
        </w:rPr>
      </w:pPr>
      <w:r>
        <w:rPr>
          <w:rFonts w:ascii="Arial" w:cs="Arial" w:eastAsia="Arial" w:hAnsi="Arial"/>
          <w:sz w:val="21"/>
          <w:szCs w:val="21"/>
          <w:color w:val="auto"/>
        </w:rPr>
        <w:t>To the fullest extent not prohibited by law, 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206" w:lineRule="exact"/>
        <w:rPr>
          <w:rFonts w:ascii="Arial" w:cs="Arial" w:eastAsia="Arial" w:hAnsi="Arial"/>
          <w:sz w:val="21"/>
          <w:szCs w:val="21"/>
          <w:b w:val="1"/>
          <w:bCs w:val="1"/>
          <w:color w:val="auto"/>
        </w:rPr>
      </w:pPr>
    </w:p>
    <w:p>
      <w:pPr>
        <w:jc w:val="both"/>
        <w:ind w:firstLine="1304"/>
        <w:spacing w:after="0" w:line="277" w:lineRule="auto"/>
        <w:tabs>
          <w:tab w:leader="none" w:pos="2252" w:val="left"/>
        </w:tabs>
        <w:numPr>
          <w:ilvl w:val="1"/>
          <w:numId w:val="179"/>
        </w:numPr>
        <w:rPr>
          <w:rFonts w:ascii="Arial" w:cs="Arial" w:eastAsia="Arial" w:hAnsi="Arial"/>
          <w:sz w:val="19"/>
          <w:szCs w:val="19"/>
          <w:b w:val="1"/>
          <w:bCs w:val="1"/>
          <w:color w:val="auto"/>
        </w:rPr>
      </w:pPr>
      <w:r>
        <w:rPr>
          <w:rFonts w:ascii="Arial" w:cs="Arial" w:eastAsia="Arial" w:hAnsi="Arial"/>
          <w:sz w:val="19"/>
          <w:szCs w:val="19"/>
          <w:color w:val="auto"/>
        </w:rPr>
        <w:t>To the extent not prohibited by law, the Company shall indemnify Indemnitee against all Expenses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6. Indemnitee hereby undertakes to repay such advances to the extent the Indemnitee is ultimately unsuccessful in such action or arbitration.</w:t>
      </w:r>
    </w:p>
    <w:p>
      <w:pPr>
        <w:spacing w:after="0" w:line="172" w:lineRule="exact"/>
        <w:rPr>
          <w:rFonts w:ascii="Arial" w:cs="Arial" w:eastAsia="Arial" w:hAnsi="Arial"/>
          <w:sz w:val="19"/>
          <w:szCs w:val="19"/>
          <w:b w:val="1"/>
          <w:bCs w:val="1"/>
          <w:color w:val="auto"/>
        </w:rPr>
      </w:pPr>
    </w:p>
    <w:p>
      <w:pPr>
        <w:jc w:val="both"/>
        <w:ind w:firstLine="656"/>
        <w:spacing w:after="0" w:line="278" w:lineRule="auto"/>
        <w:tabs>
          <w:tab w:leader="none" w:pos="1405" w:val="left"/>
        </w:tabs>
        <w:numPr>
          <w:ilvl w:val="0"/>
          <w:numId w:val="180"/>
        </w:numPr>
        <w:rPr>
          <w:rFonts w:ascii="Arial" w:cs="Arial" w:eastAsia="Arial" w:hAnsi="Arial"/>
          <w:sz w:val="19"/>
          <w:szCs w:val="19"/>
          <w:b w:val="1"/>
          <w:bCs w:val="1"/>
          <w:color w:val="auto"/>
        </w:rPr>
      </w:pPr>
      <w:r>
        <w:rPr>
          <w:rFonts w:ascii="Arial" w:cs="Arial" w:eastAsia="Arial" w:hAnsi="Arial"/>
          <w:sz w:val="19"/>
          <w:szCs w:val="19"/>
          <w:b w:val="1"/>
          <w:bCs w:val="1"/>
          <w:color w:val="auto"/>
        </w:rPr>
        <w:t>Contribution</w:t>
      </w:r>
      <w:r>
        <w:rPr>
          <w:rFonts w:ascii="Arial" w:cs="Arial" w:eastAsia="Arial" w:hAnsi="Arial"/>
          <w:sz w:val="19"/>
          <w:szCs w:val="19"/>
          <w:color w:val="auto"/>
        </w:rPr>
        <w:t>. To the fullest extent permissible under applicable law, if the indemnification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jc w:val="both"/>
        <w:ind w:firstLine="656"/>
        <w:spacing w:after="0" w:line="273" w:lineRule="auto"/>
        <w:tabs>
          <w:tab w:leader="none" w:pos="1512"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Non-exclusivity</w:t>
      </w:r>
      <w:r>
        <w:rPr>
          <w:rFonts w:ascii="Arial" w:cs="Arial" w:eastAsia="Arial" w:hAnsi="Arial"/>
          <w:sz w:val="19"/>
          <w:szCs w:val="19"/>
          <w:color w:val="auto"/>
        </w:rPr>
        <w:t>. The rights of indemnification and to receive advancement of Expenses as provided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82" w:lineRule="exact"/>
        <w:rPr>
          <w:rFonts w:ascii="Arial" w:cs="Arial" w:eastAsia="Arial" w:hAnsi="Arial"/>
          <w:sz w:val="19"/>
          <w:szCs w:val="19"/>
          <w:b w:val="1"/>
          <w:bCs w:val="1"/>
          <w:color w:val="auto"/>
        </w:rPr>
      </w:pPr>
    </w:p>
    <w:p>
      <w:pPr>
        <w:jc w:val="both"/>
        <w:ind w:firstLine="656"/>
        <w:spacing w:after="0" w:line="271" w:lineRule="auto"/>
        <w:tabs>
          <w:tab w:leader="none" w:pos="1350"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Primary Responsibility</w:t>
      </w:r>
      <w:r>
        <w:rPr>
          <w:rFonts w:ascii="Arial" w:cs="Arial" w:eastAsia="Arial" w:hAnsi="Arial"/>
          <w:sz w:val="19"/>
          <w:szCs w:val="19"/>
          <w:color w:val="auto"/>
        </w:rPr>
        <w:t>. The Company acknowledges that to the extent Indemnitee is serving as a director on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board of directors at the request or direction of a private equity or venture capital fund or other entity and/or certain of its affiliates (collectively, the “</w:t>
      </w:r>
      <w:r>
        <w:rPr>
          <w:rFonts w:ascii="Arial" w:cs="Arial" w:eastAsia="Arial" w:hAnsi="Arial"/>
          <w:sz w:val="19"/>
          <w:szCs w:val="19"/>
          <w:b w:val="1"/>
          <w:bCs w:val="1"/>
          <w:i w:val="1"/>
          <w:iCs w:val="1"/>
          <w:color w:val="auto"/>
        </w:rPr>
        <w:t>Secondary Indemnitors</w:t>
      </w:r>
      <w:r>
        <w:rPr>
          <w:rFonts w:ascii="Arial" w:cs="Arial" w:eastAsia="Arial" w:hAnsi="Arial"/>
          <w:sz w:val="19"/>
          <w:szCs w:val="19"/>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13.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13.</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jc w:val="both"/>
        <w:ind w:firstLine="656"/>
        <w:spacing w:after="0" w:line="239" w:lineRule="auto"/>
        <w:tabs>
          <w:tab w:leader="none" w:pos="1431"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No Duplication of Payments</w:t>
      </w:r>
      <w:r>
        <w:rPr>
          <w:rFonts w:ascii="Arial" w:cs="Arial" w:eastAsia="Arial" w:hAnsi="Arial"/>
          <w:sz w:val="22"/>
          <w:szCs w:val="22"/>
          <w:color w:val="auto"/>
        </w:rPr>
        <w:t>. Subject to Section 13, the Company shall not be liable under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any payment of 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207" w:lineRule="exact"/>
        <w:rPr>
          <w:rFonts w:ascii="Arial" w:cs="Arial" w:eastAsia="Arial" w:hAnsi="Arial"/>
          <w:sz w:val="22"/>
          <w:szCs w:val="22"/>
          <w:b w:val="1"/>
          <w:bCs w:val="1"/>
          <w:color w:val="auto"/>
        </w:rPr>
      </w:pPr>
    </w:p>
    <w:p>
      <w:pPr>
        <w:jc w:val="both"/>
        <w:ind w:firstLine="656"/>
        <w:spacing w:after="0" w:line="239" w:lineRule="auto"/>
        <w:tabs>
          <w:tab w:leader="none" w:pos="1647"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 To the extent that the Company maintains an insurance policy or policies providing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for 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207" w:lineRule="exact"/>
        <w:rPr>
          <w:rFonts w:ascii="Arial" w:cs="Arial" w:eastAsia="Arial" w:hAnsi="Arial"/>
          <w:sz w:val="22"/>
          <w:szCs w:val="22"/>
          <w:b w:val="1"/>
          <w:bCs w:val="1"/>
          <w:color w:val="auto"/>
        </w:rPr>
      </w:pPr>
    </w:p>
    <w:p>
      <w:pPr>
        <w:jc w:val="both"/>
        <w:ind w:firstLine="656"/>
        <w:spacing w:after="0" w:line="239" w:lineRule="auto"/>
        <w:tabs>
          <w:tab w:leader="none" w:pos="1444"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Subrogation</w:t>
      </w:r>
      <w:r>
        <w:rPr>
          <w:rFonts w:ascii="Arial" w:cs="Arial" w:eastAsia="Arial" w:hAnsi="Arial"/>
          <w:sz w:val="22"/>
          <w:szCs w:val="22"/>
          <w:color w:val="auto"/>
        </w:rPr>
        <w:t>. Subject to Section 13, in the event of any payment under this Agreement, the Company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0" w:name="page261"/>
    <w:bookmarkEnd w:id="260"/>
    <w:p>
      <w:pPr>
        <w:jc w:val="both"/>
        <w:ind w:firstLine="656"/>
        <w:spacing w:after="0" w:line="272" w:lineRule="auto"/>
        <w:tabs>
          <w:tab w:leader="none" w:pos="1404"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Services to the Company</w:t>
      </w:r>
      <w:r>
        <w:rPr>
          <w:rFonts w:ascii="Arial" w:cs="Arial" w:eastAsia="Arial" w:hAnsi="Arial"/>
          <w:sz w:val="19"/>
          <w:szCs w:val="19"/>
          <w:color w:val="auto"/>
        </w:rPr>
        <w:t>. Indemnitee agrees to serve as a director or officer of the Company or, at the request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656"/>
        <w:spacing w:after="0" w:line="283" w:lineRule="auto"/>
        <w:tabs>
          <w:tab w:leader="none" w:pos="1431"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Duration</w:t>
      </w:r>
      <w:r>
        <w:rPr>
          <w:rFonts w:ascii="Arial" w:cs="Arial" w:eastAsia="Arial" w:hAnsi="Arial"/>
          <w:sz w:val="19"/>
          <w:szCs w:val="19"/>
          <w:color w:val="auto"/>
        </w:rPr>
        <w:t>. This Agreement shall continue until and terminate upon the later of (a) five years after the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10 relating thereto.</w:t>
      </w:r>
    </w:p>
    <w:p>
      <w:pPr>
        <w:spacing w:after="0" w:line="169" w:lineRule="exact"/>
        <w:rPr>
          <w:rFonts w:ascii="Arial" w:cs="Arial" w:eastAsia="Arial" w:hAnsi="Arial"/>
          <w:sz w:val="19"/>
          <w:szCs w:val="19"/>
          <w:b w:val="1"/>
          <w:bCs w:val="1"/>
          <w:color w:val="auto"/>
        </w:rPr>
      </w:pPr>
    </w:p>
    <w:p>
      <w:pPr>
        <w:jc w:val="both"/>
        <w:ind w:firstLine="656"/>
        <w:spacing w:after="0" w:line="235" w:lineRule="auto"/>
        <w:tabs>
          <w:tab w:leader="none" w:pos="139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This Agreement shall be binding upon the Company and its successors and assigns, including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direct or indirect successor, by 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210" w:lineRule="exact"/>
        <w:rPr>
          <w:rFonts w:ascii="Arial" w:cs="Arial" w:eastAsia="Arial" w:hAnsi="Arial"/>
          <w:sz w:val="22"/>
          <w:szCs w:val="22"/>
          <w:b w:val="1"/>
          <w:bCs w:val="1"/>
          <w:color w:val="auto"/>
        </w:rPr>
      </w:pPr>
    </w:p>
    <w:p>
      <w:pPr>
        <w:jc w:val="both"/>
        <w:ind w:firstLine="656"/>
        <w:spacing w:after="0" w:line="245" w:lineRule="auto"/>
        <w:tabs>
          <w:tab w:leader="none" w:pos="1363" w:val="left"/>
        </w:tabs>
        <w:numPr>
          <w:ilvl w:val="0"/>
          <w:numId w:val="182"/>
        </w:numPr>
        <w:rPr>
          <w:rFonts w:ascii="Arial" w:cs="Arial" w:eastAsia="Arial" w:hAnsi="Arial"/>
          <w:sz w:val="21"/>
          <w:szCs w:val="21"/>
          <w:b w:val="1"/>
          <w:bCs w:val="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Nothing in this Agreement is intended to require or shall be construed as requiring the Company to</w:t>
      </w:r>
      <w:r>
        <w:rPr>
          <w:rFonts w:ascii="Arial" w:cs="Arial" w:eastAsia="Arial" w:hAnsi="Arial"/>
          <w:sz w:val="21"/>
          <w:szCs w:val="21"/>
          <w:b w:val="1"/>
          <w:bCs w:val="1"/>
          <w:color w:val="auto"/>
        </w:rPr>
        <w:t xml:space="preserve"> </w:t>
      </w:r>
      <w:r>
        <w:rPr>
          <w:rFonts w:ascii="Arial" w:cs="Arial" w:eastAsia="Arial" w:hAnsi="Arial"/>
          <w:sz w:val="21"/>
          <w:szCs w:val="21"/>
          <w:color w:val="auto"/>
        </w:rPr>
        <w:t>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00" w:lineRule="exact"/>
        <w:rPr>
          <w:rFonts w:ascii="Arial" w:cs="Arial" w:eastAsia="Arial" w:hAnsi="Arial"/>
          <w:sz w:val="21"/>
          <w:szCs w:val="21"/>
          <w:b w:val="1"/>
          <w:bCs w:val="1"/>
          <w:color w:val="auto"/>
        </w:rPr>
      </w:pPr>
    </w:p>
    <w:p>
      <w:pPr>
        <w:jc w:val="both"/>
        <w:ind w:firstLine="656"/>
        <w:spacing w:after="0" w:line="300" w:lineRule="auto"/>
        <w:tabs>
          <w:tab w:leader="none" w:pos="1336"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w:t>
      </w:r>
      <w:r>
        <w:rPr>
          <w:rFonts w:ascii="Arial" w:cs="Arial" w:eastAsia="Arial" w:hAnsi="Arial"/>
          <w:sz w:val="19"/>
          <w:szCs w:val="19"/>
          <w:color w:val="auto"/>
        </w:rPr>
        <w:t>. The Company expressly confirms and agrees that it has entered into this Agreement and assumed</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1" w:name="page262"/>
    <w:bookmarkEnd w:id="261"/>
    <w:p>
      <w:pPr>
        <w:jc w:val="both"/>
        <w:ind w:firstLine="656"/>
        <w:spacing w:after="0" w:line="254" w:lineRule="auto"/>
        <w:tabs>
          <w:tab w:leader="none" w:pos="1377" w:val="left"/>
        </w:tabs>
        <w:numPr>
          <w:ilvl w:val="0"/>
          <w:numId w:val="183"/>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constitutes the entire agreement between the parties hereto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subject matter hereof and supersedes all prior agreements and understandings, oral, written and implied, between the parties hereto with respect to the subject matter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Agreement is a supplement to and in furtherance of the Company’s certificate of incorporation and bylaws and applicable law.</w:t>
      </w:r>
    </w:p>
    <w:p>
      <w:pPr>
        <w:spacing w:after="0" w:line="193" w:lineRule="exact"/>
        <w:rPr>
          <w:rFonts w:ascii="Arial" w:cs="Arial" w:eastAsia="Arial" w:hAnsi="Arial"/>
          <w:sz w:val="21"/>
          <w:szCs w:val="21"/>
          <w:b w:val="1"/>
          <w:bCs w:val="1"/>
          <w:color w:val="auto"/>
        </w:rPr>
      </w:pPr>
    </w:p>
    <w:p>
      <w:pPr>
        <w:jc w:val="both"/>
        <w:ind w:firstLine="656"/>
        <w:spacing w:after="0" w:line="283" w:lineRule="auto"/>
        <w:tabs>
          <w:tab w:leader="none" w:pos="1296" w:val="left"/>
        </w:tabs>
        <w:numPr>
          <w:ilvl w:val="0"/>
          <w:numId w:val="183"/>
        </w:numPr>
        <w:rPr>
          <w:rFonts w:ascii="Arial" w:cs="Arial" w:eastAsia="Arial" w:hAnsi="Arial"/>
          <w:sz w:val="19"/>
          <w:szCs w:val="19"/>
          <w:b w:val="1"/>
          <w:bCs w:val="1"/>
          <w:color w:val="auto"/>
        </w:rPr>
      </w:pPr>
      <w:r>
        <w:rPr>
          <w:rFonts w:ascii="Arial" w:cs="Arial" w:eastAsia="Arial" w:hAnsi="Arial"/>
          <w:sz w:val="19"/>
          <w:szCs w:val="19"/>
          <w:b w:val="1"/>
          <w:bCs w:val="1"/>
          <w:color w:val="auto"/>
        </w:rPr>
        <w:t>Modification and Waiver</w:t>
      </w:r>
      <w:r>
        <w:rPr>
          <w:rFonts w:ascii="Arial" w:cs="Arial" w:eastAsia="Arial" w:hAnsi="Arial"/>
          <w:sz w:val="19"/>
          <w:szCs w:val="19"/>
          <w:color w:val="auto"/>
        </w:rPr>
        <w:t>. No supplement, modification or amendment to this Agreement shall be binding unless</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69" w:lineRule="exact"/>
        <w:rPr>
          <w:rFonts w:ascii="Arial" w:cs="Arial" w:eastAsia="Arial" w:hAnsi="Arial"/>
          <w:sz w:val="19"/>
          <w:szCs w:val="19"/>
          <w:b w:val="1"/>
          <w:bCs w:val="1"/>
          <w:color w:val="auto"/>
        </w:rPr>
      </w:pPr>
    </w:p>
    <w:p>
      <w:pPr>
        <w:jc w:val="both"/>
        <w:ind w:firstLine="656"/>
        <w:spacing w:after="0" w:line="243" w:lineRule="auto"/>
        <w:tabs>
          <w:tab w:leader="none" w:pos="1417"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All notices and other communications required or permitted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mailed by registered or certified mail, postage prepaid, sent by facsimile or electronic mail or otherwise delivered by hand, messenger or courier service addressed:</w:t>
      </w:r>
    </w:p>
    <w:p>
      <w:pPr>
        <w:spacing w:after="0" w:line="209" w:lineRule="exact"/>
        <w:rPr>
          <w:rFonts w:ascii="Arial" w:cs="Arial" w:eastAsia="Arial" w:hAnsi="Arial"/>
          <w:sz w:val="22"/>
          <w:szCs w:val="22"/>
          <w:b w:val="1"/>
          <w:bCs w:val="1"/>
          <w:color w:val="auto"/>
        </w:rPr>
      </w:pPr>
    </w:p>
    <w:p>
      <w:pPr>
        <w:ind w:firstLine="1304"/>
        <w:spacing w:after="0" w:line="328" w:lineRule="auto"/>
        <w:tabs>
          <w:tab w:leader="none" w:pos="2194" w:val="left"/>
        </w:tabs>
        <w:numPr>
          <w:ilvl w:val="1"/>
          <w:numId w:val="183"/>
        </w:numPr>
        <w:rPr>
          <w:rFonts w:ascii="Arial" w:cs="Arial" w:eastAsia="Arial" w:hAnsi="Arial"/>
          <w:sz w:val="19"/>
          <w:szCs w:val="19"/>
          <w:b w:val="1"/>
          <w:bCs w:val="1"/>
          <w:color w:val="auto"/>
        </w:rPr>
      </w:pPr>
      <w:r>
        <w:rPr>
          <w:rFonts w:ascii="Arial" w:cs="Arial" w:eastAsia="Arial" w:hAnsi="Arial"/>
          <w:sz w:val="19"/>
          <w:szCs w:val="19"/>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31" w:lineRule="exact"/>
        <w:rPr>
          <w:rFonts w:ascii="Arial" w:cs="Arial" w:eastAsia="Arial" w:hAnsi="Arial"/>
          <w:sz w:val="19"/>
          <w:szCs w:val="19"/>
          <w:b w:val="1"/>
          <w:bCs w:val="1"/>
          <w:color w:val="auto"/>
        </w:rPr>
      </w:pPr>
    </w:p>
    <w:p>
      <w:pPr>
        <w:ind w:firstLine="1304"/>
        <w:spacing w:after="0" w:line="250" w:lineRule="auto"/>
        <w:tabs>
          <w:tab w:leader="none" w:pos="2240" w:val="left"/>
        </w:tabs>
        <w:numPr>
          <w:ilvl w:val="1"/>
          <w:numId w:val="183"/>
        </w:numPr>
        <w:rPr>
          <w:rFonts w:ascii="Arial" w:cs="Arial" w:eastAsia="Arial" w:hAnsi="Arial"/>
          <w:sz w:val="22"/>
          <w:szCs w:val="22"/>
          <w:b w:val="1"/>
          <w:bCs w:val="1"/>
          <w:color w:val="auto"/>
        </w:rPr>
      </w:pPr>
      <w:r>
        <w:rPr>
          <w:rFonts w:ascii="Arial" w:cs="Arial" w:eastAsia="Arial" w:hAnsi="Arial"/>
          <w:sz w:val="22"/>
          <w:szCs w:val="22"/>
          <w:color w:val="auto"/>
        </w:rPr>
        <w:t>if to the Company, to 41 Discovery, Irvine, California 92618, Attention: Chief Executive Officer or at such other current address as the Company shall have furnished to Indemnitee.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21"/>
          <w:szCs w:val="21"/>
          <w:i w:val="1"/>
          <w:iCs w:val="1"/>
          <w:color w:val="auto"/>
        </w:rPr>
        <w:t>via</w:t>
      </w:r>
      <w:r>
        <w:rPr>
          <w:rFonts w:ascii="Arial" w:cs="Arial" w:eastAsia="Arial" w:hAnsi="Arial"/>
          <w:sz w:val="21"/>
          <w:szCs w:val="21"/>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201" w:lineRule="exact"/>
        <w:rPr>
          <w:sz w:val="20"/>
          <w:szCs w:val="20"/>
          <w:color w:val="auto"/>
        </w:rPr>
      </w:pPr>
    </w:p>
    <w:p>
      <w:pPr>
        <w:jc w:val="both"/>
        <w:ind w:firstLine="656"/>
        <w:spacing w:after="0" w:line="272" w:lineRule="auto"/>
        <w:tabs>
          <w:tab w:leader="none" w:pos="1539" w:val="left"/>
        </w:tabs>
        <w:numPr>
          <w:ilvl w:val="0"/>
          <w:numId w:val="184"/>
        </w:numPr>
        <w:rPr>
          <w:rFonts w:ascii="Arial" w:cs="Arial" w:eastAsia="Arial" w:hAnsi="Arial"/>
          <w:sz w:val="19"/>
          <w:szCs w:val="19"/>
          <w:b w:val="1"/>
          <w:bCs w:val="1"/>
          <w:color w:val="auto"/>
        </w:rPr>
      </w:pPr>
      <w:r>
        <w:rPr>
          <w:rFonts w:ascii="Arial" w:cs="Arial" w:eastAsia="Arial" w:hAnsi="Arial"/>
          <w:sz w:val="19"/>
          <w:szCs w:val="19"/>
          <w:b w:val="1"/>
          <w:bCs w:val="1"/>
          <w:color w:val="auto"/>
        </w:rPr>
        <w:t>Applicable Law and Consent to Jurisdiction</w:t>
      </w:r>
      <w:r>
        <w:rPr>
          <w:rFonts w:ascii="Arial" w:cs="Arial" w:eastAsia="Arial" w:hAnsi="Arial"/>
          <w:sz w:val="19"/>
          <w:szCs w:val="19"/>
          <w:color w:val="auto"/>
        </w:rPr>
        <w:t>. This Agreement shall be governed by, and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enforced in accordance with, the laws of the State of Delaware, without regard to its conflict of laws rules. Except with respect to any arbitration commenced by Indemnitee pursuant to Section 10(a),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Service Company, Wilmington, Delaware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2" w:name="page263"/>
    <w:bookmarkEnd w:id="262"/>
    <w:p>
      <w:pPr>
        <w:jc w:val="both"/>
        <w:ind w:firstLine="656"/>
        <w:spacing w:after="0" w:line="284" w:lineRule="auto"/>
        <w:tabs>
          <w:tab w:leader="none" w:pos="1687" w:val="left"/>
        </w:tabs>
        <w:numPr>
          <w:ilvl w:val="0"/>
          <w:numId w:val="185"/>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in two or more counterparts, each of which shall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be 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5" w:lineRule="exact"/>
        <w:rPr>
          <w:rFonts w:ascii="Arial" w:cs="Arial" w:eastAsia="Arial" w:hAnsi="Arial"/>
          <w:sz w:val="19"/>
          <w:szCs w:val="19"/>
          <w:b w:val="1"/>
          <w:bCs w:val="1"/>
          <w:color w:val="auto"/>
        </w:rPr>
      </w:pPr>
    </w:p>
    <w:p>
      <w:pPr>
        <w:ind w:firstLine="656"/>
        <w:spacing w:after="0" w:line="256" w:lineRule="auto"/>
        <w:tabs>
          <w:tab w:leader="none" w:pos="1485"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The headings of the paragraphs of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part of this Agreement or to affect the construction thereof.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3" w:name="page264"/>
    <w:bookmarkEnd w:id="263"/>
    <w:p>
      <w:pPr>
        <w:spacing w:after="0"/>
        <w:rPr>
          <w:sz w:val="20"/>
          <w:szCs w:val="20"/>
          <w:color w:val="auto"/>
        </w:rPr>
      </w:pPr>
      <w:r>
        <w:rPr>
          <w:rFonts w:ascii="Arial" w:cs="Arial" w:eastAsia="Arial" w:hAnsi="Arial"/>
          <w:sz w:val="19"/>
          <w:szCs w:val="19"/>
          <w:color w:val="auto"/>
        </w:rPr>
        <w:t>The parties are signing this Indemnification Agreement as of the date stated in the introductory sentence.</w:t>
      </w: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WM T</w:t>
      </w:r>
      <w:r>
        <w:rPr>
          <w:rFonts w:ascii="Arial" w:cs="Arial" w:eastAsia="Arial" w:hAnsi="Arial"/>
          <w:sz w:val="12"/>
          <w:szCs w:val="12"/>
          <w:b w:val="1"/>
          <w:bCs w:val="1"/>
          <w:color w:val="auto"/>
        </w:rPr>
        <w:t>ECHNOLOGY</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23495</wp:posOffset>
            </wp:positionV>
            <wp:extent cx="335153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7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23495</wp:posOffset>
            </wp:positionV>
            <wp:extent cx="327469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7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23495</wp:posOffset>
            </wp:positionV>
            <wp:extent cx="334327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64" w:name="page265"/>
    <w:bookmarkEnd w:id="264"/>
    <w:p>
      <w:pPr>
        <w:spacing w:after="0"/>
        <w:rPr>
          <w:sz w:val="20"/>
          <w:szCs w:val="20"/>
          <w:color w:val="auto"/>
        </w:rPr>
      </w:pPr>
      <w:r>
        <w:rPr>
          <w:rFonts w:ascii="Arial" w:cs="Arial" w:eastAsia="Arial" w:hAnsi="Arial"/>
          <w:sz w:val="19"/>
          <w:szCs w:val="19"/>
          <w:color w:val="auto"/>
        </w:rPr>
        <w:t>The parties are signing this Indemnification Agreement as of the date stated in the introductory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329565</wp:posOffset>
            </wp:positionV>
            <wp:extent cx="3566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INDEMNITEE NAME</w:t>
      </w:r>
      <w:r>
        <w:rPr>
          <w:rFonts w:ascii="Arial" w:cs="Arial" w:eastAsia="Arial" w:hAnsi="Arial"/>
          <w:sz w:val="18"/>
          <w:szCs w:val="18"/>
          <w:b w:val="1"/>
          <w:bCs w:val="1"/>
          <w:color w:val="auto"/>
        </w:rPr>
        <w: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177800</wp:posOffset>
            </wp:positionV>
            <wp:extent cx="284607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23495</wp:posOffset>
            </wp:positionV>
            <wp:extent cx="284607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89535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16, 2021</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8160" w:type="dxa"/>
            <w:vAlign w:val="bottom"/>
          </w:tcPr>
          <w:p>
            <w:pPr>
              <w:ind w:left="42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IMITATIONS</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w:t>
            </w:r>
            <w:r>
              <w:rPr>
                <w:rFonts w:ascii="Arial" w:cs="Arial" w:eastAsia="Arial" w:hAnsi="Arial"/>
                <w:sz w:val="18"/>
                <w:szCs w:val="18"/>
                <w:b w:val="1"/>
                <w:bCs w:val="1"/>
                <w:color w:val="auto"/>
              </w:rPr>
              <w:t>C</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NITS</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8.</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81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7" w:name="page268"/>
    <w:bookmarkEnd w:id="267"/>
    <w:p>
      <w:pPr>
        <w:ind w:left="820" w:hanging="812"/>
        <w:spacing w:after="0"/>
        <w:tabs>
          <w:tab w:leader="none" w:pos="82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39" w:lineRule="auto"/>
        <w:tabs>
          <w:tab w:leader="none" w:pos="1534" w:val="left"/>
        </w:tabs>
        <w:numPr>
          <w:ilvl w:val="1"/>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Purpose. </w:t>
      </w:r>
      <w:r>
        <w:rPr>
          <w:rFonts w:ascii="Arial" w:cs="Arial" w:eastAsia="Arial" w:hAnsi="Arial"/>
          <w:sz w:val="22"/>
          <w:szCs w:val="22"/>
          <w:color w:val="auto"/>
        </w:rPr>
        <w:t>The Company, by means of the Plan, seeks to secure and retain the services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207" w:lineRule="exact"/>
        <w:rPr>
          <w:rFonts w:ascii="Arial" w:cs="Arial" w:eastAsia="Arial" w:hAnsi="Arial"/>
          <w:sz w:val="22"/>
          <w:szCs w:val="22"/>
          <w:b w:val="1"/>
          <w:bCs w:val="1"/>
          <w:color w:val="auto"/>
        </w:rPr>
      </w:pPr>
    </w:p>
    <w:p>
      <w:pPr>
        <w:jc w:val="both"/>
        <w:ind w:firstLine="656"/>
        <w:spacing w:after="0" w:line="243" w:lineRule="auto"/>
        <w:tabs>
          <w:tab w:leader="none" w:pos="1479" w:val="left"/>
        </w:tabs>
        <w:numPr>
          <w:ilvl w:val="1"/>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 Options; (ii)</w:t>
      </w:r>
      <w:r>
        <w:rPr>
          <w:rFonts w:ascii="Arial" w:cs="Arial" w:eastAsia="Arial" w:hAnsi="Arial"/>
          <w:sz w:val="22"/>
          <w:szCs w:val="22"/>
          <w:b w:val="1"/>
          <w:bCs w:val="1"/>
          <w:color w:val="auto"/>
        </w:rPr>
        <w:t xml:space="preserve"> </w:t>
      </w:r>
      <w:r>
        <w:rPr>
          <w:rFonts w:ascii="Arial" w:cs="Arial" w:eastAsia="Arial" w:hAnsi="Arial"/>
          <w:sz w:val="22"/>
          <w:szCs w:val="22"/>
          <w:color w:val="auto"/>
        </w:rPr>
        <w:t>Nonstatutory Stock Options; (iii) SARs; (iv) Restricted Stock Awards; (v) RSU Awards; (vi) Performance Awards; and (vii) Other Awards.</w:t>
      </w:r>
    </w:p>
    <w:p>
      <w:pPr>
        <w:spacing w:after="0" w:line="203" w:lineRule="exact"/>
        <w:rPr>
          <w:rFonts w:ascii="Arial" w:cs="Arial" w:eastAsia="Arial" w:hAnsi="Arial"/>
          <w:sz w:val="22"/>
          <w:szCs w:val="22"/>
          <w:b w:val="1"/>
          <w:bCs w:val="1"/>
          <w:color w:val="auto"/>
        </w:rPr>
      </w:pPr>
    </w:p>
    <w:p>
      <w:pPr>
        <w:ind w:right="20" w:firstLine="656"/>
        <w:spacing w:after="0" w:line="256" w:lineRule="auto"/>
        <w:tabs>
          <w:tab w:leader="none" w:pos="1455" w:val="left"/>
        </w:tabs>
        <w:numPr>
          <w:ilvl w:val="1"/>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Adoption Date; Effective Date. </w:t>
      </w:r>
      <w:r>
        <w:rPr>
          <w:rFonts w:ascii="Arial" w:cs="Arial" w:eastAsia="Arial" w:hAnsi="Arial"/>
          <w:sz w:val="22"/>
          <w:szCs w:val="22"/>
          <w:color w:val="auto"/>
        </w:rPr>
        <w:t>The Plan will come into existence on the Adoption Date, but no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prior to the Effective Date.</w:t>
      </w:r>
    </w:p>
    <w:p>
      <w:pPr>
        <w:spacing w:after="0" w:line="189" w:lineRule="exact"/>
        <w:rPr>
          <w:rFonts w:ascii="Arial" w:cs="Arial" w:eastAsia="Arial" w:hAnsi="Arial"/>
          <w:sz w:val="22"/>
          <w:szCs w:val="22"/>
          <w:b w:val="1"/>
          <w:bCs w:val="1"/>
          <w:color w:val="auto"/>
        </w:rPr>
      </w:pPr>
    </w:p>
    <w:p>
      <w:pPr>
        <w:ind w:left="820" w:hanging="812"/>
        <w:spacing w:after="0"/>
        <w:tabs>
          <w:tab w:leader="none" w:pos="82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43" w:lineRule="auto"/>
        <w:tabs>
          <w:tab w:leader="none" w:pos="1575" w:val="left"/>
        </w:tabs>
        <w:numPr>
          <w:ilvl w:val="1"/>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Share Reserve. </w:t>
      </w:r>
      <w:r>
        <w:rPr>
          <w:rFonts w:ascii="Arial" w:cs="Arial" w:eastAsia="Arial" w:hAnsi="Arial"/>
          <w:sz w:val="20"/>
          <w:szCs w:val="20"/>
          <w:color w:val="auto"/>
        </w:rPr>
        <w:t>Subject to adjustment in accordance with Section 2(c) and any adjustments as necessary to</w:t>
      </w:r>
      <w:r>
        <w:rPr>
          <w:rFonts w:ascii="Arial" w:cs="Arial" w:eastAsia="Arial" w:hAnsi="Arial"/>
          <w:sz w:val="20"/>
          <w:szCs w:val="20"/>
          <w:b w:val="1"/>
          <w:bCs w:val="1"/>
          <w:color w:val="auto"/>
        </w:rPr>
        <w:t xml:space="preserve"> </w:t>
      </w:r>
      <w:r>
        <w:rPr>
          <w:rFonts w:ascii="Arial" w:cs="Arial" w:eastAsia="Arial" w:hAnsi="Arial"/>
          <w:sz w:val="20"/>
          <w:szCs w:val="20"/>
          <w:color w:val="auto"/>
        </w:rPr>
        <w:t>implement any Capitalization Adjustments, the aggregate number of shares of Common Stock that may be issued pursuant to Awards will not exceed 19,209,796 shares of Common Stock (equal to eleven percent (11%) of the sum of (i) the number of shares of Common Stock outstanding as of the consummation of the transactions contemplated by the Merger Agreement and (ii) the number of shares of Common Stock underlying securities convertible into Common Stock).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of a given year to provide that the increase for such year will be a lesser number of shares of Common Stock.</w:t>
      </w:r>
    </w:p>
    <w:p>
      <w:pPr>
        <w:spacing w:after="0" w:line="204" w:lineRule="exact"/>
        <w:rPr>
          <w:rFonts w:ascii="Arial" w:cs="Arial" w:eastAsia="Arial" w:hAnsi="Arial"/>
          <w:sz w:val="20"/>
          <w:szCs w:val="20"/>
          <w:b w:val="1"/>
          <w:bCs w:val="1"/>
          <w:color w:val="auto"/>
        </w:rPr>
      </w:pPr>
    </w:p>
    <w:p>
      <w:pPr>
        <w:jc w:val="both"/>
        <w:ind w:firstLine="656"/>
        <w:spacing w:after="0" w:line="289" w:lineRule="auto"/>
        <w:tabs>
          <w:tab w:leader="none" w:pos="1371" w:val="left"/>
        </w:tabs>
        <w:numPr>
          <w:ilvl w:val="1"/>
          <w:numId w:val="1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Aggregate Incentive Stock Option Limit. </w:t>
      </w:r>
      <w:r>
        <w:rPr>
          <w:rFonts w:ascii="Arial" w:cs="Arial" w:eastAsia="Arial" w:hAnsi="Arial"/>
          <w:sz w:val="19"/>
          <w:szCs w:val="19"/>
          <w:color w:val="auto"/>
        </w:rPr>
        <w:t>Notwithstanding anything to the contrary in Section 2(a) and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any adjustments as necessary to implement any Capitalization Adjustments, the aggregate maximum number of shares of Common Stock that may be issued pursuant to the exercise of Incentive Stock Options is 57,629,388 shares (equal to three hundred percent (300%) of the total number of shares of Common Stock initially reserved for issuance under Section 2(a)).</w:t>
      </w:r>
    </w:p>
    <w:p>
      <w:pPr>
        <w:spacing w:after="0" w:line="162" w:lineRule="exact"/>
        <w:rPr>
          <w:rFonts w:ascii="Arial" w:cs="Arial" w:eastAsia="Arial" w:hAnsi="Arial"/>
          <w:sz w:val="19"/>
          <w:szCs w:val="19"/>
          <w:b w:val="1"/>
          <w:bCs w:val="1"/>
          <w:color w:val="auto"/>
        </w:rPr>
      </w:pPr>
    </w:p>
    <w:p>
      <w:pPr>
        <w:ind w:left="1440" w:hanging="784"/>
        <w:spacing w:after="0"/>
        <w:tabs>
          <w:tab w:leader="none" w:pos="1440" w:val="left"/>
        </w:tabs>
        <w:numPr>
          <w:ilvl w:val="1"/>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 Operation.</w:t>
      </w:r>
    </w:p>
    <w:p>
      <w:pPr>
        <w:spacing w:after="0" w:line="233" w:lineRule="exact"/>
        <w:rPr>
          <w:rFonts w:ascii="Arial" w:cs="Arial" w:eastAsia="Arial" w:hAnsi="Arial"/>
          <w:sz w:val="22"/>
          <w:szCs w:val="22"/>
          <w:b w:val="1"/>
          <w:bCs w:val="1"/>
          <w:color w:val="auto"/>
        </w:rPr>
      </w:pPr>
    </w:p>
    <w:p>
      <w:pPr>
        <w:jc w:val="both"/>
        <w:ind w:firstLine="1304"/>
        <w:spacing w:after="0" w:line="235" w:lineRule="auto"/>
        <w:tabs>
          <w:tab w:leader="none" w:pos="2080" w:val="left"/>
        </w:tabs>
        <w:numPr>
          <w:ilvl w:val="2"/>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 Applies to Common Stock Issued Pursuant to Awards. </w:t>
      </w:r>
      <w:r>
        <w:rPr>
          <w:rFonts w:ascii="Arial" w:cs="Arial" w:eastAsia="Arial" w:hAnsi="Arial"/>
          <w:sz w:val="22"/>
          <w:szCs w:val="22"/>
          <w:color w:val="auto"/>
        </w:rPr>
        <w:t>For clarity, the Share Reserve is a limit</w:t>
      </w:r>
      <w:r>
        <w:rPr>
          <w:rFonts w:ascii="Arial" w:cs="Arial" w:eastAsia="Arial" w:hAnsi="Arial"/>
          <w:sz w:val="22"/>
          <w:szCs w:val="22"/>
          <w:b w:val="1"/>
          <w:bCs w:val="1"/>
          <w:color w:val="auto"/>
        </w:rPr>
        <w:t xml:space="preserve"> </w:t>
      </w:r>
      <w:r>
        <w:rPr>
          <w:rFonts w:ascii="Arial" w:cs="Arial" w:eastAsia="Arial" w:hAnsi="Arial"/>
          <w:sz w:val="22"/>
          <w:szCs w:val="22"/>
          <w:color w:val="auto"/>
        </w:rPr>
        <w:t>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8" w:name="page269"/>
    <w:bookmarkEnd w:id="268"/>
    <w:p>
      <w:pPr>
        <w:jc w:val="both"/>
        <w:ind w:firstLine="1304"/>
        <w:spacing w:after="0" w:line="278" w:lineRule="auto"/>
        <w:tabs>
          <w:tab w:leader="none" w:pos="2019" w:val="left"/>
        </w:tabs>
        <w:numPr>
          <w:ilvl w:val="2"/>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Actions that Do Not Constitute Issuance of Common Stock and Do Not Reduce Share 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2" w:lineRule="exact"/>
        <w:rPr>
          <w:rFonts w:ascii="Arial" w:cs="Arial" w:eastAsia="Arial" w:hAnsi="Arial"/>
          <w:sz w:val="19"/>
          <w:szCs w:val="19"/>
          <w:b w:val="1"/>
          <w:bCs w:val="1"/>
          <w:color w:val="auto"/>
        </w:rPr>
      </w:pPr>
    </w:p>
    <w:p>
      <w:pPr>
        <w:jc w:val="both"/>
        <w:ind w:firstLine="1304"/>
        <w:spacing w:after="0" w:line="280" w:lineRule="auto"/>
        <w:tabs>
          <w:tab w:leader="none" w:pos="2052" w:val="left"/>
        </w:tabs>
        <w:numPr>
          <w:ilvl w:val="2"/>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Reversion of Previously Issued Shares of Common Stock to Share Reserve. </w:t>
      </w:r>
      <w:r>
        <w:rPr>
          <w:rFonts w:ascii="Arial" w:cs="Arial" w:eastAsia="Arial" w:hAnsi="Arial"/>
          <w:sz w:val="19"/>
          <w:szCs w:val="19"/>
          <w:color w:val="auto"/>
        </w:rPr>
        <w:t>The following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1" w:lineRule="exact"/>
        <w:rPr>
          <w:rFonts w:ascii="Arial" w:cs="Arial" w:eastAsia="Arial" w:hAnsi="Arial"/>
          <w:sz w:val="19"/>
          <w:szCs w:val="19"/>
          <w:b w:val="1"/>
          <w:bCs w:val="1"/>
          <w:color w:val="auto"/>
        </w:rPr>
      </w:pPr>
    </w:p>
    <w:p>
      <w:pPr>
        <w:ind w:left="820" w:hanging="812"/>
        <w:spacing w:after="0"/>
        <w:tabs>
          <w:tab w:leader="none" w:pos="82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LIGIBILITY AND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firstLine="656"/>
        <w:spacing w:after="0" w:line="256" w:lineRule="auto"/>
        <w:tabs>
          <w:tab w:leader="none" w:pos="1426" w:val="left"/>
        </w:tabs>
        <w:numPr>
          <w:ilvl w:val="1"/>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Subject to the terms of the Plan, Employees, Directors and Consultants are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to receive Awards.</w:t>
      </w:r>
    </w:p>
    <w:p>
      <w:pPr>
        <w:spacing w:after="0" w:line="189" w:lineRule="exact"/>
        <w:rPr>
          <w:rFonts w:ascii="Arial" w:cs="Arial" w:eastAsia="Arial" w:hAnsi="Arial"/>
          <w:sz w:val="22"/>
          <w:szCs w:val="22"/>
          <w:b w:val="1"/>
          <w:bCs w:val="1"/>
          <w:color w:val="auto"/>
        </w:rPr>
      </w:pPr>
    </w:p>
    <w:p>
      <w:pPr>
        <w:ind w:left="1400" w:hanging="744"/>
        <w:spacing w:after="0"/>
        <w:tabs>
          <w:tab w:leader="none" w:pos="1400" w:val="left"/>
        </w:tabs>
        <w:numPr>
          <w:ilvl w:val="1"/>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Award Limitations.</w:t>
      </w:r>
    </w:p>
    <w:p>
      <w:pPr>
        <w:spacing w:after="0" w:line="233" w:lineRule="exact"/>
        <w:rPr>
          <w:rFonts w:ascii="Arial" w:cs="Arial" w:eastAsia="Arial" w:hAnsi="Arial"/>
          <w:sz w:val="22"/>
          <w:szCs w:val="22"/>
          <w:b w:val="1"/>
          <w:bCs w:val="1"/>
          <w:color w:val="auto"/>
        </w:rPr>
      </w:pPr>
    </w:p>
    <w:p>
      <w:pPr>
        <w:jc w:val="both"/>
        <w:ind w:firstLine="1304"/>
        <w:spacing w:after="0" w:line="243" w:lineRule="auto"/>
        <w:tabs>
          <w:tab w:leader="none" w:pos="2175" w:val="left"/>
        </w:tabs>
        <w:numPr>
          <w:ilvl w:val="2"/>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 Recipients. </w:t>
      </w:r>
      <w:r>
        <w:rPr>
          <w:rFonts w:ascii="Arial" w:cs="Arial" w:eastAsia="Arial" w:hAnsi="Arial"/>
          <w:sz w:val="22"/>
          <w:szCs w:val="22"/>
          <w:color w:val="auto"/>
        </w:rPr>
        <w:t>Incentive Stock Options may be granted only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or a “parent corporation” or “subsidiary corporation” thereof (as such terms are defined in Sections 424(e) and (f) of the Code).</w:t>
      </w:r>
    </w:p>
    <w:p>
      <w:pPr>
        <w:spacing w:after="0" w:line="203" w:lineRule="exact"/>
        <w:rPr>
          <w:rFonts w:ascii="Arial" w:cs="Arial" w:eastAsia="Arial" w:hAnsi="Arial"/>
          <w:sz w:val="22"/>
          <w:szCs w:val="22"/>
          <w:b w:val="1"/>
          <w:bCs w:val="1"/>
          <w:color w:val="auto"/>
        </w:rPr>
      </w:pPr>
    </w:p>
    <w:p>
      <w:pPr>
        <w:jc w:val="both"/>
        <w:ind w:firstLine="1304"/>
        <w:spacing w:after="0" w:line="235" w:lineRule="auto"/>
        <w:tabs>
          <w:tab w:leader="none" w:pos="2248" w:val="left"/>
        </w:tabs>
        <w:numPr>
          <w:ilvl w:val="2"/>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$100,000 Limitation. </w:t>
      </w:r>
      <w:r>
        <w:rPr>
          <w:rFonts w:ascii="Arial" w:cs="Arial" w:eastAsia="Arial" w:hAnsi="Arial"/>
          <w:sz w:val="22"/>
          <w:szCs w:val="22"/>
          <w:color w:val="auto"/>
        </w:rPr>
        <w:t>To the extent that the aggregate 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10" w:lineRule="exact"/>
        <w:rPr>
          <w:rFonts w:ascii="Arial" w:cs="Arial" w:eastAsia="Arial" w:hAnsi="Arial"/>
          <w:sz w:val="22"/>
          <w:szCs w:val="22"/>
          <w:b w:val="1"/>
          <w:bCs w:val="1"/>
          <w:color w:val="auto"/>
        </w:rPr>
      </w:pPr>
    </w:p>
    <w:p>
      <w:pPr>
        <w:jc w:val="both"/>
        <w:ind w:firstLine="1304"/>
        <w:spacing w:after="0" w:line="239" w:lineRule="auto"/>
        <w:tabs>
          <w:tab w:leader="none" w:pos="2308" w:val="left"/>
        </w:tabs>
        <w:numPr>
          <w:ilvl w:val="2"/>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Options Granted to Ten Percent Stockholders. </w:t>
      </w:r>
      <w:r>
        <w:rPr>
          <w:rFonts w:ascii="Arial" w:cs="Arial" w:eastAsia="Arial" w:hAnsi="Arial"/>
          <w:sz w:val="22"/>
          <w:szCs w:val="22"/>
          <w:color w:val="auto"/>
        </w:rPr>
        <w:t>A Ten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9" w:name="page270"/>
    <w:bookmarkEnd w:id="269"/>
    <w:p>
      <w:pPr>
        <w:jc w:val="both"/>
        <w:ind w:firstLine="1304"/>
        <w:spacing w:after="0" w:line="251" w:lineRule="auto"/>
        <w:tabs>
          <w:tab w:leader="none" w:pos="1986" w:val="left"/>
        </w:tabs>
        <w:numPr>
          <w:ilvl w:val="2"/>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on Nonstatutory Stock Options and SARs. </w:t>
      </w:r>
      <w:r>
        <w:rPr>
          <w:rFonts w:ascii="Arial" w:cs="Arial" w:eastAsia="Arial" w:hAnsi="Arial"/>
          <w:sz w:val="21"/>
          <w:szCs w:val="21"/>
          <w:color w:val="auto"/>
        </w:rPr>
        <w:t>Nonstatutory Stock Options and SARs may not</w:t>
      </w:r>
      <w:r>
        <w:rPr>
          <w:rFonts w:ascii="Arial" w:cs="Arial" w:eastAsia="Arial" w:hAnsi="Arial"/>
          <w:sz w:val="21"/>
          <w:szCs w:val="21"/>
          <w:b w:val="1"/>
          <w:bCs w:val="1"/>
          <w:color w:val="auto"/>
        </w:rPr>
        <w:t xml:space="preserve"> </w:t>
      </w:r>
      <w:r>
        <w:rPr>
          <w:rFonts w:ascii="Arial" w:cs="Arial" w:eastAsia="Arial" w:hAnsi="Arial"/>
          <w:sz w:val="21"/>
          <w:szCs w:val="21"/>
          <w:color w:val="auto"/>
        </w:rPr>
        <w:t>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95" w:lineRule="exact"/>
        <w:rPr>
          <w:rFonts w:ascii="Arial" w:cs="Arial" w:eastAsia="Arial" w:hAnsi="Arial"/>
          <w:sz w:val="21"/>
          <w:szCs w:val="21"/>
          <w:b w:val="1"/>
          <w:bCs w:val="1"/>
          <w:color w:val="auto"/>
        </w:rPr>
      </w:pPr>
    </w:p>
    <w:p>
      <w:pPr>
        <w:ind w:firstLine="656"/>
        <w:spacing w:after="0" w:line="334" w:lineRule="auto"/>
        <w:tabs>
          <w:tab w:leader="none" w:pos="1482" w:val="left"/>
        </w:tabs>
        <w:numPr>
          <w:ilvl w:val="1"/>
          <w:numId w:val="1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Aggregate Incentive Stock Option Limit. </w:t>
      </w:r>
      <w:r>
        <w:rPr>
          <w:rFonts w:ascii="Arial" w:cs="Arial" w:eastAsia="Arial" w:hAnsi="Arial"/>
          <w:sz w:val="19"/>
          <w:szCs w:val="19"/>
          <w:color w:val="auto"/>
        </w:rPr>
        <w:t>The aggregate maximum number of shares of Common Stock that</w:t>
      </w:r>
      <w:r>
        <w:rPr>
          <w:rFonts w:ascii="Arial" w:cs="Arial" w:eastAsia="Arial" w:hAnsi="Arial"/>
          <w:sz w:val="19"/>
          <w:szCs w:val="19"/>
          <w:b w:val="1"/>
          <w:bCs w:val="1"/>
          <w:color w:val="auto"/>
        </w:rPr>
        <w:t xml:space="preserve"> </w:t>
      </w:r>
      <w:r>
        <w:rPr>
          <w:rFonts w:ascii="Arial" w:cs="Arial" w:eastAsia="Arial" w:hAnsi="Arial"/>
          <w:sz w:val="19"/>
          <w:szCs w:val="19"/>
          <w:color w:val="auto"/>
        </w:rPr>
        <w:t>may be issued pursuant to the exercise of Incentive Stock Options is the number of shares specified in Section 2(b).</w:t>
      </w:r>
    </w:p>
    <w:p>
      <w:pPr>
        <w:spacing w:after="0" w:line="120" w:lineRule="exact"/>
        <w:rPr>
          <w:rFonts w:ascii="Arial" w:cs="Arial" w:eastAsia="Arial" w:hAnsi="Arial"/>
          <w:sz w:val="19"/>
          <w:szCs w:val="19"/>
          <w:b w:val="1"/>
          <w:bCs w:val="1"/>
          <w:color w:val="auto"/>
        </w:rPr>
      </w:pPr>
    </w:p>
    <w:p>
      <w:pPr>
        <w:jc w:val="both"/>
        <w:ind w:firstLine="656"/>
        <w:spacing w:after="0" w:line="235" w:lineRule="auto"/>
        <w:tabs>
          <w:tab w:leader="none" w:pos="1560" w:val="left"/>
        </w:tabs>
        <w:numPr>
          <w:ilvl w:val="1"/>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Non-Employee Director Compensation Limit. </w:t>
      </w:r>
      <w:r>
        <w:rPr>
          <w:rFonts w:ascii="Arial" w:cs="Arial" w:eastAsia="Arial" w:hAnsi="Arial"/>
          <w:sz w:val="22"/>
          <w:szCs w:val="22"/>
          <w:color w:val="auto"/>
        </w:rPr>
        <w:t>The aggregate value of all compensation granted or paid,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10" w:lineRule="exact"/>
        <w:rPr>
          <w:rFonts w:ascii="Arial" w:cs="Arial" w:eastAsia="Arial" w:hAnsi="Arial"/>
          <w:sz w:val="22"/>
          <w:szCs w:val="22"/>
          <w:b w:val="1"/>
          <w:bCs w:val="1"/>
          <w:color w:val="auto"/>
        </w:rPr>
      </w:pPr>
    </w:p>
    <w:p>
      <w:pPr>
        <w:ind w:left="820" w:hanging="812"/>
        <w:spacing w:after="0"/>
        <w:tabs>
          <w:tab w:leader="none" w:pos="82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05" w:lineRule="exact"/>
        <w:rPr>
          <w:sz w:val="20"/>
          <w:szCs w:val="20"/>
          <w:color w:val="auto"/>
        </w:rPr>
      </w:pPr>
    </w:p>
    <w:p>
      <w:pPr>
        <w:ind w:right="20" w:firstLine="656"/>
        <w:spacing w:after="0" w:line="334" w:lineRule="auto"/>
        <w:tabs>
          <w:tab w:leader="none" w:pos="1467" w:val="left"/>
        </w:tabs>
        <w:numPr>
          <w:ilvl w:val="0"/>
          <w:numId w:val="1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 Section 3(b) regarding Ten Percent Stockholders, no Option or SAR will be exercisable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of ten years from the date of grant of such Award or such shorter period specified in the Award Agreement.</w:t>
      </w:r>
    </w:p>
    <w:p>
      <w:pPr>
        <w:spacing w:after="0" w:line="120" w:lineRule="exact"/>
        <w:rPr>
          <w:rFonts w:ascii="Arial" w:cs="Arial" w:eastAsia="Arial" w:hAnsi="Arial"/>
          <w:sz w:val="19"/>
          <w:szCs w:val="19"/>
          <w:b w:val="1"/>
          <w:bCs w:val="1"/>
          <w:color w:val="auto"/>
        </w:rPr>
      </w:pPr>
    </w:p>
    <w:p>
      <w:pPr>
        <w:jc w:val="both"/>
        <w:ind w:firstLine="656"/>
        <w:spacing w:after="0" w:line="236" w:lineRule="auto"/>
        <w:tabs>
          <w:tab w:leader="none" w:pos="156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or Strike Price. </w:t>
      </w:r>
      <w:r>
        <w:rPr>
          <w:rFonts w:ascii="Arial" w:cs="Arial" w:eastAsia="Arial" w:hAnsi="Arial"/>
          <w:sz w:val="22"/>
          <w:szCs w:val="22"/>
          <w:color w:val="auto"/>
        </w:rPr>
        <w:t>Subject to Section 3(b) regarding Ten Percent Stockholders, the exercise or strike</w:t>
      </w:r>
      <w:r>
        <w:rPr>
          <w:rFonts w:ascii="Arial" w:cs="Arial" w:eastAsia="Arial" w:hAnsi="Arial"/>
          <w:sz w:val="22"/>
          <w:szCs w:val="22"/>
          <w:b w:val="1"/>
          <w:bCs w:val="1"/>
          <w:color w:val="auto"/>
        </w:rPr>
        <w:t xml:space="preserve"> </w:t>
      </w:r>
      <w:r>
        <w:rPr>
          <w:rFonts w:ascii="Arial" w:cs="Arial" w:eastAsia="Arial" w:hAnsi="Arial"/>
          <w:sz w:val="22"/>
          <w:szCs w:val="22"/>
          <w:color w:val="auto"/>
        </w:rPr>
        <w:t>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0" w:name="page271"/>
    <w:bookmarkEnd w:id="270"/>
    <w:p>
      <w:pPr>
        <w:jc w:val="both"/>
        <w:ind w:firstLine="656"/>
        <w:spacing w:after="0" w:line="235" w:lineRule="auto"/>
        <w:tabs>
          <w:tab w:leader="none" w:pos="132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Procedure and Payment of Exercise Price for Options. </w:t>
      </w:r>
      <w:r>
        <w:rPr>
          <w:rFonts w:ascii="Arial" w:cs="Arial" w:eastAsia="Arial" w:hAnsi="Arial"/>
          <w:sz w:val="22"/>
          <w:szCs w:val="22"/>
          <w:color w:val="auto"/>
        </w:rPr>
        <w:t>In order to exercise an Option,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216" w:lineRule="exact"/>
        <w:rPr>
          <w:rFonts w:ascii="Arial" w:cs="Arial" w:eastAsia="Arial" w:hAnsi="Arial"/>
          <w:sz w:val="22"/>
          <w:szCs w:val="22"/>
          <w:b w:val="1"/>
          <w:bCs w:val="1"/>
          <w:color w:val="auto"/>
        </w:rPr>
      </w:pPr>
    </w:p>
    <w:p>
      <w:pPr>
        <w:ind w:left="2040" w:hanging="736"/>
        <w:spacing w:after="0"/>
        <w:tabs>
          <w:tab w:leader="none" w:pos="2040" w:val="left"/>
        </w:tabs>
        <w:numPr>
          <w:ilvl w:val="1"/>
          <w:numId w:val="193"/>
        </w:numPr>
        <w:rPr>
          <w:rFonts w:ascii="Arial" w:cs="Arial" w:eastAsia="Arial" w:hAnsi="Arial"/>
          <w:sz w:val="22"/>
          <w:szCs w:val="22"/>
          <w:b w:val="1"/>
          <w:bCs w:val="1"/>
          <w:color w:val="auto"/>
        </w:rPr>
      </w:pPr>
      <w:r>
        <w:rPr>
          <w:rFonts w:ascii="Arial" w:cs="Arial" w:eastAsia="Arial" w:hAnsi="Arial"/>
          <w:sz w:val="22"/>
          <w:szCs w:val="22"/>
          <w:color w:val="auto"/>
        </w:rPr>
        <w:t>by cash or check, bank draft or money order payable to the Company;</w:t>
      </w:r>
    </w:p>
    <w:p>
      <w:pPr>
        <w:spacing w:after="0" w:line="233" w:lineRule="exact"/>
        <w:rPr>
          <w:rFonts w:ascii="Arial" w:cs="Arial" w:eastAsia="Arial" w:hAnsi="Arial"/>
          <w:sz w:val="22"/>
          <w:szCs w:val="22"/>
          <w:b w:val="1"/>
          <w:bCs w:val="1"/>
          <w:color w:val="auto"/>
        </w:rPr>
      </w:pPr>
    </w:p>
    <w:p>
      <w:pPr>
        <w:jc w:val="both"/>
        <w:ind w:firstLine="1304"/>
        <w:spacing w:after="0" w:line="238" w:lineRule="auto"/>
        <w:tabs>
          <w:tab w:leader="none" w:pos="2046" w:val="left"/>
        </w:tabs>
        <w:numPr>
          <w:ilvl w:val="1"/>
          <w:numId w:val="193"/>
        </w:numPr>
        <w:rPr>
          <w:rFonts w:ascii="Arial" w:cs="Arial" w:eastAsia="Arial" w:hAnsi="Arial"/>
          <w:sz w:val="22"/>
          <w:szCs w:val="22"/>
          <w:b w:val="1"/>
          <w:bCs w:val="1"/>
          <w:color w:val="auto"/>
        </w:rPr>
      </w:pPr>
      <w:r>
        <w:rPr>
          <w:rFonts w:ascii="Arial" w:cs="Arial" w:eastAsia="Arial" w:hAnsi="Arial"/>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211" w:lineRule="exact"/>
        <w:rPr>
          <w:rFonts w:ascii="Arial" w:cs="Arial" w:eastAsia="Arial" w:hAnsi="Arial"/>
          <w:sz w:val="22"/>
          <w:szCs w:val="22"/>
          <w:b w:val="1"/>
          <w:bCs w:val="1"/>
          <w:color w:val="auto"/>
        </w:rPr>
      </w:pPr>
    </w:p>
    <w:p>
      <w:pPr>
        <w:jc w:val="both"/>
        <w:ind w:firstLine="1304"/>
        <w:spacing w:after="0" w:line="246" w:lineRule="auto"/>
        <w:tabs>
          <w:tab w:leader="none" w:pos="2095" w:val="left"/>
        </w:tabs>
        <w:numPr>
          <w:ilvl w:val="1"/>
          <w:numId w:val="193"/>
        </w:numPr>
        <w:rPr>
          <w:rFonts w:ascii="Arial" w:cs="Arial" w:eastAsia="Arial" w:hAnsi="Arial"/>
          <w:sz w:val="21"/>
          <w:szCs w:val="21"/>
          <w:b w:val="1"/>
          <w:bCs w:val="1"/>
          <w:color w:val="auto"/>
        </w:rPr>
      </w:pPr>
      <w:r>
        <w:rPr>
          <w:rFonts w:ascii="Arial" w:cs="Arial" w:eastAsia="Arial" w:hAnsi="Arial"/>
          <w:sz w:val="21"/>
          <w:szCs w:val="21"/>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206" w:lineRule="exact"/>
        <w:rPr>
          <w:rFonts w:ascii="Arial" w:cs="Arial" w:eastAsia="Arial" w:hAnsi="Arial"/>
          <w:sz w:val="21"/>
          <w:szCs w:val="21"/>
          <w:b w:val="1"/>
          <w:bCs w:val="1"/>
          <w:color w:val="auto"/>
        </w:rPr>
      </w:pPr>
    </w:p>
    <w:p>
      <w:pPr>
        <w:jc w:val="both"/>
        <w:ind w:firstLine="1304"/>
        <w:spacing w:after="0" w:line="249" w:lineRule="auto"/>
        <w:tabs>
          <w:tab w:leader="none" w:pos="2224" w:val="left"/>
        </w:tabs>
        <w:numPr>
          <w:ilvl w:val="1"/>
          <w:numId w:val="193"/>
        </w:numPr>
        <w:rPr>
          <w:rFonts w:ascii="Arial" w:cs="Arial" w:eastAsia="Arial" w:hAnsi="Arial"/>
          <w:sz w:val="21"/>
          <w:szCs w:val="21"/>
          <w:b w:val="1"/>
          <w:bCs w:val="1"/>
          <w:color w:val="auto"/>
        </w:rPr>
      </w:pPr>
      <w:r>
        <w:rPr>
          <w:rFonts w:ascii="Arial" w:cs="Arial" w:eastAsia="Arial" w:hAnsi="Arial"/>
          <w:sz w:val="21"/>
          <w:szCs w:val="21"/>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205" w:lineRule="exact"/>
        <w:rPr>
          <w:rFonts w:ascii="Arial" w:cs="Arial" w:eastAsia="Arial" w:hAnsi="Arial"/>
          <w:sz w:val="21"/>
          <w:szCs w:val="21"/>
          <w:b w:val="1"/>
          <w:bCs w:val="1"/>
          <w:color w:val="auto"/>
        </w:rPr>
      </w:pPr>
    </w:p>
    <w:p>
      <w:pPr>
        <w:ind w:left="2080" w:hanging="776"/>
        <w:spacing w:after="0"/>
        <w:tabs>
          <w:tab w:leader="none" w:pos="2080" w:val="left"/>
        </w:tabs>
        <w:numPr>
          <w:ilvl w:val="1"/>
          <w:numId w:val="193"/>
        </w:numPr>
        <w:rPr>
          <w:rFonts w:ascii="Arial" w:cs="Arial" w:eastAsia="Arial" w:hAnsi="Arial"/>
          <w:sz w:val="19"/>
          <w:szCs w:val="19"/>
          <w:b w:val="1"/>
          <w:bCs w:val="1"/>
          <w:color w:val="auto"/>
        </w:rPr>
      </w:pPr>
      <w:r>
        <w:rPr>
          <w:rFonts w:ascii="Arial" w:cs="Arial" w:eastAsia="Arial" w:hAnsi="Arial"/>
          <w:sz w:val="19"/>
          <w:szCs w:val="19"/>
          <w:color w:val="auto"/>
        </w:rPr>
        <w:t>in any other form of consideration that may be acceptable to the Board and permissible under Applicable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Law.</w:t>
      </w:r>
    </w:p>
    <w:p>
      <w:pPr>
        <w:spacing w:after="0" w:line="209" w:lineRule="exact"/>
        <w:rPr>
          <w:rFonts w:ascii="Arial" w:cs="Arial" w:eastAsia="Arial" w:hAnsi="Arial"/>
          <w:sz w:val="19"/>
          <w:szCs w:val="19"/>
          <w:b w:val="1"/>
          <w:bCs w:val="1"/>
          <w:color w:val="auto"/>
        </w:rPr>
      </w:pPr>
    </w:p>
    <w:p>
      <w:pPr>
        <w:jc w:val="both"/>
        <w:ind w:firstLine="656"/>
        <w:spacing w:after="0" w:line="278" w:lineRule="auto"/>
        <w:tabs>
          <w:tab w:leader="none" w:pos="1411" w:val="left"/>
        </w:tabs>
        <w:numPr>
          <w:ilvl w:val="0"/>
          <w:numId w:val="1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 any SAR,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1" w:name="page272"/>
    <w:bookmarkEnd w:id="271"/>
    <w:p>
      <w:pPr>
        <w:jc w:val="both"/>
        <w:ind w:firstLine="656"/>
        <w:spacing w:after="0" w:line="236" w:lineRule="auto"/>
        <w:tabs>
          <w:tab w:leader="none" w:pos="1455"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Options and SARs may not be transferred to third party financial institutions for value.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if an Option is an Incentive Stock Option, such Option may be deemed to be a Nonstatutory Stock Option as a result of such transfer:</w:t>
      </w:r>
    </w:p>
    <w:p>
      <w:pPr>
        <w:spacing w:after="0" w:line="209" w:lineRule="exact"/>
        <w:rPr>
          <w:rFonts w:ascii="Arial" w:cs="Arial" w:eastAsia="Arial" w:hAnsi="Arial"/>
          <w:sz w:val="22"/>
          <w:szCs w:val="22"/>
          <w:b w:val="1"/>
          <w:bCs w:val="1"/>
          <w:color w:val="auto"/>
        </w:rPr>
      </w:pPr>
    </w:p>
    <w:p>
      <w:pPr>
        <w:jc w:val="both"/>
        <w:ind w:firstLine="1304"/>
        <w:spacing w:after="0" w:line="280" w:lineRule="auto"/>
        <w:tabs>
          <w:tab w:leader="none" w:pos="2094" w:val="left"/>
        </w:tabs>
        <w:numPr>
          <w:ilvl w:val="1"/>
          <w:numId w:val="1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1" w:lineRule="exact"/>
        <w:rPr>
          <w:rFonts w:ascii="Arial" w:cs="Arial" w:eastAsia="Arial" w:hAnsi="Arial"/>
          <w:sz w:val="19"/>
          <w:szCs w:val="19"/>
          <w:b w:val="1"/>
          <w:bCs w:val="1"/>
          <w:color w:val="auto"/>
        </w:rPr>
      </w:pPr>
    </w:p>
    <w:p>
      <w:pPr>
        <w:jc w:val="both"/>
        <w:ind w:firstLine="1304"/>
        <w:spacing w:after="0" w:line="243" w:lineRule="auto"/>
        <w:tabs>
          <w:tab w:leader="none" w:pos="2383" w:val="left"/>
        </w:tabs>
        <w:numPr>
          <w:ilvl w:val="1"/>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Domestic Relations Orders. </w:t>
      </w:r>
      <w:r>
        <w:rPr>
          <w:rFonts w:ascii="Arial" w:cs="Arial" w:eastAsia="Arial" w:hAnsi="Arial"/>
          <w:sz w:val="22"/>
          <w:szCs w:val="22"/>
          <w:color w:val="auto"/>
        </w:rPr>
        <w:t>Notwithstanding the foregoing, subject to the execution of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in a format acceptable to the Company and subject to the approval of the Board or a duly authorized Officer, an Option or SAR may be transferred pursuant to a domestic relations order.</w:t>
      </w:r>
    </w:p>
    <w:p>
      <w:pPr>
        <w:spacing w:after="0" w:line="203" w:lineRule="exact"/>
        <w:rPr>
          <w:rFonts w:ascii="Arial" w:cs="Arial" w:eastAsia="Arial" w:hAnsi="Arial"/>
          <w:sz w:val="22"/>
          <w:szCs w:val="22"/>
          <w:b w:val="1"/>
          <w:bCs w:val="1"/>
          <w:color w:val="auto"/>
        </w:rPr>
      </w:pPr>
    </w:p>
    <w:p>
      <w:pPr>
        <w:jc w:val="both"/>
        <w:ind w:firstLine="656"/>
        <w:spacing w:after="0" w:line="239" w:lineRule="auto"/>
        <w:tabs>
          <w:tab w:leader="none" w:pos="1539"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Board may impose such restrictions on or conditions to the vesting and/or exercisability of an</w:t>
      </w:r>
      <w:r>
        <w:rPr>
          <w:rFonts w:ascii="Arial" w:cs="Arial" w:eastAsia="Arial" w:hAnsi="Arial"/>
          <w:sz w:val="22"/>
          <w:szCs w:val="22"/>
          <w:b w:val="1"/>
          <w:bCs w:val="1"/>
          <w:color w:val="auto"/>
        </w:rPr>
        <w:t xml:space="preserve"> </w:t>
      </w:r>
      <w:r>
        <w:rPr>
          <w:rFonts w:ascii="Arial" w:cs="Arial" w:eastAsia="Arial" w:hAnsi="Arial"/>
          <w:sz w:val="22"/>
          <w:szCs w:val="22"/>
          <w:color w:val="auto"/>
        </w:rPr>
        <w:t>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207" w:lineRule="exact"/>
        <w:rPr>
          <w:rFonts w:ascii="Arial" w:cs="Arial" w:eastAsia="Arial" w:hAnsi="Arial"/>
          <w:sz w:val="22"/>
          <w:szCs w:val="22"/>
          <w:b w:val="1"/>
          <w:bCs w:val="1"/>
          <w:color w:val="auto"/>
        </w:rPr>
      </w:pPr>
    </w:p>
    <w:p>
      <w:pPr>
        <w:jc w:val="both"/>
        <w:ind w:firstLine="656"/>
        <w:spacing w:after="0" w:line="235" w:lineRule="auto"/>
        <w:tabs>
          <w:tab w:leader="none" w:pos="1683"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for Cause. </w:t>
      </w:r>
      <w:r>
        <w:rPr>
          <w:rFonts w:ascii="Arial" w:cs="Arial" w:eastAsia="Arial" w:hAnsi="Arial"/>
          <w:sz w:val="22"/>
          <w:szCs w:val="22"/>
          <w:color w:val="auto"/>
        </w:rPr>
        <w:t>Except as explicitly otherwise provided in the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2" w:name="page273"/>
    <w:bookmarkEnd w:id="272"/>
    <w:p>
      <w:pPr>
        <w:jc w:val="both"/>
        <w:ind w:firstLine="656"/>
        <w:spacing w:after="0" w:line="236" w:lineRule="auto"/>
        <w:tabs>
          <w:tab w:leader="none" w:pos="1506"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Post-Termination Exercise Period Following Termination of Continuous Service for Reasons Other than Cause. </w:t>
      </w:r>
      <w:r>
        <w:rPr>
          <w:rFonts w:ascii="Arial" w:cs="Arial" w:eastAsia="Arial" w:hAnsi="Arial"/>
          <w:sz w:val="22"/>
          <w:szCs w:val="22"/>
          <w:color w:val="auto"/>
        </w:rPr>
        <w:t>Subject to Section 4(i), if a Participant’s Continuous Service terminates for any reason other than for Cause,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215" w:lineRule="exact"/>
        <w:rPr>
          <w:rFonts w:ascii="Arial" w:cs="Arial" w:eastAsia="Arial" w:hAnsi="Arial"/>
          <w:sz w:val="22"/>
          <w:szCs w:val="22"/>
          <w:b w:val="1"/>
          <w:bCs w:val="1"/>
          <w:color w:val="auto"/>
        </w:rPr>
      </w:pPr>
    </w:p>
    <w:p>
      <w:pPr>
        <w:ind w:firstLine="1304"/>
        <w:spacing w:after="0" w:line="250" w:lineRule="auto"/>
        <w:tabs>
          <w:tab w:leader="none" w:pos="2164"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three months following the date of such termination if such termination is a termination without Cause (other than any termination due to the Participant’s Disability or death);</w:t>
      </w:r>
    </w:p>
    <w:p>
      <w:pPr>
        <w:spacing w:after="0" w:line="201" w:lineRule="exact"/>
        <w:rPr>
          <w:rFonts w:ascii="Arial" w:cs="Arial" w:eastAsia="Arial" w:hAnsi="Arial"/>
          <w:sz w:val="22"/>
          <w:szCs w:val="22"/>
          <w:b w:val="1"/>
          <w:bCs w:val="1"/>
          <w:color w:val="auto"/>
        </w:rPr>
      </w:pPr>
    </w:p>
    <w:p>
      <w:pPr>
        <w:ind w:left="2000" w:hanging="696"/>
        <w:spacing w:after="0"/>
        <w:tabs>
          <w:tab w:leader="none" w:pos="2000" w:val="left"/>
        </w:tabs>
        <w:numPr>
          <w:ilvl w:val="1"/>
          <w:numId w:val="195"/>
        </w:numPr>
        <w:rPr>
          <w:rFonts w:ascii="Arial" w:cs="Arial" w:eastAsia="Arial" w:hAnsi="Arial"/>
          <w:sz w:val="19"/>
          <w:szCs w:val="19"/>
          <w:b w:val="1"/>
          <w:bCs w:val="1"/>
          <w:color w:val="auto"/>
        </w:rPr>
      </w:pPr>
      <w:r>
        <w:rPr>
          <w:rFonts w:ascii="Arial" w:cs="Arial" w:eastAsia="Arial" w:hAnsi="Arial"/>
          <w:sz w:val="19"/>
          <w:szCs w:val="19"/>
          <w:color w:val="auto"/>
        </w:rPr>
        <w:t>12 months following the date of such termination if such termination is due to the Participant’s Disability;</w:t>
      </w:r>
    </w:p>
    <w:p>
      <w:pPr>
        <w:spacing w:after="0" w:line="267" w:lineRule="exact"/>
        <w:rPr>
          <w:rFonts w:ascii="Arial" w:cs="Arial" w:eastAsia="Arial" w:hAnsi="Arial"/>
          <w:sz w:val="19"/>
          <w:szCs w:val="19"/>
          <w:b w:val="1"/>
          <w:bCs w:val="1"/>
          <w:color w:val="auto"/>
        </w:rPr>
      </w:pPr>
    </w:p>
    <w:p>
      <w:pPr>
        <w:ind w:left="2000" w:hanging="696"/>
        <w:spacing w:after="0"/>
        <w:tabs>
          <w:tab w:leader="none" w:pos="2000" w:val="left"/>
        </w:tabs>
        <w:numPr>
          <w:ilvl w:val="1"/>
          <w:numId w:val="195"/>
        </w:numPr>
        <w:rPr>
          <w:rFonts w:ascii="Arial" w:cs="Arial" w:eastAsia="Arial" w:hAnsi="Arial"/>
          <w:sz w:val="19"/>
          <w:szCs w:val="19"/>
          <w:b w:val="1"/>
          <w:bCs w:val="1"/>
          <w:color w:val="auto"/>
        </w:rPr>
      </w:pPr>
      <w:r>
        <w:rPr>
          <w:rFonts w:ascii="Arial" w:cs="Arial" w:eastAsia="Arial" w:hAnsi="Arial"/>
          <w:sz w:val="19"/>
          <w:szCs w:val="19"/>
          <w:color w:val="auto"/>
        </w:rPr>
        <w:t>18 months following the date of such termination if such termination is due to the Participant’s death; or</w:t>
      </w:r>
    </w:p>
    <w:p>
      <w:pPr>
        <w:spacing w:after="0" w:line="267" w:lineRule="exact"/>
        <w:rPr>
          <w:rFonts w:ascii="Arial" w:cs="Arial" w:eastAsia="Arial" w:hAnsi="Arial"/>
          <w:sz w:val="19"/>
          <w:szCs w:val="19"/>
          <w:b w:val="1"/>
          <w:bCs w:val="1"/>
          <w:color w:val="auto"/>
        </w:rPr>
      </w:pPr>
    </w:p>
    <w:p>
      <w:pPr>
        <w:ind w:firstLine="1304"/>
        <w:spacing w:after="0" w:line="250" w:lineRule="auto"/>
        <w:tabs>
          <w:tab w:leader="none" w:pos="2109"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64" w:lineRule="exact"/>
        <w:rPr>
          <w:sz w:val="20"/>
          <w:szCs w:val="20"/>
          <w:color w:val="auto"/>
        </w:rPr>
      </w:pPr>
    </w:p>
    <w:p>
      <w:pPr>
        <w:jc w:val="both"/>
        <w:ind w:firstLine="656"/>
        <w:spacing w:after="0" w:line="273" w:lineRule="auto"/>
        <w:tabs>
          <w:tab w:leader="none" w:pos="1351"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Exercise; Extension of Exercisability. </w:t>
      </w:r>
      <w:r>
        <w:rPr>
          <w:rFonts w:ascii="Arial" w:cs="Arial" w:eastAsia="Arial" w:hAnsi="Arial"/>
          <w:sz w:val="19"/>
          <w:szCs w:val="19"/>
          <w:color w:val="auto"/>
        </w:rPr>
        <w:t>A Participant may not exercise an Option or SAR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3" w:name="page274"/>
    <w:bookmarkEnd w:id="273"/>
    <w:p>
      <w:pPr>
        <w:jc w:val="both"/>
        <w:ind w:firstLine="656"/>
        <w:spacing w:after="0" w:line="274" w:lineRule="auto"/>
        <w:tabs>
          <w:tab w:leader="none" w:pos="1552" w:val="left"/>
        </w:tabs>
        <w:numPr>
          <w:ilvl w:val="1"/>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Non-Exempt Employees. </w:t>
      </w:r>
      <w:r>
        <w:rPr>
          <w:rFonts w:ascii="Arial" w:cs="Arial" w:eastAsia="Arial" w:hAnsi="Arial"/>
          <w:sz w:val="19"/>
          <w:szCs w:val="19"/>
          <w:color w:val="auto"/>
        </w:rPr>
        <w:t>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9" w:lineRule="exact"/>
        <w:rPr>
          <w:rFonts w:ascii="Arial" w:cs="Arial" w:eastAsia="Arial" w:hAnsi="Arial"/>
          <w:sz w:val="19"/>
          <w:szCs w:val="19"/>
          <w:b w:val="1"/>
          <w:bCs w:val="1"/>
          <w:color w:val="auto"/>
        </w:rPr>
      </w:pPr>
    </w:p>
    <w:p>
      <w:pPr>
        <w:ind w:left="1540" w:hanging="884"/>
        <w:spacing w:after="0"/>
        <w:tabs>
          <w:tab w:leader="none" w:pos="1540" w:val="left"/>
        </w:tabs>
        <w:numPr>
          <w:ilvl w:val="1"/>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Whole Shares. </w:t>
      </w:r>
      <w:r>
        <w:rPr>
          <w:rFonts w:ascii="Arial" w:cs="Arial" w:eastAsia="Arial" w:hAnsi="Arial"/>
          <w:sz w:val="19"/>
          <w:szCs w:val="19"/>
          <w:color w:val="auto"/>
        </w:rPr>
        <w:t>Options and SARs may be exercised only with respect to whole shares of Common Stock or</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their equivalents.</w:t>
      </w:r>
    </w:p>
    <w:p>
      <w:pPr>
        <w:spacing w:after="0" w:line="209" w:lineRule="exact"/>
        <w:rPr>
          <w:rFonts w:ascii="Arial" w:cs="Arial" w:eastAsia="Arial" w:hAnsi="Arial"/>
          <w:sz w:val="19"/>
          <w:szCs w:val="19"/>
          <w:b w:val="1"/>
          <w:bCs w:val="1"/>
          <w:color w:val="auto"/>
        </w:rPr>
      </w:pPr>
    </w:p>
    <w:p>
      <w:pPr>
        <w:ind w:left="820" w:hanging="812"/>
        <w:spacing w:after="0"/>
        <w:tabs>
          <w:tab w:leader="none" w:pos="82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WARDS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39" w:lineRule="auto"/>
        <w:tabs>
          <w:tab w:leader="none" w:pos="1494" w:val="left"/>
        </w:tabs>
        <w:numPr>
          <w:ilvl w:val="1"/>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Restricted Stock Awards and RSU Awards. </w:t>
      </w:r>
      <w:r>
        <w:rPr>
          <w:rFonts w:ascii="Arial" w:cs="Arial" w:eastAsia="Arial" w:hAnsi="Arial"/>
          <w:sz w:val="22"/>
          <w:szCs w:val="22"/>
          <w:color w:val="auto"/>
        </w:rPr>
        <w:t>Each Restricted Stock Award and RSU Award will have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207" w:lineRule="exact"/>
        <w:rPr>
          <w:rFonts w:ascii="Arial" w:cs="Arial" w:eastAsia="Arial" w:hAnsi="Arial"/>
          <w:sz w:val="22"/>
          <w:szCs w:val="22"/>
          <w:b w:val="1"/>
          <w:bCs w:val="1"/>
          <w:color w:val="auto"/>
        </w:rPr>
      </w:pPr>
    </w:p>
    <w:p>
      <w:pPr>
        <w:ind w:left="2040" w:hanging="736"/>
        <w:spacing w:after="0"/>
        <w:tabs>
          <w:tab w:leader="none" w:pos="2040" w:val="left"/>
        </w:tabs>
        <w:numPr>
          <w:ilvl w:val="2"/>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Form of Award.</w:t>
      </w:r>
    </w:p>
    <w:p>
      <w:pPr>
        <w:spacing w:after="0" w:line="239" w:lineRule="exact"/>
        <w:rPr>
          <w:rFonts w:ascii="Arial" w:cs="Arial" w:eastAsia="Arial" w:hAnsi="Arial"/>
          <w:sz w:val="22"/>
          <w:szCs w:val="22"/>
          <w:b w:val="1"/>
          <w:bCs w:val="1"/>
          <w:color w:val="auto"/>
        </w:rPr>
      </w:pPr>
    </w:p>
    <w:p>
      <w:pPr>
        <w:jc w:val="both"/>
        <w:ind w:firstLine="1952"/>
        <w:spacing w:after="0" w:line="282" w:lineRule="auto"/>
        <w:tabs>
          <w:tab w:leader="none" w:pos="2898" w:val="left"/>
        </w:tabs>
        <w:numPr>
          <w:ilvl w:val="3"/>
          <w:numId w:val="198"/>
        </w:numPr>
        <w:rPr>
          <w:rFonts w:ascii="Arial" w:cs="Arial" w:eastAsia="Arial" w:hAnsi="Arial"/>
          <w:sz w:val="19"/>
          <w:szCs w:val="19"/>
          <w:b w:val="1"/>
          <w:bCs w:val="1"/>
          <w:color w:val="auto"/>
        </w:rPr>
      </w:pPr>
      <w:r>
        <w:rPr>
          <w:rFonts w:ascii="Arial" w:cs="Arial" w:eastAsia="Arial" w:hAnsi="Arial"/>
          <w:sz w:val="19"/>
          <w:szCs w:val="19"/>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4" w:lineRule="exact"/>
        <w:rPr>
          <w:rFonts w:ascii="Arial" w:cs="Arial" w:eastAsia="Arial" w:hAnsi="Arial"/>
          <w:sz w:val="19"/>
          <w:szCs w:val="19"/>
          <w:b w:val="1"/>
          <w:bCs w:val="1"/>
          <w:color w:val="auto"/>
        </w:rPr>
      </w:pPr>
    </w:p>
    <w:p>
      <w:pPr>
        <w:jc w:val="both"/>
        <w:ind w:firstLine="1952"/>
        <w:spacing w:after="0" w:line="234" w:lineRule="auto"/>
        <w:tabs>
          <w:tab w:leader="none" w:pos="2771" w:val="left"/>
        </w:tabs>
        <w:numPr>
          <w:ilvl w:val="3"/>
          <w:numId w:val="198"/>
        </w:numPr>
        <w:rPr>
          <w:rFonts w:ascii="Arial" w:cs="Arial" w:eastAsia="Arial" w:hAnsi="Arial"/>
          <w:sz w:val="22"/>
          <w:szCs w:val="22"/>
          <w:b w:val="1"/>
          <w:bCs w:val="1"/>
          <w:color w:val="auto"/>
        </w:rPr>
      </w:pPr>
      <w:r>
        <w:rPr>
          <w:rFonts w:ascii="Arial" w:cs="Arial" w:eastAsia="Arial" w:hAnsi="Arial"/>
          <w:sz w:val="22"/>
          <w:szCs w:val="22"/>
          <w:color w:val="auto"/>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7" w:lineRule="exact"/>
        <w:rPr>
          <w:rFonts w:ascii="Arial" w:cs="Arial" w:eastAsia="Arial" w:hAnsi="Arial"/>
          <w:sz w:val="22"/>
          <w:szCs w:val="22"/>
          <w:b w:val="1"/>
          <w:bCs w:val="1"/>
          <w:color w:val="auto"/>
        </w:rPr>
      </w:pPr>
    </w:p>
    <w:p>
      <w:pPr>
        <w:ind w:left="2060" w:hanging="756"/>
        <w:spacing w:after="0"/>
        <w:tabs>
          <w:tab w:leader="none" w:pos="2060" w:val="left"/>
        </w:tabs>
        <w:numPr>
          <w:ilvl w:val="2"/>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39" w:lineRule="exact"/>
        <w:rPr>
          <w:rFonts w:ascii="Arial" w:cs="Arial" w:eastAsia="Arial" w:hAnsi="Arial"/>
          <w:sz w:val="22"/>
          <w:szCs w:val="22"/>
          <w:b w:val="1"/>
          <w:bCs w:val="1"/>
          <w:color w:val="auto"/>
        </w:rPr>
      </w:pPr>
    </w:p>
    <w:p>
      <w:pPr>
        <w:jc w:val="both"/>
        <w:ind w:firstLine="1952"/>
        <w:spacing w:after="0" w:line="257" w:lineRule="auto"/>
        <w:tabs>
          <w:tab w:leader="none" w:pos="2736" w:val="left"/>
        </w:tabs>
        <w:numPr>
          <w:ilvl w:val="3"/>
          <w:numId w:val="198"/>
        </w:numPr>
        <w:rPr>
          <w:rFonts w:ascii="Arial" w:cs="Arial" w:eastAsia="Arial" w:hAnsi="Arial"/>
          <w:sz w:val="21"/>
          <w:szCs w:val="21"/>
          <w:b w:val="1"/>
          <w:bCs w:val="1"/>
          <w:color w:val="auto"/>
        </w:rPr>
      </w:pPr>
      <w:r>
        <w:rPr>
          <w:rFonts w:ascii="Arial" w:cs="Arial" w:eastAsia="Arial" w:hAnsi="Arial"/>
          <w:sz w:val="21"/>
          <w:szCs w:val="21"/>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4" w:name="page275"/>
    <w:bookmarkEnd w:id="274"/>
    <w:p>
      <w:pPr>
        <w:jc w:val="both"/>
        <w:ind w:firstLine="1952"/>
        <w:spacing w:after="0" w:line="277" w:lineRule="auto"/>
        <w:tabs>
          <w:tab w:leader="none" w:pos="2938" w:val="left"/>
        </w:tabs>
        <w:numPr>
          <w:ilvl w:val="2"/>
          <w:numId w:val="199"/>
        </w:numPr>
        <w:rPr>
          <w:rFonts w:ascii="Arial" w:cs="Arial" w:eastAsia="Arial" w:hAnsi="Arial"/>
          <w:sz w:val="19"/>
          <w:szCs w:val="19"/>
          <w:b w:val="1"/>
          <w:bCs w:val="1"/>
          <w:color w:val="auto"/>
        </w:rPr>
      </w:pPr>
      <w:r>
        <w:rPr>
          <w:rFonts w:ascii="Arial" w:cs="Arial" w:eastAsia="Arial" w:hAnsi="Arial"/>
          <w:sz w:val="19"/>
          <w:szCs w:val="19"/>
          <w:color w:val="auto"/>
        </w:rPr>
        <w:t>RSU: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3" w:lineRule="exact"/>
        <w:rPr>
          <w:rFonts w:ascii="Arial" w:cs="Arial" w:eastAsia="Arial" w:hAnsi="Arial"/>
          <w:sz w:val="19"/>
          <w:szCs w:val="19"/>
          <w:b w:val="1"/>
          <w:bCs w:val="1"/>
          <w:color w:val="auto"/>
        </w:rPr>
      </w:pPr>
    </w:p>
    <w:p>
      <w:pPr>
        <w:jc w:val="both"/>
        <w:ind w:right="20" w:firstLine="1304"/>
        <w:spacing w:after="0" w:line="239" w:lineRule="auto"/>
        <w:tabs>
          <w:tab w:leader="none" w:pos="2106" w:val="left"/>
        </w:tabs>
        <w:numPr>
          <w:ilvl w:val="1"/>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Board may impose such restrictions on or conditions to the vesting of a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207" w:lineRule="exact"/>
        <w:rPr>
          <w:rFonts w:ascii="Arial" w:cs="Arial" w:eastAsia="Arial" w:hAnsi="Arial"/>
          <w:sz w:val="22"/>
          <w:szCs w:val="22"/>
          <w:b w:val="1"/>
          <w:bCs w:val="1"/>
          <w:color w:val="auto"/>
        </w:rPr>
      </w:pPr>
    </w:p>
    <w:p>
      <w:pPr>
        <w:jc w:val="both"/>
        <w:ind w:firstLine="1304"/>
        <w:spacing w:after="0" w:line="278" w:lineRule="auto"/>
        <w:tabs>
          <w:tab w:leader="none" w:pos="2067" w:val="left"/>
        </w:tabs>
        <w:numPr>
          <w:ilvl w:val="1"/>
          <w:numId w:val="2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Except as otherwise provided in the Award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2" w:lineRule="exact"/>
        <w:rPr>
          <w:rFonts w:ascii="Arial" w:cs="Arial" w:eastAsia="Arial" w:hAnsi="Arial"/>
          <w:sz w:val="19"/>
          <w:szCs w:val="19"/>
          <w:b w:val="1"/>
          <w:bCs w:val="1"/>
          <w:color w:val="auto"/>
        </w:rPr>
      </w:pPr>
    </w:p>
    <w:p>
      <w:pPr>
        <w:jc w:val="both"/>
        <w:ind w:firstLine="1304"/>
        <w:spacing w:after="0" w:line="243" w:lineRule="auto"/>
        <w:tabs>
          <w:tab w:leader="none" w:pos="2115" w:val="left"/>
        </w:tabs>
        <w:numPr>
          <w:ilvl w:val="1"/>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and Dividend Equivalents. </w:t>
      </w:r>
      <w:r>
        <w:rPr>
          <w:rFonts w:ascii="Arial" w:cs="Arial" w:eastAsia="Arial" w:hAnsi="Arial"/>
          <w:sz w:val="22"/>
          <w:szCs w:val="22"/>
          <w:color w:val="auto"/>
        </w:rPr>
        <w:t>Dividends or dividend equivalents may be paid or credited,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with respect to any shares of Common Stock subject to a Restricted Stock Award or RSU Award, as determined by the Board and specified in the Award Agreement.</w:t>
      </w:r>
    </w:p>
    <w:p>
      <w:pPr>
        <w:spacing w:after="0" w:line="203" w:lineRule="exact"/>
        <w:rPr>
          <w:rFonts w:ascii="Arial" w:cs="Arial" w:eastAsia="Arial" w:hAnsi="Arial"/>
          <w:sz w:val="22"/>
          <w:szCs w:val="22"/>
          <w:b w:val="1"/>
          <w:bCs w:val="1"/>
          <w:color w:val="auto"/>
        </w:rPr>
      </w:pPr>
    </w:p>
    <w:p>
      <w:pPr>
        <w:jc w:val="both"/>
        <w:ind w:firstLine="1304"/>
        <w:spacing w:after="0" w:line="239" w:lineRule="auto"/>
        <w:tabs>
          <w:tab w:leader="none" w:pos="2053" w:val="left"/>
        </w:tabs>
        <w:numPr>
          <w:ilvl w:val="1"/>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 Awards</w:t>
      </w:r>
      <w:r>
        <w:rPr>
          <w:rFonts w:ascii="Arial" w:cs="Arial" w:eastAsia="Arial" w:hAnsi="Arial"/>
          <w:sz w:val="22"/>
          <w:szCs w:val="22"/>
          <w:color w:val="auto"/>
        </w:rPr>
        <w:t>. An RSU Award may be settled by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207" w:lineRule="exact"/>
        <w:rPr>
          <w:rFonts w:ascii="Arial" w:cs="Arial" w:eastAsia="Arial" w:hAnsi="Arial"/>
          <w:sz w:val="22"/>
          <w:szCs w:val="22"/>
          <w:b w:val="1"/>
          <w:bCs w:val="1"/>
          <w:color w:val="auto"/>
        </w:rPr>
      </w:pPr>
    </w:p>
    <w:p>
      <w:pPr>
        <w:jc w:val="both"/>
        <w:ind w:firstLine="656"/>
        <w:spacing w:after="0" w:line="300" w:lineRule="auto"/>
        <w:tabs>
          <w:tab w:leader="none" w:pos="1600" w:val="left"/>
        </w:tabs>
        <w:numPr>
          <w:ilvl w:val="0"/>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Awards</w:t>
      </w:r>
      <w:r>
        <w:rPr>
          <w:rFonts w:ascii="Arial" w:cs="Arial" w:eastAsia="Arial" w:hAnsi="Arial"/>
          <w:sz w:val="19"/>
          <w:szCs w:val="19"/>
          <w:color w:val="auto"/>
        </w:rPr>
        <w:t>. With respect to any Performance Award, the length of any Performance Period,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to be achieved during the Performance Period, the other terms and conditions of such Award, and the measure of whether and to what degree such Performance Goals have been attained will be determined by the Board.</w:t>
      </w:r>
    </w:p>
    <w:p>
      <w:pPr>
        <w:spacing w:after="0" w:line="152" w:lineRule="exact"/>
        <w:rPr>
          <w:rFonts w:ascii="Arial" w:cs="Arial" w:eastAsia="Arial" w:hAnsi="Arial"/>
          <w:sz w:val="19"/>
          <w:szCs w:val="19"/>
          <w:b w:val="1"/>
          <w:bCs w:val="1"/>
          <w:color w:val="auto"/>
        </w:rPr>
      </w:pPr>
    </w:p>
    <w:p>
      <w:pPr>
        <w:jc w:val="both"/>
        <w:ind w:firstLine="656"/>
        <w:spacing w:after="0" w:line="247" w:lineRule="auto"/>
        <w:tabs>
          <w:tab w:leader="none" w:pos="1603" w:val="left"/>
        </w:tabs>
        <w:numPr>
          <w:ilvl w:val="0"/>
          <w:numId w:val="201"/>
        </w:numPr>
        <w:rPr>
          <w:rFonts w:ascii="Arial" w:cs="Arial" w:eastAsia="Arial" w:hAnsi="Arial"/>
          <w:sz w:val="21"/>
          <w:szCs w:val="21"/>
          <w:b w:val="1"/>
          <w:bCs w:val="1"/>
          <w:color w:val="auto"/>
        </w:rPr>
      </w:pPr>
      <w:r>
        <w:rPr>
          <w:rFonts w:ascii="Arial" w:cs="Arial" w:eastAsia="Arial" w:hAnsi="Arial"/>
          <w:sz w:val="21"/>
          <w:szCs w:val="21"/>
          <w:b w:val="1"/>
          <w:bCs w:val="1"/>
          <w:color w:val="auto"/>
        </w:rPr>
        <w:t>Other Awards</w:t>
      </w:r>
      <w:r>
        <w:rPr>
          <w:rFonts w:ascii="Arial" w:cs="Arial" w:eastAsia="Arial" w:hAnsi="Arial"/>
          <w:sz w:val="21"/>
          <w:szCs w:val="21"/>
          <w:color w:val="auto"/>
        </w:rPr>
        <w:t>. Other forms of Awards valued in whole or in part by reference to, or otherwise based on,</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ind w:left="720" w:hanging="712"/>
        <w:spacing w:after="0"/>
        <w:tabs>
          <w:tab w:leader="none" w:pos="72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w:t>
      </w:r>
      <w:r>
        <w:rPr>
          <w:rFonts w:ascii="Arial" w:cs="Arial" w:eastAsia="Arial" w:hAnsi="Arial"/>
          <w:sz w:val="22"/>
          <w:szCs w:val="22"/>
          <w:b w:val="1"/>
          <w:bCs w:val="1"/>
          <w:color w:val="auto"/>
        </w:rPr>
        <w:t>C</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75" w:lineRule="auto"/>
        <w:tabs>
          <w:tab w:leader="none" w:pos="1399" w:val="left"/>
        </w:tabs>
        <w:numPr>
          <w:ilvl w:val="1"/>
          <w:numId w:val="202"/>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Awards may be granted under the Plan in the form of any class of limited liability company interests in</w:t>
      </w:r>
      <w:r>
        <w:rPr>
          <w:rFonts w:ascii="Arial" w:cs="Arial" w:eastAsia="Arial" w:hAnsi="Arial"/>
          <w:sz w:val="19"/>
          <w:szCs w:val="19"/>
          <w:b w:val="1"/>
          <w:bCs w:val="1"/>
          <w:color w:val="auto"/>
        </w:rPr>
        <w:t xml:space="preserve"> </w:t>
      </w:r>
      <w:r>
        <w:rPr>
          <w:rFonts w:ascii="Arial" w:cs="Arial" w:eastAsia="Arial" w:hAnsi="Arial"/>
          <w:sz w:val="19"/>
          <w:szCs w:val="19"/>
          <w:color w:val="auto"/>
        </w:rPr>
        <w:t>WM OpCo, the entity through which the Company conducts its business and an entity that has elected to be treated as a partnership for federal income tax purposes (“</w:t>
      </w:r>
      <w:r>
        <w:rPr>
          <w:rFonts w:ascii="Arial" w:cs="Arial" w:eastAsia="Arial" w:hAnsi="Arial"/>
          <w:sz w:val="19"/>
          <w:szCs w:val="19"/>
          <w:b w:val="1"/>
          <w:bCs w:val="1"/>
          <w:i w:val="1"/>
          <w:iCs w:val="1"/>
          <w:color w:val="auto"/>
        </w:rPr>
        <w:t>OpCo Units</w:t>
      </w:r>
      <w:r>
        <w:rPr>
          <w:rFonts w:ascii="Arial" w:cs="Arial" w:eastAsia="Arial" w:hAnsi="Arial"/>
          <w:sz w:val="19"/>
          <w:szCs w:val="19"/>
          <w:color w:val="auto"/>
        </w:rPr>
        <w:t>”) established pursuant to the OpCo LLC Agreement. Awards of OpCo Units shall be valued by reference to, or otherwise determined by reference to or based on, shares of Common Stock. OpCo Units awarded under the Plan may be (1) convertible, exchangeable or redeemable for other limited liability company interests in WM OpCo (including OpCo Units of a different class or series) or shares of Common Stock, or (2) valued by reference to the book value, fair value or performance of WM OpCo. Awards of OpCo Units may be intended to qualify as “profits interests” within the meaning of IRS Revenue Procedure 93-27, as clarified by IRS Revenue Procedure 2001-43, with respect to a Participant in the Plan who is rendering services to or for the benefit of WM OpCo, including its subsidiaries.</w:t>
      </w:r>
    </w:p>
    <w:p>
      <w:pPr>
        <w:spacing w:after="0" w:line="176" w:lineRule="exact"/>
        <w:rPr>
          <w:rFonts w:ascii="Arial" w:cs="Arial" w:eastAsia="Arial" w:hAnsi="Arial"/>
          <w:sz w:val="19"/>
          <w:szCs w:val="19"/>
          <w:b w:val="1"/>
          <w:bCs w:val="1"/>
          <w:color w:val="auto"/>
        </w:rPr>
      </w:pPr>
    </w:p>
    <w:p>
      <w:pPr>
        <w:jc w:val="both"/>
        <w:ind w:firstLine="656"/>
        <w:spacing w:after="0" w:line="270" w:lineRule="auto"/>
        <w:tabs>
          <w:tab w:leader="none" w:pos="1398" w:val="left"/>
        </w:tabs>
        <w:numPr>
          <w:ilvl w:val="1"/>
          <w:numId w:val="202"/>
        </w:numPr>
        <w:rPr>
          <w:rFonts w:ascii="Arial" w:cs="Arial" w:eastAsia="Arial" w:hAnsi="Arial"/>
          <w:sz w:val="19"/>
          <w:szCs w:val="19"/>
          <w:b w:val="1"/>
          <w:bCs w:val="1"/>
          <w:color w:val="auto"/>
        </w:rPr>
      </w:pPr>
      <w:r>
        <w:rPr>
          <w:rFonts w:ascii="Arial" w:cs="Arial" w:eastAsia="Arial" w:hAnsi="Arial"/>
          <w:sz w:val="19"/>
          <w:szCs w:val="19"/>
          <w:b w:val="1"/>
          <w:bCs w:val="1"/>
          <w:color w:val="auto"/>
        </w:rPr>
        <w:t>Share Calculations</w:t>
      </w:r>
      <w:r>
        <w:rPr>
          <w:rFonts w:ascii="Arial" w:cs="Arial" w:eastAsia="Arial" w:hAnsi="Arial"/>
          <w:sz w:val="19"/>
          <w:szCs w:val="19"/>
          <w:color w:val="auto"/>
        </w:rPr>
        <w:t>. For purposes of calculating the number of shares of Common Stock underlying an award of</w:t>
      </w:r>
      <w:r>
        <w:rPr>
          <w:rFonts w:ascii="Arial" w:cs="Arial" w:eastAsia="Arial" w:hAnsi="Arial"/>
          <w:sz w:val="19"/>
          <w:szCs w:val="19"/>
          <w:b w:val="1"/>
          <w:bCs w:val="1"/>
          <w:color w:val="auto"/>
        </w:rPr>
        <w:t xml:space="preserve"> </w:t>
      </w:r>
      <w:r>
        <w:rPr>
          <w:rFonts w:ascii="Arial" w:cs="Arial" w:eastAsia="Arial" w:hAnsi="Arial"/>
          <w:sz w:val="19"/>
          <w:szCs w:val="19"/>
          <w:color w:val="auto"/>
        </w:rPr>
        <w:t>OpCo Units relative to the total number of shares of Common Stock available for issuance under the Plan, the Committee shall establish in good faith the maximum number of shares of Common Stock to which a Participant receiving such award of OpCo Units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Common Stock underlying such awards of OpCo Units shall be reduced accordingly by the Committee, and the number of shares of Common Stock shall be increased by one share of Common Stock for each share so reduced. Awards of OpCo Units may be granted either alone or in addition to other awards granted under the Plan. The Committee shall determine the eligible Participants to whom, and the time or times at which, awards of OpCo Units shall be made; the number of OpCo Units to be awarded; the price, if any, to be paid by the Participant for the acquisition of such OpCo Units (which may be less than the fair value of the OpCo Unit); and the restrictions and conditions applicable to such award of OpCo Units. Conditions may be based on continuing employment (or other service relationship), computation of financial metrics and/or achievement of pre-established performance goals and objectives, with related length of the service period for vesting, minimum or maximum performance thresholds, measurement procedures and length of the performance period to be established by the Committee at the time of grant, in its sole discretion. The Committee may allow awards of OpCo Units to be held through a limited partnership, or similar “look-through” entity, and the Committee may require such limited partnership or similar entity to impose restrictions on its partners or other beneficial owners that are not inconsistent with the provisions of this Section 6. The provisions of the grant of OpCo Units need not be the same with respect to each Participant.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6" w:name="page277"/>
    <w:bookmarkEnd w:id="276"/>
    <w:p>
      <w:pPr>
        <w:jc w:val="both"/>
        <w:ind w:firstLine="656"/>
        <w:spacing w:after="0" w:line="235" w:lineRule="auto"/>
        <w:tabs>
          <w:tab w:leader="none" w:pos="1428" w:val="left"/>
        </w:tabs>
        <w:numPr>
          <w:ilvl w:val="1"/>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Dividends and Distributions</w:t>
      </w:r>
      <w:r>
        <w:rPr>
          <w:rFonts w:ascii="Arial" w:cs="Arial" w:eastAsia="Arial" w:hAnsi="Arial"/>
          <w:sz w:val="22"/>
          <w:szCs w:val="22"/>
          <w:color w:val="auto"/>
        </w:rPr>
        <w:t>. The Award Agreement or other award documentation in respect of an award of</w:t>
      </w:r>
      <w:r>
        <w:rPr>
          <w:rFonts w:ascii="Arial" w:cs="Arial" w:eastAsia="Arial" w:hAnsi="Arial"/>
          <w:sz w:val="22"/>
          <w:szCs w:val="22"/>
          <w:b w:val="1"/>
          <w:bCs w:val="1"/>
          <w:color w:val="auto"/>
        </w:rPr>
        <w:t xml:space="preserve"> </w:t>
      </w:r>
      <w:r>
        <w:rPr>
          <w:rFonts w:ascii="Arial" w:cs="Arial" w:eastAsia="Arial" w:hAnsi="Arial"/>
          <w:sz w:val="22"/>
          <w:szCs w:val="22"/>
          <w:color w:val="auto"/>
        </w:rPr>
        <w:t>OpCo Units may provide that the recipient of OpCo Units shall be entitled to receive, currently or on a deferred or contingent basis, dividends or dividend equivalents with respect to the number of shares of Common Stock underlying the award or other distributions from WM OpCo prior to vesting (whether based on a period of time or based on attainment of specified performance conditions), as determined at the time of grant by the Committee, in its sole discretion, and the Committee may provide that such amounts (if any) shall be deemed to have been reinvested in additional shares of Common Stock or OpCo Units.</w:t>
      </w:r>
    </w:p>
    <w:p>
      <w:pPr>
        <w:spacing w:after="0" w:line="210" w:lineRule="exact"/>
        <w:rPr>
          <w:rFonts w:ascii="Arial" w:cs="Arial" w:eastAsia="Arial" w:hAnsi="Arial"/>
          <w:sz w:val="22"/>
          <w:szCs w:val="22"/>
          <w:b w:val="1"/>
          <w:bCs w:val="1"/>
          <w:color w:val="auto"/>
        </w:rPr>
      </w:pPr>
    </w:p>
    <w:p>
      <w:pPr>
        <w:ind w:left="720" w:hanging="712"/>
        <w:spacing w:after="0"/>
        <w:tabs>
          <w:tab w:leader="none" w:pos="72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 UPON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74" w:lineRule="auto"/>
        <w:tabs>
          <w:tab w:leader="none" w:pos="1494" w:val="left"/>
        </w:tabs>
        <w:numPr>
          <w:ilvl w:val="1"/>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appropriately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in a matter that it deems equitable in its sole discretion,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8" w:lineRule="exact"/>
        <w:rPr>
          <w:rFonts w:ascii="Arial" w:cs="Arial" w:eastAsia="Arial" w:hAnsi="Arial"/>
          <w:sz w:val="19"/>
          <w:szCs w:val="19"/>
          <w:b w:val="1"/>
          <w:bCs w:val="1"/>
          <w:color w:val="auto"/>
        </w:rPr>
      </w:pPr>
    </w:p>
    <w:p>
      <w:pPr>
        <w:jc w:val="both"/>
        <w:ind w:firstLine="656"/>
        <w:spacing w:after="0" w:line="276" w:lineRule="auto"/>
        <w:tabs>
          <w:tab w:leader="none" w:pos="1357" w:val="left"/>
        </w:tabs>
        <w:numPr>
          <w:ilvl w:val="1"/>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 or Liquidation</w:t>
      </w:r>
      <w:r>
        <w:rPr>
          <w:rFonts w:ascii="Arial" w:cs="Arial" w:eastAsia="Arial" w:hAnsi="Arial"/>
          <w:sz w:val="19"/>
          <w:szCs w:val="19"/>
          <w:color w:val="auto"/>
        </w:rPr>
        <w:t>. Except as otherwise provided in the Award Agreement, in the event of a dissolution</w:t>
      </w:r>
      <w:r>
        <w:rPr>
          <w:rFonts w:ascii="Arial" w:cs="Arial" w:eastAsia="Arial" w:hAnsi="Arial"/>
          <w:sz w:val="19"/>
          <w:szCs w:val="19"/>
          <w:b w:val="1"/>
          <w:bCs w:val="1"/>
          <w:color w:val="auto"/>
        </w:rPr>
        <w:t xml:space="preserve"> </w:t>
      </w:r>
      <w:r>
        <w:rPr>
          <w:rFonts w:ascii="Arial" w:cs="Arial" w:eastAsia="Arial" w:hAnsi="Arial"/>
          <w:sz w:val="19"/>
          <w:szCs w:val="19"/>
          <w:color w:val="auto"/>
        </w:rPr>
        <w:t>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6" w:lineRule="exact"/>
        <w:rPr>
          <w:rFonts w:ascii="Arial" w:cs="Arial" w:eastAsia="Arial" w:hAnsi="Arial"/>
          <w:sz w:val="19"/>
          <w:szCs w:val="19"/>
          <w:b w:val="1"/>
          <w:bCs w:val="1"/>
          <w:color w:val="auto"/>
        </w:rPr>
      </w:pPr>
    </w:p>
    <w:p>
      <w:pPr>
        <w:jc w:val="both"/>
        <w:ind w:firstLine="656"/>
        <w:spacing w:after="0" w:line="300" w:lineRule="auto"/>
        <w:tabs>
          <w:tab w:leader="none" w:pos="1374" w:val="left"/>
        </w:tabs>
        <w:numPr>
          <w:ilvl w:val="1"/>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Transaction. </w:t>
      </w:r>
      <w:r>
        <w:rPr>
          <w:rFonts w:ascii="Arial" w:cs="Arial" w:eastAsia="Arial" w:hAnsi="Arial"/>
          <w:sz w:val="19"/>
          <w:szCs w:val="19"/>
          <w:color w:val="auto"/>
        </w:rPr>
        <w:t>The following provisions will apply to Awards in the event of a Corporate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provided in the instrument evidencing the Award or any other written agreement between the Company or any Affiliate and the Participant or unless otherwise expressly provided by the Board at the time of grant of an Award.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7" w:name="page278"/>
    <w:bookmarkEnd w:id="277"/>
    <w:p>
      <w:pPr>
        <w:jc w:val="both"/>
        <w:ind w:firstLine="1304"/>
        <w:spacing w:after="0" w:line="245" w:lineRule="auto"/>
        <w:tabs>
          <w:tab w:leader="none" w:pos="2202" w:val="left"/>
        </w:tabs>
        <w:numPr>
          <w:ilvl w:val="0"/>
          <w:numId w:val="2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Awards May Be Assumed. </w:t>
      </w:r>
      <w:r>
        <w:rPr>
          <w:rFonts w:ascii="Arial" w:cs="Arial" w:eastAsia="Arial" w:hAnsi="Arial"/>
          <w:sz w:val="21"/>
          <w:szCs w:val="21"/>
          <w:color w:val="auto"/>
        </w:rPr>
        <w:t>In the event of a Corporate Transaction, any surviving 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208" w:lineRule="exact"/>
        <w:rPr>
          <w:rFonts w:ascii="Arial" w:cs="Arial" w:eastAsia="Arial" w:hAnsi="Arial"/>
          <w:sz w:val="21"/>
          <w:szCs w:val="21"/>
          <w:b w:val="1"/>
          <w:bCs w:val="1"/>
          <w:color w:val="auto"/>
        </w:rPr>
      </w:pPr>
    </w:p>
    <w:p>
      <w:pPr>
        <w:jc w:val="both"/>
        <w:ind w:firstLine="1304"/>
        <w:spacing w:after="0" w:line="271" w:lineRule="auto"/>
        <w:tabs>
          <w:tab w:leader="none" w:pos="2059"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Held by Current Participants. </w:t>
      </w:r>
      <w:r>
        <w:rPr>
          <w:rFonts w:ascii="Arial" w:cs="Arial" w:eastAsia="Arial" w:hAnsi="Arial"/>
          <w:sz w:val="19"/>
          <w:szCs w:val="19"/>
          <w:color w:val="auto"/>
        </w:rPr>
        <w:t>In the event of a Corporate Transaction in which the surviving</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9"/>
          <w:szCs w:val="19"/>
          <w:b w:val="1"/>
          <w:bCs w:val="1"/>
          <w:i w:val="1"/>
          <w:iCs w:val="1"/>
          <w:color w:val="auto"/>
        </w:rPr>
        <w:t>Current Participants</w:t>
      </w:r>
      <w:r>
        <w:rPr>
          <w:rFonts w:ascii="Arial" w:cs="Arial" w:eastAsia="Arial" w:hAnsi="Arial"/>
          <w:sz w:val="19"/>
          <w:szCs w:val="19"/>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for no consideration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jc w:val="both"/>
        <w:ind w:firstLine="1304"/>
        <w:spacing w:after="0" w:line="247" w:lineRule="auto"/>
        <w:tabs>
          <w:tab w:leader="none" w:pos="2011" w:val="left"/>
        </w:tabs>
        <w:numPr>
          <w:ilvl w:val="0"/>
          <w:numId w:val="2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Awards Held by Persons other than Current Participants. </w:t>
      </w:r>
      <w:r>
        <w:rPr>
          <w:rFonts w:ascii="Arial" w:cs="Arial" w:eastAsia="Arial" w:hAnsi="Arial"/>
          <w:sz w:val="21"/>
          <w:szCs w:val="21"/>
          <w:color w:val="auto"/>
        </w:rPr>
        <w:t>In the event of a Corporate Transaction in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for no consideration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4" w:lineRule="exact"/>
        <w:rPr>
          <w:rFonts w:ascii="Arial" w:cs="Arial" w:eastAsia="Arial" w:hAnsi="Arial"/>
          <w:sz w:val="21"/>
          <w:szCs w:val="21"/>
          <w:b w:val="1"/>
          <w:bCs w:val="1"/>
          <w:color w:val="auto"/>
        </w:rPr>
      </w:pPr>
    </w:p>
    <w:p>
      <w:pPr>
        <w:jc w:val="both"/>
        <w:ind w:firstLine="1304"/>
        <w:spacing w:after="0" w:line="249" w:lineRule="auto"/>
        <w:tabs>
          <w:tab w:leader="none" w:pos="2134" w:val="left"/>
        </w:tabs>
        <w:numPr>
          <w:ilvl w:val="0"/>
          <w:numId w:val="2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for Awards in Lieu of Exercise. </w:t>
      </w:r>
      <w:r>
        <w:rPr>
          <w:rFonts w:ascii="Arial" w:cs="Arial" w:eastAsia="Arial" w:hAnsi="Arial"/>
          <w:sz w:val="21"/>
          <w:szCs w:val="21"/>
          <w:color w:val="auto"/>
        </w:rPr>
        <w:t>Notwithstanding the foregoing, in the event an Award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8" w:name="page279"/>
    <w:bookmarkEnd w:id="278"/>
    <w:p>
      <w:pPr>
        <w:jc w:val="both"/>
        <w:ind w:firstLine="656"/>
        <w:spacing w:after="0" w:line="289" w:lineRule="auto"/>
        <w:tabs>
          <w:tab w:leader="none" w:pos="1560" w:val="left"/>
        </w:tabs>
        <w:numPr>
          <w:ilvl w:val="1"/>
          <w:numId w:val="2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Appointment of Stockholder Representative. </w:t>
      </w:r>
      <w:r>
        <w:rPr>
          <w:rFonts w:ascii="Arial" w:cs="Arial" w:eastAsia="Arial" w:hAnsi="Arial"/>
          <w:sz w:val="19"/>
          <w:szCs w:val="19"/>
          <w:color w:val="auto"/>
        </w:rPr>
        <w:t>As a condition to the receipt of an Award under this Plan,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63" w:lineRule="exact"/>
        <w:rPr>
          <w:rFonts w:ascii="Arial" w:cs="Arial" w:eastAsia="Arial" w:hAnsi="Arial"/>
          <w:sz w:val="19"/>
          <w:szCs w:val="19"/>
          <w:b w:val="1"/>
          <w:bCs w:val="1"/>
          <w:color w:val="auto"/>
        </w:rPr>
      </w:pPr>
    </w:p>
    <w:p>
      <w:pPr>
        <w:jc w:val="both"/>
        <w:ind w:firstLine="656"/>
        <w:spacing w:after="0" w:line="247" w:lineRule="auto"/>
        <w:tabs>
          <w:tab w:leader="none" w:pos="1428" w:val="left"/>
        </w:tabs>
        <w:numPr>
          <w:ilvl w:val="1"/>
          <w:numId w:val="206"/>
        </w:numPr>
        <w:rPr>
          <w:rFonts w:ascii="Arial" w:cs="Arial" w:eastAsia="Arial" w:hAnsi="Arial"/>
          <w:sz w:val="21"/>
          <w:szCs w:val="21"/>
          <w:b w:val="1"/>
          <w:bCs w:val="1"/>
          <w:color w:val="auto"/>
        </w:rPr>
      </w:pPr>
      <w:r>
        <w:rPr>
          <w:rFonts w:ascii="Arial" w:cs="Arial" w:eastAsia="Arial" w:hAnsi="Arial"/>
          <w:sz w:val="21"/>
          <w:szCs w:val="21"/>
          <w:b w:val="1"/>
          <w:bCs w:val="1"/>
          <w:color w:val="auto"/>
        </w:rPr>
        <w:t>No Restriction on Right to Undertake Transactions</w:t>
      </w:r>
      <w:r>
        <w:rPr>
          <w:rFonts w:ascii="Arial" w:cs="Arial" w:eastAsia="Arial" w:hAnsi="Arial"/>
          <w:sz w:val="21"/>
          <w:szCs w:val="21"/>
          <w:color w:val="auto"/>
        </w:rPr>
        <w:t>. The grant of any Award under the Plan and the issuance</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98" w:lineRule="exact"/>
        <w:rPr>
          <w:rFonts w:ascii="Arial" w:cs="Arial" w:eastAsia="Arial" w:hAnsi="Arial"/>
          <w:sz w:val="21"/>
          <w:szCs w:val="21"/>
          <w:b w:val="1"/>
          <w:bCs w:val="1"/>
          <w:color w:val="auto"/>
        </w:rPr>
      </w:pPr>
    </w:p>
    <w:p>
      <w:pPr>
        <w:ind w:left="720" w:hanging="712"/>
        <w:spacing w:after="0"/>
        <w:tabs>
          <w:tab w:leader="none" w:pos="72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right="20" w:firstLine="656"/>
        <w:spacing w:after="0" w:line="256" w:lineRule="auto"/>
        <w:tabs>
          <w:tab w:leader="none" w:pos="1750" w:val="left"/>
        </w:tabs>
        <w:numPr>
          <w:ilvl w:val="1"/>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will administer the Plan unless and until the Board delegates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to a Committee or Committees, as provided in subsection (c) below.</w:t>
      </w:r>
    </w:p>
    <w:p>
      <w:pPr>
        <w:spacing w:after="0" w:line="189" w:lineRule="exact"/>
        <w:rPr>
          <w:rFonts w:ascii="Arial" w:cs="Arial" w:eastAsia="Arial" w:hAnsi="Arial"/>
          <w:sz w:val="22"/>
          <w:szCs w:val="22"/>
          <w:b w:val="1"/>
          <w:bCs w:val="1"/>
          <w:color w:val="auto"/>
        </w:rPr>
      </w:pPr>
    </w:p>
    <w:p>
      <w:pPr>
        <w:ind w:firstLine="656"/>
        <w:spacing w:after="0" w:line="256" w:lineRule="auto"/>
        <w:tabs>
          <w:tab w:leader="none" w:pos="1695" w:val="left"/>
        </w:tabs>
        <w:numPr>
          <w:ilvl w:val="1"/>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Powers of Board. </w:t>
      </w:r>
      <w:r>
        <w:rPr>
          <w:rFonts w:ascii="Arial" w:cs="Arial" w:eastAsia="Arial" w:hAnsi="Arial"/>
          <w:sz w:val="22"/>
          <w:szCs w:val="22"/>
          <w:color w:val="auto"/>
        </w:rPr>
        <w:t>The Board will have the power, subject to, and within the limitations of, the express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w:t>
      </w:r>
    </w:p>
    <w:p>
      <w:pPr>
        <w:spacing w:after="0" w:line="195" w:lineRule="exact"/>
        <w:rPr>
          <w:rFonts w:ascii="Arial" w:cs="Arial" w:eastAsia="Arial" w:hAnsi="Arial"/>
          <w:sz w:val="22"/>
          <w:szCs w:val="22"/>
          <w:b w:val="1"/>
          <w:bCs w:val="1"/>
          <w:color w:val="auto"/>
        </w:rPr>
      </w:pPr>
    </w:p>
    <w:p>
      <w:pPr>
        <w:ind w:left="2120" w:hanging="816"/>
        <w:spacing w:after="0"/>
        <w:tabs>
          <w:tab w:leader="none" w:pos="2120" w:val="left"/>
        </w:tabs>
        <w:numPr>
          <w:ilvl w:val="2"/>
          <w:numId w:val="207"/>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(1) which of the persons eligible under the Plan will be granted Awards;</w:t>
      </w:r>
    </w:p>
    <w:p>
      <w:pPr>
        <w:spacing w:after="0" w:line="42" w:lineRule="exact"/>
        <w:rPr>
          <w:rFonts w:ascii="Arial" w:cs="Arial" w:eastAsia="Arial" w:hAnsi="Arial"/>
          <w:sz w:val="19"/>
          <w:szCs w:val="19"/>
          <w:b w:val="1"/>
          <w:bCs w:val="1"/>
          <w:color w:val="auto"/>
        </w:rPr>
      </w:pPr>
    </w:p>
    <w:p>
      <w:pPr>
        <w:jc w:val="both"/>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0" w:lineRule="exact"/>
        <w:rPr>
          <w:rFonts w:ascii="Arial" w:cs="Arial" w:eastAsia="Arial" w:hAnsi="Arial"/>
          <w:sz w:val="19"/>
          <w:szCs w:val="19"/>
          <w:b w:val="1"/>
          <w:bCs w:val="1"/>
          <w:color w:val="auto"/>
        </w:rPr>
      </w:pPr>
    </w:p>
    <w:p>
      <w:pPr>
        <w:jc w:val="both"/>
        <w:ind w:firstLine="1304"/>
        <w:spacing w:after="0" w:line="238" w:lineRule="auto"/>
        <w:tabs>
          <w:tab w:leader="none" w:pos="2097" w:val="left"/>
        </w:tabs>
        <w:numPr>
          <w:ilvl w:val="2"/>
          <w:numId w:val="207"/>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9" w:name="page280"/>
    <w:bookmarkEnd w:id="279"/>
    <w:p>
      <w:pPr>
        <w:ind w:left="2060" w:hanging="756"/>
        <w:spacing w:after="0"/>
        <w:tabs>
          <w:tab w:leader="none" w:pos="2060"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33" w:lineRule="exact"/>
        <w:rPr>
          <w:rFonts w:ascii="Arial" w:cs="Arial" w:eastAsia="Arial" w:hAnsi="Arial"/>
          <w:sz w:val="22"/>
          <w:szCs w:val="22"/>
          <w:b w:val="1"/>
          <w:bCs w:val="1"/>
          <w:color w:val="auto"/>
        </w:rPr>
      </w:pPr>
    </w:p>
    <w:p>
      <w:pPr>
        <w:jc w:val="both"/>
        <w:ind w:firstLine="1304"/>
        <w:spacing w:after="0"/>
        <w:tabs>
          <w:tab w:leader="none" w:pos="1996"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213" w:lineRule="exact"/>
        <w:rPr>
          <w:rFonts w:ascii="Arial" w:cs="Arial" w:eastAsia="Arial" w:hAnsi="Arial"/>
          <w:sz w:val="22"/>
          <w:szCs w:val="22"/>
          <w:b w:val="1"/>
          <w:bCs w:val="1"/>
          <w:color w:val="auto"/>
        </w:rPr>
      </w:pPr>
    </w:p>
    <w:p>
      <w:pPr>
        <w:jc w:val="both"/>
        <w:ind w:firstLine="1304"/>
        <w:spacing w:after="0" w:line="236" w:lineRule="auto"/>
        <w:tabs>
          <w:tab w:leader="none" w:pos="2048"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14" w:lineRule="exact"/>
        <w:rPr>
          <w:rFonts w:ascii="Arial" w:cs="Arial" w:eastAsia="Arial" w:hAnsi="Arial"/>
          <w:sz w:val="22"/>
          <w:szCs w:val="22"/>
          <w:b w:val="1"/>
          <w:bCs w:val="1"/>
          <w:color w:val="auto"/>
        </w:rPr>
      </w:pPr>
    </w:p>
    <w:p>
      <w:pPr>
        <w:jc w:val="both"/>
        <w:ind w:firstLine="1304"/>
        <w:spacing w:after="0"/>
        <w:tabs>
          <w:tab w:leader="none" w:pos="2069"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213" w:lineRule="exact"/>
        <w:rPr>
          <w:rFonts w:ascii="Arial" w:cs="Arial" w:eastAsia="Arial" w:hAnsi="Arial"/>
          <w:sz w:val="22"/>
          <w:szCs w:val="22"/>
          <w:b w:val="1"/>
          <w:bCs w:val="1"/>
          <w:color w:val="auto"/>
        </w:rPr>
      </w:pPr>
    </w:p>
    <w:p>
      <w:pPr>
        <w:jc w:val="both"/>
        <w:ind w:firstLine="1304"/>
        <w:spacing w:after="0" w:line="287" w:lineRule="auto"/>
        <w:tabs>
          <w:tab w:leader="none" w:pos="2253" w:val="left"/>
        </w:tabs>
        <w:numPr>
          <w:ilvl w:val="0"/>
          <w:numId w:val="208"/>
        </w:numPr>
        <w:rPr>
          <w:rFonts w:ascii="Arial" w:cs="Arial" w:eastAsia="Arial" w:hAnsi="Arial"/>
          <w:sz w:val="19"/>
          <w:szCs w:val="19"/>
          <w:b w:val="1"/>
          <w:bCs w:val="1"/>
          <w:color w:val="auto"/>
        </w:rPr>
      </w:pPr>
      <w:r>
        <w:rPr>
          <w:rFonts w:ascii="Arial" w:cs="Arial" w:eastAsia="Arial" w:hAnsi="Arial"/>
          <w:sz w:val="19"/>
          <w:szCs w:val="19"/>
          <w:color w:val="auto"/>
        </w:rPr>
        <w:t>To amend the Plan in any respect the Board deems necessary or advisable;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69" w:lineRule="exact"/>
        <w:rPr>
          <w:rFonts w:ascii="Arial" w:cs="Arial" w:eastAsia="Arial" w:hAnsi="Arial"/>
          <w:sz w:val="19"/>
          <w:szCs w:val="19"/>
          <w:b w:val="1"/>
          <w:bCs w:val="1"/>
          <w:color w:val="auto"/>
        </w:rPr>
      </w:pPr>
    </w:p>
    <w:p>
      <w:pPr>
        <w:ind w:left="2060" w:hanging="756"/>
        <w:spacing w:after="0"/>
        <w:tabs>
          <w:tab w:leader="none" w:pos="2060"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stockholder approval.</w:t>
      </w:r>
    </w:p>
    <w:p>
      <w:pPr>
        <w:spacing w:after="0" w:line="233" w:lineRule="exact"/>
        <w:rPr>
          <w:rFonts w:ascii="Arial" w:cs="Arial" w:eastAsia="Arial" w:hAnsi="Arial"/>
          <w:sz w:val="22"/>
          <w:szCs w:val="22"/>
          <w:b w:val="1"/>
          <w:bCs w:val="1"/>
          <w:color w:val="auto"/>
        </w:rPr>
      </w:pPr>
    </w:p>
    <w:p>
      <w:pPr>
        <w:jc w:val="both"/>
        <w:ind w:firstLine="1304"/>
        <w:spacing w:after="0" w:line="282" w:lineRule="auto"/>
        <w:tabs>
          <w:tab w:leader="none" w:pos="2184" w:val="left"/>
        </w:tabs>
        <w:numPr>
          <w:ilvl w:val="0"/>
          <w:numId w:val="208"/>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Participant’s rights under any Award will not be Materially Impaired by any such amendment unless (1)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requests the consent of the affected Participant, and (2) such Participant consents in writing.</w:t>
      </w:r>
    </w:p>
    <w:p>
      <w:pPr>
        <w:spacing w:after="0" w:line="174" w:lineRule="exact"/>
        <w:rPr>
          <w:rFonts w:ascii="Arial" w:cs="Arial" w:eastAsia="Arial" w:hAnsi="Arial"/>
          <w:sz w:val="19"/>
          <w:szCs w:val="19"/>
          <w:b w:val="1"/>
          <w:bCs w:val="1"/>
          <w:color w:val="auto"/>
        </w:rPr>
      </w:pPr>
    </w:p>
    <w:p>
      <w:pPr>
        <w:ind w:firstLine="1304"/>
        <w:spacing w:after="0" w:line="328" w:lineRule="auto"/>
        <w:tabs>
          <w:tab w:leader="none" w:pos="2043" w:val="left"/>
        </w:tabs>
        <w:numPr>
          <w:ilvl w:val="0"/>
          <w:numId w:val="208"/>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31" w:lineRule="exact"/>
        <w:rPr>
          <w:rFonts w:ascii="Arial" w:cs="Arial" w:eastAsia="Arial" w:hAnsi="Arial"/>
          <w:sz w:val="19"/>
          <w:szCs w:val="19"/>
          <w:b w:val="1"/>
          <w:bCs w:val="1"/>
          <w:color w:val="auto"/>
        </w:rPr>
      </w:pPr>
    </w:p>
    <w:p>
      <w:pPr>
        <w:jc w:val="both"/>
        <w:ind w:firstLine="1304"/>
        <w:spacing w:after="0" w:line="236" w:lineRule="auto"/>
        <w:tabs>
          <w:tab w:leader="none" w:pos="2403"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0" w:name="page281"/>
    <w:bookmarkEnd w:id="280"/>
    <w:p>
      <w:pPr>
        <w:jc w:val="both"/>
        <w:ind w:firstLine="1304"/>
        <w:spacing w:after="0" w:line="270" w:lineRule="auto"/>
        <w:tabs>
          <w:tab w:leader="none" w:pos="2159" w:val="left"/>
        </w:tabs>
        <w:numPr>
          <w:ilvl w:val="2"/>
          <w:numId w:val="209"/>
        </w:numPr>
        <w:rPr>
          <w:rFonts w:ascii="Arial" w:cs="Arial" w:eastAsia="Arial" w:hAnsi="Arial"/>
          <w:sz w:val="19"/>
          <w:szCs w:val="19"/>
          <w:b w:val="1"/>
          <w:bCs w:val="1"/>
          <w:color w:val="auto"/>
        </w:rPr>
      </w:pPr>
      <w:r>
        <w:rPr>
          <w:rFonts w:ascii="Arial" w:cs="Arial" w:eastAsia="Arial" w:hAnsi="Arial"/>
          <w:sz w:val="19"/>
          <w:szCs w:val="19"/>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w:t>
      </w:r>
    </w:p>
    <w:p>
      <w:pPr>
        <w:spacing w:after="0" w:line="4" w:lineRule="exact"/>
        <w:rPr>
          <w:rFonts w:ascii="Arial" w:cs="Arial" w:eastAsia="Arial" w:hAnsi="Arial"/>
          <w:sz w:val="19"/>
          <w:szCs w:val="19"/>
          <w:b w:val="1"/>
          <w:bCs w:val="1"/>
          <w:color w:val="auto"/>
        </w:rPr>
      </w:pPr>
    </w:p>
    <w:p>
      <w:pPr>
        <w:ind w:left="320" w:hanging="312"/>
        <w:spacing w:after="0"/>
        <w:tabs>
          <w:tab w:leader="none" w:pos="3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any other action that is treated as a repricing under generally accepted accounting principles.</w:t>
      </w:r>
    </w:p>
    <w:p>
      <w:pPr>
        <w:spacing w:after="0" w:line="209" w:lineRule="exact"/>
        <w:rPr>
          <w:rFonts w:ascii="Arial" w:cs="Arial" w:eastAsia="Arial" w:hAnsi="Arial"/>
          <w:sz w:val="22"/>
          <w:szCs w:val="22"/>
          <w:color w:val="auto"/>
        </w:rPr>
      </w:pPr>
    </w:p>
    <w:p>
      <w:pPr>
        <w:ind w:left="1440" w:hanging="784"/>
        <w:spacing w:after="0"/>
        <w:tabs>
          <w:tab w:leader="none" w:pos="1440" w:val="left"/>
        </w:tabs>
        <w:numPr>
          <w:ilvl w:val="1"/>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33" w:lineRule="exact"/>
        <w:rPr>
          <w:rFonts w:ascii="Arial" w:cs="Arial" w:eastAsia="Arial" w:hAnsi="Arial"/>
          <w:sz w:val="22"/>
          <w:szCs w:val="22"/>
          <w:b w:val="1"/>
          <w:bCs w:val="1"/>
          <w:color w:val="auto"/>
        </w:rPr>
      </w:pPr>
    </w:p>
    <w:p>
      <w:pPr>
        <w:jc w:val="both"/>
        <w:ind w:firstLine="1304"/>
        <w:spacing w:after="0" w:line="274" w:lineRule="auto"/>
        <w:tabs>
          <w:tab w:leader="none" w:pos="2283" w:val="left"/>
        </w:tabs>
        <w:numPr>
          <w:ilvl w:val="2"/>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Board may delegate some or all of the administration of the Plan to a Committee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78" w:lineRule="exact"/>
        <w:rPr>
          <w:rFonts w:ascii="Arial" w:cs="Arial" w:eastAsia="Arial" w:hAnsi="Arial"/>
          <w:sz w:val="19"/>
          <w:szCs w:val="19"/>
          <w:b w:val="1"/>
          <w:bCs w:val="1"/>
          <w:color w:val="auto"/>
        </w:rPr>
      </w:pPr>
    </w:p>
    <w:p>
      <w:pPr>
        <w:jc w:val="both"/>
        <w:ind w:firstLine="1304"/>
        <w:spacing w:after="0" w:line="236" w:lineRule="auto"/>
        <w:tabs>
          <w:tab w:leader="none" w:pos="2073" w:val="left"/>
        </w:tabs>
        <w:numPr>
          <w:ilvl w:val="2"/>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Rule 16b-3 Compliance. </w:t>
      </w:r>
      <w:r>
        <w:rPr>
          <w:rFonts w:ascii="Arial" w:cs="Arial" w:eastAsia="Arial" w:hAnsi="Arial"/>
          <w:sz w:val="22"/>
          <w:szCs w:val="22"/>
          <w:color w:val="auto"/>
        </w:rPr>
        <w:t>To the extent an Award is intended to qualify for the exemption from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16(b) of the Exchange Act that is available under Rule 16b-3 of the Exchange Act, the Award will be granted by the Board or a Committee (or a subcommittee thereof) that consists solely of two or more Non-Employee Directors, as determined under Rule 16b-3(b)(3) of the Exchange Act and thereafter any action establishing or modifying the terms of the Award will be approved by the Board or a Committee (or a subcommittee) meeting such requirements to the extent necessary for such exemption to remain available.</w:t>
      </w:r>
    </w:p>
    <w:p>
      <w:pPr>
        <w:spacing w:after="0" w:line="208" w:lineRule="exact"/>
        <w:rPr>
          <w:rFonts w:ascii="Arial" w:cs="Arial" w:eastAsia="Arial" w:hAnsi="Arial"/>
          <w:sz w:val="22"/>
          <w:szCs w:val="22"/>
          <w:b w:val="1"/>
          <w:bCs w:val="1"/>
          <w:color w:val="auto"/>
        </w:rPr>
      </w:pPr>
    </w:p>
    <w:p>
      <w:pPr>
        <w:jc w:val="both"/>
        <w:ind w:right="20" w:firstLine="656"/>
        <w:spacing w:after="0" w:line="243" w:lineRule="auto"/>
        <w:tabs>
          <w:tab w:leader="none" w:pos="1506" w:val="left"/>
        </w:tabs>
        <w:numPr>
          <w:ilvl w:val="1"/>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Board’s Decision. </w:t>
      </w:r>
      <w:r>
        <w:rPr>
          <w:rFonts w:ascii="Arial" w:cs="Arial" w:eastAsia="Arial" w:hAnsi="Arial"/>
          <w:sz w:val="22"/>
          <w:szCs w:val="22"/>
          <w:color w:val="auto"/>
        </w:rPr>
        <w:t>All determinations, interpretations and constructions made by the Board or 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with respect to the Plan or any Awards granted under it (including any Award Agreements) will not be subject to review by any person and will be final, binding and conclusive on all persons.</w:t>
      </w:r>
    </w:p>
    <w:p>
      <w:pPr>
        <w:spacing w:after="0" w:line="203" w:lineRule="exact"/>
        <w:rPr>
          <w:rFonts w:ascii="Arial" w:cs="Arial" w:eastAsia="Arial" w:hAnsi="Arial"/>
          <w:sz w:val="22"/>
          <w:szCs w:val="22"/>
          <w:b w:val="1"/>
          <w:bCs w:val="1"/>
          <w:color w:val="auto"/>
        </w:rPr>
      </w:pPr>
    </w:p>
    <w:p>
      <w:pPr>
        <w:jc w:val="both"/>
        <w:ind w:firstLine="656"/>
        <w:spacing w:after="0" w:line="274" w:lineRule="auto"/>
        <w:tabs>
          <w:tab w:leader="none" w:pos="1509" w:val="left"/>
        </w:tabs>
        <w:numPr>
          <w:ilvl w:val="1"/>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 authority to</w:t>
      </w:r>
      <w:r>
        <w:rPr>
          <w:rFonts w:ascii="Arial" w:cs="Arial" w:eastAsia="Arial" w:hAnsi="Arial"/>
          <w:sz w:val="19"/>
          <w:szCs w:val="19"/>
          <w:b w:val="1"/>
          <w:bCs w:val="1"/>
          <w:color w:val="auto"/>
        </w:rPr>
        <w:t xml:space="preserve"> </w:t>
      </w:r>
      <w:r>
        <w:rPr>
          <w:rFonts w:ascii="Arial" w:cs="Arial" w:eastAsia="Arial" w:hAnsi="Arial"/>
          <w:sz w:val="19"/>
          <w:szCs w:val="19"/>
          <w:color w:val="auto"/>
        </w:rPr>
        <w:t>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1" w:name="page282"/>
    <w:bookmarkEnd w:id="281"/>
    <w:p>
      <w:pPr>
        <w:ind w:left="820" w:hanging="812"/>
        <w:spacing w:after="0"/>
        <w:tabs>
          <w:tab w:leader="none" w:pos="82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ITHHOLDING</w:t>
      </w:r>
    </w:p>
    <w:p>
      <w:pPr>
        <w:spacing w:after="0" w:line="233" w:lineRule="exact"/>
        <w:rPr>
          <w:rFonts w:ascii="Arial" w:cs="Arial" w:eastAsia="Arial" w:hAnsi="Arial"/>
          <w:sz w:val="22"/>
          <w:szCs w:val="22"/>
          <w:b w:val="1"/>
          <w:bCs w:val="1"/>
          <w:color w:val="auto"/>
        </w:rPr>
      </w:pPr>
    </w:p>
    <w:p>
      <w:pPr>
        <w:jc w:val="both"/>
        <w:ind w:firstLine="656"/>
        <w:spacing w:after="0" w:line="235" w:lineRule="auto"/>
        <w:tabs>
          <w:tab w:leader="none" w:pos="1359" w:val="left"/>
        </w:tabs>
        <w:numPr>
          <w:ilvl w:val="1"/>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Authorization. </w:t>
      </w:r>
      <w:r>
        <w:rPr>
          <w:rFonts w:ascii="Arial" w:cs="Arial" w:eastAsia="Arial" w:hAnsi="Arial"/>
          <w:sz w:val="22"/>
          <w:szCs w:val="22"/>
          <w:color w:val="auto"/>
        </w:rPr>
        <w:t>As a condition to acceptance of any Award under the Plan, a Participant authorizes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210" w:lineRule="exact"/>
        <w:rPr>
          <w:rFonts w:ascii="Arial" w:cs="Arial" w:eastAsia="Arial" w:hAnsi="Arial"/>
          <w:sz w:val="22"/>
          <w:szCs w:val="22"/>
          <w:b w:val="1"/>
          <w:bCs w:val="1"/>
          <w:color w:val="auto"/>
        </w:rPr>
      </w:pPr>
    </w:p>
    <w:p>
      <w:pPr>
        <w:jc w:val="both"/>
        <w:ind w:firstLine="656"/>
        <w:spacing w:after="0" w:line="247" w:lineRule="auto"/>
        <w:tabs>
          <w:tab w:leader="none" w:pos="1519" w:val="left"/>
        </w:tabs>
        <w:numPr>
          <w:ilvl w:val="1"/>
          <w:numId w:val="21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Satisfaction of Withholding Obligation. </w:t>
      </w:r>
      <w:r>
        <w:rPr>
          <w:rFonts w:ascii="Arial" w:cs="Arial" w:eastAsia="Arial" w:hAnsi="Arial"/>
          <w:sz w:val="21"/>
          <w:szCs w:val="21"/>
          <w:color w:val="auto"/>
        </w:rPr>
        <w:t>To the extent permitted by the terms of an Award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98" w:lineRule="exact"/>
        <w:rPr>
          <w:rFonts w:ascii="Arial" w:cs="Arial" w:eastAsia="Arial" w:hAnsi="Arial"/>
          <w:sz w:val="21"/>
          <w:szCs w:val="21"/>
          <w:b w:val="1"/>
          <w:bCs w:val="1"/>
          <w:color w:val="auto"/>
        </w:rPr>
      </w:pPr>
    </w:p>
    <w:p>
      <w:pPr>
        <w:jc w:val="both"/>
        <w:ind w:firstLine="656"/>
        <w:spacing w:after="0" w:line="271" w:lineRule="auto"/>
        <w:tabs>
          <w:tab w:leader="none" w:pos="1320" w:val="left"/>
        </w:tabs>
        <w:numPr>
          <w:ilvl w:val="1"/>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No Liability to Claims. </w:t>
      </w:r>
      <w:r>
        <w:rPr>
          <w:rFonts w:ascii="Arial" w:cs="Arial" w:eastAsia="Arial" w:hAnsi="Arial"/>
          <w:sz w:val="19"/>
          <w:szCs w:val="19"/>
          <w:color w:val="auto"/>
        </w:rPr>
        <w:t>Except as required by Applicable Law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2" w:name="page283"/>
    <w:bookmarkEnd w:id="282"/>
    <w:p>
      <w:pPr>
        <w:jc w:val="both"/>
        <w:ind w:firstLine="656"/>
        <w:spacing w:after="0" w:line="289" w:lineRule="auto"/>
        <w:tabs>
          <w:tab w:leader="none" w:pos="1641" w:val="left"/>
        </w:tabs>
        <w:numPr>
          <w:ilvl w:val="1"/>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Indemnification. </w:t>
      </w:r>
      <w:r>
        <w:rPr>
          <w:rFonts w:ascii="Arial" w:cs="Arial" w:eastAsia="Arial" w:hAnsi="Arial"/>
          <w:sz w:val="19"/>
          <w:szCs w:val="19"/>
          <w:color w:val="auto"/>
        </w:rPr>
        <w:t>As a condition to accepting an Award under the Plan, in the event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63" w:lineRule="exact"/>
        <w:rPr>
          <w:rFonts w:ascii="Arial" w:cs="Arial" w:eastAsia="Arial" w:hAnsi="Arial"/>
          <w:sz w:val="19"/>
          <w:szCs w:val="19"/>
          <w:b w:val="1"/>
          <w:bCs w:val="1"/>
          <w:color w:val="auto"/>
        </w:rPr>
      </w:pPr>
    </w:p>
    <w:p>
      <w:pPr>
        <w:ind w:left="820" w:hanging="812"/>
        <w:spacing w:after="0"/>
        <w:tabs>
          <w:tab w:leader="none" w:pos="82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firstLine="656"/>
        <w:spacing w:after="0" w:line="256" w:lineRule="auto"/>
        <w:tabs>
          <w:tab w:leader="none" w:pos="1480" w:val="left"/>
        </w:tabs>
        <w:numPr>
          <w:ilvl w:val="1"/>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Source of Shares. </w:t>
      </w:r>
      <w:r>
        <w:rPr>
          <w:rFonts w:ascii="Arial" w:cs="Arial" w:eastAsia="Arial" w:hAnsi="Arial"/>
          <w:sz w:val="22"/>
          <w:szCs w:val="22"/>
          <w:color w:val="auto"/>
        </w:rPr>
        <w:t>The stock issuable under the Plan will be shares of authorized but unissued or reacquired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including shares repurchased by the Company on the open market or otherwise.</w:t>
      </w:r>
    </w:p>
    <w:p>
      <w:pPr>
        <w:spacing w:after="0" w:line="189" w:lineRule="exact"/>
        <w:rPr>
          <w:rFonts w:ascii="Arial" w:cs="Arial" w:eastAsia="Arial" w:hAnsi="Arial"/>
          <w:sz w:val="22"/>
          <w:szCs w:val="22"/>
          <w:b w:val="1"/>
          <w:bCs w:val="1"/>
          <w:color w:val="auto"/>
        </w:rPr>
      </w:pPr>
    </w:p>
    <w:p>
      <w:pPr>
        <w:ind w:right="20" w:firstLine="656"/>
        <w:spacing w:after="0" w:line="256" w:lineRule="auto"/>
        <w:tabs>
          <w:tab w:leader="none" w:pos="1371" w:val="left"/>
        </w:tabs>
        <w:numPr>
          <w:ilvl w:val="1"/>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 Stock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constitute general funds of the Company.</w:t>
      </w:r>
    </w:p>
    <w:p>
      <w:pPr>
        <w:spacing w:after="0" w:line="189" w:lineRule="exact"/>
        <w:rPr>
          <w:rFonts w:ascii="Arial" w:cs="Arial" w:eastAsia="Arial" w:hAnsi="Arial"/>
          <w:sz w:val="22"/>
          <w:szCs w:val="22"/>
          <w:b w:val="1"/>
          <w:bCs w:val="1"/>
          <w:color w:val="auto"/>
        </w:rPr>
      </w:pPr>
    </w:p>
    <w:p>
      <w:pPr>
        <w:jc w:val="both"/>
        <w:ind w:firstLine="656"/>
        <w:spacing w:after="0" w:line="247" w:lineRule="auto"/>
        <w:tabs>
          <w:tab w:leader="none" w:pos="1414" w:val="left"/>
        </w:tabs>
        <w:numPr>
          <w:ilvl w:val="1"/>
          <w:numId w:val="2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Awards. </w:t>
      </w:r>
      <w:r>
        <w:rPr>
          <w:rFonts w:ascii="Arial" w:cs="Arial" w:eastAsia="Arial" w:hAnsi="Arial"/>
          <w:sz w:val="21"/>
          <w:szCs w:val="21"/>
          <w:color w:val="auto"/>
        </w:rPr>
        <w:t>Corporate action constituting a grant by the Company of an</w:t>
      </w:r>
      <w:r>
        <w:rPr>
          <w:rFonts w:ascii="Arial" w:cs="Arial" w:eastAsia="Arial" w:hAnsi="Arial"/>
          <w:sz w:val="21"/>
          <w:szCs w:val="21"/>
          <w:b w:val="1"/>
          <w:bCs w:val="1"/>
          <w:color w:val="auto"/>
        </w:rPr>
        <w:t xml:space="preserve"> </w:t>
      </w:r>
      <w:r>
        <w:rPr>
          <w:rFonts w:ascii="Arial" w:cs="Arial" w:eastAsia="Arial" w:hAnsi="Arial"/>
          <w:sz w:val="21"/>
          <w:szCs w:val="21"/>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98" w:lineRule="exact"/>
        <w:rPr>
          <w:rFonts w:ascii="Arial" w:cs="Arial" w:eastAsia="Arial" w:hAnsi="Arial"/>
          <w:sz w:val="21"/>
          <w:szCs w:val="21"/>
          <w:b w:val="1"/>
          <w:bCs w:val="1"/>
          <w:color w:val="auto"/>
        </w:rPr>
      </w:pPr>
    </w:p>
    <w:p>
      <w:pPr>
        <w:jc w:val="both"/>
        <w:ind w:firstLine="656"/>
        <w:spacing w:after="0" w:line="239" w:lineRule="auto"/>
        <w:tabs>
          <w:tab w:leader="none" w:pos="1452" w:val="left"/>
        </w:tabs>
        <w:numPr>
          <w:ilvl w:val="1"/>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No Participant will be deemed to be the holder of, or to have any of the rights of a holder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207" w:lineRule="exact"/>
        <w:rPr>
          <w:rFonts w:ascii="Arial" w:cs="Arial" w:eastAsia="Arial" w:hAnsi="Arial"/>
          <w:sz w:val="22"/>
          <w:szCs w:val="22"/>
          <w:b w:val="1"/>
          <w:bCs w:val="1"/>
          <w:color w:val="auto"/>
        </w:rPr>
      </w:pPr>
    </w:p>
    <w:p>
      <w:pPr>
        <w:jc w:val="both"/>
        <w:ind w:firstLine="656"/>
        <w:spacing w:after="0" w:line="273" w:lineRule="auto"/>
        <w:tabs>
          <w:tab w:leader="none" w:pos="1455" w:val="left"/>
        </w:tabs>
        <w:numPr>
          <w:ilvl w:val="1"/>
          <w:numId w:val="2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 other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3" w:name="page284"/>
    <w:bookmarkEnd w:id="283"/>
    <w:p>
      <w:pPr>
        <w:jc w:val="both"/>
        <w:ind w:firstLine="656"/>
        <w:spacing w:after="0" w:line="276" w:lineRule="auto"/>
        <w:tabs>
          <w:tab w:leader="none" w:pos="1309"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Change in Time Commitment. </w:t>
      </w:r>
      <w:r>
        <w:rPr>
          <w:rFonts w:ascii="Arial" w:cs="Arial" w:eastAsia="Arial" w:hAnsi="Arial"/>
          <w:sz w:val="19"/>
          <w:szCs w:val="19"/>
          <w:color w:val="auto"/>
        </w:rPr>
        <w:t>In the event a Participant’s regular level of time commitment in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7" w:lineRule="exact"/>
        <w:rPr>
          <w:rFonts w:ascii="Arial" w:cs="Arial" w:eastAsia="Arial" w:hAnsi="Arial"/>
          <w:sz w:val="19"/>
          <w:szCs w:val="19"/>
          <w:b w:val="1"/>
          <w:bCs w:val="1"/>
          <w:color w:val="auto"/>
        </w:rPr>
      </w:pPr>
    </w:p>
    <w:p>
      <w:pPr>
        <w:jc w:val="both"/>
        <w:ind w:firstLine="656"/>
        <w:spacing w:after="0" w:line="239" w:lineRule="auto"/>
        <w:tabs>
          <w:tab w:leader="none" w:pos="1561"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Execution of Additional Documents. </w:t>
      </w:r>
      <w:r>
        <w:rPr>
          <w:rFonts w:ascii="Arial" w:cs="Arial" w:eastAsia="Arial" w:hAnsi="Arial"/>
          <w:sz w:val="22"/>
          <w:szCs w:val="22"/>
          <w:color w:val="auto"/>
        </w:rPr>
        <w:t>As a condition to accepting an Award under the Plan,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07" w:lineRule="exact"/>
        <w:rPr>
          <w:rFonts w:ascii="Arial" w:cs="Arial" w:eastAsia="Arial" w:hAnsi="Arial"/>
          <w:sz w:val="22"/>
          <w:szCs w:val="22"/>
          <w:b w:val="1"/>
          <w:bCs w:val="1"/>
          <w:color w:val="auto"/>
        </w:rPr>
      </w:pPr>
    </w:p>
    <w:p>
      <w:pPr>
        <w:jc w:val="both"/>
        <w:ind w:firstLine="656"/>
        <w:spacing w:after="0" w:line="278" w:lineRule="auto"/>
        <w:tabs>
          <w:tab w:leader="none" w:pos="1573"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Electronic Delivery and Participation. </w:t>
      </w:r>
      <w:r>
        <w:rPr>
          <w:rFonts w:ascii="Arial" w:cs="Arial" w:eastAsia="Arial" w:hAnsi="Arial"/>
          <w:sz w:val="19"/>
          <w:szCs w:val="19"/>
          <w:color w:val="auto"/>
        </w:rPr>
        <w:t>Any reference herein or in an Award Agreement to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2" w:lineRule="exact"/>
        <w:rPr>
          <w:rFonts w:ascii="Arial" w:cs="Arial" w:eastAsia="Arial" w:hAnsi="Arial"/>
          <w:sz w:val="19"/>
          <w:szCs w:val="19"/>
          <w:b w:val="1"/>
          <w:bCs w:val="1"/>
          <w:color w:val="auto"/>
        </w:rPr>
      </w:pPr>
    </w:p>
    <w:p>
      <w:pPr>
        <w:jc w:val="both"/>
        <w:ind w:firstLine="656"/>
        <w:spacing w:after="0" w:line="274" w:lineRule="auto"/>
        <w:tabs>
          <w:tab w:leader="none" w:pos="1459"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Clawback/Recovery. </w:t>
      </w:r>
      <w:r>
        <w:rPr>
          <w:rFonts w:ascii="Arial" w:cs="Arial" w:eastAsia="Arial" w:hAnsi="Arial"/>
          <w:sz w:val="19"/>
          <w:szCs w:val="19"/>
          <w:color w:val="auto"/>
        </w:rPr>
        <w:t>All Awards granted under the Plan will be subject to recoupment in accordance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4" w:name="page285"/>
    <w:bookmarkEnd w:id="284"/>
    <w:p>
      <w:pPr>
        <w:jc w:val="both"/>
        <w:ind w:firstLine="656"/>
        <w:spacing w:after="0" w:line="237" w:lineRule="auto"/>
        <w:tabs>
          <w:tab w:leader="none" w:pos="1417"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Securities Law Compliance. </w:t>
      </w:r>
      <w:r>
        <w:rPr>
          <w:rFonts w:ascii="Arial" w:cs="Arial" w:eastAsia="Arial" w:hAnsi="Arial"/>
          <w:sz w:val="22"/>
          <w:szCs w:val="22"/>
          <w:color w:val="auto"/>
        </w:rPr>
        <w:t>A Participant will not be issued any shares in respect of an Award unless either (i)</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209" w:lineRule="exact"/>
        <w:rPr>
          <w:rFonts w:ascii="Arial" w:cs="Arial" w:eastAsia="Arial" w:hAnsi="Arial"/>
          <w:sz w:val="22"/>
          <w:szCs w:val="22"/>
          <w:b w:val="1"/>
          <w:bCs w:val="1"/>
          <w:color w:val="auto"/>
        </w:rPr>
      </w:pPr>
    </w:p>
    <w:p>
      <w:pPr>
        <w:jc w:val="both"/>
        <w:ind w:firstLine="656"/>
        <w:spacing w:after="0" w:line="283" w:lineRule="auto"/>
        <w:tabs>
          <w:tab w:leader="none" w:pos="1506"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or Assignment of Awards; Issued Shares. </w:t>
      </w:r>
      <w:r>
        <w:rPr>
          <w:rFonts w:ascii="Arial" w:cs="Arial" w:eastAsia="Arial" w:hAnsi="Arial"/>
          <w:sz w:val="19"/>
          <w:szCs w:val="19"/>
          <w:color w:val="auto"/>
        </w:rPr>
        <w:t>Except as expressly provided in the Plan or the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69" w:lineRule="exact"/>
        <w:rPr>
          <w:rFonts w:ascii="Arial" w:cs="Arial" w:eastAsia="Arial" w:hAnsi="Arial"/>
          <w:sz w:val="19"/>
          <w:szCs w:val="19"/>
          <w:b w:val="1"/>
          <w:bCs w:val="1"/>
          <w:color w:val="auto"/>
        </w:rPr>
      </w:pPr>
    </w:p>
    <w:p>
      <w:pPr>
        <w:jc w:val="both"/>
        <w:ind w:firstLine="656"/>
        <w:spacing w:after="0" w:line="237" w:lineRule="auto"/>
        <w:tabs>
          <w:tab w:leader="none" w:pos="1405"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any Award granted under the Plan, as determined upon</w:t>
      </w:r>
      <w:r>
        <w:rPr>
          <w:rFonts w:ascii="Arial" w:cs="Arial" w:eastAsia="Arial" w:hAnsi="Arial"/>
          <w:sz w:val="22"/>
          <w:szCs w:val="22"/>
          <w:b w:val="1"/>
          <w:bCs w:val="1"/>
          <w:color w:val="auto"/>
        </w:rPr>
        <w:t xml:space="preserve"> </w:t>
      </w:r>
      <w:r>
        <w:rPr>
          <w:rFonts w:ascii="Arial" w:cs="Arial" w:eastAsia="Arial" w:hAnsi="Arial"/>
          <w:sz w:val="22"/>
          <w:szCs w:val="22"/>
          <w:color w:val="auto"/>
        </w:rPr>
        <w:t>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8" w:lineRule="exact"/>
        <w:rPr>
          <w:rFonts w:ascii="Arial" w:cs="Arial" w:eastAsia="Arial" w:hAnsi="Arial"/>
          <w:sz w:val="22"/>
          <w:szCs w:val="22"/>
          <w:b w:val="1"/>
          <w:bCs w:val="1"/>
          <w:color w:val="auto"/>
        </w:rPr>
      </w:pPr>
    </w:p>
    <w:p>
      <w:pPr>
        <w:jc w:val="both"/>
        <w:ind w:firstLine="656"/>
        <w:spacing w:after="0" w:line="239" w:lineRule="auto"/>
        <w:tabs>
          <w:tab w:leader="none" w:pos="1417"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 determine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207" w:lineRule="exact"/>
        <w:rPr>
          <w:rFonts w:ascii="Arial" w:cs="Arial" w:eastAsia="Arial" w:hAnsi="Arial"/>
          <w:sz w:val="22"/>
          <w:szCs w:val="22"/>
          <w:b w:val="1"/>
          <w:bCs w:val="1"/>
          <w:color w:val="auto"/>
        </w:rPr>
      </w:pPr>
    </w:p>
    <w:p>
      <w:pPr>
        <w:jc w:val="both"/>
        <w:ind w:firstLine="656"/>
        <w:spacing w:after="0" w:line="272" w:lineRule="auto"/>
        <w:tabs>
          <w:tab w:leader="none" w:pos="1789"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Unless otherwise expressly provided for in an Award Agreement, the Plan and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5" w:name="page286"/>
    <w:bookmarkEnd w:id="285"/>
    <w:p>
      <w:pPr>
        <w:jc w:val="both"/>
        <w:ind w:firstLine="656"/>
        <w:spacing w:after="0" w:line="243" w:lineRule="auto"/>
        <w:tabs>
          <w:tab w:leader="none" w:pos="1467" w:val="left"/>
        </w:tabs>
        <w:numPr>
          <w:ilvl w:val="1"/>
          <w:numId w:val="216"/>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HOICE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and any controversy arising out of or relating to this Plan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laws of the State of Delaware, without regard to conflict of law principles that would result in any application of any law other than the law of the State of Delaware.</w:t>
      </w:r>
    </w:p>
    <w:p>
      <w:pPr>
        <w:spacing w:after="0" w:line="204" w:lineRule="exact"/>
        <w:rPr>
          <w:rFonts w:ascii="Arial" w:cs="Arial" w:eastAsia="Arial" w:hAnsi="Arial"/>
          <w:sz w:val="22"/>
          <w:szCs w:val="22"/>
          <w:b w:val="1"/>
          <w:bCs w:val="1"/>
          <w:color w:val="auto"/>
        </w:rPr>
      </w:pPr>
    </w:p>
    <w:p>
      <w:pPr>
        <w:ind w:left="800" w:hanging="792"/>
        <w:spacing w:after="0"/>
        <w:tabs>
          <w:tab w:leader="none" w:pos="80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45" w:lineRule="auto"/>
        <w:tabs>
          <w:tab w:leader="none" w:pos="1453" w:val="left"/>
        </w:tabs>
        <w:numPr>
          <w:ilvl w:val="1"/>
          <w:numId w:val="2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The Company will seek to obtain from each regulatory commission or agency, as may</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07" w:lineRule="exact"/>
        <w:rPr>
          <w:rFonts w:ascii="Arial" w:cs="Arial" w:eastAsia="Arial" w:hAnsi="Arial"/>
          <w:sz w:val="21"/>
          <w:szCs w:val="21"/>
          <w:b w:val="1"/>
          <w:bCs w:val="1"/>
          <w:color w:val="auto"/>
        </w:rPr>
      </w:pPr>
    </w:p>
    <w:p>
      <w:pPr>
        <w:ind w:left="820" w:hanging="812"/>
        <w:spacing w:after="0"/>
        <w:tabs>
          <w:tab w:leader="none" w:pos="82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DDITIONAL</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409A.</w:t>
      </w:r>
    </w:p>
    <w:p>
      <w:pPr>
        <w:spacing w:after="0" w:line="233" w:lineRule="exact"/>
        <w:rPr>
          <w:rFonts w:ascii="Arial" w:cs="Arial" w:eastAsia="Arial" w:hAnsi="Arial"/>
          <w:sz w:val="22"/>
          <w:szCs w:val="22"/>
          <w:b w:val="1"/>
          <w:bCs w:val="1"/>
          <w:color w:val="auto"/>
        </w:rPr>
      </w:pPr>
    </w:p>
    <w:p>
      <w:pPr>
        <w:jc w:val="both"/>
        <w:ind w:firstLine="656"/>
        <w:spacing w:after="0" w:line="243" w:lineRule="auto"/>
        <w:tabs>
          <w:tab w:leader="none" w:pos="1413" w:val="left"/>
        </w:tabs>
        <w:numPr>
          <w:ilvl w:val="1"/>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Application. </w:t>
      </w:r>
      <w:r>
        <w:rPr>
          <w:rFonts w:ascii="Arial" w:cs="Arial" w:eastAsia="Arial" w:hAnsi="Arial"/>
          <w:sz w:val="22"/>
          <w:szCs w:val="22"/>
          <w:color w:val="auto"/>
        </w:rPr>
        <w:t>Unless the provisions of this Section of the Plan are expressly superseded by the provisions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 of Award Agreement, the provisions of this Section shall apply and shall supersede anything to the contrary set forth in the Award Agreement for a Non-Exempt Award.</w:t>
      </w:r>
    </w:p>
    <w:p>
      <w:pPr>
        <w:spacing w:after="0" w:line="203" w:lineRule="exact"/>
        <w:rPr>
          <w:rFonts w:ascii="Arial" w:cs="Arial" w:eastAsia="Arial" w:hAnsi="Arial"/>
          <w:sz w:val="22"/>
          <w:szCs w:val="22"/>
          <w:b w:val="1"/>
          <w:bCs w:val="1"/>
          <w:color w:val="auto"/>
        </w:rPr>
      </w:pPr>
    </w:p>
    <w:p>
      <w:pPr>
        <w:jc w:val="both"/>
        <w:ind w:firstLine="656"/>
        <w:spacing w:after="0" w:line="243" w:lineRule="auto"/>
        <w:tabs>
          <w:tab w:leader="none" w:pos="1384" w:val="left"/>
        </w:tabs>
        <w:numPr>
          <w:ilvl w:val="1"/>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Non-Exempt Awards Subject to Non-Exempt Severance Arrangements. </w:t>
      </w:r>
      <w:r>
        <w:rPr>
          <w:rFonts w:ascii="Arial" w:cs="Arial" w:eastAsia="Arial" w:hAnsi="Arial"/>
          <w:sz w:val="22"/>
          <w:szCs w:val="22"/>
          <w:color w:val="auto"/>
        </w:rPr>
        <w:t>To the extent a Non-Exempt Award</w:t>
      </w:r>
      <w:r>
        <w:rPr>
          <w:rFonts w:ascii="Arial" w:cs="Arial" w:eastAsia="Arial" w:hAnsi="Arial"/>
          <w:sz w:val="22"/>
          <w:szCs w:val="22"/>
          <w:b w:val="1"/>
          <w:bCs w:val="1"/>
          <w:color w:val="auto"/>
        </w:rPr>
        <w:t xml:space="preserve"> </w:t>
      </w:r>
      <w:r>
        <w:rPr>
          <w:rFonts w:ascii="Arial" w:cs="Arial" w:eastAsia="Arial" w:hAnsi="Arial"/>
          <w:sz w:val="22"/>
          <w:szCs w:val="22"/>
          <w:color w:val="auto"/>
        </w:rPr>
        <w:t>is subject to Section 409A due to application of a Non-Exempt Severance Arrangement, the following provisions of this subsection (b) apply.</w:t>
      </w:r>
    </w:p>
    <w:p>
      <w:pPr>
        <w:spacing w:after="0" w:line="209" w:lineRule="exact"/>
        <w:rPr>
          <w:rFonts w:ascii="Arial" w:cs="Arial" w:eastAsia="Arial" w:hAnsi="Arial"/>
          <w:sz w:val="22"/>
          <w:szCs w:val="22"/>
          <w:b w:val="1"/>
          <w:bCs w:val="1"/>
          <w:color w:val="auto"/>
        </w:rPr>
      </w:pPr>
    </w:p>
    <w:p>
      <w:pPr>
        <w:jc w:val="both"/>
        <w:ind w:firstLine="1304"/>
        <w:spacing w:after="0" w:line="191" w:lineRule="auto"/>
        <w:tabs>
          <w:tab w:leader="none" w:pos="2187" w:val="left"/>
        </w:tabs>
        <w:numPr>
          <w:ilvl w:val="2"/>
          <w:numId w:val="217"/>
        </w:numPr>
        <w:rPr>
          <w:rFonts w:ascii="Arial" w:cs="Arial" w:eastAsia="Arial" w:hAnsi="Arial"/>
          <w:sz w:val="22"/>
          <w:szCs w:val="22"/>
          <w:b w:val="1"/>
          <w:bCs w:val="1"/>
          <w:color w:val="auto"/>
        </w:rPr>
      </w:pPr>
      <w:r>
        <w:rPr>
          <w:rFonts w:ascii="Arial" w:cs="Arial" w:eastAsia="Arial" w:hAnsi="Arial"/>
          <w:sz w:val="22"/>
          <w:szCs w:val="22"/>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35"/>
          <w:szCs w:val="35"/>
          <w:color w:val="auto"/>
          <w:vertAlign w:val="superscript"/>
        </w:rPr>
        <w:t>st</w:t>
      </w:r>
      <w:r>
        <w:rPr>
          <w:rFonts w:ascii="Arial" w:cs="Arial" w:eastAsia="Arial" w:hAnsi="Arial"/>
          <w:sz w:val="22"/>
          <w:szCs w:val="22"/>
          <w:color w:val="auto"/>
        </w:rPr>
        <w:t xml:space="preserve"> of the calendar year that includes the applicable vesting date, or (ii) the 60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that follows the applicable vesting date.</w:t>
      </w:r>
    </w:p>
    <w:p>
      <w:pPr>
        <w:spacing w:after="0" w:line="213" w:lineRule="exact"/>
        <w:rPr>
          <w:rFonts w:ascii="Arial" w:cs="Arial" w:eastAsia="Arial" w:hAnsi="Arial"/>
          <w:sz w:val="22"/>
          <w:szCs w:val="22"/>
          <w:b w:val="1"/>
          <w:bCs w:val="1"/>
          <w:color w:val="auto"/>
        </w:rPr>
      </w:pPr>
    </w:p>
    <w:p>
      <w:pPr>
        <w:jc w:val="both"/>
        <w:ind w:firstLine="1304"/>
        <w:spacing w:after="0" w:line="230" w:lineRule="auto"/>
        <w:tabs>
          <w:tab w:leader="none" w:pos="2439" w:val="left"/>
        </w:tabs>
        <w:numPr>
          <w:ilvl w:val="2"/>
          <w:numId w:val="217"/>
        </w:numPr>
        <w:rPr>
          <w:rFonts w:ascii="Arial" w:cs="Arial" w:eastAsia="Arial" w:hAnsi="Arial"/>
          <w:sz w:val="21"/>
          <w:szCs w:val="21"/>
          <w:b w:val="1"/>
          <w:bCs w:val="1"/>
          <w:color w:val="auto"/>
        </w:rPr>
      </w:pPr>
      <w:r>
        <w:rPr>
          <w:rFonts w:ascii="Arial" w:cs="Arial" w:eastAsia="Arial" w:hAnsi="Arial"/>
          <w:sz w:val="21"/>
          <w:szCs w:val="21"/>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6" w:name="page287"/>
    <w:bookmarkEnd w:id="286"/>
    <w:p>
      <w:pPr>
        <w:jc w:val="both"/>
        <w:ind w:firstLine="1304"/>
        <w:spacing w:after="0" w:line="246" w:lineRule="auto"/>
        <w:tabs>
          <w:tab w:leader="none" w:pos="2047" w:val="left"/>
        </w:tabs>
        <w:numPr>
          <w:ilvl w:val="1"/>
          <w:numId w:val="218"/>
        </w:numPr>
        <w:rPr>
          <w:rFonts w:ascii="Arial" w:cs="Arial" w:eastAsia="Arial" w:hAnsi="Arial"/>
          <w:sz w:val="21"/>
          <w:szCs w:val="21"/>
          <w:b w:val="1"/>
          <w:bCs w:val="1"/>
          <w:color w:val="auto"/>
        </w:rPr>
      </w:pPr>
      <w:r>
        <w:rPr>
          <w:rFonts w:ascii="Arial" w:cs="Arial" w:eastAsia="Arial" w:hAnsi="Arial"/>
          <w:sz w:val="21"/>
          <w:szCs w:val="21"/>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201" w:lineRule="exact"/>
        <w:rPr>
          <w:rFonts w:ascii="Arial" w:cs="Arial" w:eastAsia="Arial" w:hAnsi="Arial"/>
          <w:sz w:val="21"/>
          <w:szCs w:val="21"/>
          <w:b w:val="1"/>
          <w:bCs w:val="1"/>
          <w:color w:val="auto"/>
        </w:rPr>
      </w:pPr>
    </w:p>
    <w:p>
      <w:pPr>
        <w:jc w:val="both"/>
        <w:ind w:firstLine="656"/>
        <w:spacing w:after="0" w:line="254" w:lineRule="auto"/>
        <w:tabs>
          <w:tab w:leader="none" w:pos="1509" w:val="left"/>
        </w:tabs>
        <w:numPr>
          <w:ilvl w:val="0"/>
          <w:numId w:val="2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Treatment of Non-Exempt Awards Upon a Corporate Transaction for Employees and Consultants.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92" w:lineRule="exact"/>
        <w:rPr>
          <w:rFonts w:ascii="Arial" w:cs="Arial" w:eastAsia="Arial" w:hAnsi="Arial"/>
          <w:sz w:val="21"/>
          <w:szCs w:val="21"/>
          <w:b w:val="1"/>
          <w:bCs w:val="1"/>
          <w:color w:val="auto"/>
        </w:rPr>
      </w:pPr>
    </w:p>
    <w:p>
      <w:pPr>
        <w:ind w:firstLine="1304"/>
        <w:spacing w:after="0" w:line="256" w:lineRule="auto"/>
        <w:tabs>
          <w:tab w:leader="none" w:pos="2040" w:val="left"/>
        </w:tabs>
        <w:numPr>
          <w:ilvl w:val="1"/>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Vested Non-Exempt Awards. </w:t>
      </w:r>
      <w:r>
        <w:rPr>
          <w:rFonts w:ascii="Arial" w:cs="Arial" w:eastAsia="Arial" w:hAnsi="Arial"/>
          <w:sz w:val="22"/>
          <w:szCs w:val="22"/>
          <w:color w:val="auto"/>
        </w:rPr>
        <w:t>The following provisions shall apply to any Vested Non-Exempt Award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a Corporate Transaction:</w:t>
      </w:r>
    </w:p>
    <w:p>
      <w:pPr>
        <w:spacing w:after="0" w:line="195" w:lineRule="exact"/>
        <w:rPr>
          <w:rFonts w:ascii="Arial" w:cs="Arial" w:eastAsia="Arial" w:hAnsi="Arial"/>
          <w:sz w:val="22"/>
          <w:szCs w:val="22"/>
          <w:b w:val="1"/>
          <w:bCs w:val="1"/>
          <w:color w:val="auto"/>
        </w:rPr>
      </w:pPr>
    </w:p>
    <w:p>
      <w:pPr>
        <w:jc w:val="both"/>
        <w:ind w:firstLine="1952"/>
        <w:spacing w:after="0" w:line="235" w:lineRule="auto"/>
        <w:tabs>
          <w:tab w:leader="none" w:pos="2795" w:val="left"/>
        </w:tabs>
        <w:numPr>
          <w:ilvl w:val="2"/>
          <w:numId w:val="219"/>
        </w:numPr>
        <w:rPr>
          <w:rFonts w:ascii="Arial" w:cs="Arial" w:eastAsia="Arial" w:hAnsi="Arial"/>
          <w:sz w:val="22"/>
          <w:szCs w:val="22"/>
          <w:b w:val="1"/>
          <w:bCs w:val="1"/>
          <w:color w:val="auto"/>
        </w:rPr>
      </w:pPr>
      <w:r>
        <w:rPr>
          <w:rFonts w:ascii="Arial" w:cs="Arial" w:eastAsia="Arial" w:hAnsi="Arial"/>
          <w:sz w:val="22"/>
          <w:szCs w:val="22"/>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14" w:lineRule="exact"/>
        <w:rPr>
          <w:rFonts w:ascii="Arial" w:cs="Arial" w:eastAsia="Arial" w:hAnsi="Arial"/>
          <w:sz w:val="22"/>
          <w:szCs w:val="22"/>
          <w:b w:val="1"/>
          <w:bCs w:val="1"/>
          <w:color w:val="auto"/>
        </w:rPr>
      </w:pPr>
    </w:p>
    <w:p>
      <w:pPr>
        <w:jc w:val="both"/>
        <w:ind w:firstLine="1952"/>
        <w:spacing w:after="0" w:line="277" w:lineRule="auto"/>
        <w:tabs>
          <w:tab w:leader="none" w:pos="2876" w:val="left"/>
        </w:tabs>
        <w:numPr>
          <w:ilvl w:val="2"/>
          <w:numId w:val="219"/>
        </w:numPr>
        <w:rPr>
          <w:rFonts w:ascii="Arial" w:cs="Arial" w:eastAsia="Arial" w:hAnsi="Arial"/>
          <w:sz w:val="19"/>
          <w:szCs w:val="19"/>
          <w:b w:val="1"/>
          <w:bCs w:val="1"/>
          <w:color w:val="auto"/>
        </w:rPr>
      </w:pPr>
      <w:r>
        <w:rPr>
          <w:rFonts w:ascii="Arial" w:cs="Arial" w:eastAsia="Arial" w:hAnsi="Arial"/>
          <w:sz w:val="19"/>
          <w:szCs w:val="19"/>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3" w:lineRule="exact"/>
        <w:rPr>
          <w:sz w:val="20"/>
          <w:szCs w:val="20"/>
          <w:color w:val="auto"/>
        </w:rPr>
      </w:pPr>
    </w:p>
    <w:p>
      <w:pPr>
        <w:ind w:right="20" w:firstLine="1304"/>
        <w:spacing w:after="0" w:line="256" w:lineRule="auto"/>
        <w:tabs>
          <w:tab w:leader="none" w:pos="2113"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Unvested Non-Exempt Awards. </w:t>
      </w:r>
      <w:r>
        <w:rPr>
          <w:rFonts w:ascii="Arial" w:cs="Arial" w:eastAsia="Arial" w:hAnsi="Arial"/>
          <w:sz w:val="22"/>
          <w:szCs w:val="22"/>
          <w:color w:val="auto"/>
        </w:rPr>
        <w:t>The following provisions shall apply to any Unvested Non-Exempt</w:t>
      </w:r>
      <w:r>
        <w:rPr>
          <w:rFonts w:ascii="Arial" w:cs="Arial" w:eastAsia="Arial" w:hAnsi="Arial"/>
          <w:sz w:val="22"/>
          <w:szCs w:val="22"/>
          <w:b w:val="1"/>
          <w:bCs w:val="1"/>
          <w:color w:val="auto"/>
        </w:rPr>
        <w:t xml:space="preserve"> </w:t>
      </w:r>
      <w:r>
        <w:rPr>
          <w:rFonts w:ascii="Arial" w:cs="Arial" w:eastAsia="Arial" w:hAnsi="Arial"/>
          <w:sz w:val="22"/>
          <w:szCs w:val="22"/>
          <w:color w:val="auto"/>
        </w:rPr>
        <w:t>Award unless otherwise determined by the Board pursuant to subsection (e) of this Section.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7" w:name="page288"/>
    <w:bookmarkEnd w:id="287"/>
    <w:p>
      <w:pPr>
        <w:jc w:val="both"/>
        <w:ind w:firstLine="1952"/>
        <w:spacing w:after="0" w:line="275" w:lineRule="auto"/>
        <w:tabs>
          <w:tab w:leader="none" w:pos="2701" w:val="left"/>
        </w:tabs>
        <w:numPr>
          <w:ilvl w:val="2"/>
          <w:numId w:val="221"/>
        </w:numPr>
        <w:rPr>
          <w:rFonts w:ascii="Arial" w:cs="Arial" w:eastAsia="Arial" w:hAnsi="Arial"/>
          <w:sz w:val="19"/>
          <w:szCs w:val="19"/>
          <w:b w:val="1"/>
          <w:bCs w:val="1"/>
          <w:color w:val="auto"/>
        </w:rPr>
      </w:pPr>
      <w:r>
        <w:rPr>
          <w:rFonts w:ascii="Arial" w:cs="Arial" w:eastAsia="Arial" w:hAnsi="Arial"/>
          <w:sz w:val="19"/>
          <w:szCs w:val="19"/>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4" w:lineRule="exact"/>
        <w:rPr>
          <w:rFonts w:ascii="Arial" w:cs="Arial" w:eastAsia="Arial" w:hAnsi="Arial"/>
          <w:sz w:val="19"/>
          <w:szCs w:val="19"/>
          <w:b w:val="1"/>
          <w:bCs w:val="1"/>
          <w:color w:val="auto"/>
        </w:rPr>
      </w:pPr>
    </w:p>
    <w:p>
      <w:pPr>
        <w:jc w:val="both"/>
        <w:ind w:firstLine="1952"/>
        <w:spacing w:after="0" w:line="245" w:lineRule="auto"/>
        <w:tabs>
          <w:tab w:leader="none" w:pos="2783" w:val="left"/>
        </w:tabs>
        <w:numPr>
          <w:ilvl w:val="2"/>
          <w:numId w:val="221"/>
        </w:numPr>
        <w:rPr>
          <w:rFonts w:ascii="Arial" w:cs="Arial" w:eastAsia="Arial" w:hAnsi="Arial"/>
          <w:sz w:val="21"/>
          <w:szCs w:val="21"/>
          <w:b w:val="1"/>
          <w:bCs w:val="1"/>
          <w:color w:val="auto"/>
        </w:rPr>
      </w:pPr>
      <w:r>
        <w:rPr>
          <w:rFonts w:ascii="Arial" w:cs="Arial" w:eastAsia="Arial" w:hAnsi="Arial"/>
          <w:sz w:val="21"/>
          <w:szCs w:val="21"/>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07" w:lineRule="exact"/>
        <w:rPr>
          <w:rFonts w:ascii="Arial" w:cs="Arial" w:eastAsia="Arial" w:hAnsi="Arial"/>
          <w:sz w:val="21"/>
          <w:szCs w:val="21"/>
          <w:b w:val="1"/>
          <w:bCs w:val="1"/>
          <w:color w:val="auto"/>
        </w:rPr>
      </w:pPr>
    </w:p>
    <w:p>
      <w:pPr>
        <w:ind w:firstLine="1952"/>
        <w:spacing w:after="0" w:line="328" w:lineRule="auto"/>
        <w:tabs>
          <w:tab w:leader="none" w:pos="2820" w:val="left"/>
        </w:tabs>
        <w:numPr>
          <w:ilvl w:val="2"/>
          <w:numId w:val="221"/>
        </w:numPr>
        <w:rPr>
          <w:rFonts w:ascii="Arial" w:cs="Arial" w:eastAsia="Arial" w:hAnsi="Arial"/>
          <w:sz w:val="19"/>
          <w:szCs w:val="19"/>
          <w:b w:val="1"/>
          <w:bCs w:val="1"/>
          <w:color w:val="auto"/>
        </w:rPr>
      </w:pPr>
      <w:r>
        <w:rPr>
          <w:rFonts w:ascii="Arial" w:cs="Arial" w:eastAsia="Arial" w:hAnsi="Arial"/>
          <w:sz w:val="19"/>
          <w:szCs w:val="19"/>
          <w:color w:val="auto"/>
        </w:rPr>
        <w:t>The foregoing treatment shall apply with respect to all Unvested Non-Exempt Awards upon any Corporate Transaction, and regardless of whether or not such Corporate Transaction is also a Section 409A Change in Control.</w:t>
      </w:r>
    </w:p>
    <w:p>
      <w:pPr>
        <w:spacing w:after="0" w:line="125" w:lineRule="exact"/>
        <w:rPr>
          <w:rFonts w:ascii="Arial" w:cs="Arial" w:eastAsia="Arial" w:hAnsi="Arial"/>
          <w:sz w:val="19"/>
          <w:szCs w:val="19"/>
          <w:b w:val="1"/>
          <w:bCs w:val="1"/>
          <w:color w:val="auto"/>
        </w:rPr>
      </w:pPr>
    </w:p>
    <w:p>
      <w:pPr>
        <w:jc w:val="both"/>
        <w:ind w:firstLine="656"/>
        <w:spacing w:after="0" w:line="300" w:lineRule="auto"/>
        <w:tabs>
          <w:tab w:leader="none" w:pos="1641"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Treatment of Non-Exempt Awards Upon a Corporate Transaction for Non-Employee Directors.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provisions of this subsection (d) shall apply and shall supersede anything to the contrary that may be set forth in the Plan with respect to the permitted treatment of a Non-Exempt Director Award in connection with a Corporate Transaction.</w:t>
      </w:r>
    </w:p>
    <w:p>
      <w:pPr>
        <w:spacing w:after="0" w:line="158" w:lineRule="exact"/>
        <w:rPr>
          <w:rFonts w:ascii="Arial" w:cs="Arial" w:eastAsia="Arial" w:hAnsi="Arial"/>
          <w:sz w:val="19"/>
          <w:szCs w:val="19"/>
          <w:b w:val="1"/>
          <w:bCs w:val="1"/>
          <w:color w:val="auto"/>
        </w:rPr>
      </w:pPr>
    </w:p>
    <w:p>
      <w:pPr>
        <w:jc w:val="both"/>
        <w:ind w:firstLine="1304"/>
        <w:spacing w:after="0" w:line="248" w:lineRule="auto"/>
        <w:tabs>
          <w:tab w:leader="none" w:pos="1997" w:val="left"/>
        </w:tabs>
        <w:numPr>
          <w:ilvl w:val="1"/>
          <w:numId w:val="222"/>
        </w:numPr>
        <w:rPr>
          <w:rFonts w:ascii="Arial" w:cs="Arial" w:eastAsia="Arial" w:hAnsi="Arial"/>
          <w:sz w:val="21"/>
          <w:szCs w:val="21"/>
          <w:b w:val="1"/>
          <w:bCs w:val="1"/>
          <w:color w:val="auto"/>
        </w:rPr>
      </w:pPr>
      <w:r>
        <w:rPr>
          <w:rFonts w:ascii="Arial" w:cs="Arial" w:eastAsia="Arial" w:hAnsi="Arial"/>
          <w:sz w:val="21"/>
          <w:szCs w:val="21"/>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8" w:name="page289"/>
    <w:bookmarkEnd w:id="288"/>
    <w:p>
      <w:pPr>
        <w:jc w:val="both"/>
        <w:ind w:firstLine="1304"/>
        <w:spacing w:after="0" w:line="245" w:lineRule="auto"/>
        <w:tabs>
          <w:tab w:leader="none" w:pos="1923" w:val="left"/>
        </w:tabs>
        <w:numPr>
          <w:ilvl w:val="1"/>
          <w:numId w:val="223"/>
        </w:numPr>
        <w:rPr>
          <w:rFonts w:ascii="Arial" w:cs="Arial" w:eastAsia="Arial" w:hAnsi="Arial"/>
          <w:sz w:val="21"/>
          <w:szCs w:val="21"/>
          <w:b w:val="1"/>
          <w:bCs w:val="1"/>
          <w:color w:val="auto"/>
        </w:rPr>
      </w:pPr>
      <w:r>
        <w:rPr>
          <w:rFonts w:ascii="Arial" w:cs="Arial" w:eastAsia="Arial" w:hAnsi="Arial"/>
          <w:sz w:val="21"/>
          <w:szCs w:val="21"/>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211" w:lineRule="exact"/>
        <w:rPr>
          <w:rFonts w:ascii="Arial" w:cs="Arial" w:eastAsia="Arial" w:hAnsi="Arial"/>
          <w:sz w:val="21"/>
          <w:szCs w:val="21"/>
          <w:b w:val="1"/>
          <w:bCs w:val="1"/>
          <w:color w:val="auto"/>
        </w:rPr>
      </w:pPr>
    </w:p>
    <w:p>
      <w:pPr>
        <w:jc w:val="both"/>
        <w:ind w:firstLine="656"/>
        <w:spacing w:after="0"/>
        <w:tabs>
          <w:tab w:leader="none" w:pos="1529" w:val="left"/>
        </w:tabs>
        <w:numPr>
          <w:ilvl w:val="0"/>
          <w:numId w:val="224"/>
        </w:numPr>
        <w:rPr>
          <w:rFonts w:ascii="Arial" w:cs="Arial" w:eastAsia="Arial" w:hAnsi="Arial"/>
          <w:sz w:val="22"/>
          <w:szCs w:val="22"/>
          <w:b w:val="1"/>
          <w:bCs w:val="1"/>
          <w:color w:val="auto"/>
        </w:rPr>
      </w:pPr>
      <w:r>
        <w:rPr>
          <w:rFonts w:ascii="Arial" w:cs="Arial" w:eastAsia="Arial" w:hAnsi="Arial"/>
          <w:sz w:val="22"/>
          <w:szCs w:val="22"/>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213" w:lineRule="exact"/>
        <w:rPr>
          <w:rFonts w:ascii="Arial" w:cs="Arial" w:eastAsia="Arial" w:hAnsi="Arial"/>
          <w:sz w:val="22"/>
          <w:szCs w:val="22"/>
          <w:b w:val="1"/>
          <w:bCs w:val="1"/>
          <w:color w:val="auto"/>
        </w:rPr>
      </w:pPr>
    </w:p>
    <w:p>
      <w:pPr>
        <w:jc w:val="both"/>
        <w:ind w:firstLine="1304"/>
        <w:spacing w:after="0" w:line="297" w:lineRule="auto"/>
        <w:tabs>
          <w:tab w:leader="none" w:pos="2073" w:val="left"/>
        </w:tabs>
        <w:numPr>
          <w:ilvl w:val="1"/>
          <w:numId w:val="224"/>
        </w:numPr>
        <w:rPr>
          <w:rFonts w:ascii="Arial" w:cs="Arial" w:eastAsia="Arial" w:hAnsi="Arial"/>
          <w:sz w:val="19"/>
          <w:szCs w:val="19"/>
          <w:b w:val="1"/>
          <w:bCs w:val="1"/>
          <w:color w:val="auto"/>
        </w:rPr>
      </w:pPr>
      <w:r>
        <w:rPr>
          <w:rFonts w:ascii="Arial" w:cs="Arial" w:eastAsia="Arial" w:hAnsi="Arial"/>
          <w:sz w:val="19"/>
          <w:szCs w:val="19"/>
          <w:color w:val="auto"/>
        </w:rPr>
        <w:t>Any exercise by the Board of discretion to accelerate the vesting of a Non-Exempt Award shall not result in any acceleration of the scheduled issuance dates for the shares in respect of the Non-Exempt Award unless the earlier issuance of the shares upon the applicable vesting dates would be in compliance with the requirements of Section 409A.</w:t>
      </w:r>
    </w:p>
    <w:p>
      <w:pPr>
        <w:spacing w:after="0" w:line="161" w:lineRule="exact"/>
        <w:rPr>
          <w:sz w:val="20"/>
          <w:szCs w:val="20"/>
          <w:color w:val="auto"/>
        </w:rPr>
      </w:pPr>
    </w:p>
    <w:p>
      <w:pPr>
        <w:jc w:val="both"/>
        <w:ind w:firstLine="1304"/>
        <w:spacing w:after="0"/>
        <w:tabs>
          <w:tab w:leader="none" w:pos="2061" w:val="left"/>
        </w:tabs>
        <w:numPr>
          <w:ilvl w:val="0"/>
          <w:numId w:val="225"/>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213" w:lineRule="exact"/>
        <w:rPr>
          <w:rFonts w:ascii="Arial" w:cs="Arial" w:eastAsia="Arial" w:hAnsi="Arial"/>
          <w:sz w:val="22"/>
          <w:szCs w:val="22"/>
          <w:b w:val="1"/>
          <w:bCs w:val="1"/>
          <w:color w:val="auto"/>
        </w:rPr>
      </w:pPr>
    </w:p>
    <w:p>
      <w:pPr>
        <w:jc w:val="both"/>
        <w:ind w:firstLine="1304"/>
        <w:spacing w:after="0" w:line="273" w:lineRule="auto"/>
        <w:tabs>
          <w:tab w:leader="none" w:pos="2009" w:val="left"/>
        </w:tabs>
        <w:numPr>
          <w:ilvl w:val="0"/>
          <w:numId w:val="225"/>
        </w:numPr>
        <w:rPr>
          <w:rFonts w:ascii="Arial" w:cs="Arial" w:eastAsia="Arial" w:hAnsi="Arial"/>
          <w:sz w:val="19"/>
          <w:szCs w:val="19"/>
          <w:b w:val="1"/>
          <w:bCs w:val="1"/>
          <w:color w:val="auto"/>
        </w:rPr>
      </w:pPr>
      <w:r>
        <w:rPr>
          <w:rFonts w:ascii="Arial" w:cs="Arial" w:eastAsia="Arial" w:hAnsi="Arial"/>
          <w:sz w:val="19"/>
          <w:szCs w:val="19"/>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7" w:lineRule="exact"/>
        <w:rPr>
          <w:rFonts w:ascii="Arial" w:cs="Arial" w:eastAsia="Arial" w:hAnsi="Arial"/>
          <w:sz w:val="19"/>
          <w:szCs w:val="19"/>
          <w:b w:val="1"/>
          <w:bCs w:val="1"/>
          <w:color w:val="auto"/>
        </w:rPr>
      </w:pPr>
    </w:p>
    <w:p>
      <w:pPr>
        <w:jc w:val="both"/>
        <w:ind w:firstLine="1304"/>
        <w:spacing w:after="0" w:line="238" w:lineRule="auto"/>
        <w:tabs>
          <w:tab w:leader="none" w:pos="2137" w:val="left"/>
        </w:tabs>
        <w:numPr>
          <w:ilvl w:val="0"/>
          <w:numId w:val="225"/>
        </w:numPr>
        <w:rPr>
          <w:rFonts w:ascii="Arial" w:cs="Arial" w:eastAsia="Arial" w:hAnsi="Arial"/>
          <w:sz w:val="22"/>
          <w:szCs w:val="22"/>
          <w:b w:val="1"/>
          <w:bCs w:val="1"/>
          <w:color w:val="auto"/>
        </w:rPr>
      </w:pPr>
      <w:r>
        <w:rPr>
          <w:rFonts w:ascii="Arial" w:cs="Arial" w:eastAsia="Arial" w:hAnsi="Arial"/>
          <w:sz w:val="22"/>
          <w:szCs w:val="22"/>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9" w:name="page290"/>
    <w:bookmarkEnd w:id="289"/>
    <w:p>
      <w:pPr>
        <w:ind w:left="820" w:hanging="812"/>
        <w:spacing w:after="0"/>
        <w:tabs>
          <w:tab w:leader="none" w:pos="82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b w:val="1"/>
          <w:bCs w:val="1"/>
          <w:color w:val="auto"/>
        </w:rPr>
        <w:t>.</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8" w:lineRule="exact"/>
        <w:rPr>
          <w:sz w:val="20"/>
          <w:szCs w:val="20"/>
          <w:color w:val="auto"/>
        </w:rPr>
      </w:pPr>
    </w:p>
    <w:p>
      <w:pPr>
        <w:ind w:left="820" w:hanging="812"/>
        <w:spacing w:after="0"/>
        <w:tabs>
          <w:tab w:leader="none" w:pos="82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0" w:name="page291"/>
    <w:bookmarkEnd w:id="290"/>
    <w:p>
      <w:pPr>
        <w:ind w:left="820" w:hanging="812"/>
        <w:spacing w:after="0"/>
        <w:tabs>
          <w:tab w:leader="none" w:pos="82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definitions apply to the capitalized terms indicated below:</w:t>
      </w:r>
    </w:p>
    <w:p>
      <w:pPr>
        <w:spacing w:after="0" w:line="233" w:lineRule="exact"/>
        <w:rPr>
          <w:sz w:val="20"/>
          <w:szCs w:val="20"/>
          <w:color w:val="auto"/>
        </w:rPr>
      </w:pPr>
    </w:p>
    <w:p>
      <w:pPr>
        <w:ind w:firstLine="656"/>
        <w:spacing w:after="0" w:line="250" w:lineRule="auto"/>
        <w:tabs>
          <w:tab w:leader="none" w:pos="1548" w:val="left"/>
        </w:tabs>
        <w:numPr>
          <w:ilvl w:val="0"/>
          <w:numId w:val="2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Acquiring Entity</w:t>
      </w:r>
      <w:r>
        <w:rPr>
          <w:rFonts w:ascii="Arial" w:cs="Arial" w:eastAsia="Arial" w:hAnsi="Arial"/>
          <w:sz w:val="22"/>
          <w:szCs w:val="22"/>
          <w:color w:val="auto"/>
        </w:rPr>
        <w:t>” means the surviving or acquiring corporation (or its parent company) in connection with a Corporate Transaction.</w:t>
      </w:r>
    </w:p>
    <w:p>
      <w:pPr>
        <w:spacing w:after="0" w:line="201" w:lineRule="exact"/>
        <w:rPr>
          <w:rFonts w:ascii="Arial" w:cs="Arial" w:eastAsia="Arial" w:hAnsi="Arial"/>
          <w:sz w:val="22"/>
          <w:szCs w:val="22"/>
          <w:b w:val="1"/>
          <w:bCs w:val="1"/>
          <w:color w:val="auto"/>
        </w:rPr>
      </w:pPr>
    </w:p>
    <w:p>
      <w:pPr>
        <w:ind w:left="1460" w:hanging="804"/>
        <w:spacing w:after="0"/>
        <w:tabs>
          <w:tab w:leader="none" w:pos="1460" w:val="left"/>
        </w:tabs>
        <w:numPr>
          <w:ilvl w:val="0"/>
          <w:numId w:val="22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Adoption Date</w:t>
      </w:r>
      <w:r>
        <w:rPr>
          <w:rFonts w:ascii="Arial" w:cs="Arial" w:eastAsia="Arial" w:hAnsi="Arial"/>
          <w:sz w:val="21"/>
          <w:szCs w:val="21"/>
          <w:color w:val="auto"/>
        </w:rPr>
        <w:t>” means the date the Plan is first approved by the Board or Compensation Committee.</w:t>
      </w:r>
    </w:p>
    <w:p>
      <w:pPr>
        <w:spacing w:after="0" w:line="244" w:lineRule="exact"/>
        <w:rPr>
          <w:rFonts w:ascii="Arial" w:cs="Arial" w:eastAsia="Arial" w:hAnsi="Arial"/>
          <w:sz w:val="21"/>
          <w:szCs w:val="21"/>
          <w:b w:val="1"/>
          <w:bCs w:val="1"/>
          <w:color w:val="auto"/>
        </w:rPr>
      </w:pPr>
    </w:p>
    <w:p>
      <w:pPr>
        <w:jc w:val="both"/>
        <w:ind w:firstLine="656"/>
        <w:spacing w:after="0"/>
        <w:tabs>
          <w:tab w:leader="none" w:pos="1495" w:val="left"/>
        </w:tabs>
        <w:numPr>
          <w:ilvl w:val="0"/>
          <w:numId w:val="2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13" w:lineRule="exact"/>
        <w:rPr>
          <w:rFonts w:ascii="Arial" w:cs="Arial" w:eastAsia="Arial" w:hAnsi="Arial"/>
          <w:sz w:val="22"/>
          <w:szCs w:val="22"/>
          <w:b w:val="1"/>
          <w:bCs w:val="1"/>
          <w:color w:val="auto"/>
        </w:rPr>
      </w:pPr>
    </w:p>
    <w:p>
      <w:pPr>
        <w:jc w:val="both"/>
        <w:ind w:firstLine="656"/>
        <w:spacing w:after="0" w:line="282" w:lineRule="auto"/>
        <w:tabs>
          <w:tab w:leader="none" w:pos="1398" w:val="left"/>
        </w:tabs>
        <w:numPr>
          <w:ilvl w:val="0"/>
          <w:numId w:val="22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4" w:lineRule="exact"/>
        <w:rPr>
          <w:rFonts w:ascii="Arial" w:cs="Arial" w:eastAsia="Arial" w:hAnsi="Arial"/>
          <w:sz w:val="19"/>
          <w:szCs w:val="19"/>
          <w:b w:val="1"/>
          <w:bCs w:val="1"/>
          <w:color w:val="auto"/>
        </w:rPr>
      </w:pPr>
    </w:p>
    <w:p>
      <w:pPr>
        <w:jc w:val="both"/>
        <w:ind w:firstLine="656"/>
        <w:spacing w:after="0"/>
        <w:tabs>
          <w:tab w:leader="none" w:pos="1455" w:val="left"/>
        </w:tabs>
        <w:numPr>
          <w:ilvl w:val="0"/>
          <w:numId w:val="2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right to receive Common Stock, cash or other property granted under the Plan (including an Incentive Stock Option, a Nonstatutory Stock Option, a Restricted Stock Award, an RSU Award, a SAR, OpCo Units, a Performance Award or any Other Award).</w:t>
      </w:r>
    </w:p>
    <w:p>
      <w:pPr>
        <w:spacing w:after="0" w:line="213" w:lineRule="exact"/>
        <w:rPr>
          <w:rFonts w:ascii="Arial" w:cs="Arial" w:eastAsia="Arial" w:hAnsi="Arial"/>
          <w:sz w:val="22"/>
          <w:szCs w:val="22"/>
          <w:b w:val="1"/>
          <w:bCs w:val="1"/>
          <w:color w:val="auto"/>
        </w:rPr>
      </w:pPr>
    </w:p>
    <w:p>
      <w:pPr>
        <w:jc w:val="both"/>
        <w:ind w:firstLine="656"/>
        <w:spacing w:after="0" w:line="238" w:lineRule="auto"/>
        <w:tabs>
          <w:tab w:leader="none" w:pos="1350" w:val="left"/>
        </w:tabs>
        <w:numPr>
          <w:ilvl w:val="0"/>
          <w:numId w:val="2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211" w:lineRule="exact"/>
        <w:rPr>
          <w:rFonts w:ascii="Arial" w:cs="Arial" w:eastAsia="Arial" w:hAnsi="Arial"/>
          <w:sz w:val="22"/>
          <w:szCs w:val="22"/>
          <w:b w:val="1"/>
          <w:bCs w:val="1"/>
          <w:color w:val="auto"/>
        </w:rPr>
      </w:pPr>
    </w:p>
    <w:p>
      <w:pPr>
        <w:jc w:val="both"/>
        <w:ind w:firstLine="656"/>
        <w:spacing w:after="0"/>
        <w:tabs>
          <w:tab w:leader="none" w:pos="1521" w:val="left"/>
        </w:tabs>
        <w:numPr>
          <w:ilvl w:val="0"/>
          <w:numId w:val="2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213" w:lineRule="exact"/>
        <w:rPr>
          <w:rFonts w:ascii="Arial" w:cs="Arial" w:eastAsia="Arial" w:hAnsi="Arial"/>
          <w:sz w:val="22"/>
          <w:szCs w:val="22"/>
          <w:b w:val="1"/>
          <w:bCs w:val="1"/>
          <w:color w:val="auto"/>
        </w:rPr>
      </w:pPr>
    </w:p>
    <w:p>
      <w:pPr>
        <w:jc w:val="both"/>
        <w:ind w:firstLine="656"/>
        <w:spacing w:after="0" w:line="234" w:lineRule="auto"/>
        <w:tabs>
          <w:tab w:leader="none" w:pos="1465" w:val="left"/>
        </w:tabs>
        <w:numPr>
          <w:ilvl w:val="0"/>
          <w:numId w:val="229"/>
        </w:numPr>
        <w:rPr>
          <w:rFonts w:ascii="Arial" w:cs="Arial" w:eastAsia="Arial" w:hAnsi="Arial"/>
          <w:sz w:val="22"/>
          <w:szCs w:val="22"/>
          <w:b w:val="1"/>
          <w:bCs w:val="1"/>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Capitalization Adjustment</w:t>
      </w:r>
      <w:r>
        <w:rPr>
          <w:rFonts w:ascii="Arial" w:cs="Arial" w:eastAsia="Arial" w:hAnsi="Arial"/>
          <w:sz w:val="22"/>
          <w:szCs w:val="22"/>
          <w:color w:val="auto"/>
        </w:rPr>
        <w:t>” means any change that is made in, or other events that occur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1" w:name="page292"/>
    <w:bookmarkEnd w:id="291"/>
    <w:p>
      <w:pPr>
        <w:jc w:val="both"/>
        <w:ind w:firstLine="656"/>
        <w:spacing w:after="0" w:line="272" w:lineRule="auto"/>
        <w:tabs>
          <w:tab w:leader="none" w:pos="1635" w:val="left"/>
        </w:tabs>
        <w:numPr>
          <w:ilvl w:val="1"/>
          <w:numId w:val="23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(or attempted commission of), or participation in, a fraud or act of dishonesty against the Company; (ii) such Participant’s material violation of any contract or agreement between the Participant and the Company or of any statutory duty owed to the Company; (iii) such Participant’s unauthorized use or disclosure of the Company’s confidential information or trade secrets; (iv) such Participant’s gross or willful misconduct; or (v) such Participant’s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crime of moral turpitude.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rFonts w:ascii="Arial" w:cs="Arial" w:eastAsia="Arial" w:hAnsi="Arial"/>
          <w:sz w:val="19"/>
          <w:szCs w:val="19"/>
          <w:b w:val="1"/>
          <w:bCs w:val="1"/>
          <w:color w:val="auto"/>
        </w:rPr>
      </w:pPr>
    </w:p>
    <w:p>
      <w:pPr>
        <w:jc w:val="both"/>
        <w:ind w:firstLine="656"/>
        <w:spacing w:after="0" w:line="238" w:lineRule="auto"/>
        <w:tabs>
          <w:tab w:leader="none" w:pos="1579" w:val="left"/>
        </w:tabs>
        <w:numPr>
          <w:ilvl w:val="1"/>
          <w:numId w:val="23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211" w:lineRule="exact"/>
        <w:rPr>
          <w:rFonts w:ascii="Arial" w:cs="Arial" w:eastAsia="Arial" w:hAnsi="Arial"/>
          <w:sz w:val="22"/>
          <w:szCs w:val="22"/>
          <w:b w:val="1"/>
          <w:bCs w:val="1"/>
          <w:color w:val="auto"/>
        </w:rPr>
      </w:pPr>
    </w:p>
    <w:p>
      <w:pPr>
        <w:jc w:val="both"/>
        <w:ind w:firstLine="1304"/>
        <w:spacing w:after="0" w:line="273" w:lineRule="auto"/>
        <w:tabs>
          <w:tab w:leader="none" w:pos="2344" w:val="left"/>
        </w:tabs>
        <w:numPr>
          <w:ilvl w:val="2"/>
          <w:numId w:val="230"/>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w:t>
      </w:r>
    </w:p>
    <w:p>
      <w:pPr>
        <w:spacing w:after="0" w:line="1" w:lineRule="exact"/>
        <w:rPr>
          <w:rFonts w:ascii="Arial" w:cs="Arial" w:eastAsia="Arial" w:hAnsi="Arial"/>
          <w:sz w:val="19"/>
          <w:szCs w:val="19"/>
          <w:b w:val="1"/>
          <w:bCs w:val="1"/>
          <w:color w:val="auto"/>
        </w:rPr>
      </w:pPr>
    </w:p>
    <w:p>
      <w:pPr>
        <w:jc w:val="both"/>
        <w:ind w:firstLine="8"/>
        <w:spacing w:after="0" w:line="271" w:lineRule="auto"/>
        <w:tabs>
          <w:tab w:leader="none" w:pos="365" w:val="left"/>
        </w:tabs>
        <w:numPr>
          <w:ilvl w:val="0"/>
          <w:numId w:val="231"/>
        </w:numPr>
        <w:rPr>
          <w:rFonts w:ascii="Arial" w:cs="Arial" w:eastAsia="Arial" w:hAnsi="Arial"/>
          <w:sz w:val="19"/>
          <w:szCs w:val="19"/>
          <w:color w:val="auto"/>
        </w:rPr>
      </w:pPr>
      <w:r>
        <w:rPr>
          <w:rFonts w:ascii="Arial" w:cs="Arial" w:eastAsia="Arial" w:hAnsi="Arial"/>
          <w:sz w:val="19"/>
          <w:szCs w:val="19"/>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9"/>
          <w:szCs w:val="19"/>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2" w:name="page293"/>
    <w:bookmarkEnd w:id="292"/>
    <w:p>
      <w:pPr>
        <w:jc w:val="both"/>
        <w:ind w:firstLine="1304"/>
        <w:spacing w:after="0" w:line="247" w:lineRule="auto"/>
        <w:tabs>
          <w:tab w:leader="none" w:pos="2112" w:val="left"/>
        </w:tabs>
        <w:numPr>
          <w:ilvl w:val="0"/>
          <w:numId w:val="232"/>
        </w:numPr>
        <w:rPr>
          <w:rFonts w:ascii="Arial" w:cs="Arial" w:eastAsia="Arial" w:hAnsi="Arial"/>
          <w:sz w:val="21"/>
          <w:szCs w:val="21"/>
          <w:b w:val="1"/>
          <w:bCs w:val="1"/>
          <w:color w:val="auto"/>
        </w:rPr>
      </w:pPr>
      <w:r>
        <w:rPr>
          <w:rFonts w:ascii="Arial" w:cs="Arial" w:eastAsia="Arial" w:hAnsi="Arial"/>
          <w:sz w:val="21"/>
          <w:szCs w:val="21"/>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4" w:lineRule="exact"/>
        <w:rPr>
          <w:rFonts w:ascii="Arial" w:cs="Arial" w:eastAsia="Arial" w:hAnsi="Arial"/>
          <w:sz w:val="21"/>
          <w:szCs w:val="21"/>
          <w:b w:val="1"/>
          <w:bCs w:val="1"/>
          <w:color w:val="auto"/>
        </w:rPr>
      </w:pPr>
    </w:p>
    <w:p>
      <w:pPr>
        <w:jc w:val="both"/>
        <w:ind w:firstLine="1304"/>
        <w:spacing w:after="0" w:line="235" w:lineRule="auto"/>
        <w:tabs>
          <w:tab w:leader="none" w:pos="2021"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14" w:lineRule="exact"/>
        <w:rPr>
          <w:rFonts w:ascii="Arial" w:cs="Arial" w:eastAsia="Arial" w:hAnsi="Arial"/>
          <w:sz w:val="22"/>
          <w:szCs w:val="22"/>
          <w:b w:val="1"/>
          <w:bCs w:val="1"/>
          <w:color w:val="auto"/>
        </w:rPr>
      </w:pPr>
    </w:p>
    <w:p>
      <w:pPr>
        <w:jc w:val="both"/>
        <w:ind w:firstLine="1304"/>
        <w:spacing w:after="0" w:line="236" w:lineRule="auto"/>
        <w:tabs>
          <w:tab w:leader="none" w:pos="2044"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 for any reason to constitute at least a majority of the members of the Board; provided, however, that if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that is specifically intended to apply to an Award granted under the Plan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7" w:lineRule="exact"/>
        <w:rPr>
          <w:sz w:val="20"/>
          <w:szCs w:val="20"/>
          <w:color w:val="auto"/>
        </w:rPr>
      </w:pPr>
    </w:p>
    <w:p>
      <w:pPr>
        <w:ind w:firstLine="656"/>
        <w:spacing w:after="0" w:line="250" w:lineRule="auto"/>
        <w:tabs>
          <w:tab w:leader="none" w:pos="1735"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including any applicable regulations and guidance thereunder.</w:t>
      </w:r>
    </w:p>
    <w:p>
      <w:pPr>
        <w:spacing w:after="0" w:line="201" w:lineRule="exact"/>
        <w:rPr>
          <w:rFonts w:ascii="Arial" w:cs="Arial" w:eastAsia="Arial" w:hAnsi="Arial"/>
          <w:sz w:val="22"/>
          <w:szCs w:val="22"/>
          <w:b w:val="1"/>
          <w:bCs w:val="1"/>
          <w:color w:val="auto"/>
        </w:rPr>
      </w:pPr>
    </w:p>
    <w:p>
      <w:pPr>
        <w:ind w:firstLine="656"/>
        <w:spacing w:after="0" w:line="250" w:lineRule="auto"/>
        <w:tabs>
          <w:tab w:leader="none" w:pos="1378"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and any other committee of Directors to whom authority has been delegated by the Board or Compensation Committee in accordance with the Plan.</w:t>
      </w:r>
    </w:p>
    <w:p>
      <w:pPr>
        <w:spacing w:after="0" w:line="201"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Class A common stock of the Company.</w:t>
      </w:r>
    </w:p>
    <w:p>
      <w:pPr>
        <w:spacing w:after="0" w:line="233" w:lineRule="exact"/>
        <w:rPr>
          <w:rFonts w:ascii="Arial" w:cs="Arial" w:eastAsia="Arial" w:hAnsi="Arial"/>
          <w:sz w:val="22"/>
          <w:szCs w:val="22"/>
          <w:b w:val="1"/>
          <w:bCs w:val="1"/>
          <w:color w:val="auto"/>
        </w:rPr>
      </w:pPr>
    </w:p>
    <w:p>
      <w:pPr>
        <w:ind w:left="1460" w:hanging="804"/>
        <w:spacing w:after="0"/>
        <w:tabs>
          <w:tab w:leader="none" w:pos="1460"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WM Technology, Inc., a Delaware corporation.</w:t>
      </w:r>
    </w:p>
    <w:p>
      <w:pPr>
        <w:spacing w:after="0" w:line="233"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33" w:lineRule="exact"/>
        <w:rPr>
          <w:rFonts w:ascii="Arial" w:cs="Arial" w:eastAsia="Arial" w:hAnsi="Arial"/>
          <w:sz w:val="22"/>
          <w:szCs w:val="22"/>
          <w:b w:val="1"/>
          <w:bCs w:val="1"/>
          <w:color w:val="auto"/>
        </w:rPr>
      </w:pPr>
    </w:p>
    <w:p>
      <w:pPr>
        <w:jc w:val="both"/>
        <w:ind w:firstLine="656"/>
        <w:spacing w:after="0" w:line="279" w:lineRule="auto"/>
        <w:tabs>
          <w:tab w:leader="none" w:pos="1614" w:val="left"/>
        </w:tabs>
        <w:numPr>
          <w:ilvl w:val="0"/>
          <w:numId w:val="23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3" w:name="page294"/>
    <w:bookmarkEnd w:id="293"/>
    <w:p>
      <w:pPr>
        <w:jc w:val="both"/>
        <w:ind w:firstLine="656"/>
        <w:spacing w:after="0" w:line="270" w:lineRule="auto"/>
        <w:tabs>
          <w:tab w:leader="none" w:pos="1560" w:val="left"/>
        </w:tabs>
        <w:numPr>
          <w:ilvl w:val="0"/>
          <w:numId w:val="23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(unless otherwise determined by the Board in its sole discretion);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(unless otherwise determined by the Board in its sole discretion).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rFonts w:ascii="Arial" w:cs="Arial" w:eastAsia="Arial" w:hAnsi="Arial"/>
          <w:sz w:val="19"/>
          <w:szCs w:val="19"/>
          <w:b w:val="1"/>
          <w:bCs w:val="1"/>
          <w:color w:val="auto"/>
        </w:rPr>
      </w:pPr>
    </w:p>
    <w:p>
      <w:pPr>
        <w:spacing w:after="0" w:line="236" w:lineRule="exact"/>
        <w:rPr>
          <w:rFonts w:ascii="Arial" w:cs="Arial" w:eastAsia="Arial" w:hAnsi="Arial"/>
          <w:sz w:val="19"/>
          <w:szCs w:val="19"/>
          <w:b w:val="1"/>
          <w:bCs w:val="1"/>
          <w:color w:val="auto"/>
        </w:rPr>
      </w:pPr>
    </w:p>
    <w:p>
      <w:pPr>
        <w:ind w:right="20" w:firstLine="656"/>
        <w:spacing w:after="0" w:line="250" w:lineRule="auto"/>
        <w:tabs>
          <w:tab w:leader="none" w:pos="1495" w:val="left"/>
        </w:tabs>
        <w:numPr>
          <w:ilvl w:val="0"/>
          <w:numId w:val="23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201" w:lineRule="exact"/>
        <w:rPr>
          <w:rFonts w:ascii="Arial" w:cs="Arial" w:eastAsia="Arial" w:hAnsi="Arial"/>
          <w:sz w:val="22"/>
          <w:szCs w:val="22"/>
          <w:b w:val="1"/>
          <w:bCs w:val="1"/>
          <w:color w:val="auto"/>
        </w:rPr>
      </w:pPr>
    </w:p>
    <w:p>
      <w:pPr>
        <w:ind w:right="20" w:firstLine="1304"/>
        <w:spacing w:after="0" w:line="250" w:lineRule="auto"/>
        <w:tabs>
          <w:tab w:leader="none" w:pos="2040"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of the consolidated assets of the Company and its Subsidiaries;</w:t>
      </w:r>
    </w:p>
    <w:p>
      <w:pPr>
        <w:spacing w:after="0" w:line="201" w:lineRule="exact"/>
        <w:rPr>
          <w:rFonts w:ascii="Arial" w:cs="Arial" w:eastAsia="Arial" w:hAnsi="Arial"/>
          <w:sz w:val="22"/>
          <w:szCs w:val="22"/>
          <w:b w:val="1"/>
          <w:bCs w:val="1"/>
          <w:color w:val="auto"/>
        </w:rPr>
      </w:pPr>
    </w:p>
    <w:p>
      <w:pPr>
        <w:ind w:left="2060" w:hanging="756"/>
        <w:spacing w:after="0"/>
        <w:tabs>
          <w:tab w:leader="none" w:pos="2060"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at least 50% of the outstanding securities of the Company;</w:t>
      </w:r>
    </w:p>
    <w:p>
      <w:pPr>
        <w:spacing w:after="0" w:line="233" w:lineRule="exact"/>
        <w:rPr>
          <w:rFonts w:ascii="Arial" w:cs="Arial" w:eastAsia="Arial" w:hAnsi="Arial"/>
          <w:sz w:val="22"/>
          <w:szCs w:val="22"/>
          <w:b w:val="1"/>
          <w:bCs w:val="1"/>
          <w:color w:val="auto"/>
        </w:rPr>
      </w:pPr>
    </w:p>
    <w:p>
      <w:pPr>
        <w:ind w:left="2380" w:hanging="1076"/>
        <w:spacing w:after="0"/>
        <w:tabs>
          <w:tab w:leader="none" w:pos="2380" w:val="left"/>
        </w:tabs>
        <w:numPr>
          <w:ilvl w:val="1"/>
          <w:numId w:val="234"/>
        </w:numPr>
        <w:rPr>
          <w:rFonts w:ascii="Arial" w:cs="Arial" w:eastAsia="Arial" w:hAnsi="Arial"/>
          <w:sz w:val="21"/>
          <w:szCs w:val="21"/>
          <w:b w:val="1"/>
          <w:bCs w:val="1"/>
          <w:color w:val="auto"/>
        </w:rPr>
      </w:pPr>
      <w:r>
        <w:rPr>
          <w:rFonts w:ascii="Arial" w:cs="Arial" w:eastAsia="Arial" w:hAnsi="Arial"/>
          <w:sz w:val="21"/>
          <w:szCs w:val="21"/>
          <w:color w:val="auto"/>
        </w:rPr>
        <w:t>a merger, consolidation or similar transaction following which the Company is not the surviving</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corporation; or</w:t>
      </w:r>
    </w:p>
    <w:p>
      <w:pPr>
        <w:spacing w:after="0" w:line="215" w:lineRule="exact"/>
        <w:rPr>
          <w:rFonts w:ascii="Arial" w:cs="Arial" w:eastAsia="Arial" w:hAnsi="Arial"/>
          <w:sz w:val="21"/>
          <w:szCs w:val="21"/>
          <w:b w:val="1"/>
          <w:bCs w:val="1"/>
          <w:color w:val="auto"/>
        </w:rPr>
      </w:pPr>
    </w:p>
    <w:p>
      <w:pPr>
        <w:jc w:val="both"/>
        <w:ind w:firstLine="1304"/>
        <w:spacing w:after="0" w:line="238" w:lineRule="auto"/>
        <w:tabs>
          <w:tab w:leader="none" w:pos="2013"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4" w:name="page295"/>
    <w:bookmarkEnd w:id="294"/>
    <w:p>
      <w:pPr>
        <w:ind w:left="1420" w:hanging="764"/>
        <w:spacing w:after="0"/>
        <w:tabs>
          <w:tab w:leader="none" w:pos="1420"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b w:val="1"/>
          <w:bCs w:val="1"/>
          <w:color w:val="auto"/>
        </w:rPr>
      </w:pPr>
    </w:p>
    <w:p>
      <w:pPr>
        <w:ind w:left="1540" w:hanging="884"/>
        <w:spacing w:after="0"/>
        <w:tabs>
          <w:tab w:leader="none" w:pos="1540" w:val="left"/>
        </w:tabs>
        <w:numPr>
          <w:ilvl w:val="0"/>
          <w:numId w:val="2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determine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determined</w:t>
      </w:r>
      <w:r>
        <w:rPr>
          <w:rFonts w:ascii="Arial" w:cs="Arial" w:eastAsia="Arial" w:hAnsi="Arial"/>
          <w:sz w:val="19"/>
          <w:szCs w:val="19"/>
          <w:color w:val="auto"/>
        </w:rPr>
        <w:t>” means as determined by the Board or the Committee (or its designee) in its sole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discretion.</w:t>
      </w:r>
    </w:p>
    <w:p>
      <w:pPr>
        <w:spacing w:after="0" w:line="215" w:lineRule="exact"/>
        <w:rPr>
          <w:rFonts w:ascii="Arial" w:cs="Arial" w:eastAsia="Arial" w:hAnsi="Arial"/>
          <w:sz w:val="19"/>
          <w:szCs w:val="19"/>
          <w:b w:val="1"/>
          <w:bCs w:val="1"/>
          <w:color w:val="auto"/>
        </w:rPr>
      </w:pPr>
    </w:p>
    <w:p>
      <w:pPr>
        <w:jc w:val="both"/>
        <w:ind w:firstLine="656"/>
        <w:spacing w:after="0" w:line="236" w:lineRule="auto"/>
        <w:tabs>
          <w:tab w:leader="none" w:pos="1425"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214"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June 16, 2021.</w:t>
      </w:r>
    </w:p>
    <w:p>
      <w:pPr>
        <w:spacing w:after="0" w:line="233" w:lineRule="exact"/>
        <w:rPr>
          <w:rFonts w:ascii="Arial" w:cs="Arial" w:eastAsia="Arial" w:hAnsi="Arial"/>
          <w:sz w:val="22"/>
          <w:szCs w:val="22"/>
          <w:b w:val="1"/>
          <w:bCs w:val="1"/>
          <w:color w:val="auto"/>
        </w:rPr>
      </w:pPr>
    </w:p>
    <w:p>
      <w:pPr>
        <w:ind w:firstLine="656"/>
        <w:spacing w:after="0" w:line="328" w:lineRule="auto"/>
        <w:tabs>
          <w:tab w:leader="none" w:pos="1434" w:val="left"/>
        </w:tabs>
        <w:numPr>
          <w:ilvl w:val="0"/>
          <w:numId w:val="2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will not cause a Director to be considered an “Employee” for purposes of the Plan.</w:t>
      </w:r>
    </w:p>
    <w:p>
      <w:pPr>
        <w:spacing w:after="0" w:line="131" w:lineRule="exact"/>
        <w:rPr>
          <w:rFonts w:ascii="Arial" w:cs="Arial" w:eastAsia="Arial" w:hAnsi="Arial"/>
          <w:sz w:val="19"/>
          <w:szCs w:val="19"/>
          <w:b w:val="1"/>
          <w:bCs w:val="1"/>
          <w:color w:val="auto"/>
        </w:rPr>
      </w:pPr>
    </w:p>
    <w:p>
      <w:pPr>
        <w:ind w:left="1440" w:hanging="784"/>
        <w:spacing w:after="0"/>
        <w:tabs>
          <w:tab w:leader="none" w:pos="1440"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means the Company or the Affiliate of the Company that employs the Participant.</w:t>
      </w:r>
    </w:p>
    <w:p>
      <w:pPr>
        <w:spacing w:after="0" w:line="233"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33" w:lineRule="exact"/>
        <w:rPr>
          <w:rFonts w:ascii="Arial" w:cs="Arial" w:eastAsia="Arial" w:hAnsi="Arial"/>
          <w:sz w:val="22"/>
          <w:szCs w:val="22"/>
          <w:b w:val="1"/>
          <w:bCs w:val="1"/>
          <w:color w:val="auto"/>
        </w:rPr>
      </w:pPr>
    </w:p>
    <w:p>
      <w:pPr>
        <w:ind w:firstLine="656"/>
        <w:spacing w:after="0" w:line="250" w:lineRule="auto"/>
        <w:tabs>
          <w:tab w:leader="none" w:pos="1752"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02" w:lineRule="exact"/>
        <w:rPr>
          <w:sz w:val="20"/>
          <w:szCs w:val="20"/>
          <w:color w:val="auto"/>
        </w:rPr>
      </w:pPr>
    </w:p>
    <w:p>
      <w:pPr>
        <w:jc w:val="both"/>
        <w:ind w:firstLine="656"/>
        <w:spacing w:after="0" w:line="245" w:lineRule="auto"/>
        <w:tabs>
          <w:tab w:leader="none" w:pos="1494" w:val="left"/>
        </w:tabs>
        <w:numPr>
          <w:ilvl w:val="0"/>
          <w:numId w:val="23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11" w:lineRule="exact"/>
        <w:rPr>
          <w:rFonts w:ascii="Arial" w:cs="Arial" w:eastAsia="Arial" w:hAnsi="Arial"/>
          <w:sz w:val="21"/>
          <w:szCs w:val="21"/>
          <w:b w:val="1"/>
          <w:bCs w:val="1"/>
          <w:color w:val="auto"/>
        </w:rPr>
      </w:pPr>
    </w:p>
    <w:p>
      <w:pPr>
        <w:ind w:right="20" w:firstLine="656"/>
        <w:spacing w:after="0" w:line="250" w:lineRule="auto"/>
        <w:tabs>
          <w:tab w:leader="none" w:pos="1370" w:val="left"/>
        </w:tabs>
        <w:numPr>
          <w:ilvl w:val="0"/>
          <w:numId w:val="2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unless otherwise determined by the Board, the value of the Common Stock (as determined on a per share or aggregate basis, as applicable) determined as follows:</w:t>
      </w:r>
    </w:p>
    <w:p>
      <w:pPr>
        <w:spacing w:after="0" w:line="201" w:lineRule="exact"/>
        <w:rPr>
          <w:rFonts w:ascii="Arial" w:cs="Arial" w:eastAsia="Arial" w:hAnsi="Arial"/>
          <w:sz w:val="22"/>
          <w:szCs w:val="22"/>
          <w:b w:val="1"/>
          <w:bCs w:val="1"/>
          <w:color w:val="auto"/>
        </w:rPr>
      </w:pPr>
    </w:p>
    <w:p>
      <w:pPr>
        <w:jc w:val="both"/>
        <w:ind w:firstLine="1304"/>
        <w:spacing w:after="0" w:line="238" w:lineRule="auto"/>
        <w:tabs>
          <w:tab w:leader="none" w:pos="2065" w:val="left"/>
        </w:tabs>
        <w:numPr>
          <w:ilvl w:val="1"/>
          <w:numId w:val="236"/>
        </w:numPr>
        <w:rPr>
          <w:rFonts w:ascii="Arial" w:cs="Arial" w:eastAsia="Arial" w:hAnsi="Arial"/>
          <w:sz w:val="22"/>
          <w:szCs w:val="22"/>
          <w:b w:val="1"/>
          <w:bCs w:val="1"/>
          <w:color w:val="auto"/>
        </w:rPr>
      </w:pPr>
      <w:r>
        <w:rPr>
          <w:rFonts w:ascii="Arial" w:cs="Arial" w:eastAsia="Arial" w:hAnsi="Arial"/>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5" w:name="page296"/>
    <w:bookmarkEnd w:id="295"/>
    <w:p>
      <w:pPr>
        <w:ind w:firstLine="1304"/>
        <w:spacing w:after="0" w:line="251" w:lineRule="auto"/>
        <w:tabs>
          <w:tab w:leader="none" w:pos="2024" w:val="left"/>
        </w:tabs>
        <w:numPr>
          <w:ilvl w:val="1"/>
          <w:numId w:val="237"/>
        </w:numPr>
        <w:rPr>
          <w:rFonts w:ascii="Arial" w:cs="Arial" w:eastAsia="Arial" w:hAnsi="Arial"/>
          <w:sz w:val="22"/>
          <w:szCs w:val="22"/>
          <w:b w:val="1"/>
          <w:bCs w:val="1"/>
          <w:color w:val="auto"/>
        </w:rPr>
      </w:pPr>
      <w:r>
        <w:rPr>
          <w:rFonts w:ascii="Arial" w:cs="Arial" w:eastAsia="Arial" w:hAnsi="Arial"/>
          <w:sz w:val="22"/>
          <w:szCs w:val="22"/>
          <w:color w:val="auto"/>
        </w:rPr>
        <w:t>If there is no closing sales price for the Common Stock on the date of determination, then the Fair Market Value will be the closing selling price on the last preceding date for which such quotation exists.</w:t>
      </w:r>
    </w:p>
    <w:p>
      <w:pPr>
        <w:spacing w:after="0" w:line="200" w:lineRule="exact"/>
        <w:rPr>
          <w:rFonts w:ascii="Arial" w:cs="Arial" w:eastAsia="Arial" w:hAnsi="Arial"/>
          <w:sz w:val="22"/>
          <w:szCs w:val="22"/>
          <w:b w:val="1"/>
          <w:bCs w:val="1"/>
          <w:color w:val="auto"/>
        </w:rPr>
      </w:pPr>
    </w:p>
    <w:p>
      <w:pPr>
        <w:jc w:val="both"/>
        <w:ind w:firstLine="1304"/>
        <w:spacing w:after="0"/>
        <w:tabs>
          <w:tab w:leader="none" w:pos="2054" w:val="left"/>
        </w:tabs>
        <w:numPr>
          <w:ilvl w:val="1"/>
          <w:numId w:val="237"/>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213" w:lineRule="exact"/>
        <w:rPr>
          <w:rFonts w:ascii="Arial" w:cs="Arial" w:eastAsia="Arial" w:hAnsi="Arial"/>
          <w:sz w:val="22"/>
          <w:szCs w:val="22"/>
          <w:b w:val="1"/>
          <w:bCs w:val="1"/>
          <w:color w:val="auto"/>
        </w:rPr>
      </w:pPr>
    </w:p>
    <w:p>
      <w:pPr>
        <w:jc w:val="both"/>
        <w:ind w:firstLine="656"/>
        <w:spacing w:after="0" w:line="246" w:lineRule="auto"/>
        <w:tabs>
          <w:tab w:leader="none" w:pos="1524" w:val="left"/>
        </w:tabs>
        <w:numPr>
          <w:ilvl w:val="0"/>
          <w:numId w:val="23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Body</w:t>
      </w:r>
      <w:r>
        <w:rPr>
          <w:rFonts w:ascii="Arial" w:cs="Arial" w:eastAsia="Arial" w:hAnsi="Arial"/>
          <w:sz w:val="21"/>
          <w:szCs w:val="21"/>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211" w:lineRule="exact"/>
        <w:rPr>
          <w:rFonts w:ascii="Arial" w:cs="Arial" w:eastAsia="Arial" w:hAnsi="Arial"/>
          <w:sz w:val="21"/>
          <w:szCs w:val="21"/>
          <w:b w:val="1"/>
          <w:bCs w:val="1"/>
          <w:color w:val="auto"/>
        </w:rPr>
      </w:pPr>
    </w:p>
    <w:p>
      <w:pPr>
        <w:jc w:val="both"/>
        <w:ind w:firstLine="656"/>
        <w:spacing w:after="0" w:line="238" w:lineRule="auto"/>
        <w:tabs>
          <w:tab w:leader="none" w:pos="1491" w:val="left"/>
        </w:tabs>
        <w:numPr>
          <w:ilvl w:val="0"/>
          <w:numId w:val="23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211" w:lineRule="exact"/>
        <w:rPr>
          <w:rFonts w:ascii="Arial" w:cs="Arial" w:eastAsia="Arial" w:hAnsi="Arial"/>
          <w:sz w:val="22"/>
          <w:szCs w:val="22"/>
          <w:b w:val="1"/>
          <w:bCs w:val="1"/>
          <w:color w:val="auto"/>
        </w:rPr>
      </w:pPr>
    </w:p>
    <w:p>
      <w:pPr>
        <w:ind w:firstLine="656"/>
        <w:spacing w:after="0" w:line="250" w:lineRule="auto"/>
        <w:tabs>
          <w:tab w:leader="none" w:pos="1443" w:val="left"/>
        </w:tabs>
        <w:numPr>
          <w:ilvl w:val="0"/>
          <w:numId w:val="23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4 of the Plan that is intended to be, and qualifies as, an “incentive stock option” within the meaning of Section 422 of the Code.</w:t>
      </w:r>
    </w:p>
    <w:p>
      <w:pPr>
        <w:spacing w:after="0" w:line="201" w:lineRule="exact"/>
        <w:rPr>
          <w:rFonts w:ascii="Arial" w:cs="Arial" w:eastAsia="Arial" w:hAnsi="Arial"/>
          <w:sz w:val="22"/>
          <w:szCs w:val="22"/>
          <w:b w:val="1"/>
          <w:bCs w:val="1"/>
          <w:color w:val="auto"/>
        </w:rPr>
      </w:pPr>
    </w:p>
    <w:p>
      <w:pPr>
        <w:jc w:val="both"/>
        <w:ind w:firstLine="656"/>
        <w:spacing w:after="0" w:line="245" w:lineRule="auto"/>
        <w:tabs>
          <w:tab w:leader="none" w:pos="1597" w:val="left"/>
        </w:tabs>
        <w:numPr>
          <w:ilvl w:val="0"/>
          <w:numId w:val="23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Materially Impair</w:t>
      </w:r>
      <w:r>
        <w:rPr>
          <w:rFonts w:ascii="Arial" w:cs="Arial" w:eastAsia="Arial" w:hAnsi="Arial"/>
          <w:sz w:val="21"/>
          <w:szCs w:val="21"/>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208" w:lineRule="exact"/>
        <w:rPr>
          <w:sz w:val="20"/>
          <w:szCs w:val="20"/>
          <w:color w:val="auto"/>
        </w:rPr>
      </w:pPr>
    </w:p>
    <w:p>
      <w:pPr>
        <w:jc w:val="both"/>
        <w:ind w:firstLine="656"/>
        <w:spacing w:after="0" w:line="252" w:lineRule="auto"/>
        <w:tabs>
          <w:tab w:leader="none" w:pos="1386" w:val="left"/>
        </w:tabs>
        <w:numPr>
          <w:ilvl w:val="0"/>
          <w:numId w:val="23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means that certain Agreement and Plan of Merger, dated as of December 10, 2020, by and among Silver Spike Acquisition Corp. (“</w:t>
      </w:r>
      <w:r>
        <w:rPr>
          <w:rFonts w:ascii="Arial" w:cs="Arial" w:eastAsia="Arial" w:hAnsi="Arial"/>
          <w:sz w:val="21"/>
          <w:szCs w:val="21"/>
          <w:b w:val="1"/>
          <w:bCs w:val="1"/>
          <w:i w:val="1"/>
          <w:iCs w:val="1"/>
          <w:color w:val="auto"/>
        </w:rPr>
        <w:t>Silver Spike</w:t>
      </w:r>
      <w:r>
        <w:rPr>
          <w:rFonts w:ascii="Arial" w:cs="Arial" w:eastAsia="Arial" w:hAnsi="Arial"/>
          <w:sz w:val="21"/>
          <w:szCs w:val="21"/>
          <w:color w:val="auto"/>
        </w:rPr>
        <w:t>”), a Cayman Islands exempted company, Silver Spike Merger Sub LLC, a Delaware limited liability company and a wholly owned direct subsidiary of Silver Spike, WM Holding Company, LLC, a Delaware limited liability company, and Ghost Media Group, LLC, a Nevada limited liability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6" w:name="page297"/>
    <w:bookmarkEnd w:id="296"/>
    <w:p>
      <w:pPr>
        <w:jc w:val="both"/>
        <w:ind w:firstLine="656"/>
        <w:spacing w:after="0" w:line="277" w:lineRule="auto"/>
        <w:tabs>
          <w:tab w:leader="none" w:pos="1440"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9" w:lineRule="exact"/>
        <w:rPr>
          <w:rFonts w:ascii="Arial" w:cs="Arial" w:eastAsia="Arial" w:hAnsi="Arial"/>
          <w:sz w:val="19"/>
          <w:szCs w:val="19"/>
          <w:b w:val="1"/>
          <w:bCs w:val="1"/>
          <w:color w:val="auto"/>
        </w:rPr>
      </w:pPr>
    </w:p>
    <w:p>
      <w:pPr>
        <w:jc w:val="both"/>
        <w:ind w:firstLine="656"/>
        <w:spacing w:after="0"/>
        <w:tabs>
          <w:tab w:leader="none" w:pos="1397"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Non-Exempt Award</w:t>
      </w:r>
      <w:r>
        <w:rPr>
          <w:rFonts w:ascii="Arial" w:cs="Arial" w:eastAsia="Arial" w:hAnsi="Arial"/>
          <w:sz w:val="22"/>
          <w:szCs w:val="22"/>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213" w:lineRule="exact"/>
        <w:rPr>
          <w:rFonts w:ascii="Arial" w:cs="Arial" w:eastAsia="Arial" w:hAnsi="Arial"/>
          <w:sz w:val="22"/>
          <w:szCs w:val="22"/>
          <w:b w:val="1"/>
          <w:bCs w:val="1"/>
          <w:color w:val="auto"/>
        </w:rPr>
      </w:pPr>
    </w:p>
    <w:p>
      <w:pPr>
        <w:ind w:firstLine="656"/>
        <w:spacing w:after="0" w:line="250" w:lineRule="auto"/>
        <w:tabs>
          <w:tab w:leader="none" w:pos="1452"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Non-Exempt Director Award</w:t>
      </w:r>
      <w:r>
        <w:rPr>
          <w:rFonts w:ascii="Arial" w:cs="Arial" w:eastAsia="Arial" w:hAnsi="Arial"/>
          <w:sz w:val="22"/>
          <w:szCs w:val="22"/>
          <w:color w:val="auto"/>
        </w:rPr>
        <w:t>” means a Non-Exempt Award granted to a Participant who was a Director but not an Employee on the applicable grant date.</w:t>
      </w:r>
    </w:p>
    <w:p>
      <w:pPr>
        <w:spacing w:after="0" w:line="201" w:lineRule="exact"/>
        <w:rPr>
          <w:rFonts w:ascii="Arial" w:cs="Arial" w:eastAsia="Arial" w:hAnsi="Arial"/>
          <w:sz w:val="22"/>
          <w:szCs w:val="22"/>
          <w:b w:val="1"/>
          <w:bCs w:val="1"/>
          <w:color w:val="auto"/>
        </w:rPr>
      </w:pPr>
    </w:p>
    <w:p>
      <w:pPr>
        <w:jc w:val="both"/>
        <w:ind w:firstLine="656"/>
        <w:spacing w:after="0" w:line="273" w:lineRule="auto"/>
        <w:tabs>
          <w:tab w:leader="none" w:pos="1732"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Non-Exempt Severance Arrangement</w:t>
      </w:r>
      <w:r>
        <w:rPr>
          <w:rFonts w:ascii="Arial" w:cs="Arial" w:eastAsia="Arial" w:hAnsi="Arial"/>
          <w:sz w:val="19"/>
          <w:szCs w:val="19"/>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w:t>
      </w:r>
    </w:p>
    <w:p>
      <w:pPr>
        <w:spacing w:after="0" w:line="1" w:lineRule="exact"/>
        <w:rPr>
          <w:rFonts w:ascii="Arial" w:cs="Arial" w:eastAsia="Arial" w:hAnsi="Arial"/>
          <w:sz w:val="19"/>
          <w:szCs w:val="19"/>
          <w:b w:val="1"/>
          <w:bCs w:val="1"/>
          <w:color w:val="auto"/>
        </w:rPr>
      </w:pPr>
    </w:p>
    <w:p>
      <w:pPr>
        <w:jc w:val="both"/>
        <w:ind w:right="20"/>
        <w:spacing w:after="0" w:line="234" w:lineRule="auto"/>
        <w:rPr>
          <w:rFonts w:ascii="Arial" w:cs="Arial" w:eastAsia="Arial" w:hAnsi="Arial"/>
          <w:sz w:val="19"/>
          <w:szCs w:val="19"/>
          <w:b w:val="1"/>
          <w:bCs w:val="1"/>
          <w:color w:val="auto"/>
        </w:rPr>
      </w:pPr>
      <w:r>
        <w:rPr>
          <w:rFonts w:ascii="Arial" w:cs="Arial" w:eastAsia="Arial" w:hAnsi="Arial"/>
          <w:sz w:val="22"/>
          <w:szCs w:val="22"/>
          <w:color w:val="auto"/>
        </w:rPr>
        <w:t>(2)(A)(i) of the Code (and without regard to any alternative definition thereunder)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such severance benefit does not satisfy the requirements for an exemption from application of Section 409A provided under Treasury Regulations Section 1.409A-1(b)(4), 1.409A-1(b)(9) or otherwise.</w:t>
      </w:r>
    </w:p>
    <w:p>
      <w:pPr>
        <w:spacing w:after="0" w:line="214" w:lineRule="exact"/>
        <w:rPr>
          <w:rFonts w:ascii="Arial" w:cs="Arial" w:eastAsia="Arial" w:hAnsi="Arial"/>
          <w:sz w:val="19"/>
          <w:szCs w:val="19"/>
          <w:b w:val="1"/>
          <w:bCs w:val="1"/>
          <w:color w:val="auto"/>
        </w:rPr>
      </w:pPr>
    </w:p>
    <w:p>
      <w:pPr>
        <w:ind w:firstLine="656"/>
        <w:spacing w:after="0" w:line="250" w:lineRule="auto"/>
        <w:tabs>
          <w:tab w:leader="none" w:pos="1410"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4 of the Plan that does not qualify as an Incentive Stock Option.</w:t>
      </w:r>
    </w:p>
    <w:p>
      <w:pPr>
        <w:spacing w:after="0" w:line="201" w:lineRule="exact"/>
        <w:rPr>
          <w:rFonts w:ascii="Arial" w:cs="Arial" w:eastAsia="Arial" w:hAnsi="Arial"/>
          <w:sz w:val="22"/>
          <w:szCs w:val="22"/>
          <w:b w:val="1"/>
          <w:bCs w:val="1"/>
          <w:color w:val="auto"/>
        </w:rPr>
      </w:pPr>
    </w:p>
    <w:p>
      <w:pPr>
        <w:ind w:left="1520" w:hanging="864"/>
        <w:spacing w:after="0"/>
        <w:tabs>
          <w:tab w:leader="none" w:pos="1520"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Act.</w:t>
      </w:r>
    </w:p>
    <w:p>
      <w:pPr>
        <w:spacing w:after="0" w:line="215" w:lineRule="exact"/>
        <w:rPr>
          <w:rFonts w:ascii="Arial" w:cs="Arial" w:eastAsia="Arial" w:hAnsi="Arial"/>
          <w:sz w:val="19"/>
          <w:szCs w:val="19"/>
          <w:b w:val="1"/>
          <w:bCs w:val="1"/>
          <w:color w:val="auto"/>
        </w:rPr>
      </w:pPr>
    </w:p>
    <w:p>
      <w:pPr>
        <w:ind w:right="20" w:firstLine="656"/>
        <w:spacing w:after="0" w:line="250" w:lineRule="auto"/>
        <w:tabs>
          <w:tab w:leader="none" w:pos="1557"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OpCo LLC Agreement</w:t>
      </w:r>
      <w:r>
        <w:rPr>
          <w:rFonts w:ascii="Arial" w:cs="Arial" w:eastAsia="Arial" w:hAnsi="Arial"/>
          <w:sz w:val="22"/>
          <w:szCs w:val="22"/>
          <w:color w:val="auto"/>
        </w:rPr>
        <w:t>” means the Fifth Amended and Restated Operating Agreement of WM Holding Company, LLC, as amended or amended and restated from time to time.</w:t>
      </w:r>
    </w:p>
    <w:p>
      <w:pPr>
        <w:spacing w:after="0" w:line="201"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OpCo Unit</w:t>
      </w:r>
      <w:r>
        <w:rPr>
          <w:rFonts w:ascii="Arial" w:cs="Arial" w:eastAsia="Arial" w:hAnsi="Arial"/>
          <w:sz w:val="22"/>
          <w:szCs w:val="22"/>
          <w:color w:val="auto"/>
        </w:rPr>
        <w:t>” means an Award granted under Section 6 of the Plan.</w:t>
      </w:r>
    </w:p>
    <w:p>
      <w:pPr>
        <w:spacing w:after="0" w:line="233" w:lineRule="exact"/>
        <w:rPr>
          <w:rFonts w:ascii="Arial" w:cs="Arial" w:eastAsia="Arial" w:hAnsi="Arial"/>
          <w:sz w:val="22"/>
          <w:szCs w:val="22"/>
          <w:b w:val="1"/>
          <w:bCs w:val="1"/>
          <w:color w:val="auto"/>
        </w:rPr>
      </w:pPr>
    </w:p>
    <w:p>
      <w:pPr>
        <w:ind w:right="20" w:firstLine="656"/>
        <w:spacing w:after="0" w:line="250" w:lineRule="auto"/>
        <w:tabs>
          <w:tab w:leader="none" w:pos="1440" w:val="left"/>
        </w:tabs>
        <w:numPr>
          <w:ilvl w:val="0"/>
          <w:numId w:val="2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shares of Common Stock granted pursuant to the Plan.</w:t>
      </w:r>
    </w:p>
    <w:p>
      <w:pPr>
        <w:spacing w:after="0" w:line="201" w:lineRule="exact"/>
        <w:rPr>
          <w:rFonts w:ascii="Arial" w:cs="Arial" w:eastAsia="Arial" w:hAnsi="Arial"/>
          <w:sz w:val="22"/>
          <w:szCs w:val="22"/>
          <w:b w:val="1"/>
          <w:bCs w:val="1"/>
          <w:color w:val="auto"/>
        </w:rPr>
      </w:pPr>
    </w:p>
    <w:p>
      <w:pPr>
        <w:jc w:val="both"/>
        <w:ind w:firstLine="656"/>
        <w:spacing w:after="0" w:line="287" w:lineRule="auto"/>
        <w:tabs>
          <w:tab w:leader="none" w:pos="1505" w:val="left"/>
        </w:tabs>
        <w:numPr>
          <w:ilvl w:val="0"/>
          <w:numId w:val="24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7" w:name="page298"/>
    <w:bookmarkEnd w:id="297"/>
    <w:p>
      <w:pPr>
        <w:ind w:firstLine="656"/>
        <w:spacing w:after="0" w:line="251" w:lineRule="auto"/>
        <w:tabs>
          <w:tab w:leader="none" w:pos="1478"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200" w:lineRule="exact"/>
        <w:rPr>
          <w:rFonts w:ascii="Arial" w:cs="Arial" w:eastAsia="Arial" w:hAnsi="Arial"/>
          <w:sz w:val="22"/>
          <w:szCs w:val="22"/>
          <w:b w:val="1"/>
          <w:bCs w:val="1"/>
          <w:color w:val="auto"/>
        </w:rPr>
      </w:pPr>
    </w:p>
    <w:p>
      <w:pPr>
        <w:ind w:firstLine="656"/>
        <w:spacing w:after="0" w:line="250" w:lineRule="auto"/>
        <w:tabs>
          <w:tab w:leader="none" w:pos="1497"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w:t>
      </w:r>
      <w:r>
        <w:rPr>
          <w:rFonts w:ascii="Arial" w:cs="Arial" w:eastAsia="Arial" w:hAnsi="Arial"/>
          <w:sz w:val="22"/>
          <w:szCs w:val="22"/>
          <w:color w:val="auto"/>
        </w:rPr>
        <w:t>” means an award based in whole or in part by reference to the Common Stock which is granted pursuant to the terms and conditions of Section 5(c).</w:t>
      </w:r>
    </w:p>
    <w:p>
      <w:pPr>
        <w:spacing w:after="0" w:line="201" w:lineRule="exact"/>
        <w:rPr>
          <w:rFonts w:ascii="Arial" w:cs="Arial" w:eastAsia="Arial" w:hAnsi="Arial"/>
          <w:sz w:val="22"/>
          <w:szCs w:val="22"/>
          <w:b w:val="1"/>
          <w:bCs w:val="1"/>
          <w:color w:val="auto"/>
        </w:rPr>
      </w:pPr>
    </w:p>
    <w:p>
      <w:pPr>
        <w:jc w:val="both"/>
        <w:ind w:firstLine="656"/>
        <w:spacing w:after="0"/>
        <w:tabs>
          <w:tab w:leader="none" w:pos="1500"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 Agreement</w:t>
      </w:r>
      <w:r>
        <w:rPr>
          <w:rFonts w:ascii="Arial" w:cs="Arial" w:eastAsia="Arial" w:hAnsi="Arial"/>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213" w:lineRule="exact"/>
        <w:rPr>
          <w:rFonts w:ascii="Arial" w:cs="Arial" w:eastAsia="Arial" w:hAnsi="Arial"/>
          <w:sz w:val="22"/>
          <w:szCs w:val="22"/>
          <w:b w:val="1"/>
          <w:bCs w:val="1"/>
          <w:color w:val="auto"/>
        </w:rPr>
      </w:pPr>
    </w:p>
    <w:p>
      <w:pPr>
        <w:jc w:val="both"/>
        <w:ind w:firstLine="656"/>
        <w:spacing w:after="0" w:line="238" w:lineRule="auto"/>
        <w:tabs>
          <w:tab w:leader="none" w:pos="1503"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11" w:lineRule="exact"/>
        <w:rPr>
          <w:rFonts w:ascii="Arial" w:cs="Arial" w:eastAsia="Arial" w:hAnsi="Arial"/>
          <w:sz w:val="22"/>
          <w:szCs w:val="22"/>
          <w:b w:val="1"/>
          <w:bCs w:val="1"/>
          <w:color w:val="auto"/>
        </w:rPr>
      </w:pPr>
    </w:p>
    <w:p>
      <w:pPr>
        <w:ind w:firstLine="656"/>
        <w:spacing w:after="0" w:line="250" w:lineRule="auto"/>
        <w:tabs>
          <w:tab w:leader="none" w:pos="1302"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Director or Consultant to whom an Award is granted pursuant to the Plan or, if applicable, such other person who holds an outstanding Award.</w:t>
      </w:r>
    </w:p>
    <w:p>
      <w:pPr>
        <w:spacing w:after="0" w:line="201" w:lineRule="exact"/>
        <w:rPr>
          <w:rFonts w:ascii="Arial" w:cs="Arial" w:eastAsia="Arial" w:hAnsi="Arial"/>
          <w:sz w:val="22"/>
          <w:szCs w:val="22"/>
          <w:b w:val="1"/>
          <w:bCs w:val="1"/>
          <w:color w:val="auto"/>
        </w:rPr>
      </w:pPr>
    </w:p>
    <w:p>
      <w:pPr>
        <w:jc w:val="both"/>
        <w:ind w:firstLine="656"/>
        <w:spacing w:after="0" w:line="279" w:lineRule="auto"/>
        <w:tabs>
          <w:tab w:leader="none" w:pos="1521" w:val="left"/>
        </w:tabs>
        <w:numPr>
          <w:ilvl w:val="0"/>
          <w:numId w:val="24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7" w:lineRule="exact"/>
        <w:rPr>
          <w:rFonts w:ascii="Arial" w:cs="Arial" w:eastAsia="Arial" w:hAnsi="Arial"/>
          <w:sz w:val="19"/>
          <w:szCs w:val="19"/>
          <w:b w:val="1"/>
          <w:bCs w:val="1"/>
          <w:color w:val="auto"/>
        </w:rPr>
      </w:pPr>
    </w:p>
    <w:p>
      <w:pPr>
        <w:jc w:val="both"/>
        <w:ind w:firstLine="656"/>
        <w:spacing w:after="0"/>
        <w:tabs>
          <w:tab w:leader="none" w:pos="1387"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8" w:name="page299"/>
    <w:bookmarkEnd w:id="298"/>
    <w:p>
      <w:pPr>
        <w:jc w:val="both"/>
        <w:ind w:firstLine="656"/>
        <w:spacing w:after="0" w:line="268" w:lineRule="auto"/>
        <w:tabs>
          <w:tab w:leader="none" w:pos="1399" w:val="left"/>
        </w:tabs>
        <w:numPr>
          <w:ilvl w:val="1"/>
          <w:numId w:val="24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w:t>
      </w:r>
    </w:p>
    <w:p>
      <w:pPr>
        <w:spacing w:after="0" w:line="2" w:lineRule="exact"/>
        <w:rPr>
          <w:rFonts w:ascii="Arial" w:cs="Arial" w:eastAsia="Arial" w:hAnsi="Arial"/>
          <w:sz w:val="19"/>
          <w:szCs w:val="19"/>
          <w:b w:val="1"/>
          <w:bCs w:val="1"/>
          <w:color w:val="auto"/>
        </w:rPr>
      </w:pPr>
    </w:p>
    <w:p>
      <w:pPr>
        <w:jc w:val="both"/>
        <w:ind w:firstLine="8"/>
        <w:spacing w:after="0" w:line="243" w:lineRule="auto"/>
        <w:tabs>
          <w:tab w:leader="none" w:pos="463"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214" w:lineRule="exact"/>
        <w:rPr>
          <w:rFonts w:ascii="Arial" w:cs="Arial" w:eastAsia="Arial" w:hAnsi="Arial"/>
          <w:sz w:val="21"/>
          <w:szCs w:val="21"/>
          <w:color w:val="auto"/>
        </w:rPr>
      </w:pPr>
    </w:p>
    <w:p>
      <w:pPr>
        <w:jc w:val="both"/>
        <w:ind w:right="20" w:firstLine="656"/>
        <w:spacing w:after="0" w:line="257" w:lineRule="auto"/>
        <w:tabs>
          <w:tab w:leader="none" w:pos="1399" w:val="left"/>
        </w:tabs>
        <w:numPr>
          <w:ilvl w:val="1"/>
          <w:numId w:val="24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96" w:lineRule="exact"/>
        <w:rPr>
          <w:rFonts w:ascii="Arial" w:cs="Arial" w:eastAsia="Arial" w:hAnsi="Arial"/>
          <w:sz w:val="21"/>
          <w:szCs w:val="21"/>
          <w:b w:val="1"/>
          <w:bCs w:val="1"/>
          <w:color w:val="auto"/>
        </w:rPr>
      </w:pPr>
    </w:p>
    <w:p>
      <w:pPr>
        <w:ind w:left="1420" w:hanging="764"/>
        <w:spacing w:after="0"/>
        <w:tabs>
          <w:tab w:leader="none" w:pos="1420" w:val="left"/>
        </w:tabs>
        <w:numPr>
          <w:ilvl w:val="1"/>
          <w:numId w:val="24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WM Technology, Inc. 2021 Equity Incentive Plan, as amended from time to time.</w:t>
      </w:r>
    </w:p>
    <w:p>
      <w:pPr>
        <w:spacing w:after="0" w:line="233" w:lineRule="exact"/>
        <w:rPr>
          <w:sz w:val="20"/>
          <w:szCs w:val="20"/>
          <w:color w:val="auto"/>
        </w:rPr>
      </w:pPr>
    </w:p>
    <w:p>
      <w:pPr>
        <w:ind w:firstLine="656"/>
        <w:spacing w:after="0" w:line="250" w:lineRule="auto"/>
        <w:tabs>
          <w:tab w:leader="none" w:pos="1399" w:val="left"/>
        </w:tabs>
        <w:numPr>
          <w:ilvl w:val="0"/>
          <w:numId w:val="2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person, persons, and/or third-party administrator designated by the Company to administer the day to day operations of the Plan and the Company’s other equity incentive programs.</w:t>
      </w:r>
    </w:p>
    <w:p>
      <w:pPr>
        <w:spacing w:after="0" w:line="201" w:lineRule="exact"/>
        <w:rPr>
          <w:rFonts w:ascii="Arial" w:cs="Arial" w:eastAsia="Arial" w:hAnsi="Arial"/>
          <w:sz w:val="22"/>
          <w:szCs w:val="22"/>
          <w:b w:val="1"/>
          <w:bCs w:val="1"/>
          <w:color w:val="auto"/>
        </w:rPr>
      </w:pPr>
    </w:p>
    <w:p>
      <w:pPr>
        <w:ind w:firstLine="656"/>
        <w:spacing w:after="0" w:line="250" w:lineRule="auto"/>
        <w:tabs>
          <w:tab w:leader="none" w:pos="1584" w:val="left"/>
        </w:tabs>
        <w:numPr>
          <w:ilvl w:val="0"/>
          <w:numId w:val="2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Post-Termination Exercise Period</w:t>
      </w:r>
      <w:r>
        <w:rPr>
          <w:rFonts w:ascii="Arial" w:cs="Arial" w:eastAsia="Arial" w:hAnsi="Arial"/>
          <w:sz w:val="22"/>
          <w:szCs w:val="22"/>
          <w:color w:val="auto"/>
        </w:rPr>
        <w:t>” means the period following termination of a Participant’s Continuous Service within which an Option or SAR is exercisable, as specified in Section 4(h).</w:t>
      </w:r>
    </w:p>
    <w:p>
      <w:pPr>
        <w:spacing w:after="0" w:line="201" w:lineRule="exact"/>
        <w:rPr>
          <w:rFonts w:ascii="Arial" w:cs="Arial" w:eastAsia="Arial" w:hAnsi="Arial"/>
          <w:sz w:val="22"/>
          <w:szCs w:val="22"/>
          <w:b w:val="1"/>
          <w:bCs w:val="1"/>
          <w:color w:val="auto"/>
        </w:rPr>
      </w:pPr>
    </w:p>
    <w:p>
      <w:pPr>
        <w:ind w:left="1500" w:hanging="844"/>
        <w:spacing w:after="0"/>
        <w:tabs>
          <w:tab w:leader="none" w:pos="1500" w:val="left"/>
        </w:tabs>
        <w:numPr>
          <w:ilvl w:val="0"/>
          <w:numId w:val="24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means the document containing the Plan information specified in Section 10(a) of the Securities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Act.</w:t>
      </w:r>
    </w:p>
    <w:p>
      <w:pPr>
        <w:spacing w:after="0" w:line="215" w:lineRule="exact"/>
        <w:rPr>
          <w:rFonts w:ascii="Arial" w:cs="Arial" w:eastAsia="Arial" w:hAnsi="Arial"/>
          <w:sz w:val="19"/>
          <w:szCs w:val="19"/>
          <w:b w:val="1"/>
          <w:bCs w:val="1"/>
          <w:color w:val="auto"/>
        </w:rPr>
      </w:pPr>
    </w:p>
    <w:p>
      <w:pPr>
        <w:ind w:firstLine="656"/>
        <w:spacing w:after="0" w:line="250" w:lineRule="auto"/>
        <w:tabs>
          <w:tab w:leader="none" w:pos="1463" w:val="left"/>
        </w:tabs>
        <w:numPr>
          <w:ilvl w:val="0"/>
          <w:numId w:val="2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RSA</w:t>
      </w:r>
      <w:r>
        <w:rPr>
          <w:rFonts w:ascii="Arial" w:cs="Arial" w:eastAsia="Arial" w:hAnsi="Arial"/>
          <w:sz w:val="22"/>
          <w:szCs w:val="22"/>
          <w:color w:val="auto"/>
        </w:rPr>
        <w:t>” means an Award of shares of Common Stock which is granted pursuant to the terms and conditions of Section 5(a).</w:t>
      </w:r>
    </w:p>
    <w:p>
      <w:pPr>
        <w:spacing w:after="0" w:line="201" w:lineRule="exact"/>
        <w:rPr>
          <w:rFonts w:ascii="Arial" w:cs="Arial" w:eastAsia="Arial" w:hAnsi="Arial"/>
          <w:sz w:val="22"/>
          <w:szCs w:val="22"/>
          <w:b w:val="1"/>
          <w:bCs w:val="1"/>
          <w:color w:val="auto"/>
        </w:rPr>
      </w:pPr>
    </w:p>
    <w:p>
      <w:pPr>
        <w:jc w:val="both"/>
        <w:ind w:firstLine="656"/>
        <w:spacing w:after="0" w:line="282" w:lineRule="auto"/>
        <w:tabs>
          <w:tab w:leader="none" w:pos="1592" w:val="left"/>
        </w:tabs>
        <w:numPr>
          <w:ilvl w:val="0"/>
          <w:numId w:val="24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Award Agreement</w:t>
      </w:r>
      <w:r>
        <w:rPr>
          <w:rFonts w:ascii="Arial" w:cs="Arial" w:eastAsia="Arial" w:hAnsi="Arial"/>
          <w:sz w:val="19"/>
          <w:szCs w:val="19"/>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9" w:name="page300"/>
    <w:bookmarkEnd w:id="299"/>
    <w:p>
      <w:pPr>
        <w:ind w:firstLine="656"/>
        <w:spacing w:after="0" w:line="251" w:lineRule="auto"/>
        <w:tabs>
          <w:tab w:leader="none" w:pos="1399"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an Award of restricted stock units representing the right to receive an issuance of shares of Common Stock which is granted pursuant to the terms and conditions of Section 5(a).</w:t>
      </w:r>
    </w:p>
    <w:p>
      <w:pPr>
        <w:spacing w:after="0" w:line="200" w:lineRule="exact"/>
        <w:rPr>
          <w:rFonts w:ascii="Arial" w:cs="Arial" w:eastAsia="Arial" w:hAnsi="Arial"/>
          <w:sz w:val="22"/>
          <w:szCs w:val="22"/>
          <w:b w:val="1"/>
          <w:bCs w:val="1"/>
          <w:color w:val="auto"/>
        </w:rPr>
      </w:pPr>
    </w:p>
    <w:p>
      <w:pPr>
        <w:jc w:val="both"/>
        <w:ind w:firstLine="656"/>
        <w:spacing w:after="0" w:line="236" w:lineRule="auto"/>
        <w:tabs>
          <w:tab w:leader="none" w:pos="1507"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214" w:lineRule="exact"/>
        <w:rPr>
          <w:rFonts w:ascii="Arial" w:cs="Arial" w:eastAsia="Arial" w:hAnsi="Arial"/>
          <w:sz w:val="22"/>
          <w:szCs w:val="22"/>
          <w:b w:val="1"/>
          <w:bCs w:val="1"/>
          <w:color w:val="auto"/>
        </w:rPr>
      </w:pPr>
    </w:p>
    <w:p>
      <w:pPr>
        <w:ind w:firstLine="656"/>
        <w:spacing w:after="0" w:line="250" w:lineRule="auto"/>
        <w:tabs>
          <w:tab w:leader="none" w:pos="1530"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201"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405</w:t>
      </w:r>
      <w:r>
        <w:rPr>
          <w:rFonts w:ascii="Arial" w:cs="Arial" w:eastAsia="Arial" w:hAnsi="Arial"/>
          <w:sz w:val="22"/>
          <w:szCs w:val="22"/>
          <w:color w:val="auto"/>
        </w:rPr>
        <w:t>” means Rule 405 promulgated under the Securities Act.</w:t>
      </w:r>
    </w:p>
    <w:p>
      <w:pPr>
        <w:spacing w:after="0" w:line="233"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means Section 409A of the Code and the regulations and other guidance thereunder.</w:t>
      </w:r>
    </w:p>
    <w:p>
      <w:pPr>
        <w:spacing w:after="0" w:line="244" w:lineRule="exact"/>
        <w:rPr>
          <w:rFonts w:ascii="Arial" w:cs="Arial" w:eastAsia="Arial" w:hAnsi="Arial"/>
          <w:sz w:val="21"/>
          <w:szCs w:val="21"/>
          <w:b w:val="1"/>
          <w:bCs w:val="1"/>
          <w:color w:val="auto"/>
        </w:rPr>
      </w:pPr>
    </w:p>
    <w:p>
      <w:pPr>
        <w:jc w:val="both"/>
        <w:ind w:firstLine="656"/>
        <w:spacing w:after="0" w:line="257" w:lineRule="auto"/>
        <w:tabs>
          <w:tab w:leader="none" w:pos="1395" w:val="left"/>
        </w:tabs>
        <w:numPr>
          <w:ilvl w:val="0"/>
          <w:numId w:val="2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 Change in Control</w:t>
      </w:r>
      <w:r>
        <w:rPr>
          <w:rFonts w:ascii="Arial" w:cs="Arial" w:eastAsia="Arial" w:hAnsi="Arial"/>
          <w:sz w:val="21"/>
          <w:szCs w:val="21"/>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96" w:lineRule="exact"/>
        <w:rPr>
          <w:rFonts w:ascii="Arial" w:cs="Arial" w:eastAsia="Arial" w:hAnsi="Arial"/>
          <w:sz w:val="21"/>
          <w:szCs w:val="21"/>
          <w:b w:val="1"/>
          <w:bCs w:val="1"/>
          <w:color w:val="auto"/>
        </w:rPr>
      </w:pPr>
    </w:p>
    <w:p>
      <w:pPr>
        <w:ind w:left="1420" w:hanging="764"/>
        <w:spacing w:after="0"/>
        <w:tabs>
          <w:tab w:leader="none" w:pos="1420"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33"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4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means the number of shares available for issuance under the Plan as set forth in Section 2(a).</w:t>
      </w:r>
    </w:p>
    <w:p>
      <w:pPr>
        <w:spacing w:after="0" w:line="267" w:lineRule="exact"/>
        <w:rPr>
          <w:rFonts w:ascii="Arial" w:cs="Arial" w:eastAsia="Arial" w:hAnsi="Arial"/>
          <w:sz w:val="19"/>
          <w:szCs w:val="19"/>
          <w:b w:val="1"/>
          <w:bCs w:val="1"/>
          <w:color w:val="auto"/>
        </w:rPr>
      </w:pPr>
    </w:p>
    <w:p>
      <w:pPr>
        <w:ind w:firstLine="656"/>
        <w:spacing w:after="0" w:line="250" w:lineRule="auto"/>
        <w:tabs>
          <w:tab w:leader="none" w:pos="1571"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Common Stock that is granted pursuant to the terms and conditions of Section 4.</w:t>
      </w:r>
    </w:p>
    <w:p>
      <w:pPr>
        <w:spacing w:after="0" w:line="201" w:lineRule="exact"/>
        <w:rPr>
          <w:rFonts w:ascii="Arial" w:cs="Arial" w:eastAsia="Arial" w:hAnsi="Arial"/>
          <w:sz w:val="22"/>
          <w:szCs w:val="22"/>
          <w:b w:val="1"/>
          <w:bCs w:val="1"/>
          <w:color w:val="auto"/>
        </w:rPr>
      </w:pPr>
    </w:p>
    <w:p>
      <w:pPr>
        <w:jc w:val="both"/>
        <w:ind w:firstLine="656"/>
        <w:spacing w:after="0" w:line="252" w:lineRule="auto"/>
        <w:tabs>
          <w:tab w:leader="none" w:pos="1386" w:val="left"/>
        </w:tabs>
        <w:numPr>
          <w:ilvl w:val="0"/>
          <w:numId w:val="2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SAR Agreement</w:t>
      </w:r>
      <w:r>
        <w:rPr>
          <w:rFonts w:ascii="Arial" w:cs="Arial" w:eastAsia="Arial" w:hAnsi="Arial"/>
          <w:sz w:val="21"/>
          <w:szCs w:val="21"/>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200" w:lineRule="exact"/>
        <w:rPr>
          <w:rFonts w:ascii="Arial" w:cs="Arial" w:eastAsia="Arial" w:hAnsi="Arial"/>
          <w:sz w:val="21"/>
          <w:szCs w:val="21"/>
          <w:b w:val="1"/>
          <w:bCs w:val="1"/>
          <w:color w:val="auto"/>
        </w:rPr>
      </w:pPr>
    </w:p>
    <w:p>
      <w:pPr>
        <w:jc w:val="both"/>
        <w:ind w:firstLine="656"/>
        <w:spacing w:after="0" w:line="235" w:lineRule="auto"/>
        <w:tabs>
          <w:tab w:leader="none" w:pos="1652" w:val="left"/>
        </w:tabs>
        <w:numPr>
          <w:ilvl w:val="0"/>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0" w:name="page301"/>
    <w:bookmarkEnd w:id="300"/>
    <w:p>
      <w:pPr>
        <w:jc w:val="both"/>
        <w:ind w:left="-20" w:firstLine="656"/>
        <w:spacing w:after="0"/>
        <w:tabs>
          <w:tab w:leader="none" w:pos="1389" w:val="left"/>
        </w:tabs>
        <w:numPr>
          <w:ilvl w:val="0"/>
          <w:numId w:val="2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 424(d) of the Code) stock possessing more than 10% of the total combined voting power of all classes of stock of the Company or any Affiliate.</w:t>
      </w:r>
    </w:p>
    <w:p>
      <w:pPr>
        <w:spacing w:after="0" w:line="213" w:lineRule="exact"/>
        <w:rPr>
          <w:rFonts w:ascii="Arial" w:cs="Arial" w:eastAsia="Arial" w:hAnsi="Arial"/>
          <w:sz w:val="22"/>
          <w:szCs w:val="22"/>
          <w:b w:val="1"/>
          <w:bCs w:val="1"/>
          <w:color w:val="auto"/>
        </w:rPr>
      </w:pPr>
    </w:p>
    <w:p>
      <w:pPr>
        <w:jc w:val="both"/>
        <w:ind w:left="-20" w:firstLine="656"/>
        <w:spacing w:after="0"/>
        <w:tabs>
          <w:tab w:leader="none" w:pos="1383" w:val="left"/>
        </w:tabs>
        <w:numPr>
          <w:ilvl w:val="0"/>
          <w:numId w:val="2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13" w:lineRule="exact"/>
        <w:rPr>
          <w:rFonts w:ascii="Arial" w:cs="Arial" w:eastAsia="Arial" w:hAnsi="Arial"/>
          <w:sz w:val="22"/>
          <w:szCs w:val="22"/>
          <w:b w:val="1"/>
          <w:bCs w:val="1"/>
          <w:color w:val="auto"/>
        </w:rPr>
      </w:pPr>
    </w:p>
    <w:p>
      <w:pPr>
        <w:ind w:left="-20" w:firstLine="656"/>
        <w:spacing w:after="0" w:line="250" w:lineRule="auto"/>
        <w:tabs>
          <w:tab w:leader="none" w:pos="1334" w:val="left"/>
        </w:tabs>
        <w:numPr>
          <w:ilvl w:val="0"/>
          <w:numId w:val="2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Unvested Non-Exempt Award</w:t>
      </w:r>
      <w:r>
        <w:rPr>
          <w:rFonts w:ascii="Arial" w:cs="Arial" w:eastAsia="Arial" w:hAnsi="Arial"/>
          <w:sz w:val="22"/>
          <w:szCs w:val="22"/>
          <w:color w:val="auto"/>
        </w:rPr>
        <w:t>” means the portion of any Non-Exempt Award that had not vested in accordance with its terms upon or prior to the date of any Corporate Transaction.</w:t>
      </w:r>
    </w:p>
    <w:p>
      <w:pPr>
        <w:spacing w:after="0" w:line="201" w:lineRule="exact"/>
        <w:rPr>
          <w:rFonts w:ascii="Arial" w:cs="Arial" w:eastAsia="Arial" w:hAnsi="Arial"/>
          <w:sz w:val="22"/>
          <w:szCs w:val="22"/>
          <w:b w:val="1"/>
          <w:bCs w:val="1"/>
          <w:color w:val="auto"/>
        </w:rPr>
      </w:pPr>
    </w:p>
    <w:p>
      <w:pPr>
        <w:ind w:left="-20" w:right="20" w:firstLine="656"/>
        <w:spacing w:after="0" w:line="250" w:lineRule="auto"/>
        <w:tabs>
          <w:tab w:leader="none" w:pos="1312" w:val="left"/>
        </w:tabs>
        <w:numPr>
          <w:ilvl w:val="0"/>
          <w:numId w:val="2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Vested Non-Exempt Award</w:t>
      </w:r>
      <w:r>
        <w:rPr>
          <w:rFonts w:ascii="Arial" w:cs="Arial" w:eastAsia="Arial" w:hAnsi="Arial"/>
          <w:sz w:val="22"/>
          <w:szCs w:val="22"/>
          <w:color w:val="auto"/>
        </w:rPr>
        <w:t>” means the portion of any Non-Exempt Award that had vested in accordance with its terms upon or prior to the date of a Corporate Transaction.</w:t>
      </w:r>
    </w:p>
    <w:p>
      <w:pPr>
        <w:spacing w:after="0" w:line="201" w:lineRule="exact"/>
        <w:rPr>
          <w:rFonts w:ascii="Arial" w:cs="Arial" w:eastAsia="Arial" w:hAnsi="Arial"/>
          <w:sz w:val="22"/>
          <w:szCs w:val="22"/>
          <w:b w:val="1"/>
          <w:bCs w:val="1"/>
          <w:color w:val="auto"/>
        </w:rPr>
      </w:pPr>
    </w:p>
    <w:p>
      <w:pPr>
        <w:ind w:left="1420" w:hanging="784"/>
        <w:spacing w:after="0"/>
        <w:tabs>
          <w:tab w:leader="none" w:pos="1420" w:val="left"/>
        </w:tabs>
        <w:numPr>
          <w:ilvl w:val="0"/>
          <w:numId w:val="2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WM OpCo</w:t>
      </w:r>
      <w:r>
        <w:rPr>
          <w:rFonts w:ascii="Arial" w:cs="Arial" w:eastAsia="Arial" w:hAnsi="Arial"/>
          <w:sz w:val="22"/>
          <w:szCs w:val="22"/>
          <w:color w:val="auto"/>
        </w:rPr>
        <w:t>” means WM Holding Company, LLC, a Delaware limited liability company.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jc w:val="center"/>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WM Technology,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pursuant to the Company’s 2021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has granted to you (“</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an option to purchase the number of shares of the Common Stock set forth below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142303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Date of Grant:</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142303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142303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142303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142303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142303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-130175</wp:posOffset>
            </wp:positionV>
            <wp:extent cx="142303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9380" w:type="dxa"/>
            <w:vAlign w:val="bottom"/>
            <w:gridSpan w:val="5"/>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Incentive Stock Option] OR [Nonstatutory Stock Option]</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rPr>
              <w:t>Exercise and</w:t>
            </w: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gridSpan w:val="4"/>
          </w:tcPr>
          <w:p>
            <w:pPr>
              <w:jc w:val="right"/>
              <w:spacing w:after="0"/>
              <w:rPr>
                <w:sz w:val="20"/>
                <w:szCs w:val="20"/>
                <w:color w:val="auto"/>
              </w:rPr>
            </w:pPr>
            <w:r>
              <w:rPr>
                <w:rFonts w:ascii="Arial" w:cs="Arial" w:eastAsia="Arial" w:hAnsi="Arial"/>
                <w:sz w:val="18"/>
                <w:szCs w:val="18"/>
                <w:color w:val="auto"/>
                <w:w w:val="97"/>
              </w:rPr>
              <w:t>Subject to the Optionholder’s Continuous Service through each applicable vesting date, the Option will vest as follows:</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8"/>
                <w:szCs w:val="18"/>
                <w:b w:val="1"/>
                <w:bCs w:val="1"/>
                <w:color w:val="auto"/>
                <w:w w:val="95"/>
              </w:rPr>
              <w:t>Vesting Schedule</w:t>
            </w:r>
            <w:r>
              <w:rPr>
                <w:rFonts w:ascii="Arial" w:cs="Arial" w:eastAsia="Arial" w:hAnsi="Arial"/>
                <w:sz w:val="18"/>
                <w:szCs w:val="18"/>
                <w:color w:val="auto"/>
                <w:w w:val="95"/>
              </w:rPr>
              <w:t>:</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50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8"/>
                <w:szCs w:val="18"/>
                <w:color w:val="auto"/>
                <w:w w:val="78"/>
              </w:rPr>
              <w:t>[</w:t>
            </w:r>
          </w:p>
        </w:tc>
        <w:tc>
          <w:tcPr>
            <w:tcW w:w="7860" w:type="dxa"/>
            <w:vAlign w:val="bottom"/>
            <w:tcBorders>
              <w:bottom w:val="single" w:sz="8" w:color="auto"/>
            </w:tcBorders>
            <w:gridSpan w:val="3"/>
          </w:tcPr>
          <w:p>
            <w:pPr>
              <w:spacing w:after="0"/>
              <w:rPr>
                <w:sz w:val="24"/>
                <w:szCs w:val="24"/>
                <w:color w:val="auto"/>
              </w:rPr>
            </w:pPr>
          </w:p>
        </w:tc>
        <w:tc>
          <w:tcPr>
            <w:tcW w:w="1320" w:type="dxa"/>
            <w:vAlign w:val="bottom"/>
          </w:tcPr>
          <w:p>
            <w:pPr>
              <w:jc w:val="right"/>
              <w:ind w:right="117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66" w:lineRule="exact"/>
        <w:rPr>
          <w:sz w:val="20"/>
          <w:szCs w:val="20"/>
          <w:color w:val="auto"/>
        </w:rPr>
      </w:pPr>
    </w:p>
    <w:p>
      <w:pPr>
        <w:jc w:val="both"/>
        <w:ind w:left="660" w:hanging="328"/>
        <w:spacing w:after="0" w:line="259"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21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[If the Option is an Incentive Stock Option, it (plus other outstanding Incentive Stock Options granted to you) cannot be first </w:t>
      </w:r>
      <w:r>
        <w:rPr>
          <w:rFonts w:ascii="Arial" w:cs="Arial" w:eastAsia="Arial" w:hAnsi="Arial"/>
          <w:sz w:val="17"/>
          <w:szCs w:val="17"/>
          <w:i w:val="1"/>
          <w:iCs w:val="1"/>
          <w:color w:val="auto"/>
        </w:rPr>
        <w:t>exercisable</w:t>
      </w:r>
      <w:r>
        <w:rPr>
          <w:rFonts w:ascii="Arial" w:cs="Arial" w:eastAsia="Arial" w:hAnsi="Arial"/>
          <w:sz w:val="17"/>
          <w:szCs w:val="17"/>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2" w:name="page303"/>
    <w:bookmarkEnd w:id="302"/>
    <w:p>
      <w:pPr>
        <w:jc w:val="both"/>
        <w:ind w:left="660" w:right="20" w:hanging="328"/>
        <w:spacing w:after="0" w:line="263"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9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WM T</w:t>
            </w:r>
            <w:r>
              <w:rPr>
                <w:rFonts w:ascii="Arial" w:cs="Arial" w:eastAsia="Arial" w:hAnsi="Arial"/>
                <w:sz w:val="12"/>
                <w:szCs w:val="12"/>
                <w:b w:val="1"/>
                <w:bCs w:val="1"/>
                <w:color w:val="auto"/>
              </w:rPr>
              <w:t>ECHNOLOGY</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6160" w:type="dxa"/>
            <w:vAlign w:val="bottom"/>
            <w:gridSpan w:val="3"/>
          </w:tcPr>
          <w:p>
            <w:pPr>
              <w:ind w:left="1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453"/>
        </w:trPr>
        <w:tc>
          <w:tcPr>
            <w:tcW w:w="5080" w:type="dxa"/>
            <w:vAlign w:val="bottom"/>
            <w:gridSpan w:val="2"/>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500" w:type="dxa"/>
            <w:vAlign w:val="bottom"/>
            <w:tcBorders>
              <w:top w:val="single" w:sz="8" w:color="auto"/>
            </w:tcBorders>
          </w:tcPr>
          <w:p>
            <w:pPr>
              <w:ind w:left="1620"/>
              <w:spacing w:after="0" w:line="201"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ind w:left="1620"/>
              <w:spacing w:after="0" w:line="201" w:lineRule="exact"/>
              <w:rPr>
                <w:sz w:val="20"/>
                <w:szCs w:val="20"/>
                <w:color w:val="auto"/>
              </w:rPr>
            </w:pPr>
            <w:r>
              <w:rPr>
                <w:rFonts w:ascii="Arial" w:cs="Arial" w:eastAsia="Arial" w:hAnsi="Arial"/>
                <w:sz w:val="18"/>
                <w:szCs w:val="18"/>
                <w:color w:val="auto"/>
              </w:rPr>
              <w:t>Signature</w:t>
            </w:r>
          </w:p>
        </w:tc>
      </w:tr>
      <w:tr>
        <w:trPr>
          <w:trHeight w:val="251"/>
        </w:trPr>
        <w:tc>
          <w:tcPr>
            <w:tcW w:w="5080" w:type="dxa"/>
            <w:vAlign w:val="bottom"/>
            <w:gridSpan w:val="2"/>
          </w:tcPr>
          <w:p>
            <w:pPr>
              <w:spacing w:after="0"/>
              <w:rPr>
                <w:sz w:val="20"/>
                <w:szCs w:val="20"/>
                <w:color w:val="auto"/>
              </w:rPr>
            </w:pPr>
            <w:r>
              <w:rPr>
                <w:rFonts w:ascii="Arial" w:cs="Arial" w:eastAsia="Arial" w:hAnsi="Arial"/>
                <w:sz w:val="18"/>
                <w:szCs w:val="18"/>
                <w:color w:val="auto"/>
              </w:rPr>
              <w:t>Title:</w:t>
            </w:r>
          </w:p>
        </w:tc>
        <w:tc>
          <w:tcPr>
            <w:tcW w:w="6160" w:type="dxa"/>
            <w:vAlign w:val="bottom"/>
            <w:gridSpan w:val="3"/>
          </w:tcPr>
          <w:p>
            <w:pPr>
              <w:ind w:left="1120"/>
              <w:spacing w:after="0"/>
              <w:rPr>
                <w:sz w:val="20"/>
                <w:szCs w:val="20"/>
                <w:color w:val="auto"/>
              </w:rPr>
            </w:pPr>
            <w:r>
              <w:rPr>
                <w:rFonts w:ascii="Arial" w:cs="Arial" w:eastAsia="Arial" w:hAnsi="Arial"/>
                <w:sz w:val="18"/>
                <w:szCs w:val="18"/>
                <w:color w:val="auto"/>
              </w:rPr>
              <w:t>Date:</w:t>
            </w:r>
          </w:p>
        </w:tc>
      </w:tr>
      <w:tr>
        <w:trPr>
          <w:trHeight w:val="223"/>
        </w:trPr>
        <w:tc>
          <w:tcPr>
            <w:tcW w:w="58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4500" w:type="dxa"/>
            <w:vAlign w:val="bottom"/>
            <w:tcBorders>
              <w:top w:val="single" w:sz="8" w:color="auto"/>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As reflected by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WM Technology,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the Company’s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a number of shares of Common Stock at the exercise price indicated in your Grant Notice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and conditions applicable to your Option are as follows:</w:t>
      </w:r>
    </w:p>
    <w:p>
      <w:pPr>
        <w:spacing w:after="0" w:line="227" w:lineRule="exact"/>
        <w:rPr>
          <w:sz w:val="20"/>
          <w:szCs w:val="20"/>
          <w:color w:val="auto"/>
        </w:rPr>
      </w:pPr>
    </w:p>
    <w:p>
      <w:pPr>
        <w:ind w:firstLine="656"/>
        <w:spacing w:after="0" w:line="256" w:lineRule="auto"/>
        <w:tabs>
          <w:tab w:leader="none" w:pos="1377"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22"/>
          <w:szCs w:val="22"/>
          <w:b w:val="1"/>
          <w:bCs w:val="1"/>
          <w:color w:val="auto"/>
        </w:rPr>
        <w:t xml:space="preserve">. </w:t>
      </w:r>
      <w:r>
        <w:rPr>
          <w:rFonts w:ascii="Arial" w:cs="Arial" w:eastAsia="Arial" w:hAnsi="Arial"/>
          <w:sz w:val="22"/>
          <w:szCs w:val="22"/>
          <w:color w:val="auto"/>
        </w:rPr>
        <w:t>Your Option is subject to all the provisions of the Plan, including but not limited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in:</w:t>
      </w:r>
    </w:p>
    <w:p>
      <w:pPr>
        <w:spacing w:after="0" w:line="195" w:lineRule="exact"/>
        <w:rPr>
          <w:rFonts w:ascii="Arial" w:cs="Arial" w:eastAsia="Arial" w:hAnsi="Arial"/>
          <w:sz w:val="22"/>
          <w:szCs w:val="22"/>
          <w:b w:val="1"/>
          <w:bCs w:val="1"/>
          <w:color w:val="auto"/>
        </w:rPr>
      </w:pPr>
    </w:p>
    <w:p>
      <w:pPr>
        <w:ind w:firstLine="1304"/>
        <w:spacing w:after="0" w:line="250" w:lineRule="auto"/>
        <w:tabs>
          <w:tab w:leader="none" w:pos="2303" w:val="left"/>
        </w:tabs>
        <w:numPr>
          <w:ilvl w:val="1"/>
          <w:numId w:val="249"/>
        </w:numPr>
        <w:rPr>
          <w:rFonts w:ascii="Arial" w:cs="Arial" w:eastAsia="Arial" w:hAnsi="Arial"/>
          <w:sz w:val="22"/>
          <w:szCs w:val="22"/>
          <w:b w:val="1"/>
          <w:bCs w:val="1"/>
          <w:color w:val="auto"/>
        </w:rPr>
      </w:pPr>
      <w:r>
        <w:rPr>
          <w:rFonts w:ascii="Arial" w:cs="Arial" w:eastAsia="Arial" w:hAnsi="Arial"/>
          <w:sz w:val="22"/>
          <w:szCs w:val="22"/>
          <w:color w:val="auto"/>
        </w:rPr>
        <w:t>Section 7 regarding the impact of a Capitalization Adjustment, dissolution, liquidation, or Corporate Transaction on your Option;</w:t>
      </w:r>
    </w:p>
    <w:p>
      <w:pPr>
        <w:spacing w:after="0" w:line="201" w:lineRule="exact"/>
        <w:rPr>
          <w:rFonts w:ascii="Arial" w:cs="Arial" w:eastAsia="Arial" w:hAnsi="Arial"/>
          <w:sz w:val="22"/>
          <w:szCs w:val="22"/>
          <w:b w:val="1"/>
          <w:bCs w:val="1"/>
          <w:color w:val="auto"/>
        </w:rPr>
      </w:pPr>
    </w:p>
    <w:p>
      <w:pPr>
        <w:ind w:firstLine="1304"/>
        <w:spacing w:after="0" w:line="250" w:lineRule="auto"/>
        <w:tabs>
          <w:tab w:leader="none" w:pos="2646" w:val="left"/>
        </w:tabs>
        <w:numPr>
          <w:ilvl w:val="1"/>
          <w:numId w:val="249"/>
        </w:numPr>
        <w:rPr>
          <w:rFonts w:ascii="Arial" w:cs="Arial" w:eastAsia="Arial" w:hAnsi="Arial"/>
          <w:sz w:val="22"/>
          <w:szCs w:val="22"/>
          <w:b w:val="1"/>
          <w:bCs w:val="1"/>
          <w:color w:val="auto"/>
        </w:rPr>
      </w:pPr>
      <w:r>
        <w:rPr>
          <w:rFonts w:ascii="Arial" w:cs="Arial" w:eastAsia="Arial" w:hAnsi="Arial"/>
          <w:sz w:val="22"/>
          <w:szCs w:val="22"/>
          <w:color w:val="auto"/>
        </w:rPr>
        <w:t>Section 10(e) regarding the Company’s retained rights to terminate your Continuous Service notwithstanding the grant of the Option; and</w:t>
      </w:r>
    </w:p>
    <w:p>
      <w:pPr>
        <w:spacing w:after="0" w:line="201" w:lineRule="exact"/>
        <w:rPr>
          <w:rFonts w:ascii="Arial" w:cs="Arial" w:eastAsia="Arial" w:hAnsi="Arial"/>
          <w:sz w:val="22"/>
          <w:szCs w:val="22"/>
          <w:b w:val="1"/>
          <w:bCs w:val="1"/>
          <w:color w:val="auto"/>
        </w:rPr>
      </w:pPr>
    </w:p>
    <w:p>
      <w:pPr>
        <w:ind w:left="2080" w:hanging="776"/>
        <w:spacing w:after="0"/>
        <w:tabs>
          <w:tab w:leader="none" w:pos="2080" w:val="left"/>
        </w:tabs>
        <w:numPr>
          <w:ilvl w:val="1"/>
          <w:numId w:val="249"/>
        </w:numPr>
        <w:rPr>
          <w:rFonts w:ascii="Arial" w:cs="Arial" w:eastAsia="Arial" w:hAnsi="Arial"/>
          <w:sz w:val="22"/>
          <w:szCs w:val="22"/>
          <w:b w:val="1"/>
          <w:bCs w:val="1"/>
          <w:color w:val="auto"/>
        </w:rPr>
      </w:pPr>
      <w:r>
        <w:rPr>
          <w:rFonts w:ascii="Arial" w:cs="Arial" w:eastAsia="Arial" w:hAnsi="Arial"/>
          <w:sz w:val="22"/>
          <w:szCs w:val="22"/>
          <w:color w:val="auto"/>
        </w:rPr>
        <w:t>Section 9(c) regarding the tax consequences of your Option.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207" w:lineRule="exact"/>
        <w:rPr>
          <w:sz w:val="20"/>
          <w:szCs w:val="20"/>
          <w:color w:val="auto"/>
        </w:rPr>
      </w:pPr>
    </w:p>
    <w:p>
      <w:pPr>
        <w:ind w:left="1360" w:hanging="704"/>
        <w:spacing w:after="0"/>
        <w:tabs>
          <w:tab w:leader="none" w:pos="136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XERCISE</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36" w:lineRule="auto"/>
        <w:tabs>
          <w:tab w:leader="none" w:pos="2125" w:val="left"/>
        </w:tabs>
        <w:numPr>
          <w:ilvl w:val="1"/>
          <w:numId w:val="250"/>
        </w:numPr>
        <w:rPr>
          <w:rFonts w:ascii="Arial" w:cs="Arial" w:eastAsia="Arial" w:hAnsi="Arial"/>
          <w:sz w:val="22"/>
          <w:szCs w:val="22"/>
          <w:b w:val="1"/>
          <w:bCs w:val="1"/>
          <w:color w:val="auto"/>
        </w:rPr>
      </w:pPr>
      <w:r>
        <w:rPr>
          <w:rFonts w:ascii="Arial" w:cs="Arial" w:eastAsia="Arial" w:hAnsi="Arial"/>
          <w:sz w:val="22"/>
          <w:szCs w:val="22"/>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8(b)(v) of the Plan, which may restrict or prohibit your ability to exercise your Option during certain periods.</w:t>
      </w:r>
    </w:p>
    <w:p>
      <w:pPr>
        <w:spacing w:after="0" w:line="214" w:lineRule="exact"/>
        <w:rPr>
          <w:rFonts w:ascii="Arial" w:cs="Arial" w:eastAsia="Arial" w:hAnsi="Arial"/>
          <w:sz w:val="22"/>
          <w:szCs w:val="22"/>
          <w:b w:val="1"/>
          <w:bCs w:val="1"/>
          <w:color w:val="auto"/>
        </w:rPr>
      </w:pPr>
    </w:p>
    <w:p>
      <w:pPr>
        <w:ind w:left="2100" w:hanging="796"/>
        <w:spacing w:after="0"/>
        <w:tabs>
          <w:tab w:leader="none" w:pos="2100" w:val="left"/>
        </w:tabs>
        <w:numPr>
          <w:ilvl w:val="1"/>
          <w:numId w:val="250"/>
        </w:numPr>
        <w:rPr>
          <w:rFonts w:ascii="Arial" w:cs="Arial" w:eastAsia="Arial" w:hAnsi="Arial"/>
          <w:sz w:val="21"/>
          <w:szCs w:val="21"/>
          <w:b w:val="1"/>
          <w:bCs w:val="1"/>
          <w:color w:val="auto"/>
        </w:rPr>
      </w:pPr>
      <w:r>
        <w:rPr>
          <w:rFonts w:ascii="Arial" w:cs="Arial" w:eastAsia="Arial" w:hAnsi="Arial"/>
          <w:sz w:val="21"/>
          <w:szCs w:val="21"/>
          <w:color w:val="auto"/>
        </w:rPr>
        <w:t>To the extent permitted by Applicable Law, you may pay your Option exercise price as follows:</w:t>
      </w:r>
    </w:p>
    <w:p>
      <w:pPr>
        <w:spacing w:after="0" w:line="244" w:lineRule="exact"/>
        <w:rPr>
          <w:rFonts w:ascii="Arial" w:cs="Arial" w:eastAsia="Arial" w:hAnsi="Arial"/>
          <w:sz w:val="21"/>
          <w:szCs w:val="21"/>
          <w:b w:val="1"/>
          <w:bCs w:val="1"/>
          <w:color w:val="auto"/>
        </w:rPr>
      </w:pPr>
    </w:p>
    <w:p>
      <w:pPr>
        <w:ind w:left="2700" w:hanging="748"/>
        <w:spacing w:after="0"/>
        <w:tabs>
          <w:tab w:leader="none" w:pos="2700" w:val="left"/>
        </w:tabs>
        <w:numPr>
          <w:ilvl w:val="2"/>
          <w:numId w:val="250"/>
        </w:numPr>
        <w:rPr>
          <w:rFonts w:ascii="Arial" w:cs="Arial" w:eastAsia="Arial" w:hAnsi="Arial"/>
          <w:sz w:val="22"/>
          <w:szCs w:val="22"/>
          <w:b w:val="1"/>
          <w:bCs w:val="1"/>
          <w:color w:val="auto"/>
        </w:rPr>
      </w:pPr>
      <w:r>
        <w:rPr>
          <w:rFonts w:ascii="Arial" w:cs="Arial" w:eastAsia="Arial" w:hAnsi="Arial"/>
          <w:sz w:val="22"/>
          <w:szCs w:val="22"/>
          <w:color w:val="auto"/>
        </w:rPr>
        <w:t>cash, check, bank draft or money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4" w:name="page305"/>
    <w:bookmarkEnd w:id="304"/>
    <w:p>
      <w:pPr>
        <w:jc w:val="both"/>
        <w:ind w:firstLine="1952"/>
        <w:spacing w:after="0" w:line="241" w:lineRule="auto"/>
        <w:tabs>
          <w:tab w:leader="none" w:pos="2817" w:val="left"/>
        </w:tabs>
        <w:numPr>
          <w:ilvl w:val="2"/>
          <w:numId w:val="251"/>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210" w:lineRule="exact"/>
        <w:rPr>
          <w:rFonts w:ascii="Arial" w:cs="Arial" w:eastAsia="Arial" w:hAnsi="Arial"/>
          <w:sz w:val="22"/>
          <w:szCs w:val="22"/>
          <w:b w:val="1"/>
          <w:bCs w:val="1"/>
          <w:color w:val="auto"/>
        </w:rPr>
      </w:pPr>
    </w:p>
    <w:p>
      <w:pPr>
        <w:ind w:firstLine="1952"/>
        <w:spacing w:after="0" w:line="250" w:lineRule="auto"/>
        <w:tabs>
          <w:tab w:leader="none" w:pos="2736" w:val="left"/>
        </w:tabs>
        <w:numPr>
          <w:ilvl w:val="2"/>
          <w:numId w:val="251"/>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by delivery of previously owned shares of Common Stock as further described in Section 4(c)(iii) of the Plan; or</w:t>
      </w:r>
    </w:p>
    <w:p>
      <w:pPr>
        <w:spacing w:after="0" w:line="201" w:lineRule="exact"/>
        <w:rPr>
          <w:rFonts w:ascii="Arial" w:cs="Arial" w:eastAsia="Arial" w:hAnsi="Arial"/>
          <w:sz w:val="22"/>
          <w:szCs w:val="22"/>
          <w:b w:val="1"/>
          <w:bCs w:val="1"/>
          <w:color w:val="auto"/>
        </w:rPr>
      </w:pPr>
    </w:p>
    <w:p>
      <w:pPr>
        <w:ind w:firstLine="1952"/>
        <w:spacing w:after="0" w:line="250" w:lineRule="auto"/>
        <w:tabs>
          <w:tab w:leader="none" w:pos="2884" w:val="left"/>
        </w:tabs>
        <w:numPr>
          <w:ilvl w:val="2"/>
          <w:numId w:val="251"/>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if the Option is a Nonstatutory Stock Option, by a “net exercise” arrangement as further described in Section 4(c)(iv) of the Plan.</w:t>
      </w:r>
    </w:p>
    <w:p>
      <w:pPr>
        <w:spacing w:after="0" w:line="201" w:lineRule="exact"/>
        <w:rPr>
          <w:rFonts w:ascii="Arial" w:cs="Arial" w:eastAsia="Arial" w:hAnsi="Arial"/>
          <w:sz w:val="22"/>
          <w:szCs w:val="22"/>
          <w:b w:val="1"/>
          <w:bCs w:val="1"/>
          <w:color w:val="auto"/>
        </w:rPr>
      </w:pPr>
    </w:p>
    <w:p>
      <w:pPr>
        <w:jc w:val="both"/>
        <w:ind w:firstLine="1304"/>
        <w:spacing w:after="0" w:line="272" w:lineRule="auto"/>
        <w:tabs>
          <w:tab w:leader="none" w:pos="2130" w:val="left"/>
        </w:tabs>
        <w:numPr>
          <w:ilvl w:val="1"/>
          <w:numId w:val="252"/>
        </w:numPr>
        <w:rPr>
          <w:rFonts w:ascii="Arial" w:cs="Arial" w:eastAsia="Arial" w:hAnsi="Arial"/>
          <w:sz w:val="19"/>
          <w:szCs w:val="19"/>
          <w:b w:val="1"/>
          <w:bCs w:val="1"/>
          <w:color w:val="auto"/>
        </w:rPr>
      </w:pPr>
      <w:r>
        <w:rPr>
          <w:rFonts w:ascii="Arial" w:cs="Arial" w:eastAsia="Arial" w:hAnsi="Arial"/>
          <w:sz w:val="19"/>
          <w:szCs w:val="19"/>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76" w:lineRule="exact"/>
        <w:rPr>
          <w:rFonts w:ascii="Arial" w:cs="Arial" w:eastAsia="Arial" w:hAnsi="Arial"/>
          <w:sz w:val="19"/>
          <w:szCs w:val="19"/>
          <w:b w:val="1"/>
          <w:bCs w:val="1"/>
          <w:color w:val="auto"/>
        </w:rPr>
      </w:pPr>
    </w:p>
    <w:p>
      <w:pPr>
        <w:ind w:right="20" w:firstLine="656"/>
        <w:spacing w:after="0" w:line="256" w:lineRule="auto"/>
        <w:tabs>
          <w:tab w:leader="none" w:pos="1525"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w:t>
      </w:r>
      <w:r>
        <w:rPr>
          <w:rFonts w:ascii="Arial" w:cs="Arial" w:eastAsia="Arial" w:hAnsi="Arial"/>
          <w:sz w:val="22"/>
          <w:szCs w:val="22"/>
          <w:color w:val="auto"/>
        </w:rPr>
        <w:t>You may not exercise your Option before the commencement of its term or after its term expires.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of your Option commences on the Date of Grant and expires upon the earliest of the following:</w:t>
      </w:r>
    </w:p>
    <w:p>
      <w:pPr>
        <w:spacing w:after="0" w:line="195" w:lineRule="exact"/>
        <w:rPr>
          <w:rFonts w:ascii="Arial" w:cs="Arial" w:eastAsia="Arial" w:hAnsi="Arial"/>
          <w:sz w:val="22"/>
          <w:szCs w:val="22"/>
          <w:b w:val="1"/>
          <w:bCs w:val="1"/>
          <w:color w:val="auto"/>
        </w:rPr>
      </w:pPr>
    </w:p>
    <w:p>
      <w:pPr>
        <w:ind w:left="2100" w:hanging="796"/>
        <w:spacing w:after="0"/>
        <w:tabs>
          <w:tab w:leader="none" w:pos="2100" w:val="left"/>
        </w:tabs>
        <w:numPr>
          <w:ilvl w:val="1"/>
          <w:numId w:val="253"/>
        </w:numPr>
        <w:rPr>
          <w:rFonts w:ascii="Arial" w:cs="Arial" w:eastAsia="Arial" w:hAnsi="Arial"/>
          <w:sz w:val="22"/>
          <w:szCs w:val="22"/>
          <w:b w:val="1"/>
          <w:bCs w:val="1"/>
          <w:color w:val="auto"/>
        </w:rPr>
      </w:pPr>
      <w:r>
        <w:rPr>
          <w:rFonts w:ascii="Arial" w:cs="Arial" w:eastAsia="Arial" w:hAnsi="Arial"/>
          <w:sz w:val="22"/>
          <w:szCs w:val="22"/>
          <w:color w:val="auto"/>
        </w:rPr>
        <w:t>immediately upon the termination of your Continuous Service for Cause;</w:t>
      </w:r>
    </w:p>
    <w:p>
      <w:pPr>
        <w:spacing w:after="0" w:line="233" w:lineRule="exact"/>
        <w:rPr>
          <w:rFonts w:ascii="Arial" w:cs="Arial" w:eastAsia="Arial" w:hAnsi="Arial"/>
          <w:sz w:val="22"/>
          <w:szCs w:val="22"/>
          <w:b w:val="1"/>
          <w:bCs w:val="1"/>
          <w:color w:val="auto"/>
        </w:rPr>
      </w:pPr>
    </w:p>
    <w:p>
      <w:pPr>
        <w:ind w:left="2080" w:hanging="776"/>
        <w:spacing w:after="0"/>
        <w:tabs>
          <w:tab w:leader="none" w:pos="2080" w:val="left"/>
        </w:tabs>
        <w:numPr>
          <w:ilvl w:val="1"/>
          <w:numId w:val="253"/>
        </w:numPr>
        <w:rPr>
          <w:rFonts w:ascii="Arial" w:cs="Arial" w:eastAsia="Arial" w:hAnsi="Arial"/>
          <w:sz w:val="19"/>
          <w:szCs w:val="19"/>
          <w:b w:val="1"/>
          <w:bCs w:val="1"/>
          <w:color w:val="auto"/>
        </w:rPr>
      </w:pPr>
      <w:r>
        <w:rPr>
          <w:rFonts w:ascii="Arial" w:cs="Arial" w:eastAsia="Arial" w:hAnsi="Arial"/>
          <w:sz w:val="19"/>
          <w:szCs w:val="19"/>
          <w:color w:val="auto"/>
        </w:rPr>
        <w:t>three months after the termination of your Continuous Service for any reason other than Cause, Disability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or death;</w:t>
      </w:r>
    </w:p>
    <w:p>
      <w:pPr>
        <w:spacing w:after="0" w:line="215" w:lineRule="exact"/>
        <w:rPr>
          <w:rFonts w:ascii="Arial" w:cs="Arial" w:eastAsia="Arial" w:hAnsi="Arial"/>
          <w:sz w:val="19"/>
          <w:szCs w:val="19"/>
          <w:b w:val="1"/>
          <w:bCs w:val="1"/>
          <w:color w:val="auto"/>
        </w:rPr>
      </w:pPr>
    </w:p>
    <w:p>
      <w:pPr>
        <w:ind w:left="2080" w:hanging="776"/>
        <w:spacing w:after="0"/>
        <w:tabs>
          <w:tab w:leader="none" w:pos="2080" w:val="left"/>
        </w:tabs>
        <w:numPr>
          <w:ilvl w:val="1"/>
          <w:numId w:val="253"/>
        </w:numPr>
        <w:rPr>
          <w:rFonts w:ascii="Arial" w:cs="Arial" w:eastAsia="Arial" w:hAnsi="Arial"/>
          <w:sz w:val="22"/>
          <w:szCs w:val="22"/>
          <w:b w:val="1"/>
          <w:bCs w:val="1"/>
          <w:color w:val="auto"/>
        </w:rPr>
      </w:pPr>
      <w:r>
        <w:rPr>
          <w:rFonts w:ascii="Arial" w:cs="Arial" w:eastAsia="Arial" w:hAnsi="Arial"/>
          <w:sz w:val="22"/>
          <w:szCs w:val="22"/>
          <w:color w:val="auto"/>
        </w:rPr>
        <w:t>12 months after the termination of your Continuous Service due to your Disability;</w:t>
      </w:r>
    </w:p>
    <w:p>
      <w:pPr>
        <w:spacing w:after="0" w:line="233" w:lineRule="exact"/>
        <w:rPr>
          <w:rFonts w:ascii="Arial" w:cs="Arial" w:eastAsia="Arial" w:hAnsi="Arial"/>
          <w:sz w:val="22"/>
          <w:szCs w:val="22"/>
          <w:b w:val="1"/>
          <w:bCs w:val="1"/>
          <w:color w:val="auto"/>
        </w:rPr>
      </w:pPr>
    </w:p>
    <w:p>
      <w:pPr>
        <w:ind w:left="2060" w:hanging="756"/>
        <w:spacing w:after="0"/>
        <w:tabs>
          <w:tab w:leader="none" w:pos="2060" w:val="left"/>
        </w:tabs>
        <w:numPr>
          <w:ilvl w:val="1"/>
          <w:numId w:val="253"/>
        </w:numPr>
        <w:rPr>
          <w:rFonts w:ascii="Arial" w:cs="Arial" w:eastAsia="Arial" w:hAnsi="Arial"/>
          <w:sz w:val="22"/>
          <w:szCs w:val="22"/>
          <w:b w:val="1"/>
          <w:bCs w:val="1"/>
          <w:color w:val="auto"/>
        </w:rPr>
      </w:pPr>
      <w:r>
        <w:rPr>
          <w:rFonts w:ascii="Arial" w:cs="Arial" w:eastAsia="Arial" w:hAnsi="Arial"/>
          <w:sz w:val="22"/>
          <w:szCs w:val="22"/>
          <w:color w:val="auto"/>
        </w:rPr>
        <w:t>18 months after your death if you die during your Continuous Service;</w:t>
      </w:r>
    </w:p>
    <w:p>
      <w:pPr>
        <w:spacing w:after="0" w:line="233" w:lineRule="exact"/>
        <w:rPr>
          <w:rFonts w:ascii="Arial" w:cs="Arial" w:eastAsia="Arial" w:hAnsi="Arial"/>
          <w:sz w:val="22"/>
          <w:szCs w:val="22"/>
          <w:b w:val="1"/>
          <w:bCs w:val="1"/>
          <w:color w:val="auto"/>
        </w:rPr>
      </w:pPr>
    </w:p>
    <w:p>
      <w:pPr>
        <w:ind w:right="20" w:firstLine="1304"/>
        <w:spacing w:after="0" w:line="250" w:lineRule="auto"/>
        <w:tabs>
          <w:tab w:leader="none" w:pos="2140" w:val="left"/>
        </w:tabs>
        <w:numPr>
          <w:ilvl w:val="1"/>
          <w:numId w:val="253"/>
        </w:numPr>
        <w:rPr>
          <w:rFonts w:ascii="Arial" w:cs="Arial" w:eastAsia="Arial" w:hAnsi="Arial"/>
          <w:sz w:val="22"/>
          <w:szCs w:val="22"/>
          <w:b w:val="1"/>
          <w:bCs w:val="1"/>
          <w:color w:val="auto"/>
        </w:rPr>
      </w:pPr>
      <w:r>
        <w:rPr>
          <w:rFonts w:ascii="Arial" w:cs="Arial" w:eastAsia="Arial" w:hAnsi="Arial"/>
          <w:sz w:val="22"/>
          <w:szCs w:val="22"/>
          <w:color w:val="auto"/>
        </w:rPr>
        <w:t>immediately upon a Corporate Transaction if the Board has determined that the Option will terminate in connection with a Corporate Transaction,</w:t>
      </w:r>
    </w:p>
    <w:p>
      <w:pPr>
        <w:spacing w:after="0" w:line="201" w:lineRule="exact"/>
        <w:rPr>
          <w:rFonts w:ascii="Arial" w:cs="Arial" w:eastAsia="Arial" w:hAnsi="Arial"/>
          <w:sz w:val="22"/>
          <w:szCs w:val="22"/>
          <w:b w:val="1"/>
          <w:bCs w:val="1"/>
          <w:color w:val="auto"/>
        </w:rPr>
      </w:pPr>
    </w:p>
    <w:p>
      <w:pPr>
        <w:ind w:left="2060" w:hanging="756"/>
        <w:spacing w:after="0"/>
        <w:tabs>
          <w:tab w:leader="none" w:pos="2060" w:val="left"/>
        </w:tabs>
        <w:numPr>
          <w:ilvl w:val="1"/>
          <w:numId w:val="253"/>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-3772535</wp:posOffset>
            </wp:positionV>
            <wp:extent cx="431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5" w:name="page306"/>
    <w:bookmarkEnd w:id="305"/>
    <w:p>
      <w:pPr>
        <w:ind w:left="2100" w:hanging="796"/>
        <w:spacing w:after="0"/>
        <w:tabs>
          <w:tab w:leader="none" w:pos="2100" w:val="left"/>
        </w:tabs>
        <w:numPr>
          <w:ilvl w:val="0"/>
          <w:numId w:val="254"/>
        </w:numPr>
        <w:rPr>
          <w:rFonts w:ascii="Arial" w:cs="Arial" w:eastAsia="Arial" w:hAnsi="Arial"/>
          <w:sz w:val="22"/>
          <w:szCs w:val="22"/>
          <w:b w:val="1"/>
          <w:bCs w:val="1"/>
          <w:color w:val="auto"/>
        </w:rPr>
      </w:pPr>
      <w:r>
        <w:rPr>
          <w:rFonts w:ascii="Arial" w:cs="Arial" w:eastAsia="Arial" w:hAnsi="Arial"/>
          <w:sz w:val="22"/>
          <w:szCs w:val="22"/>
          <w:color w:val="auto"/>
        </w:rPr>
        <w:t>the day before the 10th anniversary of the Date of Grant.</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209" w:lineRule="exact"/>
        <w:rPr>
          <w:sz w:val="20"/>
          <w:szCs w:val="20"/>
          <w:color w:val="auto"/>
        </w:rPr>
      </w:pPr>
    </w:p>
    <w:p>
      <w:pPr>
        <w:jc w:val="both"/>
        <w:ind w:firstLine="656"/>
        <w:spacing w:after="0" w:line="258" w:lineRule="auto"/>
        <w:tabs>
          <w:tab w:leader="none" w:pos="1390"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further provided in Section 9 of the Plan: (a) you may not exercise your Option</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92" w:lineRule="exact"/>
        <w:rPr>
          <w:rFonts w:ascii="Arial" w:cs="Arial" w:eastAsia="Arial" w:hAnsi="Arial"/>
          <w:sz w:val="20"/>
          <w:szCs w:val="20"/>
          <w:b w:val="1"/>
          <w:bCs w:val="1"/>
          <w:color w:val="auto"/>
        </w:rPr>
      </w:pPr>
    </w:p>
    <w:p>
      <w:pPr>
        <w:jc w:val="both"/>
        <w:ind w:firstLine="656"/>
        <w:spacing w:after="0" w:line="239" w:lineRule="auto"/>
        <w:tabs>
          <w:tab w:leader="none" w:pos="1309"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ISPOSITION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EQUIREMENT</w:t>
      </w:r>
      <w:r>
        <w:rPr>
          <w:rFonts w:ascii="Arial" w:cs="Arial" w:eastAsia="Arial" w:hAnsi="Arial"/>
          <w:sz w:val="22"/>
          <w:szCs w:val="22"/>
          <w:b w:val="1"/>
          <w:bCs w:val="1"/>
          <w:color w:val="auto"/>
        </w:rPr>
        <w:t xml:space="preserve">. </w:t>
      </w:r>
      <w:r>
        <w:rPr>
          <w:rFonts w:ascii="Arial" w:cs="Arial" w:eastAsia="Arial" w:hAnsi="Arial"/>
          <w:sz w:val="22"/>
          <w:szCs w:val="22"/>
          <w:color w:val="auto"/>
        </w:rPr>
        <w:t>If your Option is an Incentive Stock Option, you must notify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207" w:lineRule="exact"/>
        <w:rPr>
          <w:rFonts w:ascii="Arial" w:cs="Arial" w:eastAsia="Arial" w:hAnsi="Arial"/>
          <w:sz w:val="22"/>
          <w:szCs w:val="22"/>
          <w:b w:val="1"/>
          <w:bCs w:val="1"/>
          <w:color w:val="auto"/>
        </w:rPr>
      </w:pPr>
    </w:p>
    <w:p>
      <w:pPr>
        <w:ind w:firstLine="656"/>
        <w:spacing w:after="0" w:line="306" w:lineRule="auto"/>
        <w:tabs>
          <w:tab w:leader="none" w:pos="1566"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Section 4(e) of the Plan, your Option is not transferable,</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will or by the applicable laws of descent and distribution, and is exercisable during your life only by you.</w:t>
      </w:r>
    </w:p>
    <w:p>
      <w:pPr>
        <w:spacing w:after="0" w:line="142" w:lineRule="exact"/>
        <w:rPr>
          <w:rFonts w:ascii="Arial" w:cs="Arial" w:eastAsia="Arial" w:hAnsi="Arial"/>
          <w:sz w:val="20"/>
          <w:szCs w:val="20"/>
          <w:b w:val="1"/>
          <w:bCs w:val="1"/>
          <w:color w:val="auto"/>
        </w:rPr>
      </w:pPr>
    </w:p>
    <w:p>
      <w:pPr>
        <w:jc w:val="both"/>
        <w:ind w:firstLine="656"/>
        <w:spacing w:after="0" w:line="300" w:lineRule="auto"/>
        <w:tabs>
          <w:tab w:leader="none" w:pos="1728" w:val="left"/>
        </w:tabs>
        <w:numPr>
          <w:ilvl w:val="0"/>
          <w:numId w:val="255"/>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ORPORATE</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Your Option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6" w:name="page307"/>
    <w:bookmarkEnd w:id="306"/>
    <w:p>
      <w:pPr>
        <w:jc w:val="both"/>
        <w:ind w:left="-656" w:firstLine="656"/>
        <w:spacing w:after="0" w:line="259" w:lineRule="auto"/>
        <w:tabs>
          <w:tab w:leader="none" w:pos="721"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IABILITY FOR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accepting the Option, you hereby (a) agree to not make any claim</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91" w:lineRule="exact"/>
        <w:rPr>
          <w:rFonts w:ascii="Arial" w:cs="Arial" w:eastAsia="Arial" w:hAnsi="Arial"/>
          <w:sz w:val="20"/>
          <w:szCs w:val="20"/>
          <w:b w:val="1"/>
          <w:bCs w:val="1"/>
          <w:color w:val="auto"/>
        </w:rPr>
      </w:pPr>
    </w:p>
    <w:p>
      <w:pPr>
        <w:jc w:val="both"/>
        <w:ind w:left="-656" w:firstLine="656"/>
        <w:spacing w:after="0" w:line="237" w:lineRule="auto"/>
        <w:tabs>
          <w:tab w:leader="none" w:pos="1031"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part of this Option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208" w:lineRule="exact"/>
        <w:rPr>
          <w:rFonts w:ascii="Arial" w:cs="Arial" w:eastAsia="Arial" w:hAnsi="Arial"/>
          <w:sz w:val="22"/>
          <w:szCs w:val="22"/>
          <w:b w:val="1"/>
          <w:bCs w:val="1"/>
          <w:color w:val="auto"/>
        </w:rPr>
      </w:pPr>
    </w:p>
    <w:p>
      <w:pPr>
        <w:jc w:val="both"/>
        <w:ind w:left="-656" w:firstLine="656"/>
        <w:spacing w:after="0" w:line="243" w:lineRule="auto"/>
        <w:tabs>
          <w:tab w:leader="none" w:pos="1018"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receipt of the Company’s Trading Policy.</w:t>
      </w:r>
    </w:p>
    <w:p>
      <w:pPr>
        <w:spacing w:after="0" w:line="203" w:lineRule="exact"/>
        <w:rPr>
          <w:rFonts w:ascii="Arial" w:cs="Arial" w:eastAsia="Arial" w:hAnsi="Arial"/>
          <w:sz w:val="22"/>
          <w:szCs w:val="22"/>
          <w:b w:val="1"/>
          <w:bCs w:val="1"/>
          <w:color w:val="auto"/>
        </w:rPr>
      </w:pPr>
    </w:p>
    <w:p>
      <w:pPr>
        <w:ind w:left="-656" w:right="20" w:firstLine="656"/>
        <w:spacing w:after="0" w:line="256" w:lineRule="auto"/>
        <w:tabs>
          <w:tab w:leader="none" w:pos="749"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Q</w:t>
      </w:r>
      <w:r>
        <w:rPr>
          <w:rFonts w:ascii="Arial" w:cs="Arial" w:eastAsia="Arial" w:hAnsi="Arial"/>
          <w:sz w:val="14"/>
          <w:szCs w:val="14"/>
          <w:b w:val="1"/>
          <w:bCs w:val="1"/>
          <w:color w:val="auto"/>
        </w:rPr>
        <w:t>UESTIONS</w:t>
      </w:r>
      <w:r>
        <w:rPr>
          <w:rFonts w:ascii="Arial" w:cs="Arial" w:eastAsia="Arial" w:hAnsi="Arial"/>
          <w:sz w:val="22"/>
          <w:szCs w:val="22"/>
          <w:b w:val="1"/>
          <w:bCs w:val="1"/>
          <w:color w:val="auto"/>
        </w:rPr>
        <w:t xml:space="preserve">. </w:t>
      </w:r>
      <w:r>
        <w:rPr>
          <w:rFonts w:ascii="Arial" w:cs="Arial" w:eastAsia="Arial" w:hAnsi="Arial"/>
          <w:sz w:val="22"/>
          <w:szCs w:val="22"/>
          <w:color w:val="auto"/>
        </w:rPr>
        <w:t>If you have questions regarding these or any other terms and conditions applicable to your Option,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summary of the applicable federal income tax consequences please see the Prospectus.</w:t>
      </w:r>
    </w:p>
    <w:p>
      <w:pPr>
        <w:spacing w:after="0" w:line="189" w:lineRule="exact"/>
        <w:rPr>
          <w:rFonts w:ascii="Arial" w:cs="Arial" w:eastAsia="Arial" w:hAnsi="Arial"/>
          <w:sz w:val="22"/>
          <w:szCs w:val="22"/>
          <w:b w:val="1"/>
          <w:bCs w:val="1"/>
          <w:color w:val="auto"/>
        </w:rPr>
      </w:pPr>
    </w:p>
    <w:p>
      <w:pPr>
        <w:ind w:left="4584"/>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276860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EXERCISE</w:t>
      </w:r>
    </w:p>
    <w:p>
      <w:pPr>
        <w:jc w:val="center"/>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T</w:t>
      </w:r>
      <w:r>
        <w:rPr>
          <w:rFonts w:ascii="Arial" w:cs="Arial" w:eastAsia="Arial" w:hAnsi="Arial"/>
          <w:sz w:val="12"/>
          <w:szCs w:val="12"/>
          <w:b w:val="1"/>
          <w:bCs w:val="1"/>
          <w:color w:val="auto"/>
        </w:rPr>
        <w:t>ECHNOLOGY</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240" w:hanging="232"/>
        <w:spacing w:after="0"/>
        <w:tabs>
          <w:tab w:leader="none" w:pos="2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2"/>
          <w:szCs w:val="12"/>
          <w:color w:val="auto"/>
        </w:rPr>
        <w:t>ISCOVERY</w:t>
      </w:r>
    </w:p>
    <w:p>
      <w:pPr>
        <w:spacing w:after="0" w:line="9"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RVINE</w:t>
      </w:r>
      <w:r>
        <w:rPr>
          <w:rFonts w:ascii="Arial" w:cs="Arial" w:eastAsia="Arial" w:hAnsi="Arial"/>
          <w:sz w:val="18"/>
          <w:szCs w:val="18"/>
          <w:color w:val="auto"/>
        </w:rPr>
        <w:t>, C</w:t>
      </w:r>
      <w:r>
        <w:rPr>
          <w:rFonts w:ascii="Arial" w:cs="Arial" w:eastAsia="Arial" w:hAnsi="Arial"/>
          <w:sz w:val="12"/>
          <w:szCs w:val="12"/>
          <w:color w:val="auto"/>
        </w:rPr>
        <w:t>ALIFORNIA</w:t>
      </w:r>
      <w:r>
        <w:rPr>
          <w:rFonts w:ascii="Arial" w:cs="Arial" w:eastAsia="Arial" w:hAnsi="Arial"/>
          <w:sz w:val="18"/>
          <w:szCs w:val="18"/>
          <w:color w:val="auto"/>
        </w:rPr>
        <w:t xml:space="preserve"> 92618</w:t>
      </w:r>
      <w:r>
        <w:rPr>
          <w:sz w:val="20"/>
          <w:szCs w:val="20"/>
          <w:color w:val="auto"/>
        </w:rPr>
        <w:tab/>
      </w:r>
      <w:r>
        <w:rPr>
          <w:rFonts w:ascii="Arial" w:cs="Arial" w:eastAsia="Arial" w:hAnsi="Arial"/>
          <w:sz w:val="16"/>
          <w:szCs w:val="16"/>
          <w:color w:val="auto"/>
        </w:rPr>
        <w:t>Date of Exercise: _______________</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This constitutes notice to WM Technology,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that I elect to purchase the below number of shares of Common Stock of the Company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by exercising my Option for the price set forth below. Capitalized terms not explicitly defined in this Notice of Exercise but defined in the Stock Option Grant Notice, Stock Option Agreement or 2021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520" w:type="dxa"/>
            <w:vAlign w:val="bottom"/>
          </w:tcPr>
          <w:p>
            <w:pPr>
              <w:ind w:left="660"/>
              <w:spacing w:after="0"/>
              <w:rPr>
                <w:sz w:val="20"/>
                <w:szCs w:val="20"/>
                <w:color w:val="auto"/>
              </w:rPr>
            </w:pPr>
            <w:r>
              <w:rPr>
                <w:rFonts w:ascii="Arial" w:cs="Arial" w:eastAsia="Arial" w:hAnsi="Arial"/>
                <w:sz w:val="18"/>
                <w:szCs w:val="18"/>
                <w:color w:val="auto"/>
              </w:rPr>
              <w:t>Type of option (check one):</w:t>
            </w:r>
          </w:p>
        </w:tc>
        <w:tc>
          <w:tcPr>
            <w:tcW w:w="2380" w:type="dxa"/>
            <w:vAlign w:val="bottom"/>
          </w:tcPr>
          <w:p>
            <w:pPr>
              <w:ind w:left="42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334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412"/>
        </w:trPr>
        <w:tc>
          <w:tcPr>
            <w:tcW w:w="5520" w:type="dxa"/>
            <w:vAlign w:val="bottom"/>
          </w:tcPr>
          <w:p>
            <w:pPr>
              <w:ind w:left="660"/>
              <w:spacing w:after="0"/>
              <w:rPr>
                <w:sz w:val="20"/>
                <w:szCs w:val="20"/>
                <w:color w:val="auto"/>
              </w:rPr>
            </w:pPr>
            <w:r>
              <w:rPr>
                <w:rFonts w:ascii="Arial" w:cs="Arial" w:eastAsia="Arial" w:hAnsi="Arial"/>
                <w:sz w:val="18"/>
                <w:szCs w:val="18"/>
                <w:color w:val="auto"/>
              </w:rPr>
              <w:t>Date of Grant:</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660"/>
              <w:spacing w:after="0"/>
              <w:rPr>
                <w:sz w:val="20"/>
                <w:szCs w:val="20"/>
                <w:color w:val="auto"/>
              </w:rPr>
            </w:pPr>
            <w:r>
              <w:rPr>
                <w:rFonts w:ascii="Arial" w:cs="Arial" w:eastAsia="Arial" w:hAnsi="Arial"/>
                <w:sz w:val="18"/>
                <w:szCs w:val="18"/>
                <w:color w:val="auto"/>
              </w:rPr>
              <w:t>Number of Shares as to which Option is exercised:</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660"/>
              <w:spacing w:after="0"/>
              <w:rPr>
                <w:sz w:val="20"/>
                <w:szCs w:val="20"/>
                <w:color w:val="auto"/>
              </w:rPr>
            </w:pPr>
            <w:r>
              <w:rPr>
                <w:rFonts w:ascii="Arial" w:cs="Arial" w:eastAsia="Arial" w:hAnsi="Arial"/>
                <w:sz w:val="18"/>
                <w:szCs w:val="18"/>
                <w:color w:val="auto"/>
              </w:rPr>
              <w:t>Certificates to be issued in name of:</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660"/>
              <w:spacing w:after="0"/>
              <w:rPr>
                <w:sz w:val="20"/>
                <w:szCs w:val="20"/>
                <w:color w:val="auto"/>
              </w:rPr>
            </w:pPr>
            <w:r>
              <w:rPr>
                <w:rFonts w:ascii="Arial" w:cs="Arial" w:eastAsia="Arial" w:hAnsi="Arial"/>
                <w:sz w:val="18"/>
                <w:szCs w:val="18"/>
                <w:color w:val="auto"/>
              </w:rPr>
              <w:t>Total exercise price:</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w w:val="99"/>
              </w:rPr>
              <w:t>Cash, check, bank draft or money order delivered herewith:</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Value of ________ Shares delivered herewith:</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Regulation T Program (cashless exercise)</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w:t>
            </w:r>
          </w:p>
        </w:tc>
        <w:tc>
          <w:tcPr>
            <w:tcW w:w="3340" w:type="dxa"/>
            <w:vAlign w:val="bottom"/>
          </w:tcPr>
          <w:p>
            <w:pPr>
              <w:spacing w:after="0"/>
              <w:rPr>
                <w:sz w:val="24"/>
                <w:szCs w:val="24"/>
                <w:color w:val="auto"/>
              </w:rPr>
            </w:pP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Value of _______ Shares pursuant to net exercise:</w:t>
            </w:r>
          </w:p>
        </w:tc>
        <w:tc>
          <w:tcPr>
            <w:tcW w:w="2380" w:type="dxa"/>
            <w:vAlign w:val="bottom"/>
          </w:tcPr>
          <w:p>
            <w:pPr>
              <w:ind w:left="420"/>
              <w:spacing w:after="0"/>
              <w:rPr>
                <w:sz w:val="20"/>
                <w:szCs w:val="20"/>
                <w:color w:val="auto"/>
              </w:rPr>
            </w:pPr>
            <w:r>
              <w:rPr>
                <w:rFonts w:ascii="Arial" w:cs="Arial" w:eastAsia="Arial" w:hAnsi="Arial"/>
                <w:sz w:val="18"/>
                <w:szCs w:val="18"/>
                <w:color w:val="auto"/>
              </w:rPr>
              <w:t>$_____________</w:t>
            </w:r>
          </w:p>
        </w:tc>
        <w:tc>
          <w:tcPr>
            <w:tcW w:w="3340" w:type="dxa"/>
            <w:vAlign w:val="bottom"/>
          </w:tcPr>
          <w:p>
            <w:pPr>
              <w:spacing w:after="0"/>
              <w:rPr>
                <w:sz w:val="24"/>
                <w:szCs w:val="24"/>
                <w:color w:val="auto"/>
              </w:rPr>
            </w:pPr>
          </w:p>
        </w:tc>
      </w:tr>
      <w:tr>
        <w:trPr>
          <w:trHeight w:val="425"/>
        </w:trPr>
        <w:tc>
          <w:tcPr>
            <w:tcW w:w="5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09" w:name="page310"/>
    <w:bookmarkEnd w:id="309"/>
    <w:p>
      <w:pPr>
        <w:jc w:val="both"/>
        <w:ind w:firstLine="648"/>
        <w:spacing w:after="0" w:line="249" w:lineRule="auto"/>
        <w:rPr>
          <w:sz w:val="20"/>
          <w:szCs w:val="20"/>
          <w:color w:val="auto"/>
        </w:rPr>
      </w:pPr>
      <w:r>
        <w:rPr>
          <w:rFonts w:ascii="Arial" w:cs="Arial" w:eastAsia="Arial" w:hAnsi="Arial"/>
          <w:sz w:val="21"/>
          <w:szCs w:val="21"/>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206" w:lineRule="exact"/>
        <w:rPr>
          <w:sz w:val="20"/>
          <w:szCs w:val="20"/>
          <w:color w:val="auto"/>
        </w:rPr>
      </w:pPr>
    </w:p>
    <w:p>
      <w:pPr>
        <w:jc w:val="both"/>
        <w:ind w:firstLine="648"/>
        <w:spacing w:after="0" w:line="246" w:lineRule="exact"/>
        <w:rPr>
          <w:sz w:val="20"/>
          <w:szCs w:val="20"/>
          <w:color w:val="auto"/>
        </w:rPr>
      </w:pPr>
      <w:r>
        <w:rPr>
          <w:rFonts w:ascii="Arial" w:cs="Arial" w:eastAsia="Arial" w:hAnsi="Arial"/>
          <w:sz w:val="19"/>
          <w:szCs w:val="19"/>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w:t>
      </w:r>
      <w:r>
        <w:rPr>
          <w:rFonts w:ascii="MS PGothic" w:cs="MS PGothic" w:eastAsia="MS PGothic" w:hAnsi="MS PGothic"/>
          <w:sz w:val="19"/>
          <w:szCs w:val="19"/>
          <w:color w:val="auto"/>
        </w:rPr>
        <w:t>‑</w:t>
      </w:r>
      <w:r>
        <w:rPr>
          <w:rFonts w:ascii="Arial" w:cs="Arial" w:eastAsia="Arial" w:hAnsi="Arial"/>
          <w:sz w:val="19"/>
          <w:szCs w:val="19"/>
          <w:color w:val="auto"/>
        </w:rPr>
        <w:t>transfer instructions with respect to securities subject to the foregoing restrictions until the end of such period.</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0" w:name="page311"/>
    <w:bookmarkEnd w:id="310"/>
    <w:p>
      <w:pPr>
        <w:ind w:left="98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10.7(b)</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Technology, I</w:t>
      </w:r>
      <w:r>
        <w:rPr>
          <w:rFonts w:ascii="Arial" w:cs="Arial" w:eastAsia="Arial" w:hAnsi="Arial"/>
          <w:sz w:val="14"/>
          <w:szCs w:val="14"/>
          <w:b w:val="1"/>
          <w:bCs w:val="1"/>
          <w:color w:val="auto"/>
        </w:rPr>
        <w:t>NC</w:t>
      </w:r>
      <w:r>
        <w:rPr>
          <w:rFonts w:ascii="Arial" w:cs="Arial" w:eastAsia="Arial" w:hAnsi="Arial"/>
          <w:sz w:val="22"/>
          <w:szCs w:val="22"/>
          <w:b w:val="1"/>
          <w:bCs w:val="1"/>
          <w:color w:val="auto"/>
        </w:rPr>
        <w:t>. 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WM Technology,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to you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number of restricted stock units specified and on the terms set forth below in consideration of your services (the “</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Your RSU Award is subject to all of the terms and conditions as set forth herein and in the WM Technology, Inc.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85432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85432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85432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85432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55"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6"/>
          <w:szCs w:val="16"/>
          <w:color w:val="auto"/>
        </w:rPr>
        <w:t>[__________________________________________________________________].</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Notwithstanding the foregoing, vesting shall terminate upon the Participant’s termination of Continuous Service.</w:t>
      </w:r>
    </w:p>
    <w:p>
      <w:pPr>
        <w:spacing w:after="0" w:line="234" w:lineRule="exact"/>
        <w:rPr>
          <w:sz w:val="20"/>
          <w:szCs w:val="20"/>
          <w:color w:val="auto"/>
        </w:rPr>
      </w:pPr>
    </w:p>
    <w:p>
      <w:pPr>
        <w:jc w:val="both"/>
        <w:ind w:left="1960" w:hanging="1943"/>
        <w:spacing w:after="0" w:line="277" w:lineRule="auto"/>
        <w:tabs>
          <w:tab w:leader="none" w:pos="19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at the time set forth in Section 5 of the Agreement for each restricted stock unit which vests.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Participant Acknowledgements: </w:t>
      </w:r>
      <w:r>
        <w:rPr>
          <w:rFonts w:ascii="Arial" w:cs="Arial" w:eastAsia="Arial" w:hAnsi="Arial"/>
          <w:sz w:val="22"/>
          <w:szCs w:val="22"/>
          <w:color w:val="auto"/>
        </w:rPr>
        <w:t>By your signature below or by electronic acceptance or authentication in a form authorized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you understand and agree that:</w:t>
      </w:r>
    </w:p>
    <w:p>
      <w:pPr>
        <w:spacing w:after="0" w:line="202" w:lineRule="exact"/>
        <w:rPr>
          <w:sz w:val="20"/>
          <w:szCs w:val="20"/>
          <w:color w:val="auto"/>
        </w:rPr>
      </w:pPr>
    </w:p>
    <w:p>
      <w:pPr>
        <w:jc w:val="both"/>
        <w:ind w:left="660" w:hanging="328"/>
        <w:spacing w:after="0" w:line="311" w:lineRule="auto"/>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RSU Award is governed by this RSU Award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may not be modified, amended or revised except in a writing signed by you and a duly authorized officer of the Company.</w:t>
      </w:r>
    </w:p>
    <w:p>
      <w:pPr>
        <w:spacing w:after="0" w:line="17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73"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4"/>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WM T</w:t>
            </w:r>
            <w:r>
              <w:rPr>
                <w:rFonts w:ascii="Arial" w:cs="Arial" w:eastAsia="Arial" w:hAnsi="Arial"/>
                <w:sz w:val="12"/>
                <w:szCs w:val="12"/>
                <w:b w:val="1"/>
                <w:bCs w:val="1"/>
                <w:color w:val="auto"/>
              </w:rPr>
              <w:t>ECHNOLOGY</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520" w:type="dxa"/>
            <w:vAlign w:val="bottom"/>
            <w:gridSpan w:val="3"/>
          </w:tcPr>
          <w:p>
            <w:pPr>
              <w:ind w:left="4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r>
              <w:rPr>
                <w:rFonts w:ascii="Arial" w:cs="Arial" w:eastAsia="Arial" w:hAnsi="Arial"/>
                <w:sz w:val="18"/>
                <w:szCs w:val="18"/>
                <w:b w:val="1"/>
                <w:bCs w:val="1"/>
                <w:color w:val="auto"/>
              </w:rPr>
              <w:t>:</w:t>
            </w:r>
          </w:p>
        </w:tc>
      </w:tr>
      <w:tr>
        <w:trPr>
          <w:trHeight w:val="453"/>
        </w:trPr>
        <w:tc>
          <w:tcPr>
            <w:tcW w:w="1260" w:type="dxa"/>
            <w:vAlign w:val="bottom"/>
            <w:gridSpan w:val="2"/>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ind w:left="940"/>
              <w:spacing w:after="0" w:line="201" w:lineRule="exact"/>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ind w:left="1620"/>
              <w:spacing w:after="0" w:line="201" w:lineRule="exact"/>
              <w:rPr>
                <w:sz w:val="20"/>
                <w:szCs w:val="20"/>
                <w:color w:val="auto"/>
              </w:rPr>
            </w:pPr>
            <w:r>
              <w:rPr>
                <w:rFonts w:ascii="Arial" w:cs="Arial" w:eastAsia="Arial" w:hAnsi="Arial"/>
                <w:sz w:val="18"/>
                <w:szCs w:val="18"/>
                <w:color w:val="auto"/>
              </w:rPr>
              <w:t>Signature</w:t>
            </w:r>
          </w:p>
        </w:tc>
      </w:tr>
      <w:tr>
        <w:trPr>
          <w:trHeight w:val="25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Date:</w:t>
            </w:r>
          </w:p>
        </w:tc>
        <w:tc>
          <w:tcPr>
            <w:tcW w:w="4480" w:type="dxa"/>
            <w:vAlign w:val="bottom"/>
            <w:tcBorders>
              <w:bottom w:val="single" w:sz="8" w:color="auto"/>
            </w:tcBorders>
          </w:tcPr>
          <w:p>
            <w:pPr>
              <w:spacing w:after="0"/>
              <w:rPr>
                <w:sz w:val="21"/>
                <w:szCs w:val="21"/>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5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b w:val="1"/>
                <w:bCs w:val="1"/>
                <w:color w:val="auto"/>
              </w:rPr>
              <w:t>:</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RSU Award Agreement, 2021 Equity Incentive Plan</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(RSU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As reflected by your RSU Award Grant Notice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WM Technology,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RSU Award under the WM Technology, Inc. 2021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as indicated in your Grant Notice (the “</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The terms of your RSU Award as specified in this Award Agreement for your RSU Award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Grant Notice constitute your “</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Defined terms not explicitly defined in this Agreement but defined in the Grant Notice or the Plan shall have the same definitions as in the Grant Notice or Plan, as applicable.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applicable to your RSU Award are as follows:</w:t>
      </w:r>
    </w:p>
    <w:p>
      <w:pPr>
        <w:spacing w:after="0" w:line="227" w:lineRule="exact"/>
        <w:rPr>
          <w:sz w:val="20"/>
          <w:szCs w:val="20"/>
          <w:color w:val="auto"/>
        </w:rPr>
      </w:pPr>
    </w:p>
    <w:p>
      <w:pPr>
        <w:ind w:firstLine="656"/>
        <w:spacing w:after="0" w:line="256" w:lineRule="auto"/>
        <w:tabs>
          <w:tab w:leader="none" w:pos="1485"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22"/>
          <w:szCs w:val="22"/>
          <w:b w:val="1"/>
          <w:bCs w:val="1"/>
          <w:color w:val="auto"/>
        </w:rPr>
        <w:t xml:space="preserve">. </w:t>
      </w:r>
      <w:r>
        <w:rPr>
          <w:rFonts w:ascii="Arial" w:cs="Arial" w:eastAsia="Arial" w:hAnsi="Arial"/>
          <w:sz w:val="22"/>
          <w:szCs w:val="22"/>
          <w:color w:val="auto"/>
        </w:rPr>
        <w:t>Your RSU Award is subject to all the provisions of the Plan,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the provisions in:</w:t>
      </w:r>
    </w:p>
    <w:p>
      <w:pPr>
        <w:spacing w:after="0" w:line="195" w:lineRule="exact"/>
        <w:rPr>
          <w:rFonts w:ascii="Arial" w:cs="Arial" w:eastAsia="Arial" w:hAnsi="Arial"/>
          <w:sz w:val="22"/>
          <w:szCs w:val="22"/>
          <w:b w:val="1"/>
          <w:bCs w:val="1"/>
          <w:color w:val="auto"/>
        </w:rPr>
      </w:pPr>
    </w:p>
    <w:p>
      <w:pPr>
        <w:ind w:right="20" w:firstLine="1304"/>
        <w:spacing w:after="0" w:line="250" w:lineRule="auto"/>
        <w:tabs>
          <w:tab w:leader="none" w:pos="2054" w:val="left"/>
        </w:tabs>
        <w:numPr>
          <w:ilvl w:val="1"/>
          <w:numId w:val="259"/>
        </w:numPr>
        <w:rPr>
          <w:rFonts w:ascii="Arial" w:cs="Arial" w:eastAsia="Arial" w:hAnsi="Arial"/>
          <w:sz w:val="22"/>
          <w:szCs w:val="22"/>
          <w:b w:val="1"/>
          <w:bCs w:val="1"/>
          <w:color w:val="auto"/>
        </w:rPr>
      </w:pPr>
      <w:r>
        <w:rPr>
          <w:rFonts w:ascii="Arial" w:cs="Arial" w:eastAsia="Arial" w:hAnsi="Arial"/>
          <w:sz w:val="22"/>
          <w:szCs w:val="22"/>
          <w:color w:val="auto"/>
        </w:rPr>
        <w:t>Section 7 of the Plan regarding the impact of a Capitalization Adjustment, dissolution, liquidation, or Corporate Transaction on your RSU Award;</w:t>
      </w:r>
    </w:p>
    <w:p>
      <w:pPr>
        <w:spacing w:after="0" w:line="201" w:lineRule="exact"/>
        <w:rPr>
          <w:rFonts w:ascii="Arial" w:cs="Arial" w:eastAsia="Arial" w:hAnsi="Arial"/>
          <w:sz w:val="22"/>
          <w:szCs w:val="22"/>
          <w:b w:val="1"/>
          <w:bCs w:val="1"/>
          <w:color w:val="auto"/>
        </w:rPr>
      </w:pPr>
    </w:p>
    <w:p>
      <w:pPr>
        <w:ind w:firstLine="1304"/>
        <w:spacing w:after="0" w:line="250" w:lineRule="auto"/>
        <w:tabs>
          <w:tab w:leader="none" w:pos="2125" w:val="left"/>
        </w:tabs>
        <w:numPr>
          <w:ilvl w:val="1"/>
          <w:numId w:val="259"/>
        </w:numPr>
        <w:rPr>
          <w:rFonts w:ascii="Arial" w:cs="Arial" w:eastAsia="Arial" w:hAnsi="Arial"/>
          <w:sz w:val="22"/>
          <w:szCs w:val="22"/>
          <w:b w:val="1"/>
          <w:bCs w:val="1"/>
          <w:color w:val="auto"/>
        </w:rPr>
      </w:pPr>
      <w:r>
        <w:rPr>
          <w:rFonts w:ascii="Arial" w:cs="Arial" w:eastAsia="Arial" w:hAnsi="Arial"/>
          <w:sz w:val="22"/>
          <w:szCs w:val="22"/>
          <w:color w:val="auto"/>
        </w:rPr>
        <w:t>Section 10(e) of the Plan regarding the Company’s retained rights to terminate your Continuous Service notwithstanding the grant of the RSU Award; and</w:t>
      </w:r>
    </w:p>
    <w:p>
      <w:pPr>
        <w:spacing w:after="0" w:line="201" w:lineRule="exact"/>
        <w:rPr>
          <w:rFonts w:ascii="Arial" w:cs="Arial" w:eastAsia="Arial" w:hAnsi="Arial"/>
          <w:sz w:val="22"/>
          <w:szCs w:val="22"/>
          <w:b w:val="1"/>
          <w:bCs w:val="1"/>
          <w:color w:val="auto"/>
        </w:rPr>
      </w:pPr>
    </w:p>
    <w:p>
      <w:pPr>
        <w:ind w:left="2080" w:hanging="776"/>
        <w:spacing w:after="0"/>
        <w:tabs>
          <w:tab w:leader="none" w:pos="2080" w:val="left"/>
        </w:tabs>
        <w:numPr>
          <w:ilvl w:val="1"/>
          <w:numId w:val="259"/>
        </w:numPr>
        <w:rPr>
          <w:rFonts w:ascii="Arial" w:cs="Arial" w:eastAsia="Arial" w:hAnsi="Arial"/>
          <w:sz w:val="22"/>
          <w:szCs w:val="22"/>
          <w:b w:val="1"/>
          <w:bCs w:val="1"/>
          <w:color w:val="auto"/>
        </w:rPr>
      </w:pPr>
      <w:r>
        <w:rPr>
          <w:rFonts w:ascii="Arial" w:cs="Arial" w:eastAsia="Arial" w:hAnsi="Arial"/>
          <w:sz w:val="22"/>
          <w:szCs w:val="22"/>
          <w:color w:val="auto"/>
        </w:rPr>
        <w:t>Section 9(c) of the Plan regarding the tax consequences of your RSU Award.</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207" w:lineRule="exact"/>
        <w:rPr>
          <w:sz w:val="20"/>
          <w:szCs w:val="20"/>
          <w:color w:val="auto"/>
        </w:rPr>
      </w:pPr>
    </w:p>
    <w:p>
      <w:pPr>
        <w:jc w:val="both"/>
        <w:ind w:firstLine="656"/>
        <w:spacing w:after="0" w:line="262" w:lineRule="auto"/>
        <w:tabs>
          <w:tab w:leader="none" w:pos="1390" w:val="left"/>
        </w:tabs>
        <w:numPr>
          <w:ilvl w:val="0"/>
          <w:numId w:val="260"/>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RANT OF THE</w:t>
      </w:r>
      <w:r>
        <w:rPr>
          <w:rFonts w:ascii="Arial" w:cs="Arial" w:eastAsia="Arial" w:hAnsi="Arial"/>
          <w:sz w:val="20"/>
          <w:szCs w:val="20"/>
          <w:b w:val="1"/>
          <w:bCs w:val="1"/>
          <w:color w:val="auto"/>
        </w:rPr>
        <w:t xml:space="preserve"> RSU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w:t>
      </w:r>
      <w:r>
        <w:rPr>
          <w:rFonts w:ascii="Arial" w:cs="Arial" w:eastAsia="Arial" w:hAnsi="Arial"/>
          <w:sz w:val="20"/>
          <w:szCs w:val="20"/>
          <w:color w:val="auto"/>
        </w:rPr>
        <w:t>This RSU Award represents your right to be issued on a future date the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6" w:lineRule="exact"/>
        <w:rPr>
          <w:rFonts w:ascii="Arial" w:cs="Arial" w:eastAsia="Arial" w:hAnsi="Arial"/>
          <w:sz w:val="20"/>
          <w:szCs w:val="20"/>
          <w:b w:val="1"/>
          <w:bCs w:val="1"/>
          <w:color w:val="auto"/>
        </w:rPr>
      </w:pPr>
    </w:p>
    <w:p>
      <w:pPr>
        <w:jc w:val="both"/>
        <w:ind w:firstLine="656"/>
        <w:spacing w:after="0" w:line="239" w:lineRule="auto"/>
        <w:tabs>
          <w:tab w:leader="none" w:pos="1350"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You shall receive no benefit or adjustment to this RSU Award with respect to any cash dividend,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or other 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207" w:lineRule="exact"/>
        <w:rPr>
          <w:rFonts w:ascii="Arial" w:cs="Arial" w:eastAsia="Arial" w:hAnsi="Arial"/>
          <w:sz w:val="22"/>
          <w:szCs w:val="22"/>
          <w:b w:val="1"/>
          <w:bCs w:val="1"/>
          <w:color w:val="auto"/>
        </w:rPr>
      </w:pPr>
    </w:p>
    <w:p>
      <w:pPr>
        <w:jc w:val="both"/>
        <w:ind w:firstLine="656"/>
        <w:spacing w:after="0" w:line="234" w:lineRule="auto"/>
        <w:tabs>
          <w:tab w:leader="none" w:pos="1377"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As further provided in Section 9 of the Plan, you hereby authorize withholding from</w:t>
      </w:r>
      <w:r>
        <w:rPr>
          <w:rFonts w:ascii="Arial" w:cs="Arial" w:eastAsia="Arial" w:hAnsi="Arial"/>
          <w:sz w:val="22"/>
          <w:szCs w:val="22"/>
          <w:b w:val="1"/>
          <w:bCs w:val="1"/>
          <w:color w:val="auto"/>
        </w:rPr>
        <w:t xml:space="preserve"> </w:t>
      </w:r>
      <w:r>
        <w:rPr>
          <w:rFonts w:ascii="Arial" w:cs="Arial" w:eastAsia="Arial" w:hAnsi="Arial"/>
          <w:sz w:val="22"/>
          <w:szCs w:val="22"/>
          <w:color w:val="auto"/>
        </w:rPr>
        <w:t>payroll and any other 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22"/>
          <w:szCs w:val="22"/>
          <w:b w:val="1"/>
          <w:bCs w:val="1"/>
          <w:i w:val="1"/>
          <w:iCs w:val="1"/>
          <w:color w:val="auto"/>
        </w:rPr>
        <w:t>Withholding Obligation</w:t>
      </w:r>
      <w:r>
        <w:rPr>
          <w:rFonts w:ascii="Arial" w:cs="Arial" w:eastAsia="Arial" w:hAnsi="Arial"/>
          <w:sz w:val="22"/>
          <w:szCs w:val="22"/>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3" w:name="page314"/>
    <w:bookmarkEnd w:id="313"/>
    <w:p>
      <w:pPr>
        <w:ind w:left="1420" w:hanging="764"/>
        <w:spacing w:after="0"/>
        <w:tabs>
          <w:tab w:leader="none" w:pos="142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48" w:lineRule="auto"/>
        <w:tabs>
          <w:tab w:leader="none" w:pos="2262" w:val="left"/>
        </w:tabs>
        <w:numPr>
          <w:ilvl w:val="1"/>
          <w:numId w:val="261"/>
        </w:numPr>
        <w:rPr>
          <w:rFonts w:ascii="Arial" w:cs="Arial" w:eastAsia="Arial" w:hAnsi="Arial"/>
          <w:sz w:val="21"/>
          <w:szCs w:val="21"/>
          <w:b w:val="1"/>
          <w:bCs w:val="1"/>
          <w:color w:val="auto"/>
        </w:rPr>
      </w:pPr>
      <w:r>
        <w:rPr>
          <w:rFonts w:ascii="Arial" w:cs="Arial" w:eastAsia="Arial" w:hAnsi="Arial"/>
          <w:sz w:val="21"/>
          <w:szCs w:val="21"/>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1"/>
          <w:szCs w:val="21"/>
          <w:b w:val="1"/>
          <w:bCs w:val="1"/>
          <w:i w:val="1"/>
          <w:iCs w:val="1"/>
          <w:color w:val="auto"/>
        </w:rPr>
        <w:t>Original Issuance Date</w:t>
      </w:r>
      <w:r>
        <w:rPr>
          <w:rFonts w:ascii="Arial" w:cs="Arial" w:eastAsia="Arial" w:hAnsi="Arial"/>
          <w:sz w:val="21"/>
          <w:szCs w:val="21"/>
          <w:color w:val="auto"/>
        </w:rPr>
        <w:t>.”</w:t>
      </w:r>
    </w:p>
    <w:p>
      <w:pPr>
        <w:spacing w:after="0" w:line="203" w:lineRule="exact"/>
        <w:rPr>
          <w:rFonts w:ascii="Arial" w:cs="Arial" w:eastAsia="Arial" w:hAnsi="Arial"/>
          <w:sz w:val="21"/>
          <w:szCs w:val="21"/>
          <w:b w:val="1"/>
          <w:bCs w:val="1"/>
          <w:color w:val="auto"/>
        </w:rPr>
      </w:pPr>
    </w:p>
    <w:p>
      <w:pPr>
        <w:ind w:right="20" w:firstLine="1304"/>
        <w:spacing w:after="0" w:line="250" w:lineRule="auto"/>
        <w:tabs>
          <w:tab w:leader="none" w:pos="2096" w:val="left"/>
        </w:tabs>
        <w:numPr>
          <w:ilvl w:val="1"/>
          <w:numId w:val="261"/>
        </w:numPr>
        <w:rPr>
          <w:rFonts w:ascii="Arial" w:cs="Arial" w:eastAsia="Arial" w:hAnsi="Arial"/>
          <w:sz w:val="22"/>
          <w:szCs w:val="22"/>
          <w:b w:val="1"/>
          <w:bCs w:val="1"/>
          <w:color w:val="auto"/>
        </w:rPr>
      </w:pPr>
      <w:r>
        <w:rPr>
          <w:rFonts w:ascii="Arial" w:cs="Arial" w:eastAsia="Arial" w:hAnsi="Arial"/>
          <w:sz w:val="22"/>
          <w:szCs w:val="22"/>
          <w:color w:val="auto"/>
        </w:rPr>
        <w:t>If the Original Issuance Date falls on a date that is not a business day, delivery shall instead occur on the next following business day. In addition, if:</w:t>
      </w:r>
    </w:p>
    <w:p>
      <w:pPr>
        <w:spacing w:after="0" w:line="201" w:lineRule="exact"/>
        <w:rPr>
          <w:rFonts w:ascii="Arial" w:cs="Arial" w:eastAsia="Arial" w:hAnsi="Arial"/>
          <w:sz w:val="22"/>
          <w:szCs w:val="22"/>
          <w:b w:val="1"/>
          <w:bCs w:val="1"/>
          <w:color w:val="auto"/>
        </w:rPr>
      </w:pPr>
    </w:p>
    <w:p>
      <w:pPr>
        <w:jc w:val="both"/>
        <w:ind w:firstLine="1952"/>
        <w:spacing w:after="0" w:line="282" w:lineRule="auto"/>
        <w:tabs>
          <w:tab w:leader="none" w:pos="2742" w:val="left"/>
        </w:tabs>
        <w:numPr>
          <w:ilvl w:val="2"/>
          <w:numId w:val="261"/>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74" w:lineRule="exact"/>
        <w:rPr>
          <w:rFonts w:ascii="Arial" w:cs="Arial" w:eastAsia="Arial" w:hAnsi="Arial"/>
          <w:sz w:val="19"/>
          <w:szCs w:val="19"/>
          <w:b w:val="1"/>
          <w:bCs w:val="1"/>
          <w:color w:val="auto"/>
        </w:rPr>
      </w:pPr>
    </w:p>
    <w:p>
      <w:pPr>
        <w:jc w:val="both"/>
        <w:ind w:firstLine="1952"/>
        <w:spacing w:after="0" w:line="236" w:lineRule="auto"/>
        <w:tabs>
          <w:tab w:leader="none" w:pos="2865" w:val="left"/>
        </w:tabs>
        <w:numPr>
          <w:ilvl w:val="2"/>
          <w:numId w:val="261"/>
        </w:numPr>
        <w:rPr>
          <w:rFonts w:ascii="Arial" w:cs="Arial" w:eastAsia="Arial" w:hAnsi="Arial"/>
          <w:sz w:val="22"/>
          <w:szCs w:val="22"/>
          <w:b w:val="1"/>
          <w:bCs w:val="1"/>
          <w:color w:val="auto"/>
        </w:rPr>
      </w:pPr>
      <w:r>
        <w:rPr>
          <w:rFonts w:ascii="Arial" w:cs="Arial" w:eastAsia="Arial" w:hAnsi="Arial"/>
          <w:sz w:val="22"/>
          <w:szCs w:val="22"/>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14" w:lineRule="exact"/>
        <w:rPr>
          <w:sz w:val="20"/>
          <w:szCs w:val="20"/>
          <w:color w:val="auto"/>
        </w:rPr>
      </w:pPr>
    </w:p>
    <w:p>
      <w:pPr>
        <w:jc w:val="both"/>
        <w:ind w:firstLine="656"/>
        <w:spacing w:after="0" w:line="277" w:lineRule="auto"/>
        <w:tabs>
          <w:tab w:leader="none" w:pos="1377" w:val="left"/>
        </w:tabs>
        <w:numPr>
          <w:ilvl w:val="0"/>
          <w:numId w:val="262"/>
        </w:numPr>
        <w:rPr>
          <w:rFonts w:ascii="Arial" w:cs="Arial" w:eastAsia="Arial" w:hAnsi="Arial"/>
          <w:sz w:val="19"/>
          <w:szCs w:val="19"/>
          <w:b w:val="1"/>
          <w:bCs w:val="1"/>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78" w:lineRule="exact"/>
        <w:rPr>
          <w:rFonts w:ascii="Arial" w:cs="Arial" w:eastAsia="Arial" w:hAnsi="Arial"/>
          <w:sz w:val="19"/>
          <w:szCs w:val="19"/>
          <w:b w:val="1"/>
          <w:bCs w:val="1"/>
          <w:color w:val="auto"/>
        </w:rPr>
      </w:pPr>
    </w:p>
    <w:p>
      <w:pPr>
        <w:ind w:left="2080" w:hanging="776"/>
        <w:spacing w:after="0"/>
        <w:tabs>
          <w:tab w:leader="none" w:pos="2080" w:val="left"/>
        </w:tabs>
        <w:numPr>
          <w:ilvl w:val="1"/>
          <w:numId w:val="262"/>
        </w:numPr>
        <w:rPr>
          <w:rFonts w:ascii="Arial" w:cs="Arial" w:eastAsia="Arial" w:hAnsi="Arial"/>
          <w:sz w:val="19"/>
          <w:szCs w:val="19"/>
          <w:b w:val="1"/>
          <w:bCs w:val="1"/>
          <w:color w:val="auto"/>
        </w:rPr>
      </w:pPr>
      <w:r>
        <w:rPr>
          <w:rFonts w:ascii="Arial" w:cs="Arial" w:eastAsia="Arial" w:hAnsi="Arial"/>
          <w:sz w:val="19"/>
          <w:szCs w:val="19"/>
          <w:color w:val="auto"/>
        </w:rPr>
        <w:t>To the extent the RSU Award is a Non-Exempt RSU Award, the provisions of Section 12 of the Plan shall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apply.</w:t>
      </w:r>
    </w:p>
    <w:p>
      <w:pPr>
        <w:spacing w:after="0" w:line="209" w:lineRule="exact"/>
        <w:rPr>
          <w:sz w:val="20"/>
          <w:szCs w:val="20"/>
          <w:color w:val="auto"/>
        </w:rPr>
      </w:pPr>
    </w:p>
    <w:p>
      <w:pPr>
        <w:ind w:firstLine="656"/>
        <w:spacing w:after="0" w:line="256" w:lineRule="auto"/>
        <w:tabs>
          <w:tab w:leader="none" w:pos="1255"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the Plan, your RSU Award is not transferable, except by will or</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applicable laws of descent and distribution.</w:t>
      </w:r>
    </w:p>
    <w:p>
      <w:pPr>
        <w:spacing w:after="0" w:line="189" w:lineRule="exact"/>
        <w:rPr>
          <w:rFonts w:ascii="Arial" w:cs="Arial" w:eastAsia="Arial" w:hAnsi="Arial"/>
          <w:sz w:val="22"/>
          <w:szCs w:val="22"/>
          <w:b w:val="1"/>
          <w:bCs w:val="1"/>
          <w:color w:val="auto"/>
        </w:rPr>
      </w:pPr>
    </w:p>
    <w:p>
      <w:pPr>
        <w:jc w:val="both"/>
        <w:ind w:firstLine="656"/>
        <w:spacing w:after="0" w:line="300" w:lineRule="auto"/>
        <w:tabs>
          <w:tab w:leader="none" w:pos="1444" w:val="left"/>
        </w:tabs>
        <w:numPr>
          <w:ilvl w:val="0"/>
          <w:numId w:val="263"/>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ORPORATE</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Your RSU Award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52" w:lineRule="exact"/>
        <w:rPr>
          <w:rFonts w:ascii="Arial" w:cs="Arial" w:eastAsia="Arial" w:hAnsi="Arial"/>
          <w:sz w:val="19"/>
          <w:szCs w:val="19"/>
          <w:b w:val="1"/>
          <w:bCs w:val="1"/>
          <w:color w:val="auto"/>
        </w:rPr>
      </w:pPr>
    </w:p>
    <w:p>
      <w:pPr>
        <w:jc w:val="both"/>
        <w:ind w:firstLine="656"/>
        <w:spacing w:after="0" w:line="237" w:lineRule="auto"/>
        <w:tabs>
          <w:tab w:leader="none" w:pos="1512"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IABILITY FOR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22"/>
          <w:szCs w:val="22"/>
          <w:color w:val="auto"/>
        </w:rPr>
        <w:t>. As a condition to accepting the RSU Award, you hereby (a) agree to not make any</w:t>
      </w:r>
      <w:r>
        <w:rPr>
          <w:rFonts w:ascii="Arial" w:cs="Arial" w:eastAsia="Arial" w:hAnsi="Arial"/>
          <w:sz w:val="22"/>
          <w:szCs w:val="22"/>
          <w:b w:val="1"/>
          <w:bCs w:val="1"/>
          <w:color w:val="auto"/>
        </w:rPr>
        <w:t xml:space="preserve"> </w:t>
      </w:r>
      <w:r>
        <w:rPr>
          <w:rFonts w:ascii="Arial" w:cs="Arial" w:eastAsia="Arial" w:hAnsi="Arial"/>
          <w:sz w:val="22"/>
          <w:szCs w:val="22"/>
          <w:color w:val="auto"/>
        </w:rPr>
        <w:t>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4" w:name="page315"/>
    <w:bookmarkEnd w:id="314"/>
    <w:p>
      <w:pPr>
        <w:jc w:val="both"/>
        <w:ind w:firstLine="656"/>
        <w:spacing w:after="0" w:line="237" w:lineRule="auto"/>
        <w:tabs>
          <w:tab w:leader="none" w:pos="135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color w:val="auto"/>
        </w:rPr>
        <w:t>. If any part of this Agreement or the Plan is declared by any court or governmental authority to be</w:t>
      </w:r>
      <w:r>
        <w:rPr>
          <w:rFonts w:ascii="Arial" w:cs="Arial" w:eastAsia="Arial" w:hAnsi="Arial"/>
          <w:sz w:val="22"/>
          <w:szCs w:val="22"/>
          <w:b w:val="1"/>
          <w:bCs w:val="1"/>
          <w:color w:val="auto"/>
        </w:rPr>
        <w:t xml:space="preserve"> </w:t>
      </w:r>
      <w:r>
        <w:rPr>
          <w:rFonts w:ascii="Arial" w:cs="Arial" w:eastAsia="Arial" w:hAnsi="Arial"/>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209" w:lineRule="exact"/>
        <w:rPr>
          <w:rFonts w:ascii="Arial" w:cs="Arial" w:eastAsia="Arial" w:hAnsi="Arial"/>
          <w:sz w:val="22"/>
          <w:szCs w:val="22"/>
          <w:b w:val="1"/>
          <w:bCs w:val="1"/>
          <w:color w:val="auto"/>
        </w:rPr>
      </w:pPr>
    </w:p>
    <w:p>
      <w:pPr>
        <w:jc w:val="both"/>
        <w:ind w:firstLine="656"/>
        <w:spacing w:after="0" w:line="243" w:lineRule="auto"/>
        <w:tabs>
          <w:tab w:leader="none" w:pos="1674"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receipt of the Company’s Trading Policy.</w:t>
      </w:r>
    </w:p>
    <w:p>
      <w:pPr>
        <w:spacing w:after="0" w:line="203" w:lineRule="exact"/>
        <w:rPr>
          <w:rFonts w:ascii="Arial" w:cs="Arial" w:eastAsia="Arial" w:hAnsi="Arial"/>
          <w:sz w:val="22"/>
          <w:szCs w:val="22"/>
          <w:b w:val="1"/>
          <w:bCs w:val="1"/>
          <w:color w:val="auto"/>
        </w:rPr>
      </w:pPr>
    </w:p>
    <w:p>
      <w:pPr>
        <w:ind w:firstLine="656"/>
        <w:spacing w:after="0" w:line="306" w:lineRule="auto"/>
        <w:tabs>
          <w:tab w:leader="none" w:pos="1527" w:val="left"/>
        </w:tabs>
        <w:numPr>
          <w:ilvl w:val="0"/>
          <w:numId w:val="264"/>
        </w:numPr>
        <w:rPr>
          <w:rFonts w:ascii="Arial" w:cs="Arial" w:eastAsia="Arial" w:hAnsi="Arial"/>
          <w:sz w:val="20"/>
          <w:szCs w:val="20"/>
          <w:b w:val="1"/>
          <w:bCs w:val="1"/>
          <w:color w:val="auto"/>
        </w:rPr>
      </w:pPr>
      <w:r>
        <w:rPr>
          <w:rFonts w:ascii="Arial" w:cs="Arial" w:eastAsia="Arial" w:hAnsi="Arial"/>
          <w:sz w:val="20"/>
          <w:szCs w:val="20"/>
          <w:b w:val="1"/>
          <w:bCs w:val="1"/>
          <w:color w:val="auto"/>
        </w:rPr>
        <w:t>Q</w:t>
      </w:r>
      <w:r>
        <w:rPr>
          <w:rFonts w:ascii="Arial" w:cs="Arial" w:eastAsia="Arial" w:hAnsi="Arial"/>
          <w:sz w:val="13"/>
          <w:szCs w:val="13"/>
          <w:b w:val="1"/>
          <w:bCs w:val="1"/>
          <w:color w:val="auto"/>
        </w:rPr>
        <w:t>UESTIONS</w:t>
      </w:r>
      <w:r>
        <w:rPr>
          <w:rFonts w:ascii="Arial" w:cs="Arial" w:eastAsia="Arial" w:hAnsi="Arial"/>
          <w:sz w:val="20"/>
          <w:szCs w:val="20"/>
          <w:b w:val="1"/>
          <w:bCs w:val="1"/>
          <w:color w:val="auto"/>
        </w:rPr>
        <w:t xml:space="preserve">. </w:t>
      </w:r>
      <w:r>
        <w:rPr>
          <w:rFonts w:ascii="Arial" w:cs="Arial" w:eastAsia="Arial" w:hAnsi="Arial"/>
          <w:sz w:val="20"/>
          <w:szCs w:val="20"/>
          <w:color w:val="auto"/>
        </w:rPr>
        <w:t>If you have questions regarding these or any other terms and conditions applicable to your RSU</w:t>
      </w:r>
      <w:r>
        <w:rPr>
          <w:rFonts w:ascii="Arial" w:cs="Arial" w:eastAsia="Arial" w:hAnsi="Arial"/>
          <w:sz w:val="20"/>
          <w:szCs w:val="20"/>
          <w:b w:val="1"/>
          <w:bCs w:val="1"/>
          <w:color w:val="auto"/>
        </w:rPr>
        <w:t xml:space="preserve"> </w:t>
      </w:r>
      <w:r>
        <w:rPr>
          <w:rFonts w:ascii="Arial" w:cs="Arial" w:eastAsia="Arial" w:hAnsi="Arial"/>
          <w:sz w:val="20"/>
          <w:szCs w:val="20"/>
          <w:color w:val="auto"/>
        </w:rPr>
        <w:t>Award, including a summary of the applicable federal income tax consequences please see the Prospectus.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16, 2021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10, 2021</w:t>
      </w:r>
    </w:p>
    <w:p>
      <w:pPr>
        <w:spacing w:after="0" w:line="242"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P</w:t>
      </w:r>
      <w:r>
        <w:rPr>
          <w:rFonts w:ascii="Arial" w:cs="Arial" w:eastAsia="Arial" w:hAnsi="Arial"/>
          <w:sz w:val="12"/>
          <w:szCs w:val="12"/>
          <w:b w:val="1"/>
          <w:bCs w:val="1"/>
          <w:color w:val="auto"/>
        </w:rPr>
        <w:t>URPOSE</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right="20" w:firstLine="656"/>
        <w:spacing w:after="0"/>
        <w:tabs>
          <w:tab w:leader="none" w:pos="1341" w:val="left"/>
        </w:tabs>
        <w:numPr>
          <w:ilvl w:val="1"/>
          <w:numId w:val="265"/>
        </w:numPr>
        <w:rPr>
          <w:rFonts w:ascii="Arial" w:cs="Arial" w:eastAsia="Arial" w:hAnsi="Arial"/>
          <w:sz w:val="22"/>
          <w:szCs w:val="22"/>
          <w:b w:val="1"/>
          <w:bCs w:val="1"/>
          <w:color w:val="auto"/>
        </w:rPr>
      </w:pPr>
      <w:r>
        <w:rPr>
          <w:rFonts w:ascii="Arial" w:cs="Arial" w:eastAsia="Arial" w:hAnsi="Arial"/>
          <w:sz w:val="22"/>
          <w:szCs w:val="22"/>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213" w:lineRule="exact"/>
        <w:rPr>
          <w:rFonts w:ascii="Arial" w:cs="Arial" w:eastAsia="Arial" w:hAnsi="Arial"/>
          <w:sz w:val="22"/>
          <w:szCs w:val="22"/>
          <w:b w:val="1"/>
          <w:bCs w:val="1"/>
          <w:color w:val="auto"/>
        </w:rPr>
      </w:pPr>
    </w:p>
    <w:p>
      <w:pPr>
        <w:jc w:val="both"/>
        <w:ind w:firstLine="656"/>
        <w:spacing w:after="0" w:line="273" w:lineRule="auto"/>
        <w:tabs>
          <w:tab w:leader="none" w:pos="1456" w:val="left"/>
        </w:tabs>
        <w:numPr>
          <w:ilvl w:val="1"/>
          <w:numId w:val="265"/>
        </w:numPr>
        <w:rPr>
          <w:rFonts w:ascii="Arial" w:cs="Arial" w:eastAsia="Arial" w:hAnsi="Arial"/>
          <w:sz w:val="19"/>
          <w:szCs w:val="19"/>
          <w:b w:val="1"/>
          <w:bCs w:val="1"/>
          <w:color w:val="auto"/>
        </w:rPr>
      </w:pPr>
      <w:r>
        <w:rPr>
          <w:rFonts w:ascii="Arial" w:cs="Arial" w:eastAsia="Arial" w:hAnsi="Arial"/>
          <w:sz w:val="19"/>
          <w:szCs w:val="19"/>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w:t>
      </w:r>
    </w:p>
    <w:p>
      <w:pPr>
        <w:spacing w:after="0" w:line="1" w:lineRule="exact"/>
        <w:rPr>
          <w:rFonts w:ascii="Arial" w:cs="Arial" w:eastAsia="Arial" w:hAnsi="Arial"/>
          <w:sz w:val="19"/>
          <w:szCs w:val="19"/>
          <w:b w:val="1"/>
          <w:bCs w:val="1"/>
          <w:color w:val="auto"/>
        </w:rPr>
      </w:pPr>
    </w:p>
    <w:p>
      <w:pPr>
        <w:jc w:val="both"/>
        <w:ind w:firstLine="8"/>
        <w:spacing w:after="0" w:line="275" w:lineRule="auto"/>
        <w:tabs>
          <w:tab w:leader="none" w:pos="38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80" w:lineRule="exact"/>
        <w:rPr>
          <w:rFonts w:ascii="Arial" w:cs="Arial" w:eastAsia="Arial" w:hAnsi="Arial"/>
          <w:sz w:val="19"/>
          <w:szCs w:val="19"/>
          <w:color w:val="auto"/>
        </w:rPr>
      </w:pPr>
    </w:p>
    <w:p>
      <w:pPr>
        <w:jc w:val="both"/>
        <w:ind w:firstLine="656"/>
        <w:spacing w:after="0"/>
        <w:tabs>
          <w:tab w:leader="none" w:pos="1480" w:val="left"/>
        </w:tabs>
        <w:numPr>
          <w:ilvl w:val="1"/>
          <w:numId w:val="266"/>
        </w:numPr>
        <w:rPr>
          <w:rFonts w:ascii="Arial" w:cs="Arial" w:eastAsia="Arial" w:hAnsi="Arial"/>
          <w:sz w:val="22"/>
          <w:szCs w:val="22"/>
          <w:b w:val="1"/>
          <w:bCs w:val="1"/>
          <w:color w:val="auto"/>
        </w:rPr>
      </w:pPr>
      <w:r>
        <w:rPr>
          <w:rFonts w:ascii="Arial" w:cs="Arial" w:eastAsia="Arial" w:hAnsi="Arial"/>
          <w:sz w:val="22"/>
          <w:szCs w:val="22"/>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16" w:lineRule="exact"/>
        <w:rPr>
          <w:rFonts w:ascii="Arial" w:cs="Arial" w:eastAsia="Arial" w:hAnsi="Arial"/>
          <w:sz w:val="22"/>
          <w:szCs w:val="22"/>
          <w:b w:val="1"/>
          <w:bCs w:val="1"/>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ind w:firstLine="656"/>
        <w:spacing w:after="0" w:line="250" w:lineRule="auto"/>
        <w:tabs>
          <w:tab w:leader="none" w:pos="1781" w:val="left"/>
        </w:tabs>
        <w:numPr>
          <w:ilvl w:val="1"/>
          <w:numId w:val="267"/>
        </w:numPr>
        <w:rPr>
          <w:rFonts w:ascii="Arial" w:cs="Arial" w:eastAsia="Arial" w:hAnsi="Arial"/>
          <w:sz w:val="22"/>
          <w:szCs w:val="22"/>
          <w:b w:val="1"/>
          <w:bCs w:val="1"/>
          <w:color w:val="auto"/>
        </w:rPr>
      </w:pPr>
      <w:r>
        <w:rPr>
          <w:rFonts w:ascii="Arial" w:cs="Arial" w:eastAsia="Arial" w:hAnsi="Arial"/>
          <w:sz w:val="22"/>
          <w:szCs w:val="22"/>
          <w:color w:val="auto"/>
        </w:rPr>
        <w:t>The Board will administer the Plan unless and until the Board delegates administration of the Plan to a Committee or Committees, as provided in Section 2(c).</w:t>
      </w:r>
    </w:p>
    <w:p>
      <w:pPr>
        <w:spacing w:after="0" w:line="201" w:lineRule="exact"/>
        <w:rPr>
          <w:rFonts w:ascii="Arial" w:cs="Arial" w:eastAsia="Arial" w:hAnsi="Arial"/>
          <w:sz w:val="22"/>
          <w:szCs w:val="22"/>
          <w:b w:val="1"/>
          <w:bCs w:val="1"/>
          <w:color w:val="auto"/>
        </w:rPr>
      </w:pPr>
    </w:p>
    <w:p>
      <w:pPr>
        <w:ind w:left="1460" w:hanging="804"/>
        <w:spacing w:after="0"/>
        <w:tabs>
          <w:tab w:leader="none" w:pos="1460" w:val="left"/>
        </w:tabs>
        <w:numPr>
          <w:ilvl w:val="1"/>
          <w:numId w:val="267"/>
        </w:numPr>
        <w:rPr>
          <w:rFonts w:ascii="Arial" w:cs="Arial" w:eastAsia="Arial" w:hAnsi="Arial"/>
          <w:sz w:val="19"/>
          <w:szCs w:val="19"/>
          <w:b w:val="1"/>
          <w:bCs w:val="1"/>
          <w:color w:val="auto"/>
        </w:rPr>
      </w:pPr>
      <w:r>
        <w:rPr>
          <w:rFonts w:ascii="Arial" w:cs="Arial" w:eastAsia="Arial" w:hAnsi="Arial"/>
          <w:sz w:val="19"/>
          <w:szCs w:val="19"/>
          <w:color w:val="auto"/>
        </w:rPr>
        <w:t>The Board will have the power, subject to, and within the limitations of, the express provisions of the Plan:</w:t>
      </w:r>
    </w:p>
    <w:p>
      <w:pPr>
        <w:spacing w:after="0" w:line="267" w:lineRule="exact"/>
        <w:rPr>
          <w:rFonts w:ascii="Arial" w:cs="Arial" w:eastAsia="Arial" w:hAnsi="Arial"/>
          <w:sz w:val="19"/>
          <w:szCs w:val="19"/>
          <w:b w:val="1"/>
          <w:bCs w:val="1"/>
          <w:color w:val="auto"/>
        </w:rPr>
      </w:pPr>
    </w:p>
    <w:p>
      <w:pPr>
        <w:ind w:left="2100" w:hanging="796"/>
        <w:spacing w:after="0"/>
        <w:tabs>
          <w:tab w:leader="none" w:pos="2100" w:val="left"/>
        </w:tabs>
        <w:numPr>
          <w:ilvl w:val="2"/>
          <w:numId w:val="267"/>
        </w:numPr>
        <w:rPr>
          <w:rFonts w:ascii="Arial" w:cs="Arial" w:eastAsia="Arial" w:hAnsi="Arial"/>
          <w:sz w:val="19"/>
          <w:szCs w:val="19"/>
          <w:b w:val="1"/>
          <w:bCs w:val="1"/>
          <w:color w:val="auto"/>
        </w:rPr>
      </w:pPr>
      <w:r>
        <w:rPr>
          <w:rFonts w:ascii="Arial" w:cs="Arial" w:eastAsia="Arial" w:hAnsi="Arial"/>
          <w:sz w:val="19"/>
          <w:szCs w:val="19"/>
          <w:color w:val="auto"/>
        </w:rPr>
        <w:t>To determine how and when Purchase Rights will be granted and the provisions of each Offering (which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need not be identical).</w:t>
      </w:r>
    </w:p>
    <w:p>
      <w:pPr>
        <w:spacing w:after="0" w:line="215" w:lineRule="exact"/>
        <w:rPr>
          <w:rFonts w:ascii="Arial" w:cs="Arial" w:eastAsia="Arial" w:hAnsi="Arial"/>
          <w:sz w:val="19"/>
          <w:szCs w:val="19"/>
          <w:b w:val="1"/>
          <w:bCs w:val="1"/>
          <w:color w:val="auto"/>
        </w:rPr>
      </w:pPr>
    </w:p>
    <w:p>
      <w:pPr>
        <w:jc w:val="both"/>
        <w:ind w:firstLine="1304"/>
        <w:spacing w:after="0" w:line="236" w:lineRule="auto"/>
        <w:tabs>
          <w:tab w:leader="none" w:pos="2284" w:val="left"/>
        </w:tabs>
        <w:numPr>
          <w:ilvl w:val="2"/>
          <w:numId w:val="267"/>
        </w:numPr>
        <w:rPr>
          <w:rFonts w:ascii="Arial" w:cs="Arial" w:eastAsia="Arial" w:hAnsi="Arial"/>
          <w:sz w:val="22"/>
          <w:szCs w:val="22"/>
          <w:b w:val="1"/>
          <w:bCs w:val="1"/>
          <w:color w:val="auto"/>
        </w:rPr>
      </w:pPr>
      <w:r>
        <w:rPr>
          <w:rFonts w:ascii="Arial" w:cs="Arial" w:eastAsia="Arial" w:hAnsi="Arial"/>
          <w:sz w:val="22"/>
          <w:szCs w:val="22"/>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214" w:lineRule="exact"/>
        <w:rPr>
          <w:rFonts w:ascii="Arial" w:cs="Arial" w:eastAsia="Arial" w:hAnsi="Arial"/>
          <w:sz w:val="22"/>
          <w:szCs w:val="22"/>
          <w:b w:val="1"/>
          <w:bCs w:val="1"/>
          <w:color w:val="auto"/>
        </w:rPr>
      </w:pPr>
    </w:p>
    <w:p>
      <w:pPr>
        <w:jc w:val="both"/>
        <w:ind w:firstLine="1304"/>
        <w:spacing w:after="0" w:line="257" w:lineRule="auto"/>
        <w:tabs>
          <w:tab w:leader="none" w:pos="2205" w:val="left"/>
        </w:tabs>
        <w:numPr>
          <w:ilvl w:val="2"/>
          <w:numId w:val="267"/>
        </w:numPr>
        <w:rPr>
          <w:rFonts w:ascii="Arial" w:cs="Arial" w:eastAsia="Arial" w:hAnsi="Arial"/>
          <w:sz w:val="21"/>
          <w:szCs w:val="21"/>
          <w:b w:val="1"/>
          <w:bCs w:val="1"/>
          <w:color w:val="auto"/>
        </w:rPr>
      </w:pPr>
      <w:r>
        <w:rPr>
          <w:rFonts w:ascii="Arial" w:cs="Arial" w:eastAsia="Arial" w:hAnsi="Arial"/>
          <w:sz w:val="21"/>
          <w:szCs w:val="21"/>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6" w:name="page317"/>
    <w:bookmarkEnd w:id="316"/>
    <w:p>
      <w:pPr>
        <w:ind w:left="2040" w:hanging="736"/>
        <w:spacing w:after="0"/>
        <w:tabs>
          <w:tab w:leader="none" w:pos="2040" w:val="left"/>
        </w:tabs>
        <w:numPr>
          <w:ilvl w:val="2"/>
          <w:numId w:val="268"/>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Purchase Rights granted under the Plan.</w:t>
      </w:r>
    </w:p>
    <w:p>
      <w:pPr>
        <w:spacing w:after="0" w:line="233" w:lineRule="exact"/>
        <w:rPr>
          <w:rFonts w:ascii="Arial" w:cs="Arial" w:eastAsia="Arial" w:hAnsi="Arial"/>
          <w:sz w:val="22"/>
          <w:szCs w:val="22"/>
          <w:b w:val="1"/>
          <w:bCs w:val="1"/>
          <w:color w:val="auto"/>
        </w:rPr>
      </w:pPr>
    </w:p>
    <w:p>
      <w:pPr>
        <w:ind w:left="2040" w:hanging="736"/>
        <w:spacing w:after="0"/>
        <w:tabs>
          <w:tab w:leader="none" w:pos="2040" w:val="left"/>
        </w:tabs>
        <w:numPr>
          <w:ilvl w:val="2"/>
          <w:numId w:val="268"/>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as provided in Section 12.</w:t>
      </w:r>
    </w:p>
    <w:p>
      <w:pPr>
        <w:spacing w:after="0" w:line="233" w:lineRule="exact"/>
        <w:rPr>
          <w:rFonts w:ascii="Arial" w:cs="Arial" w:eastAsia="Arial" w:hAnsi="Arial"/>
          <w:sz w:val="22"/>
          <w:szCs w:val="22"/>
          <w:b w:val="1"/>
          <w:bCs w:val="1"/>
          <w:color w:val="auto"/>
        </w:rPr>
      </w:pPr>
    </w:p>
    <w:p>
      <w:pPr>
        <w:ind w:left="2040" w:hanging="736"/>
        <w:spacing w:after="0"/>
        <w:tabs>
          <w:tab w:leader="none" w:pos="2040" w:val="left"/>
        </w:tabs>
        <w:numPr>
          <w:ilvl w:val="2"/>
          <w:numId w:val="268"/>
        </w:numPr>
        <w:rPr>
          <w:rFonts w:ascii="Arial" w:cs="Arial" w:eastAsia="Arial" w:hAnsi="Arial"/>
          <w:sz w:val="22"/>
          <w:szCs w:val="22"/>
          <w:b w:val="1"/>
          <w:bCs w:val="1"/>
          <w:color w:val="auto"/>
        </w:rPr>
      </w:pPr>
      <w:r>
        <w:rPr>
          <w:rFonts w:ascii="Arial" w:cs="Arial" w:eastAsia="Arial" w:hAnsi="Arial"/>
          <w:sz w:val="22"/>
          <w:szCs w:val="22"/>
          <w:color w:val="auto"/>
        </w:rPr>
        <w:t>To amend the Plan at any time as provided in Section 12.</w:t>
      </w:r>
    </w:p>
    <w:p>
      <w:pPr>
        <w:spacing w:after="0" w:line="233" w:lineRule="exact"/>
        <w:rPr>
          <w:rFonts w:ascii="Arial" w:cs="Arial" w:eastAsia="Arial" w:hAnsi="Arial"/>
          <w:sz w:val="22"/>
          <w:szCs w:val="22"/>
          <w:b w:val="1"/>
          <w:bCs w:val="1"/>
          <w:color w:val="auto"/>
        </w:rPr>
      </w:pPr>
    </w:p>
    <w:p>
      <w:pPr>
        <w:jc w:val="both"/>
        <w:ind w:firstLine="1304"/>
        <w:spacing w:after="0"/>
        <w:tabs>
          <w:tab w:leader="none" w:pos="2272" w:val="left"/>
        </w:tabs>
        <w:numPr>
          <w:ilvl w:val="2"/>
          <w:numId w:val="268"/>
        </w:numPr>
        <w:rPr>
          <w:rFonts w:ascii="Arial" w:cs="Arial" w:eastAsia="Arial" w:hAnsi="Arial"/>
          <w:sz w:val="22"/>
          <w:szCs w:val="22"/>
          <w:b w:val="1"/>
          <w:bCs w:val="1"/>
          <w:color w:val="auto"/>
        </w:rPr>
      </w:pPr>
      <w:r>
        <w:rPr>
          <w:rFonts w:ascii="Arial" w:cs="Arial" w:eastAsia="Arial" w:hAnsi="Arial"/>
          <w:sz w:val="22"/>
          <w:szCs w:val="22"/>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213" w:lineRule="exact"/>
        <w:rPr>
          <w:rFonts w:ascii="Arial" w:cs="Arial" w:eastAsia="Arial" w:hAnsi="Arial"/>
          <w:sz w:val="22"/>
          <w:szCs w:val="22"/>
          <w:b w:val="1"/>
          <w:bCs w:val="1"/>
          <w:color w:val="auto"/>
        </w:rPr>
      </w:pPr>
    </w:p>
    <w:p>
      <w:pPr>
        <w:ind w:firstLine="1304"/>
        <w:spacing w:after="0" w:line="250" w:lineRule="auto"/>
        <w:tabs>
          <w:tab w:leader="none" w:pos="2063" w:val="left"/>
        </w:tabs>
        <w:numPr>
          <w:ilvl w:val="2"/>
          <w:numId w:val="268"/>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participation in the Plan by Employees who are foreign nationals or employed outside the United States.</w:t>
      </w:r>
    </w:p>
    <w:p>
      <w:pPr>
        <w:spacing w:after="0" w:line="201" w:lineRule="exact"/>
        <w:rPr>
          <w:rFonts w:ascii="Arial" w:cs="Arial" w:eastAsia="Arial" w:hAnsi="Arial"/>
          <w:sz w:val="22"/>
          <w:szCs w:val="22"/>
          <w:b w:val="1"/>
          <w:bCs w:val="1"/>
          <w:color w:val="auto"/>
        </w:rPr>
      </w:pPr>
    </w:p>
    <w:p>
      <w:pPr>
        <w:jc w:val="both"/>
        <w:ind w:firstLine="656"/>
        <w:spacing w:after="0" w:line="245" w:lineRule="auto"/>
        <w:tabs>
          <w:tab w:leader="none" w:pos="1647" w:val="left"/>
        </w:tabs>
        <w:numPr>
          <w:ilvl w:val="1"/>
          <w:numId w:val="269"/>
        </w:numPr>
        <w:rPr>
          <w:rFonts w:ascii="Arial" w:cs="Arial" w:eastAsia="Arial" w:hAnsi="Arial"/>
          <w:sz w:val="21"/>
          <w:szCs w:val="21"/>
          <w:b w:val="1"/>
          <w:bCs w:val="1"/>
          <w:color w:val="auto"/>
        </w:rPr>
      </w:pPr>
      <w:r>
        <w:rPr>
          <w:rFonts w:ascii="Arial" w:cs="Arial" w:eastAsia="Arial" w:hAnsi="Arial"/>
          <w:sz w:val="21"/>
          <w:szCs w:val="21"/>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207" w:lineRule="exact"/>
        <w:rPr>
          <w:rFonts w:ascii="Arial" w:cs="Arial" w:eastAsia="Arial" w:hAnsi="Arial"/>
          <w:sz w:val="21"/>
          <w:szCs w:val="21"/>
          <w:b w:val="1"/>
          <w:bCs w:val="1"/>
          <w:color w:val="auto"/>
        </w:rPr>
      </w:pPr>
    </w:p>
    <w:p>
      <w:pPr>
        <w:ind w:right="20" w:firstLine="656"/>
        <w:spacing w:after="0" w:line="250" w:lineRule="auto"/>
        <w:tabs>
          <w:tab w:leader="none" w:pos="1510" w:val="left"/>
        </w:tabs>
        <w:numPr>
          <w:ilvl w:val="1"/>
          <w:numId w:val="269"/>
        </w:numPr>
        <w:rPr>
          <w:rFonts w:ascii="Arial" w:cs="Arial" w:eastAsia="Arial" w:hAnsi="Arial"/>
          <w:sz w:val="22"/>
          <w:szCs w:val="22"/>
          <w:b w:val="1"/>
          <w:bCs w:val="1"/>
          <w:color w:val="auto"/>
        </w:rPr>
      </w:pPr>
      <w:r>
        <w:rPr>
          <w:rFonts w:ascii="Arial" w:cs="Arial" w:eastAsia="Arial" w:hAnsi="Arial"/>
          <w:sz w:val="22"/>
          <w:szCs w:val="22"/>
          <w:color w:val="auto"/>
        </w:rPr>
        <w:t>All determinations, interpretations and constructions made by the Board will not be subject to review by any person and will be final, binding and conclusive on all persons.</w:t>
      </w:r>
    </w:p>
    <w:p>
      <w:pPr>
        <w:spacing w:after="0" w:line="205" w:lineRule="exact"/>
        <w:rPr>
          <w:rFonts w:ascii="Arial" w:cs="Arial" w:eastAsia="Arial" w:hAnsi="Arial"/>
          <w:sz w:val="22"/>
          <w:szCs w:val="22"/>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44" w:lineRule="auto"/>
        <w:tabs>
          <w:tab w:leader="none" w:pos="1445" w:val="left"/>
        </w:tabs>
        <w:numPr>
          <w:ilvl w:val="1"/>
          <w:numId w:val="270"/>
        </w:numPr>
        <w:rPr>
          <w:rFonts w:ascii="Arial" w:cs="Arial" w:eastAsia="Arial" w:hAnsi="Arial"/>
          <w:sz w:val="20"/>
          <w:szCs w:val="20"/>
          <w:b w:val="1"/>
          <w:bCs w:val="1"/>
          <w:color w:val="auto"/>
        </w:rPr>
      </w:pPr>
      <w:r>
        <w:rPr>
          <w:rFonts w:ascii="Arial" w:cs="Arial" w:eastAsia="Arial" w:hAnsi="Arial"/>
          <w:sz w:val="20"/>
          <w:szCs w:val="20"/>
          <w:color w:val="auto"/>
        </w:rPr>
        <w:t>Subject to the provisions of Section 11(a) relating to Capitalization Adjustments, the maximum number of shares of Common Stock that may be issued under the Plan will not exceed 2,619,543 shares of Common Stock (equal to one and one-half percent (1.5%) of the sum of (i) the number of shares of Common Stock outstanding as of the consummation of the transactions contemplated by the Merger Agreement and (ii) the number of shares of Common Stock underlying securities convertible into Common Stock) (the “</w:t>
      </w:r>
      <w:r>
        <w:rPr>
          <w:rFonts w:ascii="Arial" w:cs="Arial" w:eastAsia="Arial" w:hAnsi="Arial"/>
          <w:sz w:val="20"/>
          <w:szCs w:val="20"/>
          <w:b w:val="1"/>
          <w:bCs w:val="1"/>
          <w:i w:val="1"/>
          <w:iCs w:val="1"/>
          <w:color w:val="auto"/>
        </w:rPr>
        <w:t>Initial Share Reserve</w:t>
      </w:r>
      <w:r>
        <w:rPr>
          <w:rFonts w:ascii="Arial" w:cs="Arial" w:eastAsia="Arial" w:hAnsi="Arial"/>
          <w:sz w:val="20"/>
          <w:szCs w:val="20"/>
          <w:color w:val="auto"/>
        </w:rPr>
        <w:t>”), plus the number of shares of Common Stock that are automatically added on January 1st of each year for a period of up to ten years, commencing on January 1, 2022 and ending on (and including) January 1, 2031, in an amount equal to the lesser of (x) one percent (1.0%) of the total number of shares of Capital Stock outstanding on December 31st of the preceding calendar year, and (y) 5,239,086 shares of Common Stock (equal to two hundred percent (200%) of the Initial Share Reserve). Notwithstanding the foregoing, the Board may act prior to the first day of any calendar year to provide that there will be no January 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212" w:lineRule="exact"/>
        <w:rPr>
          <w:rFonts w:ascii="Arial" w:cs="Arial" w:eastAsia="Arial" w:hAnsi="Arial"/>
          <w:sz w:val="20"/>
          <w:szCs w:val="20"/>
          <w:b w:val="1"/>
          <w:bCs w:val="1"/>
          <w:color w:val="auto"/>
        </w:rPr>
      </w:pPr>
    </w:p>
    <w:p>
      <w:pPr>
        <w:ind w:right="20" w:firstLine="656"/>
        <w:spacing w:after="0" w:line="328" w:lineRule="auto"/>
        <w:tabs>
          <w:tab w:leader="none" w:pos="1580" w:val="left"/>
        </w:tabs>
        <w:numPr>
          <w:ilvl w:val="1"/>
          <w:numId w:val="270"/>
        </w:numPr>
        <w:rPr>
          <w:rFonts w:ascii="Arial" w:cs="Arial" w:eastAsia="Arial" w:hAnsi="Arial"/>
          <w:sz w:val="19"/>
          <w:szCs w:val="19"/>
          <w:b w:val="1"/>
          <w:bCs w:val="1"/>
          <w:color w:val="auto"/>
        </w:rPr>
      </w:pPr>
      <w:r>
        <w:rPr>
          <w:rFonts w:ascii="Arial" w:cs="Arial" w:eastAsia="Arial" w:hAnsi="Arial"/>
          <w:sz w:val="19"/>
          <w:szCs w:val="19"/>
          <w:color w:val="auto"/>
        </w:rPr>
        <w:t>If any Purchase Right granted under the Plan terminates without having been exercised in full, the shares of Common Stock not purchased under such Purchase Right will again become available for issuance under the Plan.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7" w:name="page318"/>
    <w:bookmarkEnd w:id="317"/>
    <w:p>
      <w:pPr>
        <w:ind w:firstLine="656"/>
        <w:spacing w:after="0" w:line="251" w:lineRule="auto"/>
        <w:tabs>
          <w:tab w:leader="none" w:pos="1510" w:val="left"/>
        </w:tabs>
        <w:numPr>
          <w:ilvl w:val="1"/>
          <w:numId w:val="271"/>
        </w:numPr>
        <w:rPr>
          <w:rFonts w:ascii="Arial" w:cs="Arial" w:eastAsia="Arial" w:hAnsi="Arial"/>
          <w:sz w:val="22"/>
          <w:szCs w:val="22"/>
          <w:b w:val="1"/>
          <w:bCs w:val="1"/>
          <w:color w:val="auto"/>
        </w:rPr>
      </w:pPr>
      <w:r>
        <w:rPr>
          <w:rFonts w:ascii="Arial" w:cs="Arial" w:eastAsia="Arial" w:hAnsi="Arial"/>
          <w:sz w:val="22"/>
          <w:szCs w:val="22"/>
          <w:color w:val="auto"/>
        </w:rPr>
        <w:t>The stock purchasable under the Plan will be shares of authorized but unissued or reacquired Common Stock, including shares repurchased by the Company on the open market.</w:t>
      </w:r>
    </w:p>
    <w:p>
      <w:pPr>
        <w:spacing w:after="0" w:line="203" w:lineRule="exact"/>
        <w:rPr>
          <w:rFonts w:ascii="Arial" w:cs="Arial" w:eastAsia="Arial" w:hAnsi="Arial"/>
          <w:sz w:val="22"/>
          <w:szCs w:val="22"/>
          <w:b w:val="1"/>
          <w:bCs w:val="1"/>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O</w:t>
      </w:r>
      <w:r>
        <w:rPr>
          <w:rFonts w:ascii="Arial" w:cs="Arial" w:eastAsia="Arial" w:hAnsi="Arial"/>
          <w:sz w:val="12"/>
          <w:szCs w:val="12"/>
          <w:b w:val="1"/>
          <w:bCs w:val="1"/>
          <w:color w:val="auto"/>
        </w:rPr>
        <w:t>FFERING</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74" w:lineRule="auto"/>
        <w:tabs>
          <w:tab w:leader="none" w:pos="1392" w:val="left"/>
        </w:tabs>
        <w:numPr>
          <w:ilvl w:val="1"/>
          <w:numId w:val="272"/>
        </w:numPr>
        <w:rPr>
          <w:rFonts w:ascii="Arial" w:cs="Arial" w:eastAsia="Arial" w:hAnsi="Arial"/>
          <w:sz w:val="19"/>
          <w:szCs w:val="19"/>
          <w:b w:val="1"/>
          <w:bCs w:val="1"/>
          <w:color w:val="auto"/>
        </w:rPr>
      </w:pPr>
      <w:r>
        <w:rPr>
          <w:rFonts w:ascii="Arial" w:cs="Arial" w:eastAsia="Arial" w:hAnsi="Arial"/>
          <w:sz w:val="19"/>
          <w:szCs w:val="19"/>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85" w:lineRule="exact"/>
        <w:rPr>
          <w:rFonts w:ascii="Arial" w:cs="Arial" w:eastAsia="Arial" w:hAnsi="Arial"/>
          <w:sz w:val="19"/>
          <w:szCs w:val="19"/>
          <w:b w:val="1"/>
          <w:bCs w:val="1"/>
          <w:color w:val="auto"/>
        </w:rPr>
      </w:pPr>
    </w:p>
    <w:p>
      <w:pPr>
        <w:jc w:val="both"/>
        <w:ind w:firstLine="656"/>
        <w:spacing w:after="0" w:line="282" w:lineRule="auto"/>
        <w:tabs>
          <w:tab w:leader="none" w:pos="1356" w:val="left"/>
        </w:tabs>
        <w:numPr>
          <w:ilvl w:val="1"/>
          <w:numId w:val="272"/>
        </w:numPr>
        <w:rPr>
          <w:rFonts w:ascii="Arial" w:cs="Arial" w:eastAsia="Arial" w:hAnsi="Arial"/>
          <w:sz w:val="19"/>
          <w:szCs w:val="19"/>
          <w:b w:val="1"/>
          <w:bCs w:val="1"/>
          <w:color w:val="auto"/>
        </w:rPr>
      </w:pPr>
      <w:r>
        <w:rPr>
          <w:rFonts w:ascii="Arial" w:cs="Arial" w:eastAsia="Arial" w:hAnsi="Arial"/>
          <w:sz w:val="19"/>
          <w:szCs w:val="19"/>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74" w:lineRule="exact"/>
        <w:rPr>
          <w:rFonts w:ascii="Arial" w:cs="Arial" w:eastAsia="Arial" w:hAnsi="Arial"/>
          <w:sz w:val="19"/>
          <w:szCs w:val="19"/>
          <w:b w:val="1"/>
          <w:bCs w:val="1"/>
          <w:color w:val="auto"/>
        </w:rPr>
      </w:pPr>
    </w:p>
    <w:p>
      <w:pPr>
        <w:jc w:val="both"/>
        <w:ind w:firstLine="656"/>
        <w:spacing w:after="0" w:line="236" w:lineRule="auto"/>
        <w:tabs>
          <w:tab w:leader="none" w:pos="1386" w:val="left"/>
        </w:tabs>
        <w:numPr>
          <w:ilvl w:val="1"/>
          <w:numId w:val="272"/>
        </w:numPr>
        <w:rPr>
          <w:rFonts w:ascii="Arial" w:cs="Arial" w:eastAsia="Arial" w:hAnsi="Arial"/>
          <w:sz w:val="22"/>
          <w:szCs w:val="22"/>
          <w:b w:val="1"/>
          <w:bCs w:val="1"/>
          <w:color w:val="auto"/>
        </w:rPr>
      </w:pPr>
      <w:r>
        <w:rPr>
          <w:rFonts w:ascii="Arial" w:cs="Arial" w:eastAsia="Arial" w:hAnsi="Arial"/>
          <w:sz w:val="22"/>
          <w:szCs w:val="22"/>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17" w:lineRule="exact"/>
        <w:rPr>
          <w:rFonts w:ascii="Arial" w:cs="Arial" w:eastAsia="Arial" w:hAnsi="Arial"/>
          <w:sz w:val="22"/>
          <w:szCs w:val="22"/>
          <w:b w:val="1"/>
          <w:bCs w:val="1"/>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74" w:lineRule="auto"/>
        <w:tabs>
          <w:tab w:leader="none" w:pos="1344" w:val="left"/>
        </w:tabs>
        <w:numPr>
          <w:ilvl w:val="1"/>
          <w:numId w:val="272"/>
        </w:numPr>
        <w:rPr>
          <w:rFonts w:ascii="Arial" w:cs="Arial" w:eastAsia="Arial" w:hAnsi="Arial"/>
          <w:sz w:val="19"/>
          <w:szCs w:val="19"/>
          <w:b w:val="1"/>
          <w:bCs w:val="1"/>
          <w:color w:val="auto"/>
        </w:rPr>
      </w:pPr>
      <w:r>
        <w:rPr>
          <w:rFonts w:ascii="Arial" w:cs="Arial" w:eastAsia="Arial" w:hAnsi="Arial"/>
          <w:sz w:val="19"/>
          <w:szCs w:val="19"/>
          <w:color w:val="auto"/>
        </w:rPr>
        <w:t>Purchase Rights may be granted only to Employees of the Company or, as the Board may designate in accordance with Section 2(b), to Employees of a Related Corporation or an Affiliate. Except as provided in Section 5(b), an Employee will not be eligible to be granted Purchase Rights unless, on the Offering Date, the Employee has been in the employ of the Company, the Related Corporation or the Affiliate,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as applicable, is more than 20 hours per week and more than five months per calendar year or such other criteria as the Board may determine consistent with Section 423 of the Code with respect to the 423 Component.</w:t>
      </w:r>
    </w:p>
    <w:p>
      <w:pPr>
        <w:spacing w:after="0" w:line="185" w:lineRule="exact"/>
        <w:rPr>
          <w:rFonts w:ascii="Arial" w:cs="Arial" w:eastAsia="Arial" w:hAnsi="Arial"/>
          <w:sz w:val="19"/>
          <w:szCs w:val="19"/>
          <w:b w:val="1"/>
          <w:bCs w:val="1"/>
          <w:color w:val="auto"/>
        </w:rPr>
      </w:pPr>
    </w:p>
    <w:p>
      <w:pPr>
        <w:ind w:right="20" w:firstLine="656"/>
        <w:spacing w:after="0" w:line="249" w:lineRule="auto"/>
        <w:tabs>
          <w:tab w:leader="none" w:pos="1398" w:val="left"/>
        </w:tabs>
        <w:numPr>
          <w:ilvl w:val="1"/>
          <w:numId w:val="272"/>
        </w:numPr>
        <w:rPr>
          <w:rFonts w:ascii="Arial" w:cs="Arial" w:eastAsia="Arial" w:hAnsi="Arial"/>
          <w:sz w:val="21"/>
          <w:szCs w:val="21"/>
          <w:b w:val="1"/>
          <w:bCs w:val="1"/>
          <w:color w:val="auto"/>
        </w:rPr>
      </w:pPr>
      <w:r>
        <w:rPr>
          <w:rFonts w:ascii="Arial" w:cs="Arial" w:eastAsia="Arial" w:hAnsi="Arial"/>
          <w:sz w:val="21"/>
          <w:szCs w:val="21"/>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8" w:name="page319"/>
    <w:bookmarkEnd w:id="318"/>
    <w:p>
      <w:pPr>
        <w:ind w:right="20" w:firstLine="1304"/>
        <w:spacing w:after="0" w:line="251" w:lineRule="auto"/>
        <w:tabs>
          <w:tab w:leader="none" w:pos="2098" w:val="left"/>
        </w:tabs>
        <w:numPr>
          <w:ilvl w:val="2"/>
          <w:numId w:val="273"/>
        </w:numPr>
        <w:rPr>
          <w:rFonts w:ascii="Arial" w:cs="Arial" w:eastAsia="Arial" w:hAnsi="Arial"/>
          <w:sz w:val="22"/>
          <w:szCs w:val="22"/>
          <w:b w:val="1"/>
          <w:bCs w:val="1"/>
          <w:color w:val="auto"/>
        </w:rPr>
      </w:pPr>
      <w:r>
        <w:rPr>
          <w:rFonts w:ascii="Arial" w:cs="Arial" w:eastAsia="Arial" w:hAnsi="Arial"/>
          <w:sz w:val="22"/>
          <w:szCs w:val="22"/>
          <w:color w:val="auto"/>
        </w:rPr>
        <w:t>the date on which such Purchase Right is granted will be the “Offering Date” of such Purchase Right for all purposes, including determination of the exercise price of such Purchase Right;</w:t>
      </w:r>
    </w:p>
    <w:p>
      <w:pPr>
        <w:spacing w:after="0" w:line="200" w:lineRule="exact"/>
        <w:rPr>
          <w:rFonts w:ascii="Arial" w:cs="Arial" w:eastAsia="Arial" w:hAnsi="Arial"/>
          <w:sz w:val="22"/>
          <w:szCs w:val="22"/>
          <w:b w:val="1"/>
          <w:bCs w:val="1"/>
          <w:color w:val="auto"/>
        </w:rPr>
      </w:pPr>
    </w:p>
    <w:p>
      <w:pPr>
        <w:ind w:right="20" w:firstLine="1304"/>
        <w:spacing w:after="0" w:line="250" w:lineRule="auto"/>
        <w:tabs>
          <w:tab w:leader="none" w:pos="2172" w:val="left"/>
        </w:tabs>
        <w:numPr>
          <w:ilvl w:val="2"/>
          <w:numId w:val="273"/>
        </w:numPr>
        <w:rPr>
          <w:rFonts w:ascii="Arial" w:cs="Arial" w:eastAsia="Arial" w:hAnsi="Arial"/>
          <w:sz w:val="22"/>
          <w:szCs w:val="22"/>
          <w:b w:val="1"/>
          <w:bCs w:val="1"/>
          <w:color w:val="auto"/>
        </w:rPr>
      </w:pPr>
      <w:r>
        <w:rPr>
          <w:rFonts w:ascii="Arial" w:cs="Arial" w:eastAsia="Arial" w:hAnsi="Arial"/>
          <w:sz w:val="22"/>
          <w:szCs w:val="22"/>
          <w:color w:val="auto"/>
        </w:rPr>
        <w:t>the period of the Offering with respect to such Purchase Right will begin on its Offering Date and end coincident with the end of such Offering; and</w:t>
      </w:r>
    </w:p>
    <w:p>
      <w:pPr>
        <w:spacing w:after="0" w:line="201" w:lineRule="exact"/>
        <w:rPr>
          <w:rFonts w:ascii="Arial" w:cs="Arial" w:eastAsia="Arial" w:hAnsi="Arial"/>
          <w:sz w:val="22"/>
          <w:szCs w:val="22"/>
          <w:b w:val="1"/>
          <w:bCs w:val="1"/>
          <w:color w:val="auto"/>
        </w:rPr>
      </w:pPr>
    </w:p>
    <w:p>
      <w:pPr>
        <w:ind w:firstLine="1304"/>
        <w:spacing w:after="0" w:line="274" w:lineRule="auto"/>
        <w:tabs>
          <w:tab w:leader="none" w:pos="2124" w:val="left"/>
        </w:tabs>
        <w:numPr>
          <w:ilvl w:val="2"/>
          <w:numId w:val="273"/>
        </w:numPr>
        <w:rPr>
          <w:rFonts w:ascii="Arial" w:cs="Arial" w:eastAsia="Arial" w:hAnsi="Arial"/>
          <w:sz w:val="21"/>
          <w:szCs w:val="21"/>
          <w:b w:val="1"/>
          <w:bCs w:val="1"/>
          <w:color w:val="auto"/>
        </w:rPr>
      </w:pPr>
      <w:r>
        <w:rPr>
          <w:rFonts w:ascii="Arial" w:cs="Arial" w:eastAsia="Arial" w:hAnsi="Arial"/>
          <w:sz w:val="21"/>
          <w:szCs w:val="21"/>
          <w:color w:val="auto"/>
        </w:rPr>
        <w:t>the Board may provide that if such person first becomes an Eligible Employee within a specified period of time before the end of the Offering, he or she will not receive any Purchase Right under that Offering.</w:t>
      </w:r>
    </w:p>
    <w:p>
      <w:pPr>
        <w:spacing w:after="0" w:line="177" w:lineRule="exact"/>
        <w:rPr>
          <w:rFonts w:ascii="Arial" w:cs="Arial" w:eastAsia="Arial" w:hAnsi="Arial"/>
          <w:sz w:val="21"/>
          <w:szCs w:val="21"/>
          <w:b w:val="1"/>
          <w:bCs w:val="1"/>
          <w:color w:val="auto"/>
        </w:rPr>
      </w:pPr>
    </w:p>
    <w:p>
      <w:pPr>
        <w:jc w:val="both"/>
        <w:ind w:firstLine="656"/>
        <w:spacing w:after="0" w:line="282" w:lineRule="auto"/>
        <w:tabs>
          <w:tab w:leader="none" w:pos="1340" w:val="left"/>
        </w:tabs>
        <w:numPr>
          <w:ilvl w:val="1"/>
          <w:numId w:val="274"/>
        </w:numPr>
        <w:rPr>
          <w:rFonts w:ascii="Arial" w:cs="Arial" w:eastAsia="Arial" w:hAnsi="Arial"/>
          <w:sz w:val="19"/>
          <w:szCs w:val="19"/>
          <w:b w:val="1"/>
          <w:bCs w:val="1"/>
          <w:color w:val="auto"/>
        </w:rPr>
      </w:pPr>
      <w:r>
        <w:rPr>
          <w:rFonts w:ascii="Arial" w:cs="Arial" w:eastAsia="Arial" w:hAnsi="Arial"/>
          <w:sz w:val="19"/>
          <w:szCs w:val="19"/>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74" w:lineRule="exact"/>
        <w:rPr>
          <w:rFonts w:ascii="Arial" w:cs="Arial" w:eastAsia="Arial" w:hAnsi="Arial"/>
          <w:sz w:val="19"/>
          <w:szCs w:val="19"/>
          <w:b w:val="1"/>
          <w:bCs w:val="1"/>
          <w:color w:val="auto"/>
        </w:rPr>
      </w:pPr>
    </w:p>
    <w:p>
      <w:pPr>
        <w:ind w:left="1420" w:hanging="764"/>
        <w:spacing w:after="0"/>
        <w:tabs>
          <w:tab w:leader="none" w:pos="1420" w:val="left"/>
        </w:tabs>
        <w:numPr>
          <w:ilvl w:val="1"/>
          <w:numId w:val="274"/>
        </w:numPr>
        <w:rPr>
          <w:rFonts w:ascii="Arial" w:cs="Arial" w:eastAsia="Arial" w:hAnsi="Arial"/>
          <w:sz w:val="19"/>
          <w:szCs w:val="19"/>
          <w:b w:val="1"/>
          <w:bCs w:val="1"/>
          <w:color w:val="auto"/>
        </w:rPr>
      </w:pPr>
      <w:r>
        <w:rPr>
          <w:rFonts w:ascii="Arial" w:cs="Arial" w:eastAsia="Arial" w:hAnsi="Arial"/>
          <w:sz w:val="19"/>
          <w:szCs w:val="19"/>
          <w:color w:val="auto"/>
        </w:rPr>
        <w:t>As specified by Section 423(b)(8) of the Code, an Eligible Employee may be granted Purchase Rights under the</w:t>
      </w:r>
    </w:p>
    <w:p>
      <w:pPr>
        <w:spacing w:after="0" w:line="42" w:lineRule="exact"/>
        <w:rPr>
          <w:rFonts w:ascii="Arial" w:cs="Arial" w:eastAsia="Arial" w:hAnsi="Arial"/>
          <w:sz w:val="19"/>
          <w:szCs w:val="19"/>
          <w:b w:val="1"/>
          <w:bCs w:val="1"/>
          <w:color w:val="auto"/>
        </w:rPr>
      </w:pPr>
    </w:p>
    <w:p>
      <w:pPr>
        <w:jc w:val="both"/>
        <w:ind w:firstLine="8"/>
        <w:spacing w:after="0" w:line="245" w:lineRule="auto"/>
        <w:tabs>
          <w:tab w:leader="none" w:pos="380" w:val="left"/>
        </w:tabs>
        <w:numPr>
          <w:ilvl w:val="0"/>
          <w:numId w:val="275"/>
        </w:numPr>
        <w:rPr>
          <w:rFonts w:ascii="Arial" w:cs="Arial" w:eastAsia="Arial" w:hAnsi="Arial"/>
          <w:sz w:val="21"/>
          <w:szCs w:val="21"/>
          <w:color w:val="auto"/>
        </w:rPr>
      </w:pPr>
      <w:r>
        <w:rPr>
          <w:rFonts w:ascii="Arial" w:cs="Arial" w:eastAsia="Arial" w:hAnsi="Arial"/>
          <w:sz w:val="21"/>
          <w:szCs w:val="21"/>
          <w:color w:val="auto"/>
        </w:rPr>
        <w:t>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207" w:lineRule="exact"/>
        <w:rPr>
          <w:rFonts w:ascii="Arial" w:cs="Arial" w:eastAsia="Arial" w:hAnsi="Arial"/>
          <w:sz w:val="21"/>
          <w:szCs w:val="21"/>
          <w:color w:val="auto"/>
        </w:rPr>
      </w:pPr>
    </w:p>
    <w:p>
      <w:pPr>
        <w:jc w:val="both"/>
        <w:ind w:firstLine="656"/>
        <w:spacing w:after="0" w:line="238" w:lineRule="auto"/>
        <w:tabs>
          <w:tab w:leader="none" w:pos="1347" w:val="left"/>
        </w:tabs>
        <w:numPr>
          <w:ilvl w:val="1"/>
          <w:numId w:val="275"/>
        </w:numPr>
        <w:rPr>
          <w:rFonts w:ascii="Arial" w:cs="Arial" w:eastAsia="Arial" w:hAnsi="Arial"/>
          <w:sz w:val="22"/>
          <w:szCs w:val="22"/>
          <w:b w:val="1"/>
          <w:bCs w:val="1"/>
          <w:color w:val="auto"/>
        </w:rPr>
      </w:pPr>
      <w:r>
        <w:rPr>
          <w:rFonts w:ascii="Arial" w:cs="Arial" w:eastAsia="Arial" w:hAnsi="Arial"/>
          <w:sz w:val="22"/>
          <w:szCs w:val="22"/>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211" w:lineRule="exact"/>
        <w:rPr>
          <w:rFonts w:ascii="Arial" w:cs="Arial" w:eastAsia="Arial" w:hAnsi="Arial"/>
          <w:sz w:val="22"/>
          <w:szCs w:val="22"/>
          <w:b w:val="1"/>
          <w:bCs w:val="1"/>
          <w:color w:val="auto"/>
        </w:rPr>
      </w:pPr>
    </w:p>
    <w:p>
      <w:pPr>
        <w:jc w:val="both"/>
        <w:ind w:firstLine="656"/>
        <w:spacing w:after="0" w:line="238" w:lineRule="auto"/>
        <w:tabs>
          <w:tab w:leader="none" w:pos="1654" w:val="left"/>
        </w:tabs>
        <w:numPr>
          <w:ilvl w:val="1"/>
          <w:numId w:val="275"/>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14" w:lineRule="exact"/>
        <w:rPr>
          <w:rFonts w:ascii="Arial" w:cs="Arial" w:eastAsia="Arial" w:hAnsi="Arial"/>
          <w:sz w:val="22"/>
          <w:szCs w:val="22"/>
          <w:b w:val="1"/>
          <w:bCs w:val="1"/>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35" w:lineRule="auto"/>
        <w:tabs>
          <w:tab w:leader="none" w:pos="1411" w:val="left"/>
        </w:tabs>
        <w:numPr>
          <w:ilvl w:val="1"/>
          <w:numId w:val="276"/>
        </w:numPr>
        <w:rPr>
          <w:rFonts w:ascii="Arial" w:cs="Arial" w:eastAsia="Arial" w:hAnsi="Arial"/>
          <w:sz w:val="22"/>
          <w:szCs w:val="22"/>
          <w:b w:val="1"/>
          <w:bCs w:val="1"/>
          <w:color w:val="auto"/>
        </w:rPr>
      </w:pPr>
      <w:r>
        <w:rPr>
          <w:rFonts w:ascii="Arial" w:cs="Arial" w:eastAsia="Arial" w:hAnsi="Arial"/>
          <w:sz w:val="22"/>
          <w:szCs w:val="22"/>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214" w:lineRule="exact"/>
        <w:rPr>
          <w:rFonts w:ascii="Arial" w:cs="Arial" w:eastAsia="Arial" w:hAnsi="Arial"/>
          <w:sz w:val="22"/>
          <w:szCs w:val="22"/>
          <w:b w:val="1"/>
          <w:bCs w:val="1"/>
          <w:color w:val="auto"/>
        </w:rPr>
      </w:pPr>
    </w:p>
    <w:p>
      <w:pPr>
        <w:ind w:firstLine="656"/>
        <w:spacing w:after="0" w:line="328" w:lineRule="auto"/>
        <w:tabs>
          <w:tab w:leader="none" w:pos="1487" w:val="left"/>
        </w:tabs>
        <w:numPr>
          <w:ilvl w:val="1"/>
          <w:numId w:val="276"/>
        </w:numPr>
        <w:rPr>
          <w:rFonts w:ascii="Arial" w:cs="Arial" w:eastAsia="Arial" w:hAnsi="Arial"/>
          <w:sz w:val="19"/>
          <w:szCs w:val="19"/>
          <w:b w:val="1"/>
          <w:bCs w:val="1"/>
          <w:color w:val="auto"/>
        </w:rPr>
      </w:pPr>
      <w:r>
        <w:rPr>
          <w:rFonts w:ascii="Arial" w:cs="Arial" w:eastAsia="Arial" w:hAnsi="Arial"/>
          <w:sz w:val="19"/>
          <w:szCs w:val="19"/>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9" w:name="page320"/>
    <w:bookmarkEnd w:id="319"/>
    <w:p>
      <w:pPr>
        <w:jc w:val="both"/>
        <w:ind w:firstLine="764"/>
        <w:spacing w:after="0" w:line="246" w:lineRule="auto"/>
        <w:tabs>
          <w:tab w:leader="none" w:pos="1333" w:val="left"/>
        </w:tabs>
        <w:numPr>
          <w:ilvl w:val="2"/>
          <w:numId w:val="277"/>
        </w:numPr>
        <w:rPr>
          <w:rFonts w:ascii="Arial" w:cs="Arial" w:eastAsia="Arial" w:hAnsi="Arial"/>
          <w:sz w:val="21"/>
          <w:szCs w:val="21"/>
          <w:b w:val="1"/>
          <w:bCs w:val="1"/>
          <w:color w:val="auto"/>
        </w:rPr>
      </w:pPr>
      <w:r>
        <w:rPr>
          <w:rFonts w:ascii="Arial" w:cs="Arial" w:eastAsia="Arial" w:hAnsi="Arial"/>
          <w:sz w:val="21"/>
          <w:szCs w:val="21"/>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207" w:lineRule="exact"/>
        <w:rPr>
          <w:rFonts w:ascii="Arial" w:cs="Arial" w:eastAsia="Arial" w:hAnsi="Arial"/>
          <w:sz w:val="21"/>
          <w:szCs w:val="21"/>
          <w:b w:val="1"/>
          <w:bCs w:val="1"/>
          <w:color w:val="auto"/>
        </w:rPr>
      </w:pPr>
    </w:p>
    <w:p>
      <w:pPr>
        <w:ind w:left="1520" w:hanging="864"/>
        <w:spacing w:after="0"/>
        <w:tabs>
          <w:tab w:leader="none" w:pos="1520" w:val="left"/>
        </w:tabs>
        <w:numPr>
          <w:ilvl w:val="1"/>
          <w:numId w:val="278"/>
        </w:numPr>
        <w:rPr>
          <w:rFonts w:ascii="Arial" w:cs="Arial" w:eastAsia="Arial" w:hAnsi="Arial"/>
          <w:sz w:val="19"/>
          <w:szCs w:val="19"/>
          <w:b w:val="1"/>
          <w:bCs w:val="1"/>
          <w:color w:val="auto"/>
        </w:rPr>
      </w:pPr>
      <w:r>
        <w:rPr>
          <w:rFonts w:ascii="Arial" w:cs="Arial" w:eastAsia="Arial" w:hAnsi="Arial"/>
          <w:sz w:val="19"/>
          <w:szCs w:val="19"/>
          <w:color w:val="auto"/>
        </w:rPr>
        <w:t>The purchase price of shares of Common Stock acquired pursuant to Purchase Rights will be not less than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lesser of:</w:t>
      </w:r>
    </w:p>
    <w:p>
      <w:pPr>
        <w:spacing w:after="0" w:line="215" w:lineRule="exact"/>
        <w:rPr>
          <w:rFonts w:ascii="Arial" w:cs="Arial" w:eastAsia="Arial" w:hAnsi="Arial"/>
          <w:sz w:val="19"/>
          <w:szCs w:val="19"/>
          <w:b w:val="1"/>
          <w:bCs w:val="1"/>
          <w:color w:val="auto"/>
        </w:rPr>
      </w:pPr>
    </w:p>
    <w:p>
      <w:pPr>
        <w:ind w:left="2120" w:hanging="816"/>
        <w:spacing w:after="0"/>
        <w:tabs>
          <w:tab w:leader="none" w:pos="2120" w:val="left"/>
        </w:tabs>
        <w:numPr>
          <w:ilvl w:val="3"/>
          <w:numId w:val="278"/>
        </w:numPr>
        <w:rPr>
          <w:rFonts w:ascii="Arial" w:cs="Arial" w:eastAsia="Arial" w:hAnsi="Arial"/>
          <w:sz w:val="19"/>
          <w:szCs w:val="19"/>
          <w:b w:val="1"/>
          <w:bCs w:val="1"/>
          <w:color w:val="auto"/>
        </w:rPr>
      </w:pPr>
      <w:r>
        <w:rPr>
          <w:rFonts w:ascii="Arial" w:cs="Arial" w:eastAsia="Arial" w:hAnsi="Arial"/>
          <w:sz w:val="19"/>
          <w:szCs w:val="19"/>
          <w:color w:val="auto"/>
        </w:rPr>
        <w:t>an amount equal to 85% of the Fair Market Value of the shares of Common Stock on the Offering Date;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or</w:t>
      </w:r>
    </w:p>
    <w:p>
      <w:pPr>
        <w:spacing w:after="0" w:line="215" w:lineRule="exact"/>
        <w:rPr>
          <w:rFonts w:ascii="Arial" w:cs="Arial" w:eastAsia="Arial" w:hAnsi="Arial"/>
          <w:sz w:val="19"/>
          <w:szCs w:val="19"/>
          <w:b w:val="1"/>
          <w:bCs w:val="1"/>
          <w:color w:val="auto"/>
        </w:rPr>
      </w:pPr>
    </w:p>
    <w:p>
      <w:pPr>
        <w:ind w:left="2260" w:hanging="956"/>
        <w:spacing w:after="0"/>
        <w:tabs>
          <w:tab w:leader="none" w:pos="2260" w:val="left"/>
        </w:tabs>
        <w:numPr>
          <w:ilvl w:val="3"/>
          <w:numId w:val="278"/>
        </w:numPr>
        <w:rPr>
          <w:rFonts w:ascii="Arial" w:cs="Arial" w:eastAsia="Arial" w:hAnsi="Arial"/>
          <w:sz w:val="19"/>
          <w:szCs w:val="19"/>
          <w:b w:val="1"/>
          <w:bCs w:val="1"/>
          <w:color w:val="auto"/>
        </w:rPr>
      </w:pPr>
      <w:r>
        <w:rPr>
          <w:rFonts w:ascii="Arial" w:cs="Arial" w:eastAsia="Arial" w:hAnsi="Arial"/>
          <w:sz w:val="19"/>
          <w:szCs w:val="19"/>
          <w:color w:val="auto"/>
        </w:rPr>
        <w:t>an amount equal to 85% of the Fair Market Value of the shares of Common Stock on the applicable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Purchase Date.</w:t>
      </w:r>
    </w:p>
    <w:p>
      <w:pPr>
        <w:spacing w:after="0" w:line="218" w:lineRule="exact"/>
        <w:rPr>
          <w:rFonts w:ascii="Arial" w:cs="Arial" w:eastAsia="Arial" w:hAnsi="Arial"/>
          <w:sz w:val="19"/>
          <w:szCs w:val="19"/>
          <w:b w:val="1"/>
          <w:bCs w:val="1"/>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W</w:t>
      </w:r>
      <w:r>
        <w:rPr>
          <w:rFonts w:ascii="Arial" w:cs="Arial" w:eastAsia="Arial" w:hAnsi="Arial"/>
          <w:sz w:val="12"/>
          <w:szCs w:val="12"/>
          <w:b w:val="1"/>
          <w:bCs w:val="1"/>
          <w:color w:val="auto"/>
        </w:rPr>
        <w:t>ITHDRAWAL</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73" w:lineRule="auto"/>
        <w:tabs>
          <w:tab w:leader="none" w:pos="1484" w:val="left"/>
        </w:tabs>
        <w:numPr>
          <w:ilvl w:val="1"/>
          <w:numId w:val="279"/>
        </w:numPr>
        <w:rPr>
          <w:rFonts w:ascii="Arial" w:cs="Arial" w:eastAsia="Arial" w:hAnsi="Arial"/>
          <w:sz w:val="19"/>
          <w:szCs w:val="19"/>
          <w:b w:val="1"/>
          <w:bCs w:val="1"/>
          <w:color w:val="auto"/>
        </w:rPr>
      </w:pPr>
      <w:r>
        <w:rPr>
          <w:rFonts w:ascii="Arial" w:cs="Arial" w:eastAsia="Arial" w:hAnsi="Arial"/>
          <w:sz w:val="19"/>
          <w:szCs w:val="19"/>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82" w:lineRule="exact"/>
        <w:rPr>
          <w:rFonts w:ascii="Arial" w:cs="Arial" w:eastAsia="Arial" w:hAnsi="Arial"/>
          <w:sz w:val="19"/>
          <w:szCs w:val="19"/>
          <w:b w:val="1"/>
          <w:bCs w:val="1"/>
          <w:color w:val="auto"/>
        </w:rPr>
      </w:pPr>
    </w:p>
    <w:p>
      <w:pPr>
        <w:jc w:val="both"/>
        <w:ind w:firstLine="656"/>
        <w:spacing w:after="0" w:line="277" w:lineRule="auto"/>
        <w:tabs>
          <w:tab w:leader="none" w:pos="1418" w:val="left"/>
        </w:tabs>
        <w:numPr>
          <w:ilvl w:val="1"/>
          <w:numId w:val="279"/>
        </w:numPr>
        <w:rPr>
          <w:rFonts w:ascii="Arial" w:cs="Arial" w:eastAsia="Arial" w:hAnsi="Arial"/>
          <w:sz w:val="19"/>
          <w:szCs w:val="19"/>
          <w:b w:val="1"/>
          <w:bCs w:val="1"/>
          <w:color w:val="auto"/>
        </w:rPr>
      </w:pPr>
      <w:r>
        <w:rPr>
          <w:rFonts w:ascii="Arial" w:cs="Arial" w:eastAsia="Arial" w:hAnsi="Arial"/>
          <w:sz w:val="19"/>
          <w:szCs w:val="19"/>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8" w:lineRule="exact"/>
        <w:rPr>
          <w:rFonts w:ascii="Arial" w:cs="Arial" w:eastAsia="Arial" w:hAnsi="Arial"/>
          <w:sz w:val="19"/>
          <w:szCs w:val="19"/>
          <w:b w:val="1"/>
          <w:bCs w:val="1"/>
          <w:color w:val="auto"/>
        </w:rPr>
      </w:pPr>
    </w:p>
    <w:p>
      <w:pPr>
        <w:jc w:val="both"/>
        <w:ind w:firstLine="656"/>
        <w:spacing w:after="0" w:line="287" w:lineRule="auto"/>
        <w:tabs>
          <w:tab w:leader="none" w:pos="1505" w:val="left"/>
        </w:tabs>
        <w:numPr>
          <w:ilvl w:val="1"/>
          <w:numId w:val="279"/>
        </w:numPr>
        <w:rPr>
          <w:rFonts w:ascii="Arial" w:cs="Arial" w:eastAsia="Arial" w:hAnsi="Arial"/>
          <w:sz w:val="19"/>
          <w:szCs w:val="19"/>
          <w:b w:val="1"/>
          <w:bCs w:val="1"/>
          <w:color w:val="auto"/>
        </w:rPr>
      </w:pPr>
      <w:r>
        <w:rPr>
          <w:rFonts w:ascii="Arial" w:cs="Arial" w:eastAsia="Arial" w:hAnsi="Arial"/>
          <w:sz w:val="19"/>
          <w:szCs w:val="19"/>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0" w:name="page321"/>
    <w:bookmarkEnd w:id="320"/>
    <w:p>
      <w:pPr>
        <w:jc w:val="both"/>
        <w:ind w:firstLine="656"/>
        <w:spacing w:after="0" w:line="274" w:lineRule="auto"/>
        <w:tabs>
          <w:tab w:leader="none" w:pos="1534" w:val="left"/>
        </w:tabs>
        <w:numPr>
          <w:ilvl w:val="1"/>
          <w:numId w:val="280"/>
        </w:numPr>
        <w:rPr>
          <w:rFonts w:ascii="Arial" w:cs="Arial" w:eastAsia="Arial" w:hAnsi="Arial"/>
          <w:sz w:val="19"/>
          <w:szCs w:val="19"/>
          <w:b w:val="1"/>
          <w:bCs w:val="1"/>
          <w:color w:val="auto"/>
        </w:rPr>
      </w:pPr>
      <w:r>
        <w:rPr>
          <w:rFonts w:ascii="Arial" w:cs="Arial" w:eastAsia="Arial" w:hAnsi="Arial"/>
          <w:sz w:val="19"/>
          <w:szCs w:val="19"/>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85" w:lineRule="exact"/>
        <w:rPr>
          <w:rFonts w:ascii="Arial" w:cs="Arial" w:eastAsia="Arial" w:hAnsi="Arial"/>
          <w:sz w:val="19"/>
          <w:szCs w:val="19"/>
          <w:b w:val="1"/>
          <w:bCs w:val="1"/>
          <w:color w:val="auto"/>
        </w:rPr>
      </w:pPr>
    </w:p>
    <w:p>
      <w:pPr>
        <w:jc w:val="both"/>
        <w:ind w:firstLine="656"/>
        <w:spacing w:after="0"/>
        <w:tabs>
          <w:tab w:leader="none" w:pos="1383" w:val="left"/>
        </w:tabs>
        <w:numPr>
          <w:ilvl w:val="1"/>
          <w:numId w:val="280"/>
        </w:numPr>
        <w:rPr>
          <w:rFonts w:ascii="Arial" w:cs="Arial" w:eastAsia="Arial" w:hAnsi="Arial"/>
          <w:sz w:val="22"/>
          <w:szCs w:val="22"/>
          <w:b w:val="1"/>
          <w:bCs w:val="1"/>
          <w:color w:val="auto"/>
        </w:rPr>
      </w:pPr>
      <w:r>
        <w:rPr>
          <w:rFonts w:ascii="Arial" w:cs="Arial" w:eastAsia="Arial" w:hAnsi="Arial"/>
          <w:sz w:val="22"/>
          <w:szCs w:val="22"/>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213" w:lineRule="exact"/>
        <w:rPr>
          <w:rFonts w:ascii="Arial" w:cs="Arial" w:eastAsia="Arial" w:hAnsi="Arial"/>
          <w:sz w:val="22"/>
          <w:szCs w:val="22"/>
          <w:b w:val="1"/>
          <w:bCs w:val="1"/>
          <w:color w:val="auto"/>
        </w:rPr>
      </w:pPr>
    </w:p>
    <w:p>
      <w:pPr>
        <w:ind w:firstLine="656"/>
        <w:spacing w:after="0" w:line="250" w:lineRule="auto"/>
        <w:tabs>
          <w:tab w:leader="none" w:pos="1429" w:val="left"/>
        </w:tabs>
        <w:numPr>
          <w:ilvl w:val="1"/>
          <w:numId w:val="280"/>
        </w:numPr>
        <w:rPr>
          <w:rFonts w:ascii="Arial" w:cs="Arial" w:eastAsia="Arial" w:hAnsi="Arial"/>
          <w:sz w:val="22"/>
          <w:szCs w:val="22"/>
          <w:b w:val="1"/>
          <w:bCs w:val="1"/>
          <w:color w:val="auto"/>
        </w:rPr>
      </w:pPr>
      <w:r>
        <w:rPr>
          <w:rFonts w:ascii="Arial" w:cs="Arial" w:eastAsia="Arial" w:hAnsi="Arial"/>
          <w:sz w:val="22"/>
          <w:szCs w:val="22"/>
          <w:color w:val="auto"/>
        </w:rPr>
        <w:t>Unless otherwise specified in the Offering or required by applicable law, the Company will have no obligation to pay interest on Contributions.</w:t>
      </w:r>
    </w:p>
    <w:p>
      <w:pPr>
        <w:spacing w:after="0" w:line="205" w:lineRule="exact"/>
        <w:rPr>
          <w:rFonts w:ascii="Arial" w:cs="Arial" w:eastAsia="Arial" w:hAnsi="Arial"/>
          <w:sz w:val="22"/>
          <w:szCs w:val="22"/>
          <w:b w:val="1"/>
          <w:bCs w:val="1"/>
          <w:color w:val="auto"/>
        </w:rPr>
      </w:pPr>
    </w:p>
    <w:p>
      <w:pPr>
        <w:ind w:left="660" w:hanging="652"/>
        <w:spacing w:after="0"/>
        <w:tabs>
          <w:tab w:leader="none" w:pos="6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97" w:lineRule="auto"/>
        <w:tabs>
          <w:tab w:leader="none" w:pos="1400" w:val="left"/>
        </w:tabs>
        <w:numPr>
          <w:ilvl w:val="1"/>
          <w:numId w:val="281"/>
        </w:numPr>
        <w:rPr>
          <w:rFonts w:ascii="Arial" w:cs="Arial" w:eastAsia="Arial" w:hAnsi="Arial"/>
          <w:sz w:val="19"/>
          <w:szCs w:val="19"/>
          <w:b w:val="1"/>
          <w:bCs w:val="1"/>
          <w:color w:val="auto"/>
        </w:rPr>
      </w:pPr>
      <w:r>
        <w:rPr>
          <w:rFonts w:ascii="Arial" w:cs="Arial" w:eastAsia="Arial" w:hAnsi="Arial"/>
          <w:sz w:val="19"/>
          <w:szCs w:val="19"/>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60" w:lineRule="exact"/>
        <w:rPr>
          <w:rFonts w:ascii="Arial" w:cs="Arial" w:eastAsia="Arial" w:hAnsi="Arial"/>
          <w:sz w:val="19"/>
          <w:szCs w:val="19"/>
          <w:b w:val="1"/>
          <w:bCs w:val="1"/>
          <w:color w:val="auto"/>
        </w:rPr>
      </w:pPr>
    </w:p>
    <w:p>
      <w:pPr>
        <w:jc w:val="both"/>
        <w:ind w:firstLine="656"/>
        <w:spacing w:after="0" w:line="245" w:lineRule="auto"/>
        <w:tabs>
          <w:tab w:leader="none" w:pos="1367" w:val="left"/>
        </w:tabs>
        <w:numPr>
          <w:ilvl w:val="1"/>
          <w:numId w:val="281"/>
        </w:numPr>
        <w:rPr>
          <w:rFonts w:ascii="Arial" w:cs="Arial" w:eastAsia="Arial" w:hAnsi="Arial"/>
          <w:sz w:val="21"/>
          <w:szCs w:val="21"/>
          <w:b w:val="1"/>
          <w:bCs w:val="1"/>
          <w:color w:val="auto"/>
        </w:rPr>
      </w:pPr>
      <w:r>
        <w:rPr>
          <w:rFonts w:ascii="Arial" w:cs="Arial" w:eastAsia="Arial" w:hAnsi="Arial"/>
          <w:sz w:val="21"/>
          <w:szCs w:val="21"/>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207" w:lineRule="exact"/>
        <w:rPr>
          <w:rFonts w:ascii="Arial" w:cs="Arial" w:eastAsia="Arial" w:hAnsi="Arial"/>
          <w:sz w:val="21"/>
          <w:szCs w:val="21"/>
          <w:b w:val="1"/>
          <w:bCs w:val="1"/>
          <w:color w:val="auto"/>
        </w:rPr>
      </w:pPr>
    </w:p>
    <w:p>
      <w:pPr>
        <w:jc w:val="both"/>
        <w:ind w:firstLine="656"/>
        <w:spacing w:after="0" w:line="274" w:lineRule="auto"/>
        <w:tabs>
          <w:tab w:leader="none" w:pos="1412" w:val="left"/>
        </w:tabs>
        <w:numPr>
          <w:ilvl w:val="1"/>
          <w:numId w:val="281"/>
        </w:numPr>
        <w:rPr>
          <w:rFonts w:ascii="Arial" w:cs="Arial" w:eastAsia="Arial" w:hAnsi="Arial"/>
          <w:sz w:val="19"/>
          <w:szCs w:val="19"/>
          <w:b w:val="1"/>
          <w:bCs w:val="1"/>
          <w:color w:val="auto"/>
        </w:rPr>
      </w:pPr>
      <w:r>
        <w:rPr>
          <w:rFonts w:ascii="Arial" w:cs="Arial" w:eastAsia="Arial" w:hAnsi="Arial"/>
          <w:sz w:val="19"/>
          <w:szCs w:val="19"/>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1" w:name="page322"/>
    <w:bookmarkEnd w:id="321"/>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82"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ENEFICIARY</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36" w:lineRule="auto"/>
        <w:tabs>
          <w:tab w:leader="none" w:pos="1427" w:val="left"/>
        </w:tabs>
        <w:numPr>
          <w:ilvl w:val="1"/>
          <w:numId w:val="283"/>
        </w:numPr>
        <w:rPr>
          <w:rFonts w:ascii="Arial" w:cs="Arial" w:eastAsia="Arial" w:hAnsi="Arial"/>
          <w:sz w:val="22"/>
          <w:szCs w:val="22"/>
          <w:b w:val="1"/>
          <w:bCs w:val="1"/>
          <w:color w:val="auto"/>
        </w:rPr>
      </w:pPr>
      <w:r>
        <w:rPr>
          <w:rFonts w:ascii="Arial" w:cs="Arial" w:eastAsia="Arial" w:hAnsi="Arial"/>
          <w:sz w:val="22"/>
          <w:szCs w:val="22"/>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214" w:lineRule="exact"/>
        <w:rPr>
          <w:rFonts w:ascii="Arial" w:cs="Arial" w:eastAsia="Arial" w:hAnsi="Arial"/>
          <w:sz w:val="22"/>
          <w:szCs w:val="22"/>
          <w:b w:val="1"/>
          <w:bCs w:val="1"/>
          <w:color w:val="auto"/>
        </w:rPr>
      </w:pPr>
    </w:p>
    <w:p>
      <w:pPr>
        <w:jc w:val="both"/>
        <w:ind w:firstLine="656"/>
        <w:spacing w:after="0" w:line="248" w:lineRule="auto"/>
        <w:tabs>
          <w:tab w:leader="none" w:pos="1398" w:val="left"/>
        </w:tabs>
        <w:numPr>
          <w:ilvl w:val="1"/>
          <w:numId w:val="283"/>
        </w:numPr>
        <w:rPr>
          <w:rFonts w:ascii="Arial" w:cs="Arial" w:eastAsia="Arial" w:hAnsi="Arial"/>
          <w:sz w:val="21"/>
          <w:szCs w:val="21"/>
          <w:b w:val="1"/>
          <w:bCs w:val="1"/>
          <w:color w:val="auto"/>
        </w:rPr>
      </w:pPr>
      <w:r>
        <w:rPr>
          <w:rFonts w:ascii="Arial" w:cs="Arial" w:eastAsia="Arial" w:hAnsi="Arial"/>
          <w:sz w:val="21"/>
          <w:szCs w:val="21"/>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06" w:lineRule="exact"/>
        <w:rPr>
          <w:rFonts w:ascii="Arial" w:cs="Arial" w:eastAsia="Arial" w:hAnsi="Arial"/>
          <w:sz w:val="21"/>
          <w:szCs w:val="21"/>
          <w:b w:val="1"/>
          <w:bCs w:val="1"/>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79" w:lineRule="auto"/>
        <w:tabs>
          <w:tab w:leader="none" w:pos="1614" w:val="left"/>
        </w:tabs>
        <w:numPr>
          <w:ilvl w:val="1"/>
          <w:numId w:val="283"/>
        </w:numPr>
        <w:rPr>
          <w:rFonts w:ascii="Arial" w:cs="Arial" w:eastAsia="Arial" w:hAnsi="Arial"/>
          <w:sz w:val="19"/>
          <w:szCs w:val="19"/>
          <w:b w:val="1"/>
          <w:bCs w:val="1"/>
          <w:color w:val="auto"/>
        </w:rPr>
      </w:pPr>
      <w:r>
        <w:rPr>
          <w:rFonts w:ascii="Arial" w:cs="Arial" w:eastAsia="Arial" w:hAnsi="Arial"/>
          <w:sz w:val="19"/>
          <w:szCs w:val="19"/>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7" w:lineRule="exact"/>
        <w:rPr>
          <w:rFonts w:ascii="Arial" w:cs="Arial" w:eastAsia="Arial" w:hAnsi="Arial"/>
          <w:sz w:val="19"/>
          <w:szCs w:val="19"/>
          <w:b w:val="1"/>
          <w:bCs w:val="1"/>
          <w:color w:val="auto"/>
        </w:rPr>
      </w:pPr>
    </w:p>
    <w:p>
      <w:pPr>
        <w:jc w:val="both"/>
        <w:ind w:firstLine="656"/>
        <w:spacing w:after="0" w:line="277" w:lineRule="auto"/>
        <w:tabs>
          <w:tab w:leader="none" w:pos="1555" w:val="left"/>
        </w:tabs>
        <w:numPr>
          <w:ilvl w:val="1"/>
          <w:numId w:val="283"/>
        </w:numPr>
        <w:rPr>
          <w:rFonts w:ascii="Arial" w:cs="Arial" w:eastAsia="Arial" w:hAnsi="Arial"/>
          <w:sz w:val="19"/>
          <w:szCs w:val="19"/>
          <w:b w:val="1"/>
          <w:bCs w:val="1"/>
          <w:color w:val="auto"/>
        </w:rPr>
      </w:pPr>
      <w:r>
        <w:rPr>
          <w:rFonts w:ascii="Arial" w:cs="Arial" w:eastAsia="Arial" w:hAnsi="Arial"/>
          <w:sz w:val="19"/>
          <w:szCs w:val="19"/>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2" w:name="page323"/>
    <w:bookmarkEnd w:id="322"/>
    <w:p>
      <w:pPr>
        <w:ind w:left="660" w:hanging="652"/>
        <w:spacing w:after="0"/>
        <w:tabs>
          <w:tab w:leader="none" w:pos="6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right="20" w:firstLine="656"/>
        <w:spacing w:after="0" w:line="297" w:lineRule="auto"/>
        <w:tabs>
          <w:tab w:leader="none" w:pos="1398" w:val="left"/>
        </w:tabs>
        <w:numPr>
          <w:ilvl w:val="1"/>
          <w:numId w:val="284"/>
        </w:numPr>
        <w:rPr>
          <w:rFonts w:ascii="Arial" w:cs="Arial" w:eastAsia="Arial" w:hAnsi="Arial"/>
          <w:sz w:val="19"/>
          <w:szCs w:val="19"/>
          <w:b w:val="1"/>
          <w:bCs w:val="1"/>
          <w:color w:val="auto"/>
        </w:rPr>
      </w:pPr>
      <w:r>
        <w:rPr>
          <w:rFonts w:ascii="Arial" w:cs="Arial" w:eastAsia="Arial" w:hAnsi="Arial"/>
          <w:sz w:val="19"/>
          <w:szCs w:val="19"/>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w:t>
      </w:r>
    </w:p>
    <w:p>
      <w:pPr>
        <w:spacing w:after="0" w:line="160" w:lineRule="exact"/>
        <w:rPr>
          <w:rFonts w:ascii="Arial" w:cs="Arial" w:eastAsia="Arial" w:hAnsi="Arial"/>
          <w:sz w:val="19"/>
          <w:szCs w:val="19"/>
          <w:b w:val="1"/>
          <w:bCs w:val="1"/>
          <w:color w:val="auto"/>
        </w:rPr>
      </w:pPr>
    </w:p>
    <w:p>
      <w:pPr>
        <w:ind w:firstLine="656"/>
        <w:spacing w:after="0" w:line="250" w:lineRule="auto"/>
        <w:tabs>
          <w:tab w:leader="none" w:pos="1490" w:val="left"/>
        </w:tabs>
        <w:numPr>
          <w:ilvl w:val="1"/>
          <w:numId w:val="284"/>
        </w:numPr>
        <w:rPr>
          <w:rFonts w:ascii="Arial" w:cs="Arial" w:eastAsia="Arial" w:hAnsi="Arial"/>
          <w:sz w:val="22"/>
          <w:szCs w:val="22"/>
          <w:b w:val="1"/>
          <w:bCs w:val="1"/>
          <w:color w:val="auto"/>
        </w:rPr>
      </w:pPr>
      <w:r>
        <w:rPr>
          <w:rFonts w:ascii="Arial" w:cs="Arial" w:eastAsia="Arial" w:hAnsi="Arial"/>
          <w:sz w:val="22"/>
          <w:szCs w:val="22"/>
          <w:color w:val="auto"/>
        </w:rPr>
        <w:t>The Board may suspend or terminate the Plan at any time. No Purchase Rights may be granted under the Plan while the Plan is suspended or after it is terminated.</w:t>
      </w:r>
    </w:p>
    <w:p>
      <w:pPr>
        <w:spacing w:after="0" w:line="201" w:lineRule="exact"/>
        <w:rPr>
          <w:rFonts w:ascii="Arial" w:cs="Arial" w:eastAsia="Arial" w:hAnsi="Arial"/>
          <w:sz w:val="22"/>
          <w:szCs w:val="22"/>
          <w:b w:val="1"/>
          <w:bCs w:val="1"/>
          <w:color w:val="auto"/>
        </w:rPr>
      </w:pPr>
    </w:p>
    <w:p>
      <w:pPr>
        <w:jc w:val="both"/>
        <w:ind w:firstLine="656"/>
        <w:spacing w:after="0" w:line="274" w:lineRule="auto"/>
        <w:tabs>
          <w:tab w:leader="none" w:pos="1433" w:val="left"/>
        </w:tabs>
        <w:numPr>
          <w:ilvl w:val="1"/>
          <w:numId w:val="284"/>
        </w:numPr>
        <w:rPr>
          <w:rFonts w:ascii="Arial" w:cs="Arial" w:eastAsia="Arial" w:hAnsi="Arial"/>
          <w:sz w:val="19"/>
          <w:szCs w:val="19"/>
          <w:b w:val="1"/>
          <w:bCs w:val="1"/>
          <w:color w:val="auto"/>
        </w:rPr>
      </w:pPr>
      <w:r>
        <w:rPr>
          <w:rFonts w:ascii="Arial" w:cs="Arial" w:eastAsia="Arial" w:hAnsi="Arial"/>
          <w:sz w:val="19"/>
          <w:szCs w:val="19"/>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91" w:lineRule="exact"/>
        <w:rPr>
          <w:sz w:val="20"/>
          <w:szCs w:val="20"/>
          <w:color w:val="auto"/>
        </w:rPr>
      </w:pPr>
    </w:p>
    <w:p>
      <w:pPr>
        <w:ind w:left="660" w:hanging="652"/>
        <w:spacing w:after="0"/>
        <w:tabs>
          <w:tab w:leader="none" w:pos="6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UALIFICATION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jc w:val="both"/>
        <w:ind w:firstLine="656"/>
        <w:spacing w:after="0" w:line="236" w:lineRule="auto"/>
        <w:tabs>
          <w:tab w:leader="none" w:pos="1432" w:val="left"/>
        </w:tabs>
        <w:numPr>
          <w:ilvl w:val="1"/>
          <w:numId w:val="285"/>
        </w:numPr>
        <w:rPr>
          <w:rFonts w:ascii="Arial" w:cs="Arial" w:eastAsia="Arial" w:hAnsi="Arial"/>
          <w:sz w:val="22"/>
          <w:szCs w:val="22"/>
          <w:color w:val="auto"/>
        </w:rPr>
      </w:pPr>
      <w:r>
        <w:rPr>
          <w:rFonts w:ascii="Arial" w:cs="Arial" w:eastAsia="Arial" w:hAnsi="Arial"/>
          <w:sz w:val="22"/>
          <w:szCs w:val="22"/>
          <w:color w:val="auto"/>
        </w:rPr>
        <w:t>Rights granted under the 423 Component are intended to be exempt from the application of Section 409A 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214" w:lineRule="exact"/>
        <w:rPr>
          <w:rFonts w:ascii="Arial" w:cs="Arial" w:eastAsia="Arial" w:hAnsi="Arial"/>
          <w:sz w:val="22"/>
          <w:szCs w:val="22"/>
          <w:color w:val="auto"/>
        </w:rPr>
      </w:pPr>
    </w:p>
    <w:p>
      <w:pPr>
        <w:jc w:val="both"/>
        <w:ind w:firstLine="656"/>
        <w:spacing w:after="0" w:line="236" w:lineRule="auto"/>
        <w:tabs>
          <w:tab w:leader="none" w:pos="1407" w:val="left"/>
        </w:tabs>
        <w:numPr>
          <w:ilvl w:val="1"/>
          <w:numId w:val="285"/>
        </w:numPr>
        <w:rPr>
          <w:rFonts w:ascii="Arial" w:cs="Arial" w:eastAsia="Arial" w:hAnsi="Arial"/>
          <w:sz w:val="22"/>
          <w:szCs w:val="22"/>
          <w:color w:val="auto"/>
        </w:rPr>
      </w:pPr>
      <w:r>
        <w:rPr>
          <w:rFonts w:ascii="Arial" w:cs="Arial" w:eastAsia="Arial" w:hAnsi="Arial"/>
          <w:sz w:val="22"/>
          <w:szCs w:val="22"/>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3" w:name="page324"/>
    <w:bookmarkEnd w:id="323"/>
    <w:p>
      <w:pPr>
        <w:jc w:val="both"/>
        <w:ind w:firstLine="656"/>
        <w:spacing w:after="0" w:line="273" w:lineRule="auto"/>
        <w:tabs>
          <w:tab w:leader="none" w:pos="1385" w:val="left"/>
        </w:tabs>
        <w:numPr>
          <w:ilvl w:val="1"/>
          <w:numId w:val="286"/>
        </w:numPr>
        <w:rPr>
          <w:rFonts w:ascii="Arial" w:cs="Arial" w:eastAsia="Arial" w:hAnsi="Arial"/>
          <w:sz w:val="19"/>
          <w:szCs w:val="19"/>
          <w:b w:val="1"/>
          <w:bCs w:val="1"/>
          <w:color w:val="auto"/>
        </w:rPr>
      </w:pPr>
      <w:r>
        <w:rPr>
          <w:rFonts w:ascii="Arial" w:cs="Arial" w:eastAsia="Arial" w:hAnsi="Arial"/>
          <w:sz w:val="19"/>
          <w:szCs w:val="19"/>
          <w:color w:val="auto"/>
        </w:rPr>
        <w:t>The Participant will make adequate provision to satisfy the Tax-Related Items withholding obligations, if any, of the Company and/or the applicable 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 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 be required to issue any shares of Common Stock under the Plan until such obligations are satisfied.</w:t>
      </w:r>
    </w:p>
    <w:p>
      <w:pPr>
        <w:spacing w:after="0" w:line="185" w:lineRule="exact"/>
        <w:rPr>
          <w:rFonts w:ascii="Arial" w:cs="Arial" w:eastAsia="Arial" w:hAnsi="Arial"/>
          <w:sz w:val="19"/>
          <w:szCs w:val="19"/>
          <w:b w:val="1"/>
          <w:bCs w:val="1"/>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Plan will become effective on June 16, 2021.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16"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248" w:lineRule="exact"/>
        <w:rPr>
          <w:rFonts w:ascii="Arial" w:cs="Arial" w:eastAsia="Arial" w:hAnsi="Arial"/>
          <w:sz w:val="18"/>
          <w:szCs w:val="18"/>
          <w:b w:val="1"/>
          <w:bCs w:val="1"/>
          <w:color w:val="auto"/>
        </w:rPr>
      </w:pPr>
    </w:p>
    <w:p>
      <w:pPr>
        <w:ind w:left="1460" w:hanging="804"/>
        <w:spacing w:after="0"/>
        <w:tabs>
          <w:tab w:leader="none" w:pos="1460" w:val="left"/>
        </w:tabs>
        <w:numPr>
          <w:ilvl w:val="1"/>
          <w:numId w:val="288"/>
        </w:numPr>
        <w:rPr>
          <w:rFonts w:ascii="Arial" w:cs="Arial" w:eastAsia="Arial" w:hAnsi="Arial"/>
          <w:sz w:val="19"/>
          <w:szCs w:val="19"/>
          <w:b w:val="1"/>
          <w:bCs w:val="1"/>
          <w:color w:val="auto"/>
        </w:rPr>
      </w:pPr>
      <w:r>
        <w:rPr>
          <w:rFonts w:ascii="Arial" w:cs="Arial" w:eastAsia="Arial" w:hAnsi="Arial"/>
          <w:sz w:val="19"/>
          <w:szCs w:val="19"/>
          <w:color w:val="auto"/>
        </w:rPr>
        <w:t>Proceeds from the sale of shares of Common Stock pursuant to Purchase Rights will constitute general funds of</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Company.</w:t>
      </w:r>
    </w:p>
    <w:p>
      <w:pPr>
        <w:spacing w:after="0" w:line="215" w:lineRule="exact"/>
        <w:rPr>
          <w:rFonts w:ascii="Arial" w:cs="Arial" w:eastAsia="Arial" w:hAnsi="Arial"/>
          <w:sz w:val="19"/>
          <w:szCs w:val="19"/>
          <w:b w:val="1"/>
          <w:bCs w:val="1"/>
          <w:color w:val="auto"/>
        </w:rPr>
      </w:pPr>
    </w:p>
    <w:p>
      <w:pPr>
        <w:jc w:val="both"/>
        <w:ind w:firstLine="656"/>
        <w:spacing w:after="0" w:line="257" w:lineRule="auto"/>
        <w:tabs>
          <w:tab w:leader="none" w:pos="1344" w:val="left"/>
        </w:tabs>
        <w:numPr>
          <w:ilvl w:val="1"/>
          <w:numId w:val="288"/>
        </w:numPr>
        <w:rPr>
          <w:rFonts w:ascii="Arial" w:cs="Arial" w:eastAsia="Arial" w:hAnsi="Arial"/>
          <w:sz w:val="21"/>
          <w:szCs w:val="21"/>
          <w:b w:val="1"/>
          <w:bCs w:val="1"/>
          <w:color w:val="auto"/>
        </w:rPr>
      </w:pPr>
      <w:r>
        <w:rPr>
          <w:rFonts w:ascii="Arial" w:cs="Arial" w:eastAsia="Arial" w:hAnsi="Arial"/>
          <w:sz w:val="21"/>
          <w:szCs w:val="21"/>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96" w:lineRule="exact"/>
        <w:rPr>
          <w:rFonts w:ascii="Arial" w:cs="Arial" w:eastAsia="Arial" w:hAnsi="Arial"/>
          <w:sz w:val="21"/>
          <w:szCs w:val="21"/>
          <w:b w:val="1"/>
          <w:bCs w:val="1"/>
          <w:color w:val="auto"/>
        </w:rPr>
      </w:pPr>
    </w:p>
    <w:p>
      <w:pPr>
        <w:jc w:val="both"/>
        <w:ind w:firstLine="656"/>
        <w:spacing w:after="0" w:line="252" w:lineRule="auto"/>
        <w:tabs>
          <w:tab w:leader="none" w:pos="1401" w:val="left"/>
        </w:tabs>
        <w:numPr>
          <w:ilvl w:val="1"/>
          <w:numId w:val="288"/>
        </w:numPr>
        <w:rPr>
          <w:rFonts w:ascii="Arial" w:cs="Arial" w:eastAsia="Arial" w:hAnsi="Arial"/>
          <w:sz w:val="21"/>
          <w:szCs w:val="21"/>
          <w:b w:val="1"/>
          <w:bCs w:val="1"/>
          <w:color w:val="auto"/>
        </w:rPr>
      </w:pPr>
      <w:r>
        <w:rPr>
          <w:rFonts w:ascii="Arial" w:cs="Arial" w:eastAsia="Arial" w:hAnsi="Arial"/>
          <w:sz w:val="21"/>
          <w:szCs w:val="21"/>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200" w:lineRule="exact"/>
        <w:rPr>
          <w:rFonts w:ascii="Arial" w:cs="Arial" w:eastAsia="Arial" w:hAnsi="Arial"/>
          <w:sz w:val="21"/>
          <w:szCs w:val="21"/>
          <w:b w:val="1"/>
          <w:bCs w:val="1"/>
          <w:color w:val="auto"/>
        </w:rPr>
      </w:pPr>
    </w:p>
    <w:p>
      <w:pPr>
        <w:ind w:right="20" w:firstLine="656"/>
        <w:spacing w:after="0" w:line="250" w:lineRule="auto"/>
        <w:tabs>
          <w:tab w:leader="none" w:pos="1519" w:val="left"/>
        </w:tabs>
        <w:numPr>
          <w:ilvl w:val="1"/>
          <w:numId w:val="288"/>
        </w:numPr>
        <w:rPr>
          <w:rFonts w:ascii="Arial" w:cs="Arial" w:eastAsia="Arial" w:hAnsi="Arial"/>
          <w:sz w:val="22"/>
          <w:szCs w:val="22"/>
          <w:b w:val="1"/>
          <w:bCs w:val="1"/>
          <w:color w:val="auto"/>
        </w:rPr>
      </w:pPr>
      <w:r>
        <w:rPr>
          <w:rFonts w:ascii="Arial" w:cs="Arial" w:eastAsia="Arial" w:hAnsi="Arial"/>
          <w:sz w:val="22"/>
          <w:szCs w:val="22"/>
          <w:color w:val="auto"/>
        </w:rPr>
        <w:t>The provisions of the Plan will be governed by the laws of the State of Delaware without resort to that state’s conflict of laws rules.</w:t>
      </w:r>
    </w:p>
    <w:p>
      <w:pPr>
        <w:spacing w:after="0" w:line="205" w:lineRule="exact"/>
        <w:rPr>
          <w:rFonts w:ascii="Arial" w:cs="Arial" w:eastAsia="Arial" w:hAnsi="Arial"/>
          <w:sz w:val="22"/>
          <w:szCs w:val="22"/>
          <w:b w:val="1"/>
          <w:bCs w:val="1"/>
          <w:color w:val="auto"/>
        </w:rPr>
      </w:pPr>
    </w:p>
    <w:p>
      <w:pPr>
        <w:ind w:left="660" w:hanging="652"/>
        <w:spacing w:after="0"/>
        <w:tabs>
          <w:tab w:leader="none" w:pos="6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definitions will apply to the capitalized terms indicated below:</w:t>
      </w:r>
    </w:p>
    <w:p>
      <w:pPr>
        <w:spacing w:after="0" w:line="233" w:lineRule="exact"/>
        <w:rPr>
          <w:sz w:val="20"/>
          <w:szCs w:val="20"/>
          <w:color w:val="auto"/>
        </w:rPr>
      </w:pPr>
    </w:p>
    <w:p>
      <w:pPr>
        <w:ind w:firstLine="656"/>
        <w:spacing w:after="0" w:line="328" w:lineRule="auto"/>
        <w:tabs>
          <w:tab w:leader="none" w:pos="1561" w:val="left"/>
        </w:tabs>
        <w:numPr>
          <w:ilvl w:val="0"/>
          <w:numId w:val="28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423 Component</w:t>
      </w:r>
      <w:r>
        <w:rPr>
          <w:rFonts w:ascii="Arial" w:cs="Arial" w:eastAsia="Arial" w:hAnsi="Arial"/>
          <w:sz w:val="19"/>
          <w:szCs w:val="19"/>
          <w:color w:val="auto"/>
        </w:rPr>
        <w:t>” means the part of the Plan, which excludes the Non-423 Component, pursuant to which Purchase Rights that satisfy the requirements for an Employee Stock Purchase Plan may be granted to Eligible Employees.</w:t>
      </w:r>
    </w:p>
    <w:p>
      <w:pPr>
        <w:spacing w:after="0" w:line="374" w:lineRule="exact"/>
        <w:rPr>
          <w:rFonts w:ascii="Arial" w:cs="Arial" w:eastAsia="Arial" w:hAnsi="Arial"/>
          <w:sz w:val="19"/>
          <w:szCs w:val="19"/>
          <w:b w:val="1"/>
          <w:bCs w:val="1"/>
          <w:color w:val="auto"/>
        </w:rPr>
      </w:pPr>
    </w:p>
    <w:p>
      <w:pPr>
        <w:jc w:val="both"/>
        <w:ind w:firstLine="656"/>
        <w:spacing w:after="0"/>
        <w:tabs>
          <w:tab w:leader="none" w:pos="1506" w:val="left"/>
        </w:tabs>
        <w:numPr>
          <w:ilvl w:val="0"/>
          <w:numId w:val="28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4" w:name="page325"/>
    <w:bookmarkEnd w:id="324"/>
    <w:p>
      <w:pPr>
        <w:ind w:left="1440" w:hanging="784"/>
        <w:spacing w:after="0"/>
        <w:tabs>
          <w:tab w:leader="none" w:pos="1440"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9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each and every class of common stock of the Company, regardless of the number of votes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per share.</w:t>
      </w:r>
    </w:p>
    <w:p>
      <w:pPr>
        <w:spacing w:after="0" w:line="215" w:lineRule="exact"/>
        <w:rPr>
          <w:rFonts w:ascii="Arial" w:cs="Arial" w:eastAsia="Arial" w:hAnsi="Arial"/>
          <w:sz w:val="19"/>
          <w:szCs w:val="19"/>
          <w:b w:val="1"/>
          <w:bCs w:val="1"/>
          <w:color w:val="auto"/>
        </w:rPr>
      </w:pPr>
    </w:p>
    <w:p>
      <w:pPr>
        <w:jc w:val="both"/>
        <w:ind w:firstLine="656"/>
        <w:spacing w:after="0" w:line="246" w:lineRule="auto"/>
        <w:tabs>
          <w:tab w:leader="none" w:pos="1495" w:val="left"/>
        </w:tabs>
        <w:numPr>
          <w:ilvl w:val="0"/>
          <w:numId w:val="29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6" w:lineRule="exact"/>
        <w:rPr>
          <w:rFonts w:ascii="Arial" w:cs="Arial" w:eastAsia="Arial" w:hAnsi="Arial"/>
          <w:sz w:val="21"/>
          <w:szCs w:val="21"/>
          <w:b w:val="1"/>
          <w:bCs w:val="1"/>
          <w:color w:val="auto"/>
        </w:rPr>
      </w:pPr>
    </w:p>
    <w:p>
      <w:pPr>
        <w:ind w:firstLine="656"/>
        <w:spacing w:after="0" w:line="250" w:lineRule="auto"/>
        <w:tabs>
          <w:tab w:leader="none" w:pos="1714"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including any applicable regulations and guidance thereunder</w:t>
      </w:r>
      <w:r>
        <w:rPr>
          <w:rFonts w:ascii="Arial" w:cs="Arial" w:eastAsia="Arial" w:hAnsi="Arial"/>
          <w:sz w:val="22"/>
          <w:szCs w:val="22"/>
          <w:i w:val="1"/>
          <w:iCs w:val="1"/>
          <w:color w:val="auto"/>
        </w:rPr>
        <w:t>.</w:t>
      </w:r>
    </w:p>
    <w:p>
      <w:pPr>
        <w:spacing w:after="0" w:line="201" w:lineRule="exact"/>
        <w:rPr>
          <w:rFonts w:ascii="Arial" w:cs="Arial" w:eastAsia="Arial" w:hAnsi="Arial"/>
          <w:sz w:val="22"/>
          <w:szCs w:val="22"/>
          <w:b w:val="1"/>
          <w:bCs w:val="1"/>
          <w:color w:val="auto"/>
        </w:rPr>
      </w:pPr>
    </w:p>
    <w:p>
      <w:pPr>
        <w:ind w:firstLine="656"/>
        <w:spacing w:after="0" w:line="250" w:lineRule="auto"/>
        <w:tabs>
          <w:tab w:leader="none" w:pos="1440"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a committee of one or more members of the Board to whom authority has been delegated by the Board in accordance with Section 2(c).</w:t>
      </w:r>
    </w:p>
    <w:p>
      <w:pPr>
        <w:spacing w:after="0" w:line="201" w:lineRule="exact"/>
        <w:rPr>
          <w:rFonts w:ascii="Arial" w:cs="Arial" w:eastAsia="Arial" w:hAnsi="Arial"/>
          <w:sz w:val="22"/>
          <w:szCs w:val="22"/>
          <w:b w:val="1"/>
          <w:bCs w:val="1"/>
          <w:color w:val="auto"/>
        </w:rPr>
      </w:pPr>
    </w:p>
    <w:p>
      <w:pPr>
        <w:ind w:left="1400" w:hanging="744"/>
        <w:spacing w:after="0"/>
        <w:tabs>
          <w:tab w:leader="none" w:pos="1400"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Class A common stock of the Company.</w:t>
      </w:r>
    </w:p>
    <w:p>
      <w:pPr>
        <w:spacing w:after="0" w:line="233" w:lineRule="exact"/>
        <w:rPr>
          <w:rFonts w:ascii="Arial" w:cs="Arial" w:eastAsia="Arial" w:hAnsi="Arial"/>
          <w:sz w:val="22"/>
          <w:szCs w:val="22"/>
          <w:b w:val="1"/>
          <w:bCs w:val="1"/>
          <w:color w:val="auto"/>
        </w:rPr>
      </w:pPr>
    </w:p>
    <w:p>
      <w:pPr>
        <w:ind w:left="1400" w:hanging="744"/>
        <w:spacing w:after="0"/>
        <w:tabs>
          <w:tab w:leader="none" w:pos="1400"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WM Technology, Inc., a Delaware corporation.</w:t>
      </w:r>
    </w:p>
    <w:p>
      <w:pPr>
        <w:spacing w:after="0" w:line="233" w:lineRule="exact"/>
        <w:rPr>
          <w:rFonts w:ascii="Arial" w:cs="Arial" w:eastAsia="Arial" w:hAnsi="Arial"/>
          <w:sz w:val="22"/>
          <w:szCs w:val="22"/>
          <w:b w:val="1"/>
          <w:bCs w:val="1"/>
          <w:color w:val="auto"/>
        </w:rPr>
      </w:pPr>
    </w:p>
    <w:p>
      <w:pPr>
        <w:jc w:val="both"/>
        <w:ind w:firstLine="656"/>
        <w:spacing w:after="0" w:line="238" w:lineRule="auto"/>
        <w:tabs>
          <w:tab w:leader="none" w:pos="1579"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“Contributions</w:t>
      </w:r>
      <w:r>
        <w:rPr>
          <w:rFonts w:ascii="Arial" w:cs="Arial" w:eastAsia="Arial" w:hAnsi="Arial"/>
          <w:sz w:val="22"/>
          <w:szCs w:val="22"/>
          <w:color w:val="auto"/>
        </w:rPr>
        <w:t>” means the payroll deductions and other additional payments specifically provided for in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211" w:lineRule="exact"/>
        <w:rPr>
          <w:rFonts w:ascii="Arial" w:cs="Arial" w:eastAsia="Arial" w:hAnsi="Arial"/>
          <w:sz w:val="22"/>
          <w:szCs w:val="22"/>
          <w:b w:val="1"/>
          <w:bCs w:val="1"/>
          <w:color w:val="auto"/>
        </w:rPr>
      </w:pPr>
    </w:p>
    <w:p>
      <w:pPr>
        <w:ind w:firstLine="656"/>
        <w:spacing w:after="0" w:line="250" w:lineRule="auto"/>
        <w:tabs>
          <w:tab w:leader="none" w:pos="1506" w:val="left"/>
        </w:tabs>
        <w:numPr>
          <w:ilvl w:val="0"/>
          <w:numId w:val="29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201" w:lineRule="exact"/>
        <w:rPr>
          <w:rFonts w:ascii="Arial" w:cs="Arial" w:eastAsia="Arial" w:hAnsi="Arial"/>
          <w:sz w:val="22"/>
          <w:szCs w:val="22"/>
          <w:b w:val="1"/>
          <w:bCs w:val="1"/>
          <w:color w:val="auto"/>
        </w:rPr>
      </w:pPr>
    </w:p>
    <w:p>
      <w:pPr>
        <w:ind w:firstLine="1304"/>
        <w:spacing w:after="0" w:line="250" w:lineRule="auto"/>
        <w:tabs>
          <w:tab w:leader="none" w:pos="2126" w:val="left"/>
        </w:tabs>
        <w:numPr>
          <w:ilvl w:val="1"/>
          <w:numId w:val="290"/>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in its sole discretion, of the consolidated assets of the Company and its subsidiaries;</w:t>
      </w:r>
    </w:p>
    <w:p>
      <w:pPr>
        <w:spacing w:after="0" w:line="201" w:lineRule="exact"/>
        <w:rPr>
          <w:rFonts w:ascii="Arial" w:cs="Arial" w:eastAsia="Arial" w:hAnsi="Arial"/>
          <w:sz w:val="22"/>
          <w:szCs w:val="22"/>
          <w:b w:val="1"/>
          <w:bCs w:val="1"/>
          <w:color w:val="auto"/>
        </w:rPr>
      </w:pPr>
    </w:p>
    <w:p>
      <w:pPr>
        <w:ind w:left="2060" w:hanging="756"/>
        <w:spacing w:after="0"/>
        <w:tabs>
          <w:tab w:leader="none" w:pos="2060" w:val="left"/>
        </w:tabs>
        <w:numPr>
          <w:ilvl w:val="1"/>
          <w:numId w:val="290"/>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more than 50% of the outstanding securities of the Company;</w:t>
      </w:r>
    </w:p>
    <w:p>
      <w:pPr>
        <w:spacing w:after="0" w:line="233" w:lineRule="exact"/>
        <w:rPr>
          <w:rFonts w:ascii="Arial" w:cs="Arial" w:eastAsia="Arial" w:hAnsi="Arial"/>
          <w:sz w:val="22"/>
          <w:szCs w:val="22"/>
          <w:b w:val="1"/>
          <w:bCs w:val="1"/>
          <w:color w:val="auto"/>
        </w:rPr>
      </w:pPr>
    </w:p>
    <w:p>
      <w:pPr>
        <w:ind w:left="2380" w:hanging="1076"/>
        <w:spacing w:after="0"/>
        <w:tabs>
          <w:tab w:leader="none" w:pos="2380" w:val="left"/>
        </w:tabs>
        <w:numPr>
          <w:ilvl w:val="1"/>
          <w:numId w:val="290"/>
        </w:numPr>
        <w:rPr>
          <w:rFonts w:ascii="Arial" w:cs="Arial" w:eastAsia="Arial" w:hAnsi="Arial"/>
          <w:sz w:val="21"/>
          <w:szCs w:val="21"/>
          <w:b w:val="1"/>
          <w:bCs w:val="1"/>
          <w:color w:val="auto"/>
        </w:rPr>
      </w:pPr>
      <w:r>
        <w:rPr>
          <w:rFonts w:ascii="Arial" w:cs="Arial" w:eastAsia="Arial" w:hAnsi="Arial"/>
          <w:sz w:val="21"/>
          <w:szCs w:val="21"/>
          <w:color w:val="auto"/>
        </w:rPr>
        <w:t>a merger, consolidation or similar transaction following which the Company is not the surviving</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corporation; or</w:t>
      </w:r>
    </w:p>
    <w:p>
      <w:pPr>
        <w:spacing w:after="0" w:line="215" w:lineRule="exact"/>
        <w:rPr>
          <w:rFonts w:ascii="Arial" w:cs="Arial" w:eastAsia="Arial" w:hAnsi="Arial"/>
          <w:sz w:val="21"/>
          <w:szCs w:val="21"/>
          <w:b w:val="1"/>
          <w:bCs w:val="1"/>
          <w:color w:val="auto"/>
        </w:rPr>
      </w:pPr>
    </w:p>
    <w:p>
      <w:pPr>
        <w:jc w:val="both"/>
        <w:ind w:firstLine="1304"/>
        <w:spacing w:after="0" w:line="238" w:lineRule="auto"/>
        <w:tabs>
          <w:tab w:leader="none" w:pos="2096" w:val="left"/>
        </w:tabs>
        <w:numPr>
          <w:ilvl w:val="1"/>
          <w:numId w:val="290"/>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5" w:name="page326"/>
    <w:bookmarkEnd w:id="325"/>
    <w:p>
      <w:pPr>
        <w:ind w:left="1540" w:hanging="884"/>
        <w:spacing w:after="0"/>
        <w:tabs>
          <w:tab w:leader="none" w:pos="1540" w:val="left"/>
        </w:tabs>
        <w:numPr>
          <w:ilvl w:val="0"/>
          <w:numId w:val="29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423 Company</w:t>
      </w:r>
      <w:r>
        <w:rPr>
          <w:rFonts w:ascii="Arial" w:cs="Arial" w:eastAsia="Arial" w:hAnsi="Arial"/>
          <w:sz w:val="19"/>
          <w:szCs w:val="19"/>
          <w:color w:val="auto"/>
        </w:rPr>
        <w:t>” means any Related Corporation selected by the Board as participating in the 423</w:t>
      </w:r>
    </w:p>
    <w:p>
      <w:pPr>
        <w:spacing w:after="0" w:line="43"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Component.</w:t>
      </w:r>
    </w:p>
    <w:p>
      <w:pPr>
        <w:spacing w:after="0" w:line="215" w:lineRule="exact"/>
        <w:rPr>
          <w:rFonts w:ascii="Arial" w:cs="Arial" w:eastAsia="Arial" w:hAnsi="Arial"/>
          <w:sz w:val="19"/>
          <w:szCs w:val="19"/>
          <w:b w:val="1"/>
          <w:bCs w:val="1"/>
          <w:color w:val="auto"/>
        </w:rPr>
      </w:pPr>
    </w:p>
    <w:p>
      <w:pPr>
        <w:jc w:val="both"/>
        <w:ind w:firstLine="656"/>
        <w:spacing w:after="0"/>
        <w:tabs>
          <w:tab w:leader="none" w:pos="1512"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Company</w:t>
      </w:r>
      <w:r>
        <w:rPr>
          <w:rFonts w:ascii="Arial" w:cs="Arial" w:eastAsia="Arial" w:hAnsi="Arial"/>
          <w:sz w:val="22"/>
          <w:szCs w:val="22"/>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213" w:lineRule="exact"/>
        <w:rPr>
          <w:rFonts w:ascii="Arial" w:cs="Arial" w:eastAsia="Arial" w:hAnsi="Arial"/>
          <w:sz w:val="22"/>
          <w:szCs w:val="22"/>
          <w:b w:val="1"/>
          <w:bCs w:val="1"/>
          <w:color w:val="auto"/>
        </w:rPr>
      </w:pPr>
    </w:p>
    <w:p>
      <w:pPr>
        <w:ind w:firstLine="656"/>
        <w:spacing w:after="0" w:line="250" w:lineRule="auto"/>
        <w:tabs>
          <w:tab w:leader="none" w:pos="1843"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Non-423 Company</w:t>
      </w:r>
      <w:r>
        <w:rPr>
          <w:rFonts w:ascii="Arial" w:cs="Arial" w:eastAsia="Arial" w:hAnsi="Arial"/>
          <w:sz w:val="22"/>
          <w:szCs w:val="22"/>
          <w:color w:val="auto"/>
        </w:rPr>
        <w:t>” means any Related Corporation or Affiliate selected by the Board as participating in the Non-423 Component.</w:t>
      </w:r>
    </w:p>
    <w:p>
      <w:pPr>
        <w:spacing w:after="0" w:line="201"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b w:val="1"/>
          <w:bCs w:val="1"/>
          <w:color w:val="auto"/>
        </w:rPr>
      </w:pPr>
    </w:p>
    <w:p>
      <w:pPr>
        <w:jc w:val="both"/>
        <w:ind w:firstLine="656"/>
        <w:spacing w:after="0"/>
        <w:tabs>
          <w:tab w:leader="none" w:pos="1411"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Employee</w:t>
      </w:r>
      <w:r>
        <w:rPr>
          <w:rFonts w:ascii="Arial" w:cs="Arial" w:eastAsia="Arial" w:hAnsi="Arial"/>
          <w:sz w:val="22"/>
          <w:szCs w:val="22"/>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213" w:lineRule="exact"/>
        <w:rPr>
          <w:rFonts w:ascii="Arial" w:cs="Arial" w:eastAsia="Arial" w:hAnsi="Arial"/>
          <w:sz w:val="22"/>
          <w:szCs w:val="22"/>
          <w:b w:val="1"/>
          <w:bCs w:val="1"/>
          <w:color w:val="auto"/>
        </w:rPr>
      </w:pPr>
    </w:p>
    <w:p>
      <w:pPr>
        <w:jc w:val="both"/>
        <w:ind w:firstLine="656"/>
        <w:spacing w:after="0" w:line="238" w:lineRule="auto"/>
        <w:tabs>
          <w:tab w:leader="none" w:pos="1519"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211" w:lineRule="exact"/>
        <w:rPr>
          <w:rFonts w:ascii="Arial" w:cs="Arial" w:eastAsia="Arial" w:hAnsi="Arial"/>
          <w:sz w:val="22"/>
          <w:szCs w:val="22"/>
          <w:b w:val="1"/>
          <w:bCs w:val="1"/>
          <w:color w:val="auto"/>
        </w:rPr>
      </w:pPr>
    </w:p>
    <w:p>
      <w:pPr>
        <w:ind w:firstLine="656"/>
        <w:spacing w:after="0" w:line="250" w:lineRule="auto"/>
        <w:tabs>
          <w:tab w:leader="none" w:pos="1428"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Stock Purchase Plan</w:t>
      </w:r>
      <w:r>
        <w:rPr>
          <w:rFonts w:ascii="Arial" w:cs="Arial" w:eastAsia="Arial" w:hAnsi="Arial"/>
          <w:sz w:val="22"/>
          <w:szCs w:val="22"/>
          <w:color w:val="auto"/>
        </w:rPr>
        <w:t>” means a plan that grants Purchase Rights intended to be options issued under an “employee stock purchase plan,” as that term is defined in Section 423(b) of the Code.</w:t>
      </w:r>
    </w:p>
    <w:p>
      <w:pPr>
        <w:spacing w:after="0" w:line="201" w:lineRule="exact"/>
        <w:rPr>
          <w:rFonts w:ascii="Arial" w:cs="Arial" w:eastAsia="Arial" w:hAnsi="Arial"/>
          <w:sz w:val="22"/>
          <w:szCs w:val="22"/>
          <w:b w:val="1"/>
          <w:bCs w:val="1"/>
          <w:color w:val="auto"/>
        </w:rPr>
      </w:pPr>
    </w:p>
    <w:p>
      <w:pPr>
        <w:ind w:firstLine="656"/>
        <w:spacing w:after="0" w:line="250" w:lineRule="auto"/>
        <w:tabs>
          <w:tab w:leader="none" w:pos="1767"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01"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9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the Common Stock determined as follows:</w:t>
      </w:r>
    </w:p>
    <w:p>
      <w:pPr>
        <w:spacing w:after="0" w:line="233" w:lineRule="exact"/>
        <w:rPr>
          <w:rFonts w:ascii="Arial" w:cs="Arial" w:eastAsia="Arial" w:hAnsi="Arial"/>
          <w:sz w:val="22"/>
          <w:szCs w:val="22"/>
          <w:b w:val="1"/>
          <w:bCs w:val="1"/>
          <w:color w:val="auto"/>
        </w:rPr>
      </w:pPr>
    </w:p>
    <w:p>
      <w:pPr>
        <w:jc w:val="both"/>
        <w:ind w:firstLine="1304"/>
        <w:spacing w:after="0" w:line="279" w:lineRule="auto"/>
        <w:tabs>
          <w:tab w:leader="none" w:pos="2065" w:val="left"/>
        </w:tabs>
        <w:numPr>
          <w:ilvl w:val="1"/>
          <w:numId w:val="291"/>
        </w:numPr>
        <w:rPr>
          <w:rFonts w:ascii="Arial" w:cs="Arial" w:eastAsia="Arial" w:hAnsi="Arial"/>
          <w:sz w:val="19"/>
          <w:szCs w:val="19"/>
          <w:b w:val="1"/>
          <w:bCs w:val="1"/>
          <w:color w:val="auto"/>
        </w:rPr>
      </w:pPr>
      <w:r>
        <w:rPr>
          <w:rFonts w:ascii="Arial" w:cs="Arial" w:eastAsia="Arial" w:hAnsi="Arial"/>
          <w:sz w:val="19"/>
          <w:szCs w:val="19"/>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9"/>
          <w:szCs w:val="19"/>
          <w:b w:val="1"/>
          <w:bCs w:val="1"/>
          <w:u w:val="single" w:color="auto"/>
          <w:color w:val="auto"/>
        </w:rPr>
        <w:t>closing sales price</w:t>
      </w:r>
      <w:r>
        <w:rPr>
          <w:rFonts w:ascii="Arial" w:cs="Arial" w:eastAsia="Arial" w:hAnsi="Arial"/>
          <w:sz w:val="19"/>
          <w:szCs w:val="19"/>
          <w:color w:val="auto"/>
        </w:rPr>
        <w:t xml:space="preserve"> for such stock as quoted on such exchange or market (or the exchange or market with the greatest volume of trading in the Common Stock) </w:t>
      </w:r>
      <w:r>
        <w:rPr>
          <w:rFonts w:ascii="Arial" w:cs="Arial" w:eastAsia="Arial" w:hAnsi="Arial"/>
          <w:sz w:val="19"/>
          <w:szCs w:val="19"/>
          <w:b w:val="1"/>
          <w:bCs w:val="1"/>
          <w:u w:val="single" w:color="auto"/>
          <w:color w:val="auto"/>
        </w:rPr>
        <w:t>on the date of determination</w:t>
      </w:r>
      <w:r>
        <w:rPr>
          <w:rFonts w:ascii="Arial" w:cs="Arial" w:eastAsia="Arial" w:hAnsi="Arial"/>
          <w:sz w:val="19"/>
          <w:szCs w:val="19"/>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77" w:lineRule="exact"/>
        <w:rPr>
          <w:rFonts w:ascii="Arial" w:cs="Arial" w:eastAsia="Arial" w:hAnsi="Arial"/>
          <w:sz w:val="19"/>
          <w:szCs w:val="19"/>
          <w:b w:val="1"/>
          <w:bCs w:val="1"/>
          <w:color w:val="auto"/>
        </w:rPr>
      </w:pPr>
    </w:p>
    <w:p>
      <w:pPr>
        <w:ind w:right="20" w:firstLine="1304"/>
        <w:spacing w:after="0" w:line="328" w:lineRule="auto"/>
        <w:tabs>
          <w:tab w:leader="none" w:pos="2122" w:val="left"/>
        </w:tabs>
        <w:numPr>
          <w:ilvl w:val="1"/>
          <w:numId w:val="291"/>
        </w:numPr>
        <w:rPr>
          <w:rFonts w:ascii="Arial" w:cs="Arial" w:eastAsia="Arial" w:hAnsi="Arial"/>
          <w:sz w:val="19"/>
          <w:szCs w:val="19"/>
          <w:b w:val="1"/>
          <w:bCs w:val="1"/>
          <w:color w:val="auto"/>
        </w:rPr>
      </w:pPr>
      <w:r>
        <w:rPr>
          <w:rFonts w:ascii="Arial" w:cs="Arial" w:eastAsia="Arial" w:hAnsi="Arial"/>
          <w:sz w:val="19"/>
          <w:szCs w:val="19"/>
          <w:color w:val="auto"/>
        </w:rPr>
        <w:t>In the absence of such markets for the Common Stock, the Fair Market Value will be determined by the Board in good faith in compliance with applicable laws and in a manner that complies with Sections 409A of the Code.</w:t>
      </w:r>
    </w:p>
    <w:p>
      <w:pPr>
        <w:spacing w:after="0" w:line="131" w:lineRule="exact"/>
        <w:rPr>
          <w:rFonts w:ascii="Arial" w:cs="Arial" w:eastAsia="Arial" w:hAnsi="Arial"/>
          <w:sz w:val="19"/>
          <w:szCs w:val="19"/>
          <w:b w:val="1"/>
          <w:bCs w:val="1"/>
          <w:color w:val="auto"/>
        </w:rPr>
      </w:pPr>
    </w:p>
    <w:p>
      <w:pPr>
        <w:jc w:val="both"/>
        <w:ind w:firstLine="656"/>
        <w:spacing w:after="0" w:line="252" w:lineRule="auto"/>
        <w:tabs>
          <w:tab w:leader="none" w:pos="1398" w:val="left"/>
        </w:tabs>
        <w:numPr>
          <w:ilvl w:val="0"/>
          <w:numId w:val="29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means that certain Agreement and Plan of Merger, dated as of December 10, 2020, by and among Silver Spike Acquisition Corp. (“</w:t>
      </w:r>
      <w:r>
        <w:rPr>
          <w:rFonts w:ascii="Arial" w:cs="Arial" w:eastAsia="Arial" w:hAnsi="Arial"/>
          <w:sz w:val="21"/>
          <w:szCs w:val="21"/>
          <w:b w:val="1"/>
          <w:bCs w:val="1"/>
          <w:i w:val="1"/>
          <w:iCs w:val="1"/>
          <w:color w:val="auto"/>
        </w:rPr>
        <w:t>Silver Spike</w:t>
      </w:r>
      <w:r>
        <w:rPr>
          <w:rFonts w:ascii="Arial" w:cs="Arial" w:eastAsia="Arial" w:hAnsi="Arial"/>
          <w:sz w:val="21"/>
          <w:szCs w:val="21"/>
          <w:color w:val="auto"/>
        </w:rPr>
        <w:t>”), a Cayman Islands exempted company, Silver Spike Merger Sub LLC, a Delaware limited liability company and a wholly owned direct subsidiary of Silver Spike, WM Holding Company, LLC, a Delaware limited liability company, and Ghost Media Group, LLC, a Nevada limited liability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6" w:name="page327"/>
    <w:bookmarkEnd w:id="326"/>
    <w:p>
      <w:pPr>
        <w:jc w:val="both"/>
        <w:ind w:firstLine="656"/>
        <w:spacing w:after="0" w:line="241" w:lineRule="auto"/>
        <w:tabs>
          <w:tab w:leader="none" w:pos="1615" w:val="left"/>
        </w:tabs>
        <w:numPr>
          <w:ilvl w:val="0"/>
          <w:numId w:val="2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Non-423 Component</w:t>
      </w:r>
      <w:r>
        <w:rPr>
          <w:rFonts w:ascii="Arial" w:cs="Arial" w:eastAsia="Arial" w:hAnsi="Arial"/>
          <w:sz w:val="22"/>
          <w:szCs w:val="22"/>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210" w:lineRule="exact"/>
        <w:rPr>
          <w:rFonts w:ascii="Arial" w:cs="Arial" w:eastAsia="Arial" w:hAnsi="Arial"/>
          <w:sz w:val="22"/>
          <w:szCs w:val="22"/>
          <w:b w:val="1"/>
          <w:bCs w:val="1"/>
          <w:color w:val="auto"/>
        </w:rPr>
      </w:pPr>
    </w:p>
    <w:p>
      <w:pPr>
        <w:jc w:val="both"/>
        <w:ind w:firstLine="656"/>
        <w:spacing w:after="0"/>
        <w:tabs>
          <w:tab w:leader="none" w:pos="1393" w:val="left"/>
        </w:tabs>
        <w:numPr>
          <w:ilvl w:val="0"/>
          <w:numId w:val="2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Offering</w:t>
      </w:r>
      <w:r>
        <w:rPr>
          <w:rFonts w:ascii="Arial" w:cs="Arial" w:eastAsia="Arial" w:hAnsi="Arial"/>
          <w:sz w:val="22"/>
          <w:szCs w:val="22"/>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22"/>
          <w:szCs w:val="22"/>
          <w:b w:val="1"/>
          <w:bCs w:val="1"/>
          <w:i w:val="1"/>
          <w:iCs w:val="1"/>
          <w:color w:val="auto"/>
        </w:rPr>
        <w:t>Offering Document</w:t>
      </w:r>
      <w:r>
        <w:rPr>
          <w:rFonts w:ascii="Arial" w:cs="Arial" w:eastAsia="Arial" w:hAnsi="Arial"/>
          <w:sz w:val="22"/>
          <w:szCs w:val="22"/>
          <w:color w:val="auto"/>
        </w:rPr>
        <w:t>” approved by the Board for that Offering.</w:t>
      </w:r>
    </w:p>
    <w:p>
      <w:pPr>
        <w:spacing w:after="0" w:line="213"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Offering Date</w:t>
      </w:r>
      <w:r>
        <w:rPr>
          <w:rFonts w:ascii="Arial" w:cs="Arial" w:eastAsia="Arial" w:hAnsi="Arial"/>
          <w:sz w:val="22"/>
          <w:szCs w:val="22"/>
          <w:color w:val="auto"/>
        </w:rPr>
        <w:t>” means a date selected by the Board for an Offering to commence.</w:t>
      </w:r>
    </w:p>
    <w:p>
      <w:pPr>
        <w:spacing w:after="0" w:line="233" w:lineRule="exact"/>
        <w:rPr>
          <w:rFonts w:ascii="Arial" w:cs="Arial" w:eastAsia="Arial" w:hAnsi="Arial"/>
          <w:sz w:val="22"/>
          <w:szCs w:val="22"/>
          <w:b w:val="1"/>
          <w:bCs w:val="1"/>
          <w:color w:val="auto"/>
        </w:rPr>
      </w:pPr>
    </w:p>
    <w:p>
      <w:pPr>
        <w:ind w:firstLine="656"/>
        <w:spacing w:after="0" w:line="250" w:lineRule="auto"/>
        <w:tabs>
          <w:tab w:leader="none" w:pos="1602" w:val="left"/>
        </w:tabs>
        <w:numPr>
          <w:ilvl w:val="0"/>
          <w:numId w:val="2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or a Related Corporation within the meaning of Section 16 of the Exchange Act.</w:t>
      </w:r>
    </w:p>
    <w:p>
      <w:pPr>
        <w:spacing w:after="0" w:line="201" w:lineRule="exact"/>
        <w:rPr>
          <w:rFonts w:ascii="Arial" w:cs="Arial" w:eastAsia="Arial" w:hAnsi="Arial"/>
          <w:sz w:val="22"/>
          <w:szCs w:val="22"/>
          <w:b w:val="1"/>
          <w:bCs w:val="1"/>
          <w:color w:val="auto"/>
        </w:rPr>
      </w:pPr>
    </w:p>
    <w:p>
      <w:pPr>
        <w:ind w:left="1440" w:hanging="784"/>
        <w:spacing w:after="0"/>
        <w:tabs>
          <w:tab w:leader="none" w:pos="1440" w:val="left"/>
        </w:tabs>
        <w:numPr>
          <w:ilvl w:val="0"/>
          <w:numId w:val="2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Eligible Employee who holds an outstanding Purchase Right.</w:t>
      </w:r>
    </w:p>
    <w:p>
      <w:pPr>
        <w:spacing w:after="0" w:line="233" w:lineRule="exact"/>
        <w:rPr>
          <w:sz w:val="20"/>
          <w:szCs w:val="20"/>
          <w:color w:val="auto"/>
        </w:rPr>
      </w:pPr>
    </w:p>
    <w:p>
      <w:pPr>
        <w:ind w:firstLine="656"/>
        <w:spacing w:after="0" w:line="250" w:lineRule="auto"/>
        <w:tabs>
          <w:tab w:leader="none" w:pos="1480" w:val="left"/>
        </w:tabs>
        <w:numPr>
          <w:ilvl w:val="0"/>
          <w:numId w:val="29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WM Technology, Inc. 2021 Employee Stock Purchase Plan, as amended from time to time, including both the 423 Component and the Non-423 Component.</w:t>
      </w:r>
    </w:p>
    <w:p>
      <w:pPr>
        <w:spacing w:after="0" w:line="201" w:lineRule="exact"/>
        <w:rPr>
          <w:rFonts w:ascii="Arial" w:cs="Arial" w:eastAsia="Arial" w:hAnsi="Arial"/>
          <w:sz w:val="22"/>
          <w:szCs w:val="22"/>
          <w:b w:val="1"/>
          <w:bCs w:val="1"/>
          <w:color w:val="auto"/>
        </w:rPr>
      </w:pPr>
    </w:p>
    <w:p>
      <w:pPr>
        <w:ind w:firstLine="656"/>
        <w:spacing w:after="0" w:line="328" w:lineRule="auto"/>
        <w:tabs>
          <w:tab w:leader="none" w:pos="1464" w:val="left"/>
        </w:tabs>
        <w:numPr>
          <w:ilvl w:val="0"/>
          <w:numId w:val="29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 Date</w:t>
      </w:r>
      <w:r>
        <w:rPr>
          <w:rFonts w:ascii="Arial" w:cs="Arial" w:eastAsia="Arial" w:hAnsi="Arial"/>
          <w:sz w:val="19"/>
          <w:szCs w:val="19"/>
          <w:color w:val="auto"/>
        </w:rPr>
        <w:t>” means one or more dates during an Offering selected by the Board on which Purchase Rights will be exercised and on which purchases of shares of Common Stock will be carried out in accordance with such Offering.</w:t>
      </w:r>
    </w:p>
    <w:p>
      <w:pPr>
        <w:spacing w:after="0" w:line="131" w:lineRule="exact"/>
        <w:rPr>
          <w:rFonts w:ascii="Arial" w:cs="Arial" w:eastAsia="Arial" w:hAnsi="Arial"/>
          <w:sz w:val="19"/>
          <w:szCs w:val="19"/>
          <w:b w:val="1"/>
          <w:bCs w:val="1"/>
          <w:color w:val="auto"/>
        </w:rPr>
      </w:pPr>
    </w:p>
    <w:p>
      <w:pPr>
        <w:jc w:val="both"/>
        <w:ind w:firstLine="656"/>
        <w:spacing w:after="0"/>
        <w:tabs>
          <w:tab w:leader="none" w:pos="1551" w:val="left"/>
        </w:tabs>
        <w:numPr>
          <w:ilvl w:val="0"/>
          <w:numId w:val="29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Period</w:t>
      </w:r>
      <w:r>
        <w:rPr>
          <w:rFonts w:ascii="Arial" w:cs="Arial" w:eastAsia="Arial" w:hAnsi="Arial"/>
          <w:sz w:val="22"/>
          <w:szCs w:val="22"/>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213" w:lineRule="exact"/>
        <w:rPr>
          <w:rFonts w:ascii="Arial" w:cs="Arial" w:eastAsia="Arial" w:hAnsi="Arial"/>
          <w:sz w:val="22"/>
          <w:szCs w:val="22"/>
          <w:b w:val="1"/>
          <w:bCs w:val="1"/>
          <w:color w:val="auto"/>
        </w:rPr>
      </w:pPr>
    </w:p>
    <w:p>
      <w:pPr>
        <w:ind w:left="1420" w:hanging="764"/>
        <w:spacing w:after="0"/>
        <w:tabs>
          <w:tab w:leader="none" w:pos="1420" w:val="left"/>
        </w:tabs>
        <w:numPr>
          <w:ilvl w:val="0"/>
          <w:numId w:val="29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Purchase Right</w:t>
      </w:r>
      <w:r>
        <w:rPr>
          <w:rFonts w:ascii="Arial" w:cs="Arial" w:eastAsia="Arial" w:hAnsi="Arial"/>
          <w:sz w:val="21"/>
          <w:szCs w:val="21"/>
          <w:color w:val="auto"/>
        </w:rPr>
        <w:t>” means an option to purchase shares of Common Stock granted pursuant to the Plan.</w:t>
      </w:r>
    </w:p>
    <w:p>
      <w:pPr>
        <w:spacing w:after="0" w:line="244" w:lineRule="exact"/>
        <w:rPr>
          <w:rFonts w:ascii="Arial" w:cs="Arial" w:eastAsia="Arial" w:hAnsi="Arial"/>
          <w:sz w:val="21"/>
          <w:szCs w:val="21"/>
          <w:b w:val="1"/>
          <w:bCs w:val="1"/>
          <w:color w:val="auto"/>
        </w:rPr>
      </w:pPr>
    </w:p>
    <w:p>
      <w:pPr>
        <w:ind w:firstLine="656"/>
        <w:spacing w:after="0" w:line="328" w:lineRule="auto"/>
        <w:tabs>
          <w:tab w:leader="none" w:pos="1564" w:val="left"/>
        </w:tabs>
        <w:numPr>
          <w:ilvl w:val="0"/>
          <w:numId w:val="29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Corporation</w:t>
      </w:r>
      <w:r>
        <w:rPr>
          <w:rFonts w:ascii="Arial" w:cs="Arial" w:eastAsia="Arial" w:hAnsi="Arial"/>
          <w:sz w:val="19"/>
          <w:szCs w:val="19"/>
          <w:color w:val="auto"/>
        </w:rPr>
        <w:t>” means any “parent corporation” or “subsidiary corporation” of the Company whether now or subsequently established, as those terms are defined in Sections 424(e) and (f), respectively, of the Code.</w:t>
      </w:r>
    </w:p>
    <w:p>
      <w:pPr>
        <w:spacing w:after="0" w:line="131" w:lineRule="exact"/>
        <w:rPr>
          <w:rFonts w:ascii="Arial" w:cs="Arial" w:eastAsia="Arial" w:hAnsi="Arial"/>
          <w:sz w:val="19"/>
          <w:szCs w:val="19"/>
          <w:b w:val="1"/>
          <w:bCs w:val="1"/>
          <w:color w:val="auto"/>
        </w:rPr>
      </w:pPr>
    </w:p>
    <w:p>
      <w:pPr>
        <w:ind w:left="1420" w:hanging="764"/>
        <w:spacing w:after="0"/>
        <w:tabs>
          <w:tab w:leader="none" w:pos="1420" w:val="left"/>
        </w:tabs>
        <w:numPr>
          <w:ilvl w:val="0"/>
          <w:numId w:val="29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33" w:lineRule="exact"/>
        <w:rPr>
          <w:rFonts w:ascii="Arial" w:cs="Arial" w:eastAsia="Arial" w:hAnsi="Arial"/>
          <w:sz w:val="22"/>
          <w:szCs w:val="22"/>
          <w:b w:val="1"/>
          <w:bCs w:val="1"/>
          <w:color w:val="auto"/>
        </w:rPr>
      </w:pPr>
    </w:p>
    <w:p>
      <w:pPr>
        <w:jc w:val="both"/>
        <w:ind w:firstLine="656"/>
        <w:spacing w:after="0" w:line="238" w:lineRule="auto"/>
        <w:tabs>
          <w:tab w:leader="none" w:pos="1440" w:val="left"/>
        </w:tabs>
        <w:numPr>
          <w:ilvl w:val="0"/>
          <w:numId w:val="29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211" w:lineRule="exact"/>
        <w:rPr>
          <w:rFonts w:ascii="Arial" w:cs="Arial" w:eastAsia="Arial" w:hAnsi="Arial"/>
          <w:sz w:val="22"/>
          <w:szCs w:val="22"/>
          <w:b w:val="1"/>
          <w:bCs w:val="1"/>
          <w:color w:val="auto"/>
        </w:rPr>
      </w:pPr>
    </w:p>
    <w:p>
      <w:pPr>
        <w:jc w:val="both"/>
        <w:ind w:firstLine="656"/>
        <w:spacing w:after="0"/>
        <w:tabs>
          <w:tab w:leader="none" w:pos="1518" w:val="left"/>
        </w:tabs>
        <w:numPr>
          <w:ilvl w:val="0"/>
          <w:numId w:val="29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165100</wp:posOffset>
            </wp:positionV>
            <wp:extent cx="1663065" cy="3771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16630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July 31, 2015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Email</w:t>
      </w:r>
    </w:p>
    <w:p>
      <w:pPr>
        <w:spacing w:after="0" w:line="238" w:lineRule="auto"/>
        <w:rPr>
          <w:sz w:val="20"/>
          <w:szCs w:val="20"/>
          <w:color w:val="auto"/>
        </w:rPr>
      </w:pPr>
      <w:r>
        <w:rPr>
          <w:rFonts w:ascii="Arial" w:cs="Arial" w:eastAsia="Arial" w:hAnsi="Arial"/>
          <w:sz w:val="22"/>
          <w:szCs w:val="22"/>
          <w:b w:val="1"/>
          <w:bCs w:val="1"/>
          <w:color w:val="auto"/>
        </w:rPr>
        <w:t>Chris Beals</w:t>
      </w:r>
    </w:p>
    <w:p>
      <w:pPr>
        <w:spacing w:after="0"/>
        <w:rPr>
          <w:sz w:val="20"/>
          <w:szCs w:val="20"/>
          <w:color w:val="auto"/>
        </w:rPr>
      </w:pPr>
      <w:r>
        <w:rPr>
          <w:rFonts w:ascii="Arial" w:cs="Arial" w:eastAsia="Arial" w:hAnsi="Arial"/>
          <w:sz w:val="22"/>
          <w:szCs w:val="22"/>
          <w:u w:val="single" w:color="auto"/>
          <w:color w:val="auto"/>
        </w:rPr>
        <w:t>chris.beals@gmail.com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3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This is your formal offer of employment with Ghost Management Group, LLC (the “Company”). We are enthusiastic that you will accept our offer by signing where indicated below and returning a copy of this letter to us. If you have any questions, please do not hesitate to contact Jackie Becerra or 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8660" w:type="dxa"/>
            <w:vAlign w:val="bottom"/>
          </w:tcPr>
          <w:p>
            <w:pPr>
              <w:ind w:left="1380"/>
              <w:spacing w:after="0"/>
              <w:rPr>
                <w:sz w:val="20"/>
                <w:szCs w:val="20"/>
                <w:color w:val="auto"/>
              </w:rPr>
            </w:pPr>
            <w:r>
              <w:rPr>
                <w:rFonts w:ascii="Arial" w:cs="Arial" w:eastAsia="Arial" w:hAnsi="Arial"/>
                <w:sz w:val="18"/>
                <w:szCs w:val="18"/>
                <w:color w:val="auto"/>
              </w:rPr>
              <w:t>General Counsel / CLO</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Start Date</w:t>
            </w:r>
          </w:p>
        </w:tc>
        <w:tc>
          <w:tcPr>
            <w:tcW w:w="8660" w:type="dxa"/>
            <w:vAlign w:val="bottom"/>
          </w:tcPr>
          <w:p>
            <w:pPr>
              <w:ind w:left="1380"/>
              <w:spacing w:after="0"/>
              <w:rPr>
                <w:sz w:val="20"/>
                <w:szCs w:val="20"/>
                <w:color w:val="auto"/>
              </w:rPr>
            </w:pPr>
            <w:r>
              <w:rPr>
                <w:rFonts w:ascii="Arial" w:cs="Arial" w:eastAsia="Arial" w:hAnsi="Arial"/>
                <w:sz w:val="18"/>
                <w:szCs w:val="18"/>
                <w:color w:val="auto"/>
              </w:rPr>
              <w:t>September 1, 2015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Reporting to</w:t>
            </w:r>
          </w:p>
        </w:tc>
        <w:tc>
          <w:tcPr>
            <w:tcW w:w="8660" w:type="dxa"/>
            <w:vAlign w:val="bottom"/>
          </w:tcPr>
          <w:p>
            <w:pPr>
              <w:ind w:left="1380"/>
              <w:spacing w:after="0"/>
              <w:rPr>
                <w:sz w:val="20"/>
                <w:szCs w:val="20"/>
                <w:color w:val="auto"/>
              </w:rPr>
            </w:pPr>
            <w:r>
              <w:rPr>
                <w:rFonts w:ascii="Arial" w:cs="Arial" w:eastAsia="Arial" w:hAnsi="Arial"/>
                <w:sz w:val="18"/>
                <w:szCs w:val="18"/>
                <w:color w:val="auto"/>
              </w:rPr>
              <w:t>Doug Francis, President &amp; COO</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rPr>
              <w:t>Schedule/Status</w:t>
            </w:r>
          </w:p>
        </w:tc>
        <w:tc>
          <w:tcPr>
            <w:tcW w:w="8660" w:type="dxa"/>
            <w:vAlign w:val="bottom"/>
          </w:tcPr>
          <w:p>
            <w:pPr>
              <w:ind w:left="1380"/>
              <w:spacing w:after="0"/>
              <w:rPr>
                <w:sz w:val="20"/>
                <w:szCs w:val="20"/>
                <w:color w:val="auto"/>
              </w:rPr>
            </w:pPr>
            <w:r>
              <w:rPr>
                <w:rFonts w:ascii="Arial" w:cs="Arial" w:eastAsia="Arial" w:hAnsi="Arial"/>
                <w:sz w:val="18"/>
                <w:szCs w:val="18"/>
                <w:color w:val="auto"/>
                <w:w w:val="95"/>
              </w:rPr>
              <w:t>Full-Time, exempt employee converting to self-employed partner status as required for Holdings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1380"/>
              <w:spacing w:after="0"/>
              <w:rPr>
                <w:sz w:val="20"/>
                <w:szCs w:val="20"/>
                <w:color w:val="auto"/>
              </w:rPr>
            </w:pPr>
            <w:r>
              <w:rPr>
                <w:rFonts w:ascii="Arial" w:cs="Arial" w:eastAsia="Arial" w:hAnsi="Arial"/>
                <w:sz w:val="18"/>
                <w:szCs w:val="18"/>
                <w:color w:val="auto"/>
                <w:w w:val="91"/>
              </w:rPr>
              <w:t>membership unit grant. Hours will very on business necessities. You will not be eligible for overtime</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8660" w:type="dxa"/>
            <w:vAlign w:val="bottom"/>
          </w:tcPr>
          <w:p>
            <w:pPr>
              <w:ind w:left="1380"/>
              <w:spacing w:after="0"/>
              <w:rPr>
                <w:sz w:val="20"/>
                <w:szCs w:val="20"/>
                <w:color w:val="auto"/>
              </w:rPr>
            </w:pPr>
            <w:r>
              <w:rPr>
                <w:rFonts w:ascii="Arial" w:cs="Arial" w:eastAsia="Arial" w:hAnsi="Arial"/>
                <w:sz w:val="18"/>
                <w:szCs w:val="18"/>
                <w:color w:val="auto"/>
              </w:rPr>
              <w:t>pay.</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8660" w:type="dxa"/>
            <w:vAlign w:val="bottom"/>
          </w:tcPr>
          <w:p>
            <w:pPr>
              <w:ind w:left="1380"/>
              <w:spacing w:after="0"/>
              <w:rPr>
                <w:sz w:val="20"/>
                <w:szCs w:val="20"/>
                <w:color w:val="auto"/>
              </w:rPr>
            </w:pPr>
            <w:r>
              <w:rPr>
                <w:rFonts w:ascii="Arial" w:cs="Arial" w:eastAsia="Arial" w:hAnsi="Arial"/>
                <w:sz w:val="18"/>
                <w:szCs w:val="18"/>
                <w:color w:val="auto"/>
                <w:w w:val="95"/>
              </w:rPr>
              <w:t>First 2-3 months will be at our HQ at 41 Discovery in Irvine, CA. Chris will develop our NY office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1380"/>
              <w:spacing w:after="0"/>
              <w:rPr>
                <w:sz w:val="20"/>
                <w:szCs w:val="20"/>
                <w:color w:val="auto"/>
              </w:rPr>
            </w:pPr>
            <w:r>
              <w:rPr>
                <w:rFonts w:ascii="Arial" w:cs="Arial" w:eastAsia="Arial" w:hAnsi="Arial"/>
                <w:sz w:val="18"/>
                <w:szCs w:val="18"/>
                <w:color w:val="auto"/>
                <w:w w:val="95"/>
              </w:rPr>
              <w:t>in time, but can work from home (NY) in the interim. There will be heavy travel involved with the</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Base Salary</w:t>
            </w:r>
          </w:p>
        </w:tc>
        <w:tc>
          <w:tcPr>
            <w:tcW w:w="8660" w:type="dxa"/>
            <w:vAlign w:val="bottom"/>
          </w:tcPr>
          <w:p>
            <w:pPr>
              <w:ind w:left="1380"/>
              <w:spacing w:after="0"/>
              <w:rPr>
                <w:sz w:val="20"/>
                <w:szCs w:val="20"/>
                <w:color w:val="auto"/>
              </w:rPr>
            </w:pPr>
            <w:r>
              <w:rPr>
                <w:rFonts w:ascii="Arial" w:cs="Arial" w:eastAsia="Arial" w:hAnsi="Arial"/>
                <w:sz w:val="18"/>
                <w:szCs w:val="18"/>
                <w:color w:val="auto"/>
              </w:rPr>
              <w:t>position, including a monthly trip to Irvine.</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8660" w:type="dxa"/>
            <w:vAlign w:val="bottom"/>
          </w:tcPr>
          <w:p>
            <w:pPr>
              <w:ind w:left="1380"/>
              <w:spacing w:after="0"/>
              <w:rPr>
                <w:sz w:val="20"/>
                <w:szCs w:val="20"/>
                <w:color w:val="auto"/>
              </w:rPr>
            </w:pPr>
            <w:r>
              <w:rPr>
                <w:rFonts w:ascii="Arial" w:cs="Arial" w:eastAsia="Arial" w:hAnsi="Arial"/>
                <w:sz w:val="18"/>
                <w:szCs w:val="18"/>
                <w:color w:val="auto"/>
                <w:w w:val="91"/>
              </w:rPr>
              <w:t>Six Hundred Thousand Dollars ($600,000) per year. In the event Chris is subject to self-employment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660" w:type="dxa"/>
            <w:vAlign w:val="bottom"/>
          </w:tcPr>
          <w:p>
            <w:pPr>
              <w:ind w:left="1380"/>
              <w:spacing w:after="0"/>
              <w:rPr>
                <w:sz w:val="20"/>
                <w:szCs w:val="20"/>
                <w:color w:val="auto"/>
              </w:rPr>
            </w:pPr>
            <w:r>
              <w:rPr>
                <w:rFonts w:ascii="Arial" w:cs="Arial" w:eastAsia="Arial" w:hAnsi="Arial"/>
                <w:sz w:val="18"/>
                <w:szCs w:val="18"/>
                <w:color w:val="auto"/>
                <w:w w:val="94"/>
              </w:rPr>
              <w:t>tax on any salary amounts, WM Holdings will reimburse any such self-employment tax amounts.</w:t>
            </w:r>
          </w:p>
        </w:tc>
        <w:tc>
          <w:tcPr>
            <w:tcW w:w="0" w:type="dxa"/>
            <w:vAlign w:val="bottom"/>
          </w:tcPr>
          <w:p>
            <w:pPr>
              <w:spacing w:after="0"/>
              <w:rPr>
                <w:sz w:val="1"/>
                <w:szCs w:val="1"/>
                <w:color w:val="auto"/>
              </w:rPr>
            </w:pPr>
          </w:p>
        </w:tc>
      </w:tr>
      <w:tr>
        <w:trPr>
          <w:trHeight w:val="582"/>
        </w:trPr>
        <w:tc>
          <w:tcPr>
            <w:tcW w:w="2580" w:type="dxa"/>
            <w:vAlign w:val="bottom"/>
          </w:tcPr>
          <w:p>
            <w:pPr>
              <w:spacing w:after="0"/>
              <w:rPr>
                <w:sz w:val="24"/>
                <w:szCs w:val="24"/>
                <w:color w:val="auto"/>
              </w:rPr>
            </w:pPr>
          </w:p>
        </w:tc>
        <w:tc>
          <w:tcPr>
            <w:tcW w:w="8660" w:type="dxa"/>
            <w:vAlign w:val="bottom"/>
          </w:tcPr>
          <w:p>
            <w:pPr>
              <w:ind w:left="30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8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328" w:name="page329"/>
    <w:bookmarkEnd w:id="328"/>
    <w:p>
      <w:pPr>
        <w:spacing w:after="0"/>
        <w:rPr>
          <w:sz w:val="20"/>
          <w:szCs w:val="20"/>
          <w:color w:val="auto"/>
        </w:rPr>
      </w:pPr>
      <w:r>
        <w:rPr>
          <w:rFonts w:ascii="Arial" w:cs="Arial" w:eastAsia="Arial" w:hAnsi="Arial"/>
          <w:sz w:val="15"/>
          <w:szCs w:val="15"/>
          <w:b w:val="1"/>
          <w:bCs w:val="1"/>
          <w:color w:val="auto"/>
        </w:rPr>
        <w:t>Bonus and Targets</w:t>
      </w:r>
    </w:p>
    <w:p>
      <w:pPr>
        <w:spacing w:after="0" w:line="20" w:lineRule="exact"/>
        <w:rPr>
          <w:sz w:val="20"/>
          <w:szCs w:val="20"/>
          <w:color w:val="auto"/>
        </w:rPr>
      </w:pPr>
      <w:r>
        <w:rPr>
          <w:sz w:val="20"/>
          <w:szCs w:val="20"/>
          <w:color w:val="auto"/>
        </w:rPr>
        <w:br w:type="column"/>
      </w:r>
    </w:p>
    <w:p>
      <w:pPr>
        <w:ind w:right="20"/>
        <w:spacing w:after="0" w:line="296" w:lineRule="auto"/>
        <w:rPr>
          <w:sz w:val="20"/>
          <w:szCs w:val="20"/>
          <w:color w:val="auto"/>
        </w:rPr>
      </w:pPr>
      <w:r>
        <w:rPr>
          <w:rFonts w:ascii="Arial" w:cs="Arial" w:eastAsia="Arial" w:hAnsi="Arial"/>
          <w:sz w:val="16"/>
          <w:szCs w:val="16"/>
          <w:color w:val="auto"/>
        </w:rPr>
        <w:t>Annual bonus payable at the end of each calendar year which shall be pro rated for any partial calendar years of employment. Such bonus amount shall be payable pro rata in the event Chris is terminated by the Company other than for cause. The initial target bonus amount shall be Five Hundred Thousand Dollars ($500,000), with such amount being allocated as follows for performance. Chris and Company to discuss option to convert portion of bonus into Holdings equity.</w:t>
      </w:r>
    </w:p>
    <w:p>
      <w:pPr>
        <w:spacing w:after="0" w:line="188" w:lineRule="exact"/>
        <w:rPr>
          <w:sz w:val="20"/>
          <w:szCs w:val="20"/>
          <w:color w:val="auto"/>
        </w:rPr>
      </w:pPr>
    </w:p>
    <w:p>
      <w:pPr>
        <w:sectPr>
          <w:pgSz w:w="11900" w:h="16838" w:orient="portrait"/>
          <w:cols w:equalWidth="0" w:num="2">
            <w:col w:w="3240" w:space="720"/>
            <w:col w:w="7260"/>
          </w:cols>
          <w:pgMar w:left="320" w:top="121" w:right="359" w:bottom="1440" w:gutter="0" w:footer="0" w:header="0"/>
        </w:sectPr>
      </w:pPr>
    </w:p>
    <w:p>
      <w:pPr>
        <w:ind w:left="3960"/>
        <w:spacing w:after="0"/>
        <w:rPr>
          <w:sz w:val="20"/>
          <w:szCs w:val="20"/>
          <w:color w:val="auto"/>
        </w:rPr>
      </w:pPr>
      <w:r>
        <w:rPr>
          <w:rFonts w:ascii="Arial" w:cs="Arial" w:eastAsia="Arial" w:hAnsi="Arial"/>
          <w:sz w:val="15"/>
          <w:szCs w:val="15"/>
          <w:color w:val="auto"/>
        </w:rPr>
        <w:t>25%</w:t>
      </w: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25%</w:t>
      </w:r>
    </w:p>
    <w:p>
      <w:pPr>
        <w:spacing w:after="0" w:line="200" w:lineRule="exact"/>
        <w:rPr>
          <w:sz w:val="20"/>
          <w:szCs w:val="20"/>
          <w:color w:val="auto"/>
        </w:rPr>
      </w:pPr>
    </w:p>
    <w:p>
      <w:pPr>
        <w:spacing w:after="0" w:line="276"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25%</w:t>
      </w: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Oversight and management of internal legal and policy teams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outside counsel; management of counsel expenses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Oversight and management of strategic transactions (e.g.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divestitures, restructuring); advice on strategic decisions; assistance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staffing and growth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Advice and management on “DarkCo” projects; management of legal issues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affiliated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2015 EBITDA in excess of 20mm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 EBITDA in excess of 30mm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years as mutually agreed</w:t>
      </w:r>
    </w:p>
    <w:p>
      <w:pPr>
        <w:spacing w:after="0" w:line="200" w:lineRule="exact"/>
        <w:rPr>
          <w:sz w:val="20"/>
          <w:szCs w:val="20"/>
          <w:color w:val="auto"/>
        </w:rPr>
      </w:pPr>
    </w:p>
    <w:p>
      <w:pPr>
        <w:sectPr>
          <w:pgSz w:w="11900" w:h="16838" w:orient="portrait"/>
          <w:cols w:equalWidth="0" w:num="2">
            <w:col w:w="4900" w:space="720"/>
            <w:col w:w="5600"/>
          </w:cols>
          <w:pgMar w:left="320" w:top="121" w:right="3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 Description</w:t>
      </w:r>
    </w:p>
    <w:p>
      <w:pPr>
        <w:spacing w:after="0" w:line="27" w:lineRule="exact"/>
        <w:rPr>
          <w:sz w:val="20"/>
          <w:szCs w:val="20"/>
          <w:color w:val="auto"/>
        </w:rPr>
      </w:pPr>
    </w:p>
    <w:p>
      <w:pPr>
        <w:ind w:left="3960" w:right="440" w:hanging="10"/>
        <w:spacing w:after="0" w:line="250" w:lineRule="auto"/>
        <w:tabs>
          <w:tab w:leader="none" w:pos="406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CLO for WM Holding Company, LLC (“</w:t>
      </w:r>
      <w:r>
        <w:rPr>
          <w:rFonts w:ascii="Arial" w:cs="Arial" w:eastAsia="Arial" w:hAnsi="Arial"/>
          <w:sz w:val="18"/>
          <w:szCs w:val="18"/>
          <w:b w:val="1"/>
          <w:bCs w:val="1"/>
          <w:color w:val="auto"/>
        </w:rPr>
        <w:t>WM Holding</w:t>
      </w:r>
      <w:r>
        <w:rPr>
          <w:rFonts w:ascii="Arial" w:cs="Arial" w:eastAsia="Arial" w:hAnsi="Arial"/>
          <w:sz w:val="18"/>
          <w:szCs w:val="18"/>
          <w:color w:val="auto"/>
        </w:rPr>
        <w:t>”), all its subsidiaries and all affiliated companies.</w:t>
      </w: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Hands on contract work for all deal flow.</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Quickly meet leading industry attorneys for best practice. Establish structure for our companies.</w:t>
      </w:r>
    </w:p>
    <w:p>
      <w:pPr>
        <w:spacing w:after="0" w:line="32" w:lineRule="exact"/>
        <w:rPr>
          <w:rFonts w:ascii="Arial" w:cs="Arial" w:eastAsia="Arial" w:hAnsi="Arial"/>
          <w:sz w:val="16"/>
          <w:szCs w:val="16"/>
          <w:color w:val="auto"/>
        </w:rPr>
      </w:pPr>
    </w:p>
    <w:p>
      <w:pPr>
        <w:ind w:left="3960" w:hanging="10"/>
        <w:spacing w:after="0" w:line="250" w:lineRule="auto"/>
        <w:tabs>
          <w:tab w:leader="none" w:pos="406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Work directly with policy team to aid efforts and drive expansion to the east coast. Work directly to achieve outcomes in municipalities across the country.</w:t>
      </w:r>
    </w:p>
    <w:p>
      <w:pPr>
        <w:ind w:left="4060" w:hanging="110"/>
        <w:spacing w:after="0"/>
        <w:tabs>
          <w:tab w:leader="none" w:pos="40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Work with targets to prepare for acquisition. Help set up best practices in acquired companies.</w:t>
      </w:r>
    </w:p>
    <w:p>
      <w:pPr>
        <w:spacing w:after="0" w:line="20" w:lineRule="exact"/>
        <w:rPr>
          <w:rFonts w:ascii="Arial" w:cs="Arial" w:eastAsia="Arial" w:hAnsi="Arial"/>
          <w:sz w:val="17"/>
          <w:szCs w:val="17"/>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Develop and manage the NY office.</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Manage our internal legal team and outside counsel. Manage legal costs.</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Assist in providing guidance on strategic opportunities and areas for growth.</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Be the deal flow desk. Contribute to revenue.</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Work with tax team to ensure best practice.</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Act as a mouthpiece for our company and on the issue. Be a thought leader.</w:t>
      </w:r>
    </w:p>
    <w:p>
      <w:pPr>
        <w:spacing w:after="0" w:line="9" w:lineRule="exact"/>
        <w:rPr>
          <w:rFonts w:ascii="Arial" w:cs="Arial" w:eastAsia="Arial" w:hAnsi="Arial"/>
          <w:sz w:val="18"/>
          <w:szCs w:val="18"/>
          <w:color w:val="auto"/>
        </w:rPr>
      </w:pPr>
    </w:p>
    <w:p>
      <w:pPr>
        <w:ind w:left="4060" w:hanging="110"/>
        <w:spacing w:after="0"/>
        <w:tabs>
          <w:tab w:leader="none" w:pos="40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Leverage network to recruit other key positions. Aid in operations where needed.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9" w:name="page330"/>
    <w:bookmarkEnd w:id="329"/>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460" w:type="dxa"/>
            <w:vAlign w:val="bottom"/>
          </w:tcPr>
          <w:p>
            <w:pPr>
              <w:ind w:left="1180"/>
              <w:spacing w:after="0"/>
              <w:rPr>
                <w:sz w:val="20"/>
                <w:szCs w:val="20"/>
                <w:color w:val="auto"/>
              </w:rPr>
            </w:pPr>
            <w:r>
              <w:rPr>
                <w:rFonts w:ascii="Arial" w:cs="Arial" w:eastAsia="Arial" w:hAnsi="Arial"/>
                <w:sz w:val="18"/>
                <w:szCs w:val="18"/>
                <w:color w:val="auto"/>
                <w:w w:val="93"/>
              </w:rPr>
              <w:t>Full Paid Benefits with Cigna PPO Program. 401K (We do not match). Holidays &amp; Sick days TBD.</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Stock</w:t>
            </w:r>
          </w:p>
        </w:tc>
        <w:tc>
          <w:tcPr>
            <w:tcW w:w="8460" w:type="dxa"/>
            <w:vAlign w:val="bottom"/>
          </w:tcPr>
          <w:p>
            <w:pPr>
              <w:ind w:left="1180"/>
              <w:spacing w:after="0"/>
              <w:rPr>
                <w:sz w:val="20"/>
                <w:szCs w:val="20"/>
                <w:color w:val="auto"/>
              </w:rPr>
            </w:pPr>
            <w:r>
              <w:rPr>
                <w:rFonts w:ascii="Arial" w:cs="Arial" w:eastAsia="Arial" w:hAnsi="Arial"/>
                <w:sz w:val="18"/>
                <w:szCs w:val="18"/>
                <w:color w:val="auto"/>
                <w:w w:val="97"/>
              </w:rPr>
              <w:t>Chris will be granted 3% of all outstanding class A units on a fully diluted basis (the “</w:t>
            </w:r>
            <w:r>
              <w:rPr>
                <w:rFonts w:ascii="Arial" w:cs="Arial" w:eastAsia="Arial" w:hAnsi="Arial"/>
                <w:sz w:val="18"/>
                <w:szCs w:val="18"/>
                <w:b w:val="1"/>
                <w:bCs w:val="1"/>
                <w:color w:val="auto"/>
                <w:w w:val="97"/>
              </w:rPr>
              <w:t>Incentive</w:t>
            </w:r>
          </w:p>
        </w:tc>
      </w:tr>
      <w:tr>
        <w:trPr>
          <w:trHeight w:val="220"/>
        </w:trPr>
        <w:tc>
          <w:tcPr>
            <w:tcW w:w="2780" w:type="dxa"/>
            <w:vAlign w:val="bottom"/>
          </w:tcPr>
          <w:p>
            <w:pPr>
              <w:spacing w:after="0"/>
              <w:rPr>
                <w:sz w:val="19"/>
                <w:szCs w:val="19"/>
                <w:color w:val="auto"/>
              </w:rPr>
            </w:pPr>
          </w:p>
        </w:tc>
        <w:tc>
          <w:tcPr>
            <w:tcW w:w="8460" w:type="dxa"/>
            <w:vAlign w:val="bottom"/>
          </w:tcPr>
          <w:p>
            <w:pPr>
              <w:ind w:left="1180"/>
              <w:spacing w:after="0"/>
              <w:rPr>
                <w:sz w:val="20"/>
                <w:szCs w:val="20"/>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 in WM Holdings. Vesting of Incentive Units is over a 3-year term, with the first 0.5%</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9"/>
              </w:rPr>
              <w:t>vesting on the anniversary of a 6-month initial cliff and quarterly vesting of 0.25% thereafter.</w:t>
            </w:r>
          </w:p>
        </w:tc>
      </w:tr>
      <w:tr>
        <w:trPr>
          <w:trHeight w:val="212"/>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2"/>
              </w:rPr>
              <w:t>Subject to confirmation with tax and counsel, Incentive Units shall be structured as a transfer with a</w:t>
            </w:r>
          </w:p>
        </w:tc>
      </w:tr>
      <w:tr>
        <w:trPr>
          <w:trHeight w:val="220"/>
        </w:trPr>
        <w:tc>
          <w:tcPr>
            <w:tcW w:w="2780" w:type="dxa"/>
            <w:vAlign w:val="bottom"/>
          </w:tcPr>
          <w:p>
            <w:pPr>
              <w:spacing w:after="0"/>
              <w:rPr>
                <w:sz w:val="19"/>
                <w:szCs w:val="19"/>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6"/>
              </w:rPr>
              <w:t>lapsing call right (in accordance with the vesting schedule) (the “</w:t>
            </w:r>
            <w:r>
              <w:rPr>
                <w:rFonts w:ascii="Arial" w:cs="Arial" w:eastAsia="Arial" w:hAnsi="Arial"/>
                <w:sz w:val="18"/>
                <w:szCs w:val="18"/>
                <w:b w:val="1"/>
                <w:bCs w:val="1"/>
                <w:color w:val="auto"/>
                <w:w w:val="96"/>
              </w:rPr>
              <w:t>Call Right</w:t>
            </w:r>
            <w:r>
              <w:rPr>
                <w:rFonts w:ascii="Arial" w:cs="Arial" w:eastAsia="Arial" w:hAnsi="Arial"/>
                <w:sz w:val="18"/>
                <w:szCs w:val="18"/>
                <w:color w:val="auto"/>
                <w:w w:val="96"/>
              </w:rPr>
              <w:t>”) on such Incentive</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Units in favor of WM Holdings. The Call Right shall only be exercisable in the event of a</w:t>
            </w:r>
          </w:p>
        </w:tc>
      </w:tr>
      <w:tr>
        <w:trPr>
          <w:trHeight w:val="230"/>
        </w:trPr>
        <w:tc>
          <w:tcPr>
            <w:tcW w:w="2780" w:type="dxa"/>
            <w:vAlign w:val="bottom"/>
          </w:tcPr>
          <w:p>
            <w:pPr>
              <w:spacing w:after="0"/>
              <w:rPr>
                <w:sz w:val="20"/>
                <w:szCs w:val="20"/>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termination of Chris.</w:t>
            </w:r>
          </w:p>
        </w:tc>
      </w:tr>
      <w:tr>
        <w:trPr>
          <w:trHeight w:val="418"/>
        </w:trPr>
        <w:tc>
          <w:tcPr>
            <w:tcW w:w="2780" w:type="dxa"/>
            <w:vAlign w:val="bottom"/>
          </w:tcPr>
          <w:p>
            <w:pPr>
              <w:spacing w:after="0"/>
              <w:rPr>
                <w:sz w:val="24"/>
                <w:szCs w:val="24"/>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9"/>
              </w:rPr>
              <w:t>Subject to confirmation with tax and counsel, WM Holdings shall make a loan to Chris in the</w:t>
            </w:r>
          </w:p>
        </w:tc>
      </w:tr>
      <w:tr>
        <w:trPr>
          <w:trHeight w:val="212"/>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4"/>
              </w:rPr>
              <w:t>amount of the tax due on all Incentive Units that shall be recourse only to the Incentive Units and</w:t>
            </w:r>
          </w:p>
        </w:tc>
      </w:tr>
      <w:tr>
        <w:trPr>
          <w:trHeight w:val="220"/>
        </w:trPr>
        <w:tc>
          <w:tcPr>
            <w:tcW w:w="2780" w:type="dxa"/>
            <w:vAlign w:val="bottom"/>
          </w:tcPr>
          <w:p>
            <w:pPr>
              <w:spacing w:after="0"/>
              <w:rPr>
                <w:sz w:val="19"/>
                <w:szCs w:val="19"/>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bear reasonable interest (the “</w:t>
            </w:r>
            <w:r>
              <w:rPr>
                <w:rFonts w:ascii="Arial" w:cs="Arial" w:eastAsia="Arial" w:hAnsi="Arial"/>
                <w:sz w:val="18"/>
                <w:szCs w:val="18"/>
                <w:b w:val="1"/>
                <w:bCs w:val="1"/>
                <w:color w:val="auto"/>
              </w:rPr>
              <w:t>Tax Loan</w:t>
            </w:r>
            <w:r>
              <w:rPr>
                <w:rFonts w:ascii="Arial" w:cs="Arial" w:eastAsia="Arial" w:hAnsi="Arial"/>
                <w:sz w:val="18"/>
                <w:szCs w:val="18"/>
                <w:color w:val="auto"/>
              </w:rPr>
              <w:t>”). The Tax Loan shall have a 7 year term and no</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4"/>
              </w:rPr>
              <w:t>amortization or interest payments due prior to the expiry of the term. In the event the Call Right is</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5"/>
              </w:rPr>
              <w:t>excercised, the call price for the applicable Incentive Units shall be a pro rata portion of the face</w:t>
            </w:r>
          </w:p>
        </w:tc>
      </w:tr>
      <w:tr>
        <w:trPr>
          <w:trHeight w:val="230"/>
        </w:trPr>
        <w:tc>
          <w:tcPr>
            <w:tcW w:w="2780" w:type="dxa"/>
            <w:vAlign w:val="bottom"/>
          </w:tcPr>
          <w:p>
            <w:pPr>
              <w:spacing w:after="0"/>
              <w:rPr>
                <w:sz w:val="20"/>
                <w:szCs w:val="20"/>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value of the Tax Loan.</w:t>
            </w:r>
          </w:p>
        </w:tc>
      </w:tr>
      <w:tr>
        <w:trPr>
          <w:trHeight w:val="418"/>
        </w:trPr>
        <w:tc>
          <w:tcPr>
            <w:tcW w:w="2780" w:type="dxa"/>
            <w:vAlign w:val="bottom"/>
          </w:tcPr>
          <w:p>
            <w:pPr>
              <w:spacing w:after="0"/>
              <w:rPr>
                <w:sz w:val="24"/>
                <w:szCs w:val="24"/>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3"/>
              </w:rPr>
              <w:t>Chris will also have 5% of the equity belonging to Doug Francis and Justin Hartfield in current and</w:t>
            </w:r>
          </w:p>
        </w:tc>
      </w:tr>
      <w:tr>
        <w:trPr>
          <w:trHeight w:val="230"/>
        </w:trPr>
        <w:tc>
          <w:tcPr>
            <w:tcW w:w="2780" w:type="dxa"/>
            <w:vAlign w:val="bottom"/>
          </w:tcPr>
          <w:p>
            <w:pPr>
              <w:spacing w:after="0"/>
              <w:rPr>
                <w:sz w:val="20"/>
                <w:szCs w:val="20"/>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future marijuana related deal flow.</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460" w:type="dxa"/>
            <w:vAlign w:val="bottom"/>
          </w:tcPr>
          <w:p>
            <w:pPr>
              <w:ind w:left="1180"/>
              <w:spacing w:after="0"/>
              <w:rPr>
                <w:sz w:val="20"/>
                <w:szCs w:val="20"/>
                <w:color w:val="auto"/>
              </w:rPr>
            </w:pPr>
            <w:r>
              <w:rPr>
                <w:rFonts w:ascii="Arial" w:cs="Arial" w:eastAsia="Arial" w:hAnsi="Arial"/>
                <w:sz w:val="18"/>
                <w:szCs w:val="18"/>
                <w:color w:val="auto"/>
                <w:w w:val="91"/>
              </w:rPr>
              <w:t>Chris will be issued a company credit card and allowed to expense anything he deems as business.</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At Will Employment</w:t>
            </w:r>
          </w:p>
        </w:tc>
        <w:tc>
          <w:tcPr>
            <w:tcW w:w="8460" w:type="dxa"/>
            <w:vAlign w:val="bottom"/>
          </w:tcPr>
          <w:p>
            <w:pPr>
              <w:ind w:left="1180"/>
              <w:spacing w:after="0"/>
              <w:rPr>
                <w:sz w:val="20"/>
                <w:szCs w:val="20"/>
                <w:color w:val="auto"/>
              </w:rPr>
            </w:pPr>
            <w:r>
              <w:rPr>
                <w:rFonts w:ascii="Arial" w:cs="Arial" w:eastAsia="Arial" w:hAnsi="Arial"/>
                <w:sz w:val="18"/>
                <w:szCs w:val="18"/>
                <w:color w:val="auto"/>
              </w:rPr>
              <w:t>As noted above, your employment will be “at-will,” with no specified length of employment.</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5"/>
              </w:rPr>
              <w:t>Accordingly, either you or the Company may terminate your employment for any reason, with or</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4"/>
              </w:rPr>
              <w:t>without cause, and with or without notice, at any time. Further, the Company has the right at any</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0"/>
              </w:rPr>
              <w:t>time to change the terms of and conditions of your employment, such as pay, benefits, polices and all</w:t>
            </w:r>
          </w:p>
        </w:tc>
      </w:tr>
      <w:tr>
        <w:trPr>
          <w:trHeight w:val="230"/>
        </w:trPr>
        <w:tc>
          <w:tcPr>
            <w:tcW w:w="2780" w:type="dxa"/>
            <w:vAlign w:val="bottom"/>
          </w:tcPr>
          <w:p>
            <w:pPr>
              <w:spacing w:after="0"/>
              <w:rPr>
                <w:sz w:val="20"/>
                <w:szCs w:val="20"/>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other working conditions, as it deems appropriate.</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Severance</w:t>
            </w:r>
          </w:p>
        </w:tc>
        <w:tc>
          <w:tcPr>
            <w:tcW w:w="8460" w:type="dxa"/>
            <w:vAlign w:val="bottom"/>
          </w:tcPr>
          <w:p>
            <w:pPr>
              <w:ind w:left="1180"/>
              <w:spacing w:after="0"/>
              <w:rPr>
                <w:sz w:val="20"/>
                <w:szCs w:val="20"/>
                <w:color w:val="auto"/>
              </w:rPr>
            </w:pPr>
            <w:r>
              <w:rPr>
                <w:rFonts w:ascii="Arial" w:cs="Arial" w:eastAsia="Arial" w:hAnsi="Arial"/>
                <w:sz w:val="18"/>
                <w:szCs w:val="18"/>
                <w:color w:val="auto"/>
                <w:w w:val="90"/>
              </w:rPr>
              <w:t>Pay In the event Chris is let go by the Company for any other reason other than cause (i.e. Violence,</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7"/>
              </w:rPr>
              <w:t>theft, fraud, harassment, etc.), the company will pay three months of salary and cover COBRA</w:t>
            </w:r>
          </w:p>
        </w:tc>
      </w:tr>
      <w:tr>
        <w:trPr>
          <w:trHeight w:val="216"/>
        </w:trPr>
        <w:tc>
          <w:tcPr>
            <w:tcW w:w="2780" w:type="dxa"/>
            <w:vAlign w:val="bottom"/>
          </w:tcPr>
          <w:p>
            <w:pPr>
              <w:spacing w:after="0"/>
              <w:rPr>
                <w:sz w:val="18"/>
                <w:szCs w:val="18"/>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w w:val="91"/>
              </w:rPr>
              <w:t>expenses for health insurance for 6 months time period. Payment is due in regular pay periods over</w:t>
            </w:r>
          </w:p>
        </w:tc>
      </w:tr>
      <w:tr>
        <w:trPr>
          <w:trHeight w:val="230"/>
        </w:trPr>
        <w:tc>
          <w:tcPr>
            <w:tcW w:w="2780" w:type="dxa"/>
            <w:vAlign w:val="bottom"/>
          </w:tcPr>
          <w:p>
            <w:pPr>
              <w:spacing w:after="0"/>
              <w:rPr>
                <w:sz w:val="20"/>
                <w:szCs w:val="20"/>
                <w:color w:val="auto"/>
              </w:rPr>
            </w:pPr>
          </w:p>
        </w:tc>
        <w:tc>
          <w:tcPr>
            <w:tcW w:w="8460" w:type="dxa"/>
            <w:vAlign w:val="bottom"/>
          </w:tcPr>
          <w:p>
            <w:pPr>
              <w:ind w:left="1180"/>
              <w:spacing w:after="0"/>
              <w:rPr>
                <w:sz w:val="20"/>
                <w:szCs w:val="20"/>
                <w:color w:val="auto"/>
              </w:rPr>
            </w:pPr>
            <w:r>
              <w:rPr>
                <w:rFonts w:ascii="Arial" w:cs="Arial" w:eastAsia="Arial" w:hAnsi="Arial"/>
                <w:sz w:val="18"/>
                <w:szCs w:val="18"/>
                <w:color w:val="auto"/>
              </w:rPr>
              <w:t>the three months.</w:t>
            </w:r>
          </w:p>
        </w:tc>
      </w:tr>
      <w:tr>
        <w:trPr>
          <w:trHeight w:val="582"/>
        </w:trPr>
        <w:tc>
          <w:tcPr>
            <w:tcW w:w="27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Arial" w:cs="Arial" w:eastAsia="Arial" w:hAnsi="Arial"/>
                <w:sz w:val="14"/>
                <w:szCs w:val="14"/>
                <w:color w:val="auto"/>
              </w:rPr>
              <w:t>3</w:t>
            </w:r>
          </w:p>
        </w:tc>
      </w:tr>
      <w:tr>
        <w:trPr>
          <w:trHeight w:val="46"/>
        </w:trPr>
        <w:tc>
          <w:tcPr>
            <w:tcW w:w="27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30" w:name="page331"/>
    <w:bookmarkEnd w:id="330"/>
    <w:p>
      <w:pPr>
        <w:ind w:left="500"/>
        <w:spacing w:after="0"/>
        <w:rPr>
          <w:sz w:val="20"/>
          <w:szCs w:val="20"/>
          <w:color w:val="auto"/>
        </w:rPr>
      </w:pPr>
      <w:r>
        <w:rPr>
          <w:rFonts w:ascii="Arial" w:cs="Arial" w:eastAsia="Arial" w:hAnsi="Arial"/>
          <w:sz w:val="19"/>
          <w:szCs w:val="19"/>
          <w:color w:val="auto"/>
        </w:rPr>
        <w:t>The parties hereby acknowledge and agree to the foregoing as of the date set forth above.</w:t>
      </w:r>
    </w:p>
    <w:p>
      <w:pPr>
        <w:sectPr>
          <w:pgSz w:w="11900" w:h="16838" w:orient="portrait"/>
          <w:cols w:equalWidth="0" w:num="1">
            <w:col w:w="10139"/>
          </w:cols>
          <w:pgMar w:left="320" w:top="118" w:right="1440" w:bottom="1440" w:gutter="0" w:footer="0" w:header="0"/>
        </w:sect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49758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Christopher Beals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48869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Francis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348869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Justin Hartfiel</w:t>
      </w:r>
    </w:p>
    <w:p>
      <w:pPr>
        <w:spacing w:after="0" w:line="200" w:lineRule="exact"/>
        <w:rPr>
          <w:sz w:val="20"/>
          <w:szCs w:val="20"/>
          <w:color w:val="auto"/>
        </w:rPr>
      </w:pPr>
    </w:p>
    <w:p>
      <w:pPr>
        <w:sectPr>
          <w:pgSz w:w="11900" w:h="16838" w:orient="portrait"/>
          <w:cols w:equalWidth="0" w:num="2">
            <w:col w:w="5020" w:space="720"/>
            <w:col w:w="4399"/>
          </w:cols>
          <w:pgMar w:left="320" w:top="118" w:right="1440" w:bottom="1440" w:gutter="0" w:footer="0" w:header="0"/>
          <w:type w:val="continuous"/>
        </w:sect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331" w:name="page332"/>
    <w:bookmarkEnd w:id="3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October 3, 2018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Justin Dean</w:t>
      </w:r>
      <w:r>
        <w:rPr>
          <w:rFonts w:ascii="Arial" w:cs="Arial" w:eastAsia="Arial" w:hAnsi="Arial"/>
          <w:sz w:val="22"/>
          <w:szCs w:val="22"/>
          <w:color w:val="auto"/>
        </w:rPr>
        <w:t>:</w:t>
      </w:r>
    </w:p>
    <w:p>
      <w:pPr>
        <w:spacing w:after="0" w:line="233" w:lineRule="exact"/>
        <w:rPr>
          <w:sz w:val="20"/>
          <w:szCs w:val="20"/>
          <w:color w:val="auto"/>
        </w:rPr>
      </w:pPr>
    </w:p>
    <w:p>
      <w:pPr>
        <w:ind w:right="200" w:firstLine="648"/>
        <w:spacing w:after="0" w:line="280" w:lineRule="auto"/>
        <w:rPr>
          <w:sz w:val="20"/>
          <w:szCs w:val="20"/>
          <w:color w:val="auto"/>
        </w:rPr>
      </w:pPr>
      <w:r>
        <w:rPr>
          <w:rFonts w:ascii="Arial" w:cs="Arial" w:eastAsia="Arial" w:hAnsi="Arial"/>
          <w:sz w:val="21"/>
          <w:szCs w:val="21"/>
          <w:color w:val="auto"/>
        </w:rPr>
        <w:t>This letter is to memorialize the offer of employment (the “</w:t>
      </w:r>
      <w:r>
        <w:rPr>
          <w:rFonts w:ascii="Arial" w:cs="Arial" w:eastAsia="Arial" w:hAnsi="Arial"/>
          <w:sz w:val="21"/>
          <w:szCs w:val="21"/>
          <w:b w:val="1"/>
          <w:bCs w:val="1"/>
          <w:u w:val="single" w:color="auto"/>
          <w:color w:val="auto"/>
        </w:rPr>
        <w:t>Offer</w:t>
      </w:r>
      <w:r>
        <w:rPr>
          <w:rFonts w:ascii="Arial" w:cs="Arial" w:eastAsia="Arial" w:hAnsi="Arial"/>
          <w:sz w:val="21"/>
          <w:szCs w:val="21"/>
          <w:color w:val="auto"/>
        </w:rPr>
        <w:t xml:space="preserve">”) made to </w:t>
      </w:r>
      <w:r>
        <w:rPr>
          <w:rFonts w:ascii="Arial" w:cs="Arial" w:eastAsia="Arial" w:hAnsi="Arial"/>
          <w:sz w:val="21"/>
          <w:szCs w:val="21"/>
          <w:b w:val="1"/>
          <w:bCs w:val="1"/>
          <w:color w:val="auto"/>
        </w:rPr>
        <w:t>Justin Dean</w:t>
      </w:r>
      <w:r>
        <w:rPr>
          <w:rFonts w:ascii="Arial" w:cs="Arial" w:eastAsia="Arial" w:hAnsi="Arial"/>
          <w:sz w:val="21"/>
          <w:szCs w:val="21"/>
          <w:color w:val="auto"/>
        </w:rPr>
        <w:t xml:space="preserve"> by Ghost Management Group, LLC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to set forth the specific terms and conditions of your employment.</w:t>
      </w:r>
    </w:p>
    <w:p>
      <w:pPr>
        <w:spacing w:after="0" w:line="175" w:lineRule="exact"/>
        <w:rPr>
          <w:sz w:val="20"/>
          <w:szCs w:val="20"/>
          <w:color w:val="auto"/>
        </w:rPr>
      </w:pPr>
    </w:p>
    <w:p>
      <w:pPr>
        <w:ind w:left="660" w:right="20" w:hanging="652"/>
        <w:spacing w:after="0" w:line="282"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offers you the </w:t>
      </w:r>
      <w:r>
        <w:rPr>
          <w:rFonts w:ascii="Arial" w:cs="Arial" w:eastAsia="Arial" w:hAnsi="Arial"/>
          <w:sz w:val="18"/>
          <w:szCs w:val="18"/>
          <w:b w:val="1"/>
          <w:bCs w:val="1"/>
          <w:color w:val="auto"/>
        </w:rPr>
        <w:t>full-time</w:t>
      </w:r>
      <w:r>
        <w:rPr>
          <w:rFonts w:ascii="Arial" w:cs="Arial" w:eastAsia="Arial" w:hAnsi="Arial"/>
          <w:sz w:val="18"/>
          <w:szCs w:val="18"/>
          <w:color w:val="auto"/>
        </w:rPr>
        <w:t xml:space="preserve">, </w:t>
      </w:r>
      <w:r>
        <w:rPr>
          <w:rFonts w:ascii="Arial" w:cs="Arial" w:eastAsia="Arial" w:hAnsi="Arial"/>
          <w:sz w:val="18"/>
          <w:szCs w:val="18"/>
          <w:b w:val="1"/>
          <w:bCs w:val="1"/>
          <w:color w:val="auto"/>
        </w:rPr>
        <w:t>exempt</w:t>
      </w:r>
      <w:r>
        <w:rPr>
          <w:rFonts w:ascii="Arial" w:cs="Arial" w:eastAsia="Arial" w:hAnsi="Arial"/>
          <w:sz w:val="18"/>
          <w:szCs w:val="18"/>
          <w:color w:val="auto"/>
        </w:rPr>
        <w:t xml:space="preserve">, </w:t>
      </w:r>
      <w:r>
        <w:rPr>
          <w:rFonts w:ascii="Arial" w:cs="Arial" w:eastAsia="Arial" w:hAnsi="Arial"/>
          <w:sz w:val="18"/>
          <w:szCs w:val="18"/>
          <w:b w:val="1"/>
          <w:bCs w:val="1"/>
          <w:color w:val="auto"/>
        </w:rPr>
        <w:t>regular</w:t>
      </w:r>
      <w:r>
        <w:rPr>
          <w:rFonts w:ascii="Arial" w:cs="Arial" w:eastAsia="Arial" w:hAnsi="Arial"/>
          <w:sz w:val="18"/>
          <w:szCs w:val="18"/>
          <w:color w:val="auto"/>
        </w:rPr>
        <w:t xml:space="preserve"> position of </w:t>
      </w:r>
      <w:r>
        <w:rPr>
          <w:rFonts w:ascii="Arial" w:cs="Arial" w:eastAsia="Arial" w:hAnsi="Arial"/>
          <w:sz w:val="18"/>
          <w:szCs w:val="18"/>
          <w:b w:val="1"/>
          <w:bCs w:val="1"/>
          <w:color w:val="auto"/>
        </w:rPr>
        <w:t>Chief Information Officer</w:t>
      </w:r>
      <w:r>
        <w:rPr>
          <w:rFonts w:ascii="Arial" w:cs="Arial" w:eastAsia="Arial" w:hAnsi="Arial"/>
          <w:sz w:val="18"/>
          <w:szCs w:val="18"/>
          <w:color w:val="auto"/>
        </w:rPr>
        <w:t xml:space="preserve"> at our Irvine, California office located at </w:t>
      </w:r>
      <w:r>
        <w:rPr>
          <w:rFonts w:ascii="Arial" w:cs="Arial" w:eastAsia="Arial" w:hAnsi="Arial"/>
          <w:sz w:val="18"/>
          <w:szCs w:val="18"/>
          <w:b w:val="1"/>
          <w:bCs w:val="1"/>
          <w:color w:val="auto"/>
        </w:rPr>
        <w:t>41 Discovery, Irvine, California 92618</w:t>
      </w:r>
      <w:r>
        <w:rPr>
          <w:rFonts w:ascii="Arial" w:cs="Arial" w:eastAsia="Arial" w:hAnsi="Arial"/>
          <w:sz w:val="18"/>
          <w:szCs w:val="18"/>
          <w:color w:val="auto"/>
        </w:rPr>
        <w:t>. In this position, your current supervisor is</w:t>
      </w:r>
      <w:r>
        <w:rPr>
          <w:rFonts w:ascii="Arial" w:cs="Arial" w:eastAsia="Arial" w:hAnsi="Arial"/>
          <w:sz w:val="18"/>
          <w:szCs w:val="18"/>
          <w:b w:val="1"/>
          <w:bCs w:val="1"/>
          <w:color w:val="auto"/>
        </w:rPr>
        <w:t xml:space="preserve"> Doug Francis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hanging="652"/>
        <w:spacing w:after="0" w:line="269" w:lineRule="auto"/>
        <w:tabs>
          <w:tab w:leader="none" w:pos="66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Subject to the terms and conditions of this Offer, the Company agrees to employ you and you agree to be employed by the Company commencing no later than </w:t>
      </w:r>
      <w:r>
        <w:rPr>
          <w:rFonts w:ascii="Arial" w:cs="Arial" w:eastAsia="Arial" w:hAnsi="Arial"/>
          <w:sz w:val="17"/>
          <w:szCs w:val="17"/>
          <w:b w:val="1"/>
          <w:bCs w:val="1"/>
          <w:color w:val="auto"/>
        </w:rPr>
        <w:t>November 5, 2018</w:t>
      </w:r>
      <w:r>
        <w:rPr>
          <w:rFonts w:ascii="Arial" w:cs="Arial" w:eastAsia="Arial" w:hAnsi="Arial"/>
          <w:sz w:val="17"/>
          <w:szCs w:val="17"/>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CEO of the Company, and any such modification to this at-will employment policy must be in a written agreement signed by both the employee and the CEO of the Company. This constitutes an integrated agreement with respect to the at-will nature of the employment relationship, and there may be no implied or oral agreements that in any way modify this at-will employment policy.</w:t>
      </w:r>
    </w:p>
    <w:p>
      <w:pPr>
        <w:spacing w:after="0" w:line="204" w:lineRule="exact"/>
        <w:rPr>
          <w:rFonts w:ascii="Arial" w:cs="Arial" w:eastAsia="Arial" w:hAnsi="Arial"/>
          <w:sz w:val="17"/>
          <w:szCs w:val="17"/>
          <w:color w:val="auto"/>
        </w:rPr>
      </w:pPr>
    </w:p>
    <w:p>
      <w:pPr>
        <w:ind w:left="660" w:right="140" w:hanging="652"/>
        <w:spacing w:after="0" w:line="266"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Your title will be </w:t>
      </w:r>
      <w:r>
        <w:rPr>
          <w:rFonts w:ascii="Arial" w:cs="Arial" w:eastAsia="Arial" w:hAnsi="Arial"/>
          <w:sz w:val="18"/>
          <w:szCs w:val="18"/>
          <w:b w:val="1"/>
          <w:bCs w:val="1"/>
          <w:color w:val="auto"/>
        </w:rPr>
        <w:t>Chief Information Officer</w:t>
      </w:r>
      <w:r>
        <w:rPr>
          <w:rFonts w:ascii="Arial" w:cs="Arial" w:eastAsia="Arial" w:hAnsi="Arial"/>
          <w:sz w:val="18"/>
          <w:szCs w:val="18"/>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other senior officer of the Company.</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280" w:hanging="644"/>
        <w:spacing w:after="0" w:line="220" w:lineRule="exact"/>
        <w:tabs>
          <w:tab w:leader="none" w:pos="1300"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You will receive a base salary at the rate of </w:t>
      </w:r>
      <w:r>
        <w:rPr>
          <w:rFonts w:ascii="Arial" w:cs="Arial" w:eastAsia="Arial" w:hAnsi="Arial"/>
          <w:sz w:val="18"/>
          <w:szCs w:val="18"/>
          <w:b w:val="1"/>
          <w:bCs w:val="1"/>
          <w:color w:val="auto"/>
        </w:rPr>
        <w:t>$475,000</w:t>
      </w:r>
      <w:r>
        <w:rPr>
          <w:rFonts w:ascii="Arial" w:cs="Arial" w:eastAsia="Arial" w:hAnsi="Arial"/>
          <w:sz w:val="18"/>
          <w:szCs w:val="18"/>
          <w:color w:val="auto"/>
        </w:rPr>
        <w:t>, annualized, payable in accordance with the Company’s normal payroll practices. In addition, you will be eligible for a discretionary bonus, with the attainment of such bonus being based upon performance. Any bonus payable hereunder shall be paid within the “short-term deferral” period provided under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(b)(4).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2" w:name="page333"/>
    <w:bookmarkEnd w:id="332"/>
    <w:p>
      <w:pPr>
        <w:ind w:left="1292" w:hanging="644"/>
        <w:spacing w:after="0" w:line="289" w:lineRule="auto"/>
        <w:tabs>
          <w:tab w:leader="none" w:pos="1292"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You will be granted </w:t>
      </w:r>
      <w:r>
        <w:rPr>
          <w:rFonts w:ascii="Arial" w:cs="Arial" w:eastAsia="Arial" w:hAnsi="Arial"/>
          <w:sz w:val="16"/>
          <w:szCs w:val="16"/>
          <w:b w:val="1"/>
          <w:bCs w:val="1"/>
          <w:color w:val="auto"/>
        </w:rPr>
        <w:t>3,000</w:t>
      </w:r>
      <w:r>
        <w:rPr>
          <w:rFonts w:ascii="Arial" w:cs="Arial" w:eastAsia="Arial" w:hAnsi="Arial"/>
          <w:sz w:val="16"/>
          <w:szCs w:val="16"/>
          <w:color w:val="auto"/>
        </w:rPr>
        <w:t xml:space="preserve"> unvested Class B Units (the “</w:t>
      </w:r>
      <w:r>
        <w:rPr>
          <w:rFonts w:ascii="Arial" w:cs="Arial" w:eastAsia="Arial" w:hAnsi="Arial"/>
          <w:sz w:val="16"/>
          <w:szCs w:val="16"/>
          <w:b w:val="1"/>
          <w:bCs w:val="1"/>
          <w:u w:val="single" w:color="auto"/>
          <w:color w:val="auto"/>
        </w:rPr>
        <w:t>Employee Class B Units</w:t>
      </w:r>
      <w:r>
        <w:rPr>
          <w:rFonts w:ascii="Arial" w:cs="Arial" w:eastAsia="Arial" w:hAnsi="Arial"/>
          <w:sz w:val="16"/>
          <w:szCs w:val="16"/>
          <w:color w:val="auto"/>
        </w:rPr>
        <w:t>”) in WM Holding Company, LLC, the parent company of the Company (the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pursuant to the terms and conditions set forth in an Equity Award Agreement (the “</w:t>
      </w:r>
      <w:r>
        <w:rPr>
          <w:rFonts w:ascii="Arial" w:cs="Arial" w:eastAsia="Arial" w:hAnsi="Arial"/>
          <w:sz w:val="16"/>
          <w:szCs w:val="16"/>
          <w:b w:val="1"/>
          <w:bCs w:val="1"/>
          <w:color w:val="auto"/>
        </w:rPr>
        <w:t>Award</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be entered into between you and the Parent following your start date with the Company and in accordance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policies regarding the grant of equity incentive units. Your Employee Class B Units will vest on a quarterly basis over four (4) years from your start date with the Company, with the vesting during the first year not accruing until the twelve (12) month anniversary of your start date with the Company (i.e. 1/4 of your Employee Class B Units shall vest on such anniversary) (such date, the “</w:t>
      </w: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Cliff</w:t>
      </w:r>
      <w:r>
        <w:rPr>
          <w:rFonts w:ascii="Arial" w:cs="Arial" w:eastAsia="Arial" w:hAnsi="Arial"/>
          <w:sz w:val="16"/>
          <w:szCs w:val="16"/>
          <w:color w:val="auto"/>
        </w:rPr>
        <w:t>”), assuming you are still employed by the Company at such time. Following the Vesting Cliff, your Employee Class B Units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vest on a prorated quarterly basis provided you are employed by the Company on each such quarterly vesting date. Your Employee Class B Units will be subject to the terms and conditions set forth in the Parent’s Amended and Restated Equity Incentive Plan, as amended from time-to-time (the “</w:t>
      </w:r>
      <w:r>
        <w:rPr>
          <w:rFonts w:ascii="Arial" w:cs="Arial" w:eastAsia="Arial" w:hAnsi="Arial"/>
          <w:sz w:val="16"/>
          <w:szCs w:val="16"/>
          <w:b w:val="1"/>
          <w:bCs w:val="1"/>
          <w:u w:val="single" w:color="auto"/>
          <w:color w:val="auto"/>
        </w:rPr>
        <w:t>Incentive Play</w:t>
      </w:r>
      <w:r>
        <w:rPr>
          <w:rFonts w:ascii="Arial" w:cs="Arial" w:eastAsia="Arial" w:hAnsi="Arial"/>
          <w:sz w:val="16"/>
          <w:szCs w:val="16"/>
          <w:color w:val="auto"/>
        </w:rPr>
        <w:t>”). You acknowledge that you have reviewed the Incentive Plan.</w:t>
      </w:r>
    </w:p>
    <w:p>
      <w:pPr>
        <w:spacing w:after="0" w:line="191" w:lineRule="exact"/>
        <w:rPr>
          <w:rFonts w:ascii="Arial" w:cs="Arial" w:eastAsia="Arial" w:hAnsi="Arial"/>
          <w:sz w:val="16"/>
          <w:szCs w:val="16"/>
          <w:color w:val="auto"/>
        </w:rPr>
      </w:pPr>
    </w:p>
    <w:p>
      <w:pPr>
        <w:ind w:left="1292" w:right="360" w:hanging="644"/>
        <w:spacing w:after="0" w:line="277" w:lineRule="auto"/>
        <w:tabs>
          <w:tab w:leader="none" w:pos="1292"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deductions as you may instruct the Company to take.</w:t>
      </w:r>
    </w:p>
    <w:p>
      <w:pPr>
        <w:spacing w:after="0" w:line="197" w:lineRule="exact"/>
        <w:rPr>
          <w:rFonts w:ascii="Arial" w:cs="Arial" w:eastAsia="Arial" w:hAnsi="Arial"/>
          <w:sz w:val="18"/>
          <w:szCs w:val="18"/>
          <w:color w:val="auto"/>
        </w:rPr>
      </w:pPr>
    </w:p>
    <w:p>
      <w:pPr>
        <w:ind w:left="1292" w:right="40" w:hanging="644"/>
        <w:spacing w:after="0" w:line="273" w:lineRule="auto"/>
        <w:tabs>
          <w:tab w:leader="none" w:pos="1292"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1292" w:right="300" w:hanging="644"/>
        <w:spacing w:after="0" w:line="263" w:lineRule="auto"/>
        <w:tabs>
          <w:tab w:leader="none" w:pos="1292"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You will receive paid vacation according to the Vacation policy set forth in the Employee Handbook. You will be eligible to accrue paid vacation at the rate set forth in the Employee Handbook. Payment of accrued but unused vacation will be made upon termination of employment.</w:t>
      </w:r>
    </w:p>
    <w:p>
      <w:pPr>
        <w:spacing w:after="0" w:line="210" w:lineRule="exact"/>
        <w:rPr>
          <w:rFonts w:ascii="Arial" w:cs="Arial" w:eastAsia="Arial" w:hAnsi="Arial"/>
          <w:sz w:val="18"/>
          <w:szCs w:val="18"/>
          <w:color w:val="auto"/>
        </w:rPr>
      </w:pPr>
    </w:p>
    <w:p>
      <w:pPr>
        <w:ind w:left="1292" w:right="720" w:hanging="644"/>
        <w:spacing w:after="0" w:line="277" w:lineRule="auto"/>
        <w:tabs>
          <w:tab w:leader="none" w:pos="1292"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Paid Sick Leave</w:t>
      </w:r>
      <w:r>
        <w:rPr>
          <w:rFonts w:ascii="Arial" w:cs="Arial" w:eastAsia="Arial" w:hAnsi="Arial"/>
          <w:sz w:val="18"/>
          <w:szCs w:val="18"/>
          <w:color w:val="auto"/>
        </w:rPr>
        <w:t>. You will be eligible for paid sick leave according to the Company Sick Leave Policy set forth in the Employee Handbook.</w:t>
      </w:r>
    </w:p>
    <w:p>
      <w:pPr>
        <w:spacing w:after="0" w:line="197" w:lineRule="exact"/>
        <w:rPr>
          <w:rFonts w:ascii="Arial" w:cs="Arial" w:eastAsia="Arial" w:hAnsi="Arial"/>
          <w:sz w:val="18"/>
          <w:szCs w:val="18"/>
          <w:color w:val="auto"/>
        </w:rPr>
      </w:pPr>
    </w:p>
    <w:p>
      <w:pPr>
        <w:ind w:left="1292" w:right="400" w:hanging="644"/>
        <w:spacing w:after="0" w:line="277" w:lineRule="auto"/>
        <w:tabs>
          <w:tab w:leader="none" w:pos="1292"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xml:space="preserve">. You agree that your compensation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40" w:hanging="644"/>
        <w:spacing w:after="0" w:line="263" w:lineRule="auto"/>
        <w:tabs>
          <w:tab w:leader="none" w:pos="1292"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policies contained in the Company’s Employee Handbook, which you will receive when you begin employment. From time to time, Company policies and procedures may be amended by the Company and will be called to your attention.</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33" w:name="page334"/>
    <w:bookmarkEnd w:id="333"/>
    <w:p>
      <w:pPr>
        <w:ind w:left="644" w:right="60" w:hanging="644"/>
        <w:spacing w:after="0" w:line="301" w:lineRule="auto"/>
        <w:tabs>
          <w:tab w:leader="none" w:pos="644"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Background Check and Eligibility</w:t>
      </w:r>
      <w:r>
        <w:rPr>
          <w:rFonts w:ascii="Arial" w:cs="Arial" w:eastAsia="Arial" w:hAnsi="Arial"/>
          <w:sz w:val="16"/>
          <w:szCs w:val="16"/>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under the Fair Credit Reporting Act for the purpose of completing such background and/or credit check.</w:t>
      </w:r>
    </w:p>
    <w:p>
      <w:pPr>
        <w:spacing w:after="0" w:line="184" w:lineRule="exact"/>
        <w:rPr>
          <w:rFonts w:ascii="Arial" w:cs="Arial" w:eastAsia="Arial" w:hAnsi="Arial"/>
          <w:sz w:val="16"/>
          <w:szCs w:val="16"/>
          <w:color w:val="auto"/>
        </w:rPr>
      </w:pPr>
    </w:p>
    <w:p>
      <w:pPr>
        <w:ind w:left="644" w:hanging="644"/>
        <w:spacing w:after="0" w:line="263"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Right to Work</w:t>
      </w:r>
      <w:r>
        <w:rPr>
          <w:rFonts w:ascii="Arial" w:cs="Arial" w:eastAsia="Arial" w:hAnsi="Arial"/>
          <w:sz w:val="18"/>
          <w:szCs w:val="18"/>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210"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280" w:hanging="644"/>
        <w:spacing w:after="0" w:line="263"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644" w:right="80" w:hanging="644"/>
        <w:spacing w:after="0" w:line="263"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any prior agreements regarding your employment with the Company.</w:t>
      </w:r>
    </w:p>
    <w:p>
      <w:pPr>
        <w:spacing w:after="0" w:line="245"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334" w:name="page335"/>
    <w:bookmarkEnd w:id="334"/>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October 6, 2018</w:t>
      </w:r>
      <w:r>
        <w:rPr>
          <w:rFonts w:ascii="Arial" w:cs="Arial" w:eastAsia="Arial" w:hAnsi="Arial"/>
          <w:sz w:val="22"/>
          <w:szCs w:val="22"/>
          <w:color w:val="auto"/>
        </w:rPr>
        <w:t>.</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GHOST MANAGEMENT GROUP, LLC</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Doug Francis, CEO</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Justin Dean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4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Justin Dean</w:t>
            </w:r>
          </w:p>
        </w:tc>
      </w:tr>
      <w:tr>
        <w:trPr>
          <w:trHeight w:val="251"/>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1"/>
                <w:szCs w:val="21"/>
                <w:color w:val="auto"/>
              </w:rPr>
            </w:pPr>
          </w:p>
        </w:tc>
      </w:tr>
      <w:tr>
        <w:trPr>
          <w:trHeight w:val="223"/>
        </w:trPr>
        <w:tc>
          <w:tcPr>
            <w:tcW w:w="8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Oct 3, 2018</w:t>
            </w:r>
          </w:p>
        </w:tc>
      </w:tr>
    </w:tbl>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May 17, 2017</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Steven Jung</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This letter is to memorialize the offer of employment (“</w:t>
      </w:r>
      <w:r>
        <w:rPr>
          <w:rFonts w:ascii="Arial" w:cs="Arial" w:eastAsia="Arial" w:hAnsi="Arial"/>
          <w:sz w:val="22"/>
          <w:szCs w:val="22"/>
          <w:b w:val="1"/>
          <w:bCs w:val="1"/>
          <w:u w:val="single" w:color="auto"/>
          <w:color w:val="auto"/>
        </w:rPr>
        <w:t>Offer</w:t>
      </w:r>
      <w:r>
        <w:rPr>
          <w:rFonts w:ascii="Arial" w:cs="Arial" w:eastAsia="Arial" w:hAnsi="Arial"/>
          <w:sz w:val="22"/>
          <w:szCs w:val="22"/>
          <w:color w:val="auto"/>
        </w:rPr>
        <w:t xml:space="preserve">”) made to </w:t>
      </w:r>
      <w:r>
        <w:rPr>
          <w:rFonts w:ascii="Arial" w:cs="Arial" w:eastAsia="Arial" w:hAnsi="Arial"/>
          <w:sz w:val="22"/>
          <w:szCs w:val="22"/>
          <w:b w:val="1"/>
          <w:bCs w:val="1"/>
          <w:color w:val="auto"/>
        </w:rPr>
        <w:t>Steven Jung</w:t>
      </w:r>
      <w:r>
        <w:rPr>
          <w:rFonts w:ascii="Arial" w:cs="Arial" w:eastAsia="Arial" w:hAnsi="Arial"/>
          <w:sz w:val="22"/>
          <w:szCs w:val="22"/>
          <w:color w:val="auto"/>
        </w:rPr>
        <w:t xml:space="preserve"> by Ghost Management Group, LLC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to set forth the specific terms and conditions of your employment.</w:t>
      </w:r>
    </w:p>
    <w:p>
      <w:pPr>
        <w:spacing w:after="0" w:line="198" w:lineRule="exact"/>
        <w:rPr>
          <w:sz w:val="20"/>
          <w:szCs w:val="20"/>
          <w:color w:val="auto"/>
        </w:rPr>
      </w:pPr>
    </w:p>
    <w:p>
      <w:pPr>
        <w:ind w:left="660" w:right="60" w:hanging="652"/>
        <w:spacing w:after="0" w:line="282" w:lineRule="auto"/>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Company offers you the </w:t>
      </w:r>
      <w:r>
        <w:rPr>
          <w:rFonts w:ascii="Arial" w:cs="Arial" w:eastAsia="Arial" w:hAnsi="Arial"/>
          <w:sz w:val="18"/>
          <w:szCs w:val="18"/>
          <w:b w:val="1"/>
          <w:bCs w:val="1"/>
          <w:color w:val="auto"/>
        </w:rPr>
        <w:t>full-time</w:t>
      </w:r>
      <w:r>
        <w:rPr>
          <w:rFonts w:ascii="Arial" w:cs="Arial" w:eastAsia="Arial" w:hAnsi="Arial"/>
          <w:sz w:val="18"/>
          <w:szCs w:val="18"/>
          <w:color w:val="auto"/>
        </w:rPr>
        <w:t xml:space="preserve">, </w:t>
      </w:r>
      <w:r>
        <w:rPr>
          <w:rFonts w:ascii="Arial" w:cs="Arial" w:eastAsia="Arial" w:hAnsi="Arial"/>
          <w:sz w:val="18"/>
          <w:szCs w:val="18"/>
          <w:b w:val="1"/>
          <w:bCs w:val="1"/>
          <w:color w:val="auto"/>
        </w:rPr>
        <w:t>exempt</w:t>
      </w:r>
      <w:r>
        <w:rPr>
          <w:rFonts w:ascii="Arial" w:cs="Arial" w:eastAsia="Arial" w:hAnsi="Arial"/>
          <w:sz w:val="18"/>
          <w:szCs w:val="18"/>
          <w:color w:val="auto"/>
        </w:rPr>
        <w:t xml:space="preserve">, </w:t>
      </w:r>
      <w:r>
        <w:rPr>
          <w:rFonts w:ascii="Arial" w:cs="Arial" w:eastAsia="Arial" w:hAnsi="Arial"/>
          <w:sz w:val="18"/>
          <w:szCs w:val="18"/>
          <w:b w:val="1"/>
          <w:bCs w:val="1"/>
          <w:color w:val="auto"/>
        </w:rPr>
        <w:t>regular</w:t>
      </w:r>
      <w:r>
        <w:rPr>
          <w:rFonts w:ascii="Arial" w:cs="Arial" w:eastAsia="Arial" w:hAnsi="Arial"/>
          <w:sz w:val="18"/>
          <w:szCs w:val="18"/>
          <w:color w:val="auto"/>
        </w:rPr>
        <w:t xml:space="preserve"> position of </w:t>
      </w:r>
      <w:r>
        <w:rPr>
          <w:rFonts w:ascii="Arial" w:cs="Arial" w:eastAsia="Arial" w:hAnsi="Arial"/>
          <w:sz w:val="18"/>
          <w:szCs w:val="18"/>
          <w:b w:val="1"/>
          <w:bCs w:val="1"/>
          <w:color w:val="auto"/>
        </w:rPr>
        <w:t>VP, Business Operations</w:t>
      </w:r>
      <w:r>
        <w:rPr>
          <w:rFonts w:ascii="Arial" w:cs="Arial" w:eastAsia="Arial" w:hAnsi="Arial"/>
          <w:sz w:val="18"/>
          <w:szCs w:val="18"/>
          <w:color w:val="auto"/>
        </w:rPr>
        <w:t xml:space="preserve"> at our Irvine, California location located at </w:t>
      </w:r>
      <w:r>
        <w:rPr>
          <w:rFonts w:ascii="Arial" w:cs="Arial" w:eastAsia="Arial" w:hAnsi="Arial"/>
          <w:sz w:val="18"/>
          <w:szCs w:val="18"/>
          <w:b w:val="1"/>
          <w:bCs w:val="1"/>
          <w:color w:val="auto"/>
        </w:rPr>
        <w:t>41</w:t>
      </w:r>
      <w:r>
        <w:rPr>
          <w:rFonts w:ascii="Arial" w:cs="Arial" w:eastAsia="Arial" w:hAnsi="Arial"/>
          <w:sz w:val="18"/>
          <w:szCs w:val="18"/>
          <w:color w:val="auto"/>
        </w:rPr>
        <w:t xml:space="preserve"> </w:t>
      </w:r>
      <w:r>
        <w:rPr>
          <w:rFonts w:ascii="Arial" w:cs="Arial" w:eastAsia="Arial" w:hAnsi="Arial"/>
          <w:sz w:val="18"/>
          <w:szCs w:val="18"/>
          <w:b w:val="1"/>
          <w:bCs w:val="1"/>
          <w:color w:val="auto"/>
        </w:rPr>
        <w:t>Discovery, Irvine, California 92618</w:t>
      </w:r>
      <w:r>
        <w:rPr>
          <w:rFonts w:ascii="Arial" w:cs="Arial" w:eastAsia="Arial" w:hAnsi="Arial"/>
          <w:sz w:val="18"/>
          <w:szCs w:val="18"/>
          <w:color w:val="auto"/>
        </w:rPr>
        <w:t>. In this position, your current supervisor is</w:t>
      </w:r>
      <w:r>
        <w:rPr>
          <w:rFonts w:ascii="Arial" w:cs="Arial" w:eastAsia="Arial" w:hAnsi="Arial"/>
          <w:sz w:val="18"/>
          <w:szCs w:val="18"/>
          <w:b w:val="1"/>
          <w:bCs w:val="1"/>
          <w:color w:val="auto"/>
        </w:rPr>
        <w:t xml:space="preserve"> Doug Francis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60" w:hanging="652"/>
        <w:spacing w:after="0" w:line="288" w:lineRule="auto"/>
        <w:tabs>
          <w:tab w:leader="none" w:pos="660"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xml:space="preserve">. Subject to the terms and conditions of this Offer, the Company agrees to employ you and you agree to be employed by the Company commencing no later than </w:t>
      </w:r>
      <w:r>
        <w:rPr>
          <w:rFonts w:ascii="Arial" w:cs="Arial" w:eastAsia="Arial" w:hAnsi="Arial"/>
          <w:sz w:val="16"/>
          <w:szCs w:val="16"/>
          <w:b w:val="1"/>
          <w:bCs w:val="1"/>
          <w:color w:val="auto"/>
        </w:rPr>
        <w:t>June 19, 2017</w:t>
      </w:r>
      <w:r>
        <w:rPr>
          <w:rFonts w:ascii="Arial" w:cs="Arial" w:eastAsia="Arial" w:hAnsi="Arial"/>
          <w:sz w:val="16"/>
          <w:szCs w:val="16"/>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Company has the authority to modify this at-will policy except for the CEO of Company, and any such modification to this at-will employment policy must be in a written agreement signed by both the employee and the CEO of Company. This constitutes an integrated agreement with respect to the at-will nature of the employment relationship, and there may be no implied or oral agreements that in any way modify this at-will employment policy.</w:t>
      </w:r>
    </w:p>
    <w:p>
      <w:pPr>
        <w:spacing w:after="0" w:line="191" w:lineRule="exact"/>
        <w:rPr>
          <w:rFonts w:ascii="Arial" w:cs="Arial" w:eastAsia="Arial" w:hAnsi="Arial"/>
          <w:sz w:val="16"/>
          <w:szCs w:val="16"/>
          <w:color w:val="auto"/>
        </w:rPr>
      </w:pPr>
    </w:p>
    <w:p>
      <w:pPr>
        <w:ind w:left="660" w:right="260" w:hanging="652"/>
        <w:spacing w:after="0" w:line="266" w:lineRule="auto"/>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Your title will be </w:t>
      </w:r>
      <w:r>
        <w:rPr>
          <w:rFonts w:ascii="Arial" w:cs="Arial" w:eastAsia="Arial" w:hAnsi="Arial"/>
          <w:sz w:val="18"/>
          <w:szCs w:val="18"/>
          <w:b w:val="1"/>
          <w:bCs w:val="1"/>
          <w:color w:val="auto"/>
        </w:rPr>
        <w:t>VP, Business Operations</w:t>
      </w:r>
      <w:r>
        <w:rPr>
          <w:rFonts w:ascii="Arial" w:cs="Arial" w:eastAsia="Arial" w:hAnsi="Arial"/>
          <w:sz w:val="18"/>
          <w:szCs w:val="18"/>
          <w:color w:val="auto"/>
        </w:rPr>
        <w:t>. In such capacity, you shall be responsible for all duties commensurate with those generally expected of your title as well as any set forth in your job description. You shall also have such other responsibilities as may be assigned to you from time to time.</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40" w:hanging="644"/>
        <w:spacing w:after="0" w:line="258" w:lineRule="auto"/>
        <w:tabs>
          <w:tab w:leader="none" w:pos="130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You will receive a base salary at the rate of </w:t>
      </w:r>
      <w:r>
        <w:rPr>
          <w:rFonts w:ascii="Arial" w:cs="Arial" w:eastAsia="Arial" w:hAnsi="Arial"/>
          <w:sz w:val="18"/>
          <w:szCs w:val="18"/>
          <w:b w:val="1"/>
          <w:bCs w:val="1"/>
          <w:color w:val="auto"/>
        </w:rPr>
        <w:t>$225,000</w:t>
      </w:r>
      <w:r>
        <w:rPr>
          <w:rFonts w:ascii="Arial" w:cs="Arial" w:eastAsia="Arial" w:hAnsi="Arial"/>
          <w:sz w:val="18"/>
          <w:szCs w:val="18"/>
          <w:color w:val="auto"/>
        </w:rPr>
        <w:t xml:space="preserve">, annualized, payable in accordance with the Company’s normal payroll practices. In addition, you will be eligible for a bonus equal to an annualized amount of </w:t>
      </w:r>
      <w:r>
        <w:rPr>
          <w:rFonts w:ascii="Arial" w:cs="Arial" w:eastAsia="Arial" w:hAnsi="Arial"/>
          <w:sz w:val="18"/>
          <w:szCs w:val="18"/>
          <w:b w:val="1"/>
          <w:bCs w:val="1"/>
          <w:color w:val="auto"/>
        </w:rPr>
        <w:t>twenty percent (20%)</w:t>
      </w:r>
      <w:r>
        <w:rPr>
          <w:rFonts w:ascii="Arial" w:cs="Arial" w:eastAsia="Arial" w:hAnsi="Arial"/>
          <w:sz w:val="18"/>
          <w:szCs w:val="18"/>
          <w:color w:val="auto"/>
        </w:rPr>
        <w:t xml:space="preserve"> of your annual salary, with the attainment of such bonus being based upon the achievement of quantifiable quarterly and annual goals which will be set by you and senior management. Such bonus will be payable on a quarterly basis (up to 5% per quarter of such 20% annualized amount) based on the achievement of the applicable quarterly or annual goals.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6" w:name="page337"/>
    <w:bookmarkEnd w:id="336"/>
    <w:p>
      <w:pPr>
        <w:ind w:left="644" w:hanging="644"/>
        <w:spacing w:after="0" w:line="266" w:lineRule="auto"/>
        <w:tabs>
          <w:tab w:leader="none" w:pos="64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 xml:space="preserve">: You shall receive a signing bonus of </w:t>
      </w:r>
      <w:r>
        <w:rPr>
          <w:rFonts w:ascii="Arial" w:cs="Arial" w:eastAsia="Arial" w:hAnsi="Arial"/>
          <w:sz w:val="18"/>
          <w:szCs w:val="18"/>
          <w:b w:val="1"/>
          <w:bCs w:val="1"/>
          <w:color w:val="auto"/>
        </w:rPr>
        <w:t>$20,000</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Signing Bonus</w:t>
      </w:r>
      <w:r>
        <w:rPr>
          <w:rFonts w:ascii="Arial" w:cs="Arial" w:eastAsia="Arial" w:hAnsi="Arial"/>
          <w:sz w:val="18"/>
          <w:szCs w:val="18"/>
          <w:color w:val="auto"/>
        </w:rPr>
        <w:t>”). If you terminate your employment with the Company or are terminated for cause on or prior to the one year anniversary of your start date with the Company, then you must repay the Company the full amount of the Signing Bonus.</w:t>
      </w:r>
    </w:p>
    <w:p>
      <w:pPr>
        <w:spacing w:after="0" w:line="202" w:lineRule="exact"/>
        <w:rPr>
          <w:rFonts w:ascii="Arial" w:cs="Arial" w:eastAsia="Arial" w:hAnsi="Arial"/>
          <w:sz w:val="18"/>
          <w:szCs w:val="18"/>
          <w:color w:val="auto"/>
        </w:rPr>
      </w:pPr>
    </w:p>
    <w:p>
      <w:pPr>
        <w:ind w:left="644" w:right="40" w:hanging="644"/>
        <w:spacing w:after="0" w:line="287" w:lineRule="auto"/>
        <w:tabs>
          <w:tab w:leader="none" w:pos="644"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You will be granted </w:t>
      </w:r>
      <w:r>
        <w:rPr>
          <w:rFonts w:ascii="Arial" w:cs="Arial" w:eastAsia="Arial" w:hAnsi="Arial"/>
          <w:sz w:val="16"/>
          <w:szCs w:val="16"/>
          <w:b w:val="1"/>
          <w:bCs w:val="1"/>
          <w:color w:val="auto"/>
        </w:rPr>
        <w:t>4,354</w:t>
      </w:r>
      <w:r>
        <w:rPr>
          <w:rFonts w:ascii="Arial" w:cs="Arial" w:eastAsia="Arial" w:hAnsi="Arial"/>
          <w:sz w:val="16"/>
          <w:szCs w:val="16"/>
          <w:color w:val="auto"/>
        </w:rPr>
        <w:t xml:space="preserve"> unvested Class B Units (the “</w:t>
      </w:r>
      <w:r>
        <w:rPr>
          <w:rFonts w:ascii="Arial" w:cs="Arial" w:eastAsia="Arial" w:hAnsi="Arial"/>
          <w:sz w:val="16"/>
          <w:szCs w:val="16"/>
          <w:b w:val="1"/>
          <w:bCs w:val="1"/>
          <w:u w:val="single" w:color="auto"/>
          <w:color w:val="auto"/>
        </w:rPr>
        <w:t>Employee Class B Units</w:t>
      </w:r>
      <w:r>
        <w:rPr>
          <w:rFonts w:ascii="Arial" w:cs="Arial" w:eastAsia="Arial" w:hAnsi="Arial"/>
          <w:sz w:val="16"/>
          <w:szCs w:val="16"/>
          <w:color w:val="auto"/>
        </w:rPr>
        <w:t>”) in WM Holding Company, LLC, the parent company of the Company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pursuant to the terms and conditions set forth in an Equity Award Agreement (the “</w:t>
      </w:r>
      <w:r>
        <w:rPr>
          <w:rFonts w:ascii="Arial" w:cs="Arial" w:eastAsia="Arial" w:hAnsi="Arial"/>
          <w:sz w:val="16"/>
          <w:szCs w:val="16"/>
          <w:b w:val="1"/>
          <w:bCs w:val="1"/>
          <w:color w:val="auto"/>
        </w:rPr>
        <w:t>Award</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be entered into between you and Parent following your start date with the Company and in accordance with its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regarding the grant of equity incentive units. Your Employee Class B Units will vest on a quarterly basis over four (4) years from your start date with the Company, with the vesting during the first year not accruing until the twelve (12) month anniversary of your start date with the Company (i.e. 1/4 of your Employee Class B Units shall vest on such anniversary) (such date, the “</w:t>
      </w:r>
      <w:r>
        <w:rPr>
          <w:rFonts w:ascii="Arial" w:cs="Arial" w:eastAsia="Arial" w:hAnsi="Arial"/>
          <w:sz w:val="16"/>
          <w:szCs w:val="16"/>
          <w:b w:val="1"/>
          <w:bCs w:val="1"/>
          <w:u w:val="single" w:color="auto"/>
          <w:color w:val="auto"/>
        </w:rPr>
        <w:t>Vesting Cliff</w:t>
      </w:r>
      <w:r>
        <w:rPr>
          <w:rFonts w:ascii="Arial" w:cs="Arial" w:eastAsia="Arial" w:hAnsi="Arial"/>
          <w:sz w:val="16"/>
          <w:szCs w:val="16"/>
          <w:color w:val="auto"/>
        </w:rPr>
        <w:t>”), assuming you are still employed by the Company at such time. Following the Vesting Cliff, your Employee Class B Units shall continue to vest on a prorated quarterly basis provided you are employed by the Company on each such quarterly vesting date. Notwithstanding the foregoing, all vesting will accelerate, and your Employee Class B Units will be 100% vested, on a Company Sale or Company IPO (as such terms are defined in the Amended and Restated Limited Liability Company Operating Agreement of Parent (the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Operating Agreement</w:t>
      </w:r>
      <w:r>
        <w:rPr>
          <w:rFonts w:ascii="Arial" w:cs="Arial" w:eastAsia="Arial" w:hAnsi="Arial"/>
          <w:sz w:val="16"/>
          <w:szCs w:val="16"/>
          <w:color w:val="auto"/>
        </w:rPr>
        <w:t>”)), in each case, in accordance with, and subject to, the terms and conditions set forth in the Parent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Parent’s Amended and Restated Equity Incentive Plan (the “</w:t>
      </w:r>
      <w:r>
        <w:rPr>
          <w:rFonts w:ascii="Arial" w:cs="Arial" w:eastAsia="Arial" w:hAnsi="Arial"/>
          <w:sz w:val="16"/>
          <w:szCs w:val="16"/>
          <w:b w:val="1"/>
          <w:bCs w:val="1"/>
          <w:u w:val="single" w:color="auto"/>
          <w:color w:val="auto"/>
        </w:rPr>
        <w:t>Incentive Plan</w:t>
      </w:r>
      <w:r>
        <w:rPr>
          <w:rFonts w:ascii="Arial" w:cs="Arial" w:eastAsia="Arial" w:hAnsi="Arial"/>
          <w:sz w:val="16"/>
          <w:szCs w:val="16"/>
          <w:color w:val="auto"/>
        </w:rPr>
        <w:t>”). Your Employee Class B Units will be subject to the terms and conditions set forth in the Parent Operating Agreement, the Incentive Plan and your Award Agreement.</w:t>
      </w:r>
    </w:p>
    <w:p>
      <w:pPr>
        <w:spacing w:after="0" w:line="194"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deductions as you may instruct the Company to take.</w:t>
      </w:r>
    </w:p>
    <w:p>
      <w:pPr>
        <w:spacing w:after="0" w:line="197" w:lineRule="exact"/>
        <w:rPr>
          <w:rFonts w:ascii="Arial" w:cs="Arial" w:eastAsia="Arial" w:hAnsi="Arial"/>
          <w:sz w:val="18"/>
          <w:szCs w:val="18"/>
          <w:color w:val="auto"/>
        </w:rPr>
      </w:pPr>
    </w:p>
    <w:p>
      <w:pPr>
        <w:ind w:left="644" w:right="40" w:hanging="644"/>
        <w:spacing w:after="0" w:line="273" w:lineRule="auto"/>
        <w:tabs>
          <w:tab w:leader="none" w:pos="64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644" w:right="300" w:hanging="644"/>
        <w:spacing w:after="0" w:line="263" w:lineRule="auto"/>
        <w:tabs>
          <w:tab w:leader="none" w:pos="64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You will receive paid vacation according to the Vacation policy set forth in the Employee Handbook. You will be eligible to accrue paid vacation at the rate set forth in the Employee Handbook. Payment of accrued but unused vacation will be made upon termination of employment.</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Paid Sick Leave</w:t>
      </w:r>
      <w:r>
        <w:rPr>
          <w:rFonts w:ascii="Arial" w:cs="Arial" w:eastAsia="Arial" w:hAnsi="Arial"/>
          <w:sz w:val="17"/>
          <w:szCs w:val="17"/>
          <w:color w:val="auto"/>
        </w:rPr>
        <w:t>. You will receive paid sick leave according to Company Sick Leave Policy set forth in the Employee Handbook.</w:t>
      </w:r>
    </w:p>
    <w:p>
      <w:pPr>
        <w:spacing w:after="0" w:line="200" w:lineRule="exact"/>
        <w:rPr>
          <w:sz w:val="20"/>
          <w:szCs w:val="20"/>
          <w:color w:val="auto"/>
        </w:rPr>
      </w:pPr>
    </w:p>
    <w:p>
      <w:pPr>
        <w:spacing w:after="0" w:line="235"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37" w:name="page338"/>
    <w:bookmarkEnd w:id="337"/>
    <w:p>
      <w:pPr>
        <w:ind w:left="1292" w:right="360" w:hanging="644"/>
        <w:spacing w:after="0" w:line="277" w:lineRule="auto"/>
        <w:tabs>
          <w:tab w:leader="none" w:pos="1292"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xml:space="preserve">. You agree that your compensation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hanging="644"/>
        <w:spacing w:after="0" w:line="263"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polices contained in Company’s Employee Handbook, which you will receive when you begin employment. From time to time, Company policies and procedures may be amended by the Company and will be called to your attention.</w:t>
      </w:r>
    </w:p>
    <w:p>
      <w:pPr>
        <w:spacing w:after="0" w:line="210" w:lineRule="exact"/>
        <w:rPr>
          <w:rFonts w:ascii="Arial" w:cs="Arial" w:eastAsia="Arial" w:hAnsi="Arial"/>
          <w:sz w:val="18"/>
          <w:szCs w:val="18"/>
          <w:color w:val="auto"/>
        </w:rPr>
      </w:pPr>
    </w:p>
    <w:p>
      <w:pPr>
        <w:ind w:left="1292" w:right="60" w:hanging="644"/>
        <w:spacing w:after="0" w:line="301" w:lineRule="auto"/>
        <w:tabs>
          <w:tab w:leader="none" w:pos="1292"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Background Check and Eligibility</w:t>
      </w:r>
      <w:r>
        <w:rPr>
          <w:rFonts w:ascii="Arial" w:cs="Arial" w:eastAsia="Arial" w:hAnsi="Arial"/>
          <w:sz w:val="16"/>
          <w:szCs w:val="16"/>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under the Fair Credit Reporting Act for the purpose of completing such background and/or credit check.</w:t>
      </w:r>
    </w:p>
    <w:p>
      <w:pPr>
        <w:spacing w:after="0" w:line="184" w:lineRule="exact"/>
        <w:rPr>
          <w:rFonts w:ascii="Arial" w:cs="Arial" w:eastAsia="Arial" w:hAnsi="Arial"/>
          <w:sz w:val="16"/>
          <w:szCs w:val="16"/>
          <w:color w:val="auto"/>
        </w:rPr>
      </w:pPr>
    </w:p>
    <w:p>
      <w:pPr>
        <w:ind w:left="1292" w:hanging="644"/>
        <w:spacing w:after="0" w:line="263"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Right to Work</w:t>
      </w:r>
      <w:r>
        <w:rPr>
          <w:rFonts w:ascii="Arial" w:cs="Arial" w:eastAsia="Arial" w:hAnsi="Arial"/>
          <w:sz w:val="18"/>
          <w:szCs w:val="18"/>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210" w:lineRule="exact"/>
        <w:rPr>
          <w:rFonts w:ascii="Arial" w:cs="Arial" w:eastAsia="Arial" w:hAnsi="Arial"/>
          <w:sz w:val="18"/>
          <w:szCs w:val="18"/>
          <w:color w:val="auto"/>
        </w:rPr>
      </w:pPr>
    </w:p>
    <w:p>
      <w:pPr>
        <w:ind w:left="1292" w:hanging="644"/>
        <w:spacing w:after="0" w:line="263"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1292" w:right="280" w:hanging="644"/>
        <w:spacing w:after="0" w:line="263"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1292" w:right="160" w:hanging="644"/>
        <w:spacing w:after="0" w:line="277"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1292" w:right="80" w:hanging="644"/>
        <w:spacing w:after="0" w:line="263" w:lineRule="auto"/>
        <w:tabs>
          <w:tab w:leader="none" w:pos="1292"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1292" w:hanging="644"/>
        <w:spacing w:after="0"/>
        <w:tabs>
          <w:tab w:leader="none" w:pos="1292"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Prior Verbal Agreements</w:t>
      </w:r>
      <w:r>
        <w:rPr>
          <w:rFonts w:ascii="Arial" w:cs="Arial" w:eastAsia="Arial" w:hAnsi="Arial"/>
          <w:sz w:val="17"/>
          <w:szCs w:val="17"/>
          <w:color w:val="auto"/>
        </w:rPr>
        <w:t>. This letter supersedes any prior verbal agreements regarding your employment with the Company.</w:t>
      </w: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338" w:name="page339"/>
    <w:bookmarkEnd w:id="338"/>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May 26, 2017</w:t>
      </w:r>
      <w:r>
        <w:rPr>
          <w:rFonts w:ascii="Arial" w:cs="Arial" w:eastAsia="Arial" w:hAnsi="Arial"/>
          <w:sz w:val="22"/>
          <w:szCs w:val="22"/>
          <w:color w:val="auto"/>
        </w:rPr>
        <w:t>.</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GHOST MANAGEMENT GROUP,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Doug Francis, CEO</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Steven Jung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4980" w:type="dxa"/>
            <w:vAlign w:val="bottom"/>
            <w:tcBorders>
              <w:top w:val="single" w:sz="8" w:color="auto"/>
            </w:tcBorders>
            <w:gridSpan w:val="2"/>
          </w:tcPr>
          <w:p>
            <w:pPr>
              <w:jc w:val="right"/>
              <w:ind w:right="3850"/>
              <w:spacing w:after="0"/>
              <w:rPr>
                <w:sz w:val="20"/>
                <w:szCs w:val="20"/>
                <w:color w:val="auto"/>
              </w:rPr>
            </w:pPr>
            <w:r>
              <w:rPr>
                <w:rFonts w:ascii="Arial" w:cs="Arial" w:eastAsia="Arial" w:hAnsi="Arial"/>
                <w:sz w:val="18"/>
                <w:szCs w:val="18"/>
                <w:color w:val="auto"/>
              </w:rPr>
              <w:t>Steven Jung</w:t>
            </w:r>
          </w:p>
        </w:tc>
      </w:tr>
      <w:tr>
        <w:trPr>
          <w:trHeight w:val="25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1"/>
                <w:szCs w:val="21"/>
                <w:color w:val="auto"/>
              </w:rPr>
            </w:pPr>
          </w:p>
        </w:tc>
        <w:tc>
          <w:tcPr>
            <w:tcW w:w="4820" w:type="dxa"/>
            <w:vAlign w:val="bottom"/>
            <w:tcBorders>
              <w:bottom w:val="single" w:sz="8" w:color="auto"/>
            </w:tcBorders>
          </w:tcPr>
          <w:p>
            <w:pPr>
              <w:spacing w:after="0"/>
              <w:rPr>
                <w:sz w:val="21"/>
                <w:szCs w:val="21"/>
                <w:color w:val="auto"/>
              </w:rPr>
            </w:pPr>
          </w:p>
        </w:tc>
      </w:tr>
      <w:tr>
        <w:trPr>
          <w:trHeight w:val="223"/>
        </w:trPr>
        <w:tc>
          <w:tcPr>
            <w:tcW w:w="64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160" w:type="dxa"/>
            <w:vAlign w:val="bottom"/>
          </w:tcPr>
          <w:p>
            <w:pPr>
              <w:spacing w:after="0"/>
              <w:rPr>
                <w:sz w:val="19"/>
                <w:szCs w:val="19"/>
                <w:color w:val="auto"/>
              </w:rPr>
            </w:pPr>
          </w:p>
        </w:tc>
        <w:tc>
          <w:tcPr>
            <w:tcW w:w="4820" w:type="dxa"/>
            <w:vAlign w:val="bottom"/>
            <w:tcBorders>
              <w:bottom w:val="single" w:sz="8" w:color="auto"/>
            </w:tcBorders>
          </w:tcPr>
          <w:p>
            <w:pPr>
              <w:jc w:val="right"/>
              <w:ind w:right="4130"/>
              <w:spacing w:after="0"/>
              <w:rPr>
                <w:sz w:val="20"/>
                <w:szCs w:val="20"/>
                <w:color w:val="auto"/>
              </w:rPr>
            </w:pPr>
            <w:r>
              <w:rPr>
                <w:rFonts w:ascii="Arial" w:cs="Arial" w:eastAsia="Arial" w:hAnsi="Arial"/>
                <w:sz w:val="18"/>
                <w:szCs w:val="18"/>
                <w:color w:val="auto"/>
                <w:w w:val="96"/>
              </w:rPr>
              <w:t>5/18/17</w:t>
            </w:r>
          </w:p>
        </w:tc>
      </w:tr>
    </w:tbl>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339" w:name="page340"/>
    <w:bookmarkEnd w:id="3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10.12</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LEASE</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BETWEEN</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THE IRVINE COMPANY LLC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GHOST MEDIA GROUP, LLC</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22"/>
          <w:szCs w:val="22"/>
          <w:b w:val="1"/>
          <w:bCs w:val="1"/>
          <w:color w:val="auto"/>
        </w:rPr>
        <w:t>LEASE</w:t>
      </w:r>
    </w:p>
    <w:p>
      <w:pPr>
        <w:spacing w:after="0" w:line="234"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 xml:space="preserve">THIS LEASE is made as of November 11, 2013, by and between </w:t>
      </w: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color w:val="auto"/>
        </w:rPr>
        <w:t xml:space="preserve"> </w:t>
      </w:r>
      <w:r>
        <w:rPr>
          <w:rFonts w:ascii="Arial" w:cs="Arial" w:eastAsia="Arial" w:hAnsi="Arial"/>
          <w:sz w:val="22"/>
          <w:szCs w:val="22"/>
          <w:b w:val="1"/>
          <w:bCs w:val="1"/>
          <w:color w:val="auto"/>
        </w:rPr>
        <w:t>I</w:t>
      </w:r>
      <w:r>
        <w:rPr>
          <w:rFonts w:ascii="Arial" w:cs="Arial" w:eastAsia="Arial" w:hAnsi="Arial"/>
          <w:sz w:val="14"/>
          <w:szCs w:val="14"/>
          <w:b w:val="1"/>
          <w:bCs w:val="1"/>
          <w:color w:val="auto"/>
        </w:rPr>
        <w:t>RVINE</w:t>
      </w:r>
      <w:r>
        <w:rPr>
          <w:rFonts w:ascii="Arial" w:cs="Arial" w:eastAsia="Arial" w:hAnsi="Arial"/>
          <w:sz w:val="22"/>
          <w:szCs w:val="22"/>
          <w:color w:val="auto"/>
        </w:rPr>
        <w:t xml:space="preserve"> </w:t>
      </w:r>
      <w:r>
        <w:rPr>
          <w:rFonts w:ascii="Arial" w:cs="Arial" w:eastAsia="Arial" w:hAnsi="Arial"/>
          <w:sz w:val="22"/>
          <w:szCs w:val="22"/>
          <w:b w:val="1"/>
          <w:bCs w:val="1"/>
          <w:color w:val="auto"/>
        </w:rPr>
        <w:t>C</w:t>
      </w:r>
      <w:r>
        <w:rPr>
          <w:rFonts w:ascii="Arial" w:cs="Arial" w:eastAsia="Arial" w:hAnsi="Arial"/>
          <w:sz w:val="14"/>
          <w:szCs w:val="14"/>
          <w:b w:val="1"/>
          <w:bCs w:val="1"/>
          <w:color w:val="auto"/>
        </w:rPr>
        <w:t>OMPANY</w:t>
      </w:r>
      <w:r>
        <w:rPr>
          <w:rFonts w:ascii="Arial" w:cs="Arial" w:eastAsia="Arial" w:hAnsi="Arial"/>
          <w:sz w:val="22"/>
          <w:szCs w:val="22"/>
          <w:color w:val="auto"/>
        </w:rPr>
        <w:t xml:space="preserve"> </w:t>
      </w:r>
      <w:r>
        <w:rPr>
          <w:rFonts w:ascii="Arial" w:cs="Arial" w:eastAsia="Arial" w:hAnsi="Arial"/>
          <w:sz w:val="22"/>
          <w:szCs w:val="22"/>
          <w:b w:val="1"/>
          <w:bCs w:val="1"/>
          <w:color w:val="auto"/>
        </w:rPr>
        <w:t>LLC</w:t>
      </w:r>
      <w:r>
        <w:rPr>
          <w:rFonts w:ascii="Arial" w:cs="Arial" w:eastAsia="Arial" w:hAnsi="Arial"/>
          <w:sz w:val="22"/>
          <w:szCs w:val="22"/>
          <w:color w:val="auto"/>
        </w:rPr>
        <w:t>, a Delaware limited liability company, hereafter called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G</w:t>
      </w:r>
      <w:r>
        <w:rPr>
          <w:rFonts w:ascii="Arial" w:cs="Arial" w:eastAsia="Arial" w:hAnsi="Arial"/>
          <w:sz w:val="14"/>
          <w:szCs w:val="14"/>
          <w:b w:val="1"/>
          <w:bCs w:val="1"/>
          <w:color w:val="auto"/>
        </w:rPr>
        <w:t>HOST</w:t>
      </w:r>
      <w:r>
        <w:rPr>
          <w:rFonts w:ascii="Arial" w:cs="Arial" w:eastAsia="Arial" w:hAnsi="Arial"/>
          <w:sz w:val="22"/>
          <w:szCs w:val="22"/>
          <w:color w:val="auto"/>
        </w:rPr>
        <w:t xml:space="preserve"> </w:t>
      </w:r>
      <w:r>
        <w:rPr>
          <w:rFonts w:ascii="Arial" w:cs="Arial" w:eastAsia="Arial" w:hAnsi="Arial"/>
          <w:sz w:val="22"/>
          <w:szCs w:val="22"/>
          <w:b w:val="1"/>
          <w:bCs w:val="1"/>
          <w:color w:val="auto"/>
        </w:rPr>
        <w:t>M</w:t>
      </w:r>
      <w:r>
        <w:rPr>
          <w:rFonts w:ascii="Arial" w:cs="Arial" w:eastAsia="Arial" w:hAnsi="Arial"/>
          <w:sz w:val="14"/>
          <w:szCs w:val="14"/>
          <w:b w:val="1"/>
          <w:bCs w:val="1"/>
          <w:color w:val="auto"/>
        </w:rPr>
        <w:t>EDIA</w:t>
      </w:r>
      <w:r>
        <w:rPr>
          <w:rFonts w:ascii="Arial" w:cs="Arial" w:eastAsia="Arial" w:hAnsi="Arial"/>
          <w:sz w:val="22"/>
          <w:szCs w:val="22"/>
          <w:color w:val="auto"/>
        </w:rPr>
        <w:t xml:space="preserve"> </w:t>
      </w:r>
      <w:r>
        <w:rPr>
          <w:rFonts w:ascii="Arial" w:cs="Arial" w:eastAsia="Arial" w:hAnsi="Arial"/>
          <w:sz w:val="22"/>
          <w:szCs w:val="22"/>
          <w:b w:val="1"/>
          <w:bCs w:val="1"/>
          <w:color w:val="auto"/>
        </w:rPr>
        <w:t>G</w:t>
      </w:r>
      <w:r>
        <w:rPr>
          <w:rFonts w:ascii="Arial" w:cs="Arial" w:eastAsia="Arial" w:hAnsi="Arial"/>
          <w:sz w:val="14"/>
          <w:szCs w:val="14"/>
          <w:b w:val="1"/>
          <w:bCs w:val="1"/>
          <w:color w:val="auto"/>
        </w:rPr>
        <w:t>ROUP</w:t>
      </w:r>
      <w:r>
        <w:rPr>
          <w:rFonts w:ascii="Arial" w:cs="Arial" w:eastAsia="Arial" w:hAnsi="Arial"/>
          <w:sz w:val="22"/>
          <w:szCs w:val="22"/>
          <w:b w:val="1"/>
          <w:bCs w:val="1"/>
          <w:color w:val="auto"/>
        </w:rPr>
        <w:t>, LLC</w:t>
      </w:r>
      <w:r>
        <w:rPr>
          <w:rFonts w:ascii="Arial" w:cs="Arial" w:eastAsia="Arial" w:hAnsi="Arial"/>
          <w:sz w:val="22"/>
          <w:szCs w:val="22"/>
          <w:color w:val="auto"/>
        </w:rPr>
        <w:t>, a Nevada limited liability company, hereafter called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 BASIC LEASE PROVISIONS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Each reference in this Lease to the “</w:t>
      </w:r>
      <w:r>
        <w:rPr>
          <w:rFonts w:ascii="Arial" w:cs="Arial" w:eastAsia="Arial" w:hAnsi="Arial"/>
          <w:sz w:val="22"/>
          <w:szCs w:val="22"/>
          <w:b w:val="1"/>
          <w:bCs w:val="1"/>
          <w:i w:val="1"/>
          <w:iCs w:val="1"/>
          <w:color w:val="auto"/>
        </w:rPr>
        <w:t>Basic Lease Provisions</w:t>
      </w:r>
      <w:r>
        <w:rPr>
          <w:rFonts w:ascii="Arial" w:cs="Arial" w:eastAsia="Arial" w:hAnsi="Arial"/>
          <w:sz w:val="22"/>
          <w:szCs w:val="22"/>
          <w:color w:val="auto"/>
        </w:rPr>
        <w:t>” shall mean and refer to the following collective terms, the application of which shall be governed by the provisions in the remaining Articles of this Lease.</w:t>
      </w:r>
    </w:p>
    <w:p>
      <w:pPr>
        <w:spacing w:after="0" w:line="205" w:lineRule="exact"/>
        <w:rPr>
          <w:sz w:val="20"/>
          <w:szCs w:val="20"/>
          <w:color w:val="auto"/>
        </w:rPr>
      </w:pPr>
    </w:p>
    <w:p>
      <w:pPr>
        <w:ind w:left="680" w:hanging="672"/>
        <w:spacing w:after="0"/>
        <w:tabs>
          <w:tab w:leader="none" w:pos="68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Tenant’s Trade Name</w:t>
      </w:r>
      <w:r>
        <w:rPr>
          <w:rFonts w:ascii="Arial" w:cs="Arial" w:eastAsia="Arial" w:hAnsi="Arial"/>
          <w:sz w:val="18"/>
          <w:szCs w:val="18"/>
          <w:color w:val="auto"/>
        </w:rPr>
        <w:t>: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060" w:type="dxa"/>
            <w:vAlign w:val="bottom"/>
          </w:tcPr>
          <w:p>
            <w:pPr>
              <w:ind w:left="260"/>
              <w:spacing w:after="0"/>
              <w:rPr>
                <w:sz w:val="20"/>
                <w:szCs w:val="20"/>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w:t>
            </w:r>
          </w:p>
        </w:tc>
        <w:tc>
          <w:tcPr>
            <w:tcW w:w="5740" w:type="dxa"/>
            <w:vAlign w:val="bottom"/>
          </w:tcPr>
          <w:p>
            <w:pPr>
              <w:ind w:left="220"/>
              <w:spacing w:after="0"/>
              <w:rPr>
                <w:sz w:val="20"/>
                <w:szCs w:val="20"/>
                <w:color w:val="auto"/>
              </w:rPr>
            </w:pPr>
            <w:r>
              <w:rPr>
                <w:rFonts w:ascii="Arial" w:cs="Arial" w:eastAsia="Arial" w:hAnsi="Arial"/>
                <w:sz w:val="18"/>
                <w:szCs w:val="18"/>
                <w:color w:val="auto"/>
                <w:w w:val="90"/>
              </w:rPr>
              <w:t>Suite No. 100 (The Premises are more particularly described in Section 2.1).</w:t>
            </w:r>
          </w:p>
        </w:tc>
      </w:tr>
      <w:tr>
        <w:trPr>
          <w:trHeight w:val="432"/>
        </w:trPr>
        <w:tc>
          <w:tcPr>
            <w:tcW w:w="420" w:type="dxa"/>
            <w:vAlign w:val="bottom"/>
          </w:tcPr>
          <w:p>
            <w:pPr>
              <w:spacing w:after="0"/>
              <w:rPr>
                <w:sz w:val="24"/>
                <w:szCs w:val="24"/>
                <w:color w:val="auto"/>
              </w:rPr>
            </w:pPr>
          </w:p>
        </w:tc>
        <w:tc>
          <w:tcPr>
            <w:tcW w:w="2060" w:type="dxa"/>
            <w:vAlign w:val="bottom"/>
          </w:tcPr>
          <w:p>
            <w:pPr>
              <w:ind w:left="260"/>
              <w:spacing w:after="0"/>
              <w:rPr>
                <w:sz w:val="20"/>
                <w:szCs w:val="20"/>
                <w:color w:val="auto"/>
              </w:rPr>
            </w:pPr>
            <w:r>
              <w:rPr>
                <w:rFonts w:ascii="Arial" w:cs="Arial" w:eastAsia="Arial" w:hAnsi="Arial"/>
                <w:sz w:val="18"/>
                <w:szCs w:val="18"/>
                <w:b w:val="1"/>
                <w:bCs w:val="1"/>
                <w:color w:val="auto"/>
              </w:rPr>
              <w:t>Address of Building</w:t>
            </w:r>
            <w:r>
              <w:rPr>
                <w:rFonts w:ascii="Arial" w:cs="Arial" w:eastAsia="Arial" w:hAnsi="Arial"/>
                <w:sz w:val="18"/>
                <w:szCs w:val="18"/>
                <w:color w:val="auto"/>
              </w:rPr>
              <w:t>:</w:t>
            </w:r>
          </w:p>
        </w:tc>
        <w:tc>
          <w:tcPr>
            <w:tcW w:w="5740" w:type="dxa"/>
            <w:vAlign w:val="bottom"/>
          </w:tcPr>
          <w:p>
            <w:pPr>
              <w:ind w:left="220"/>
              <w:spacing w:after="0"/>
              <w:rPr>
                <w:sz w:val="20"/>
                <w:szCs w:val="20"/>
                <w:color w:val="auto"/>
              </w:rPr>
            </w:pPr>
            <w:r>
              <w:rPr>
                <w:rFonts w:ascii="Arial" w:cs="Arial" w:eastAsia="Arial" w:hAnsi="Arial"/>
                <w:sz w:val="18"/>
                <w:szCs w:val="18"/>
                <w:color w:val="auto"/>
              </w:rPr>
              <w:t>41 Discovery, Irvine, CA 92618</w:t>
            </w:r>
          </w:p>
        </w:tc>
      </w:tr>
      <w:tr>
        <w:trPr>
          <w:trHeight w:val="432"/>
        </w:trPr>
        <w:tc>
          <w:tcPr>
            <w:tcW w:w="420" w:type="dxa"/>
            <w:vAlign w:val="bottom"/>
          </w:tcPr>
          <w:p>
            <w:pPr>
              <w:spacing w:after="0"/>
              <w:rPr>
                <w:sz w:val="24"/>
                <w:szCs w:val="24"/>
                <w:color w:val="auto"/>
              </w:rPr>
            </w:pPr>
          </w:p>
        </w:tc>
        <w:tc>
          <w:tcPr>
            <w:tcW w:w="2060" w:type="dxa"/>
            <w:vAlign w:val="bottom"/>
          </w:tcPr>
          <w:p>
            <w:pPr>
              <w:ind w:left="260"/>
              <w:spacing w:after="0"/>
              <w:rPr>
                <w:sz w:val="20"/>
                <w:szCs w:val="20"/>
                <w:color w:val="auto"/>
              </w:rPr>
            </w:pPr>
            <w:r>
              <w:rPr>
                <w:rFonts w:ascii="Arial" w:cs="Arial" w:eastAsia="Arial" w:hAnsi="Arial"/>
                <w:sz w:val="18"/>
                <w:szCs w:val="18"/>
                <w:b w:val="1"/>
                <w:bCs w:val="1"/>
                <w:color w:val="auto"/>
              </w:rPr>
              <w:t>Project Description</w:t>
            </w:r>
          </w:p>
        </w:tc>
        <w:tc>
          <w:tcPr>
            <w:tcW w:w="5740" w:type="dxa"/>
            <w:vAlign w:val="bottom"/>
          </w:tcPr>
          <w:p>
            <w:pPr>
              <w:ind w:left="220"/>
              <w:spacing w:after="0"/>
              <w:rPr>
                <w:sz w:val="20"/>
                <w:szCs w:val="20"/>
                <w:color w:val="auto"/>
              </w:rPr>
            </w:pPr>
            <w:r>
              <w:rPr>
                <w:rFonts w:ascii="Arial" w:cs="Arial" w:eastAsia="Arial" w:hAnsi="Arial"/>
                <w:sz w:val="18"/>
                <w:szCs w:val="18"/>
                <w:color w:val="auto"/>
              </w:rPr>
              <w:t>Discovery Business Center (as shown on Exhibit Y to this Lease)</w:t>
            </w:r>
          </w:p>
        </w:tc>
      </w:tr>
    </w:tbl>
    <w:p>
      <w:pPr>
        <w:spacing w:after="0" w:line="225" w:lineRule="exact"/>
        <w:rPr>
          <w:sz w:val="20"/>
          <w:szCs w:val="20"/>
          <w:color w:val="auto"/>
        </w:rPr>
      </w:pPr>
    </w:p>
    <w:p>
      <w:pPr>
        <w:ind w:left="680" w:hanging="672"/>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Use of Premises</w:t>
      </w:r>
      <w:r>
        <w:rPr>
          <w:rFonts w:ascii="Arial" w:cs="Arial" w:eastAsia="Arial" w:hAnsi="Arial"/>
          <w:sz w:val="18"/>
          <w:szCs w:val="18"/>
          <w:color w:val="auto"/>
        </w:rPr>
        <w:t>: General office and for no other use.</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Estimated Commencement Date</w:t>
      </w:r>
      <w:r>
        <w:rPr>
          <w:rFonts w:ascii="Arial" w:cs="Arial" w:eastAsia="Arial" w:hAnsi="Arial"/>
          <w:sz w:val="18"/>
          <w:szCs w:val="18"/>
          <w:color w:val="auto"/>
        </w:rPr>
        <w:t>:   March 1, 2014</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306"/>
        </w:numPr>
        <w:rPr>
          <w:rFonts w:ascii="Arial" w:cs="Arial" w:eastAsia="Arial" w:hAnsi="Arial"/>
          <w:sz w:val="17"/>
          <w:szCs w:val="17"/>
          <w:color w:val="auto"/>
        </w:rPr>
      </w:pPr>
      <w:r>
        <w:rPr>
          <w:rFonts w:ascii="Arial" w:cs="Arial" w:eastAsia="Arial" w:hAnsi="Arial"/>
          <w:sz w:val="17"/>
          <w:szCs w:val="17"/>
          <w:b w:val="1"/>
          <w:bCs w:val="1"/>
          <w:color w:val="auto"/>
        </w:rPr>
        <w:t>Lease Term</w:t>
      </w:r>
      <w:r>
        <w:rPr>
          <w:rFonts w:ascii="Arial" w:cs="Arial" w:eastAsia="Arial" w:hAnsi="Arial"/>
          <w:sz w:val="17"/>
          <w:szCs w:val="17"/>
          <w:color w:val="auto"/>
        </w:rPr>
        <w:t>:  60 months, plus such additional days as may be required to cause this Lease to expire on the final day of the calendar month.</w:t>
      </w:r>
    </w:p>
    <w:p>
      <w:pPr>
        <w:spacing w:after="0" w:line="263" w:lineRule="exact"/>
        <w:rPr>
          <w:rFonts w:ascii="Arial" w:cs="Arial" w:eastAsia="Arial" w:hAnsi="Arial"/>
          <w:sz w:val="17"/>
          <w:szCs w:val="17"/>
          <w:color w:val="auto"/>
        </w:rPr>
      </w:pPr>
    </w:p>
    <w:p>
      <w:pPr>
        <w:ind w:left="680" w:hanging="672"/>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Basic Rent</w:t>
      </w:r>
      <w:r>
        <w:rPr>
          <w:rFonts w:ascii="Arial" w:cs="Arial" w:eastAsia="Arial" w:hAnsi="Arial"/>
          <w:sz w:val="18"/>
          <w:szCs w:val="18"/>
          <w:color w:val="auto"/>
        </w:rPr>
        <w:t>:</w:t>
      </w:r>
    </w:p>
    <w:p>
      <w:pPr>
        <w:spacing w:after="0" w:line="250" w:lineRule="exact"/>
        <w:rPr>
          <w:sz w:val="20"/>
          <w:szCs w:val="20"/>
          <w:color w:val="auto"/>
        </w:rPr>
      </w:pPr>
    </w:p>
    <w:tbl>
      <w:tblPr>
        <w:tblLayout w:type="fixed"/>
        <w:tblInd w:w="670" w:type="dxa"/>
        <w:tblCellMar>
          <w:top w:w="0" w:type="dxa"/>
          <w:left w:w="0" w:type="dxa"/>
          <w:bottom w:w="0" w:type="dxa"/>
          <w:right w:w="0" w:type="dxa"/>
        </w:tblCellMar>
      </w:tblPr>
      <w:tr>
        <w:trPr>
          <w:trHeight w:val="225"/>
        </w:trPr>
        <w:tc>
          <w:tcPr>
            <w:tcW w:w="3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Months of Term or Period</w:t>
            </w:r>
          </w:p>
        </w:tc>
        <w:tc>
          <w:tcPr>
            <w:tcW w:w="3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Rate Per Rentable</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Basic Rent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Square Foot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(rounded to the nearest</w:t>
            </w:r>
          </w:p>
        </w:tc>
      </w:tr>
      <w:tr>
        <w:trPr>
          <w:trHeight w:val="241"/>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dollar)</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 to 6</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$26,668.00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 to 12</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$1.19</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$53,336.00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 to 24</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$1.24</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$55,577.00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 to 36</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$58,266.00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37 to 48</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$1.36</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$60,955.00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 to 60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$1.42</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$63,644.00</w:t>
            </w:r>
          </w:p>
        </w:tc>
      </w:tr>
    </w:tbl>
    <w:p>
      <w:pPr>
        <w:spacing w:after="0" w:line="222" w:lineRule="exact"/>
        <w:rPr>
          <w:sz w:val="20"/>
          <w:szCs w:val="20"/>
          <w:color w:val="auto"/>
        </w:rPr>
      </w:pPr>
    </w:p>
    <w:p>
      <w:pPr>
        <w:jc w:val="both"/>
        <w:ind w:left="660"/>
        <w:spacing w:after="0" w:line="224" w:lineRule="auto"/>
        <w:rPr>
          <w:sz w:val="20"/>
          <w:szCs w:val="20"/>
          <w:color w:val="auto"/>
        </w:rPr>
      </w:pPr>
      <w:r>
        <w:rPr>
          <w:rFonts w:ascii="Arial" w:cs="Arial" w:eastAsia="Arial" w:hAnsi="Arial"/>
          <w:sz w:val="20"/>
          <w:szCs w:val="20"/>
          <w:color w:val="auto"/>
        </w:rPr>
        <w:t>Notwithstanding the above schedule of Basic Rent to the contrary, as long as Tenant is not in Default (as defined in Section 14.1) under this Lease, Tenant shall be entitled to an abatement of 3 full calendar months of Basic Rent in the aggregate amount of S174,798.00 (i.e. $58,266.00 per month) (the “</w:t>
      </w:r>
      <w:r>
        <w:rPr>
          <w:rFonts w:ascii="Arial" w:cs="Arial" w:eastAsia="Arial" w:hAnsi="Arial"/>
          <w:sz w:val="20"/>
          <w:szCs w:val="20"/>
          <w:b w:val="1"/>
          <w:bCs w:val="1"/>
          <w:i w:val="1"/>
          <w:iCs w:val="1"/>
          <w:color w:val="auto"/>
        </w:rPr>
        <w:t>Abated Basic Rent</w:t>
      </w:r>
      <w:r>
        <w:rPr>
          <w:rFonts w:ascii="Arial" w:cs="Arial" w:eastAsia="Arial" w:hAnsi="Arial"/>
          <w:sz w:val="20"/>
          <w:szCs w:val="20"/>
          <w:color w:val="auto"/>
        </w:rPr>
        <w:t>”) for the initial 31</w:t>
      </w:r>
      <w:r>
        <w:rPr>
          <w:rFonts w:ascii="Arial" w:cs="Arial" w:eastAsia="Arial" w:hAnsi="Arial"/>
          <w:sz w:val="32"/>
          <w:szCs w:val="32"/>
          <w:color w:val="auto"/>
          <w:vertAlign w:val="superscript"/>
        </w:rPr>
        <w:t>st</w:t>
      </w:r>
      <w:r>
        <w:rPr>
          <w:rFonts w:ascii="Arial" w:cs="Arial" w:eastAsia="Arial" w:hAnsi="Arial"/>
          <w:sz w:val="20"/>
          <w:szCs w:val="20"/>
          <w:color w:val="auto"/>
        </w:rPr>
        <w:t>, 32</w:t>
      </w:r>
      <w:r>
        <w:rPr>
          <w:rFonts w:ascii="Arial" w:cs="Arial" w:eastAsia="Arial" w:hAnsi="Arial"/>
          <w:sz w:val="32"/>
          <w:szCs w:val="32"/>
          <w:color w:val="auto"/>
          <w:vertAlign w:val="superscript"/>
        </w:rPr>
        <w:t>nd</w:t>
      </w:r>
      <w:r>
        <w:rPr>
          <w:rFonts w:ascii="Arial" w:cs="Arial" w:eastAsia="Arial" w:hAnsi="Arial"/>
          <w:sz w:val="20"/>
          <w:szCs w:val="20"/>
          <w:color w:val="auto"/>
        </w:rPr>
        <w:t>, and 33</w:t>
      </w:r>
      <w:r>
        <w:rPr>
          <w:rFonts w:ascii="Arial" w:cs="Arial" w:eastAsia="Arial" w:hAnsi="Arial"/>
          <w:sz w:val="32"/>
          <w:szCs w:val="32"/>
          <w:color w:val="auto"/>
          <w:vertAlign w:val="superscript"/>
        </w:rPr>
        <w:t>rd</w:t>
      </w:r>
      <w:r>
        <w:rPr>
          <w:rFonts w:ascii="Arial" w:cs="Arial" w:eastAsia="Arial" w:hAnsi="Arial"/>
          <w:sz w:val="20"/>
          <w:szCs w:val="20"/>
          <w:color w:val="auto"/>
        </w:rPr>
        <w:t xml:space="preserve"> full calendar months of the Term (the “</w:t>
      </w:r>
      <w:r>
        <w:rPr>
          <w:rFonts w:ascii="Arial" w:cs="Arial" w:eastAsia="Arial" w:hAnsi="Arial"/>
          <w:sz w:val="20"/>
          <w:szCs w:val="20"/>
          <w:b w:val="1"/>
          <w:bCs w:val="1"/>
          <w:i w:val="1"/>
          <w:iCs w:val="1"/>
          <w:color w:val="auto"/>
        </w:rPr>
        <w:t>Abatement Period</w:t>
      </w:r>
      <w:r>
        <w:rPr>
          <w:rFonts w:ascii="Arial" w:cs="Arial" w:eastAsia="Arial" w:hAnsi="Arial"/>
          <w:sz w:val="20"/>
          <w:szCs w:val="20"/>
          <w:color w:val="auto"/>
        </w:rPr>
        <w:t>”). In the event Tenant Defaults at any time during the Term, all Abated Basic Rent shall immediately become due and payable. The payment by Tenant of the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as due and payable pursuant to the provisions of this Lease.</w:t>
      </w:r>
    </w:p>
    <w:p>
      <w:pPr>
        <w:spacing w:after="0" w:line="215"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Expense Recovery Period</w:t>
      </w:r>
      <w:r>
        <w:rPr>
          <w:rFonts w:ascii="Arial" w:cs="Arial" w:eastAsia="Arial" w:hAnsi="Arial"/>
          <w:sz w:val="16"/>
          <w:szCs w:val="16"/>
          <w:color w:val="auto"/>
        </w:rPr>
        <w:t>: Every twelve month period during the Term (or portion thereof during the first and last Lease years) ending June 30.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1" w:name="page342"/>
    <w:bookmarkEnd w:id="341"/>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Floor Area of Premises</w:t>
      </w:r>
      <w:r>
        <w:rPr>
          <w:rFonts w:ascii="Arial" w:cs="Arial" w:eastAsia="Arial" w:hAnsi="Arial"/>
          <w:sz w:val="18"/>
          <w:szCs w:val="18"/>
          <w:color w:val="auto"/>
        </w:rPr>
        <w:t>: approximately 44,820 rentable square feet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Floor Area of Building</w:t>
      </w:r>
      <w:r>
        <w:rPr>
          <w:rFonts w:ascii="Arial" w:cs="Arial" w:eastAsia="Arial" w:hAnsi="Arial"/>
          <w:sz w:val="22"/>
          <w:szCs w:val="22"/>
          <w:color w:val="auto"/>
        </w:rPr>
        <w:t>: approximately 44,820 rentable square feet</w:t>
      </w:r>
    </w:p>
    <w:p>
      <w:pPr>
        <w:spacing w:after="0" w:line="242"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$175,000.00</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Irvine Realty Company (“</w:t>
      </w:r>
      <w:r>
        <w:rPr>
          <w:rFonts w:ascii="Arial" w:cs="Arial" w:eastAsia="Arial" w:hAnsi="Arial"/>
          <w:sz w:val="17"/>
          <w:szCs w:val="17"/>
          <w:b w:val="1"/>
          <w:bCs w:val="1"/>
          <w:i w:val="1"/>
          <w:iCs w:val="1"/>
          <w:color w:val="auto"/>
        </w:rPr>
        <w:t>Landlord’s Broker</w:t>
      </w:r>
      <w:r>
        <w:rPr>
          <w:rFonts w:ascii="Arial" w:cs="Arial" w:eastAsia="Arial" w:hAnsi="Arial"/>
          <w:sz w:val="17"/>
          <w:szCs w:val="17"/>
          <w:color w:val="auto"/>
        </w:rPr>
        <w:t>”) and Travers Realty Corporation of Orange County. Inc. (“</w:t>
      </w:r>
      <w:r>
        <w:rPr>
          <w:rFonts w:ascii="Arial" w:cs="Arial" w:eastAsia="Arial" w:hAnsi="Arial"/>
          <w:sz w:val="17"/>
          <w:szCs w:val="17"/>
          <w:b w:val="1"/>
          <w:bCs w:val="1"/>
          <w:i w:val="1"/>
          <w:iCs w:val="1"/>
          <w:color w:val="auto"/>
        </w:rPr>
        <w:t>Tenant’s Broker</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b w:val="1"/>
          <w:bCs w:val="1"/>
          <w:color w:val="auto"/>
        </w:rPr>
        <w:t>Parking</w:t>
      </w:r>
      <w:r>
        <w:rPr>
          <w:rFonts w:ascii="Arial" w:cs="Arial" w:eastAsia="Arial" w:hAnsi="Arial"/>
          <w:sz w:val="17"/>
          <w:szCs w:val="17"/>
          <w:color w:val="auto"/>
        </w:rPr>
        <w:t>: 202 parking spaces, together with the “</w:t>
      </w:r>
      <w:r>
        <w:rPr>
          <w:rFonts w:ascii="Arial" w:cs="Arial" w:eastAsia="Arial" w:hAnsi="Arial"/>
          <w:sz w:val="17"/>
          <w:szCs w:val="17"/>
          <w:b w:val="1"/>
          <w:bCs w:val="1"/>
          <w:i w:val="1"/>
          <w:iCs w:val="1"/>
          <w:color w:val="auto"/>
        </w:rPr>
        <w:t>Additional Parking</w:t>
      </w:r>
      <w:r>
        <w:rPr>
          <w:rFonts w:ascii="Arial" w:cs="Arial" w:eastAsia="Arial" w:hAnsi="Arial"/>
          <w:sz w:val="17"/>
          <w:szCs w:val="17"/>
          <w:color w:val="auto"/>
        </w:rPr>
        <w:t>”, in accordance with the provisions set forth in Exhibit F to this Lease.</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Address for Payments and Notices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3260" w:type="dxa"/>
            <w:vAlign w:val="bottom"/>
          </w:tcPr>
          <w:p>
            <w:pPr>
              <w:ind w:left="960"/>
              <w:spacing w:after="0"/>
              <w:rPr>
                <w:sz w:val="20"/>
                <w:szCs w:val="20"/>
                <w:color w:val="auto"/>
              </w:rPr>
            </w:pPr>
            <w:r>
              <w:rPr>
                <w:rFonts w:ascii="Arial" w:cs="Arial" w:eastAsia="Arial" w:hAnsi="Arial"/>
                <w:sz w:val="18"/>
                <w:szCs w:val="18"/>
                <w:b w:val="1"/>
                <w:bCs w:val="1"/>
                <w:color w:val="auto"/>
              </w:rPr>
              <w:t>TENANT</w:t>
            </w:r>
          </w:p>
        </w:tc>
      </w:tr>
      <w:tr>
        <w:trPr>
          <w:trHeight w:val="418"/>
        </w:trPr>
        <w:tc>
          <w:tcPr>
            <w:tcW w:w="4660" w:type="dxa"/>
            <w:vAlign w:val="bottom"/>
            <w:gridSpan w:val="2"/>
          </w:tcPr>
          <w:p>
            <w:pPr>
              <w:spacing w:after="0"/>
              <w:rPr>
                <w:sz w:val="20"/>
                <w:szCs w:val="20"/>
                <w:color w:val="auto"/>
              </w:rPr>
            </w:pPr>
            <w:r>
              <w:rPr>
                <w:rFonts w:ascii="Arial" w:cs="Arial" w:eastAsia="Arial" w:hAnsi="Arial"/>
                <w:sz w:val="18"/>
                <w:szCs w:val="18"/>
                <w:color w:val="auto"/>
              </w:rPr>
              <w:t>Payment Address:</w:t>
            </w:r>
          </w:p>
        </w:tc>
        <w:tc>
          <w:tcPr>
            <w:tcW w:w="3260" w:type="dxa"/>
            <w:vAlign w:val="bottom"/>
          </w:tcPr>
          <w:p>
            <w:pPr>
              <w:spacing w:after="0"/>
              <w:rPr>
                <w:sz w:val="24"/>
                <w:szCs w:val="24"/>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THE IRVINE COMPANY LLC</w:t>
            </w:r>
          </w:p>
        </w:tc>
        <w:tc>
          <w:tcPr>
            <w:tcW w:w="3260" w:type="dxa"/>
            <w:vAlign w:val="bottom"/>
          </w:tcPr>
          <w:p>
            <w:pPr>
              <w:ind w:left="960"/>
              <w:spacing w:after="0"/>
              <w:rPr>
                <w:sz w:val="20"/>
                <w:szCs w:val="20"/>
                <w:color w:val="auto"/>
              </w:rPr>
            </w:pPr>
            <w:r>
              <w:rPr>
                <w:rFonts w:ascii="Arial" w:cs="Arial" w:eastAsia="Arial" w:hAnsi="Arial"/>
                <w:sz w:val="18"/>
                <w:szCs w:val="18"/>
                <w:color w:val="auto"/>
                <w:w w:val="94"/>
              </w:rPr>
              <w:t>GHOST MEDIA GROUP, LLC</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Department #1211</w:t>
            </w:r>
          </w:p>
        </w:tc>
        <w:tc>
          <w:tcPr>
            <w:tcW w:w="3260" w:type="dxa"/>
            <w:vAlign w:val="bottom"/>
          </w:tcPr>
          <w:p>
            <w:pPr>
              <w:ind w:left="960"/>
              <w:spacing w:after="0"/>
              <w:rPr>
                <w:sz w:val="20"/>
                <w:szCs w:val="20"/>
                <w:color w:val="auto"/>
              </w:rPr>
            </w:pPr>
            <w:r>
              <w:rPr>
                <w:rFonts w:ascii="Arial" w:cs="Arial" w:eastAsia="Arial" w:hAnsi="Arial"/>
                <w:sz w:val="18"/>
                <w:szCs w:val="18"/>
                <w:color w:val="auto"/>
              </w:rPr>
              <w:t>41 Discovery, 100</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Los Angeles, CA 90084-1211</w:t>
            </w:r>
          </w:p>
        </w:tc>
        <w:tc>
          <w:tcPr>
            <w:tcW w:w="3260" w:type="dxa"/>
            <w:vAlign w:val="bottom"/>
          </w:tcPr>
          <w:p>
            <w:pPr>
              <w:ind w:left="960"/>
              <w:spacing w:after="0"/>
              <w:rPr>
                <w:sz w:val="20"/>
                <w:szCs w:val="20"/>
                <w:color w:val="auto"/>
              </w:rPr>
            </w:pPr>
            <w:r>
              <w:rPr>
                <w:rFonts w:ascii="Arial" w:cs="Arial" w:eastAsia="Arial" w:hAnsi="Arial"/>
                <w:sz w:val="18"/>
                <w:szCs w:val="18"/>
                <w:color w:val="auto"/>
              </w:rPr>
              <w:t>Irvine, CA 92618</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Notice Address:</w:t>
            </w:r>
          </w:p>
        </w:tc>
        <w:tc>
          <w:tcPr>
            <w:tcW w:w="3260" w:type="dxa"/>
            <w:vAlign w:val="bottom"/>
          </w:tcPr>
          <w:p>
            <w:pPr>
              <w:spacing w:after="0"/>
              <w:rPr>
                <w:sz w:val="24"/>
                <w:szCs w:val="24"/>
                <w:color w:val="auto"/>
              </w:rPr>
            </w:pPr>
          </w:p>
        </w:tc>
      </w:tr>
      <w:tr>
        <w:trPr>
          <w:trHeight w:val="418"/>
        </w:trPr>
        <w:tc>
          <w:tcPr>
            <w:tcW w:w="4660" w:type="dxa"/>
            <w:vAlign w:val="bottom"/>
            <w:gridSpan w:val="2"/>
          </w:tcPr>
          <w:p>
            <w:pPr>
              <w:spacing w:after="0"/>
              <w:rPr>
                <w:sz w:val="20"/>
                <w:szCs w:val="20"/>
                <w:color w:val="auto"/>
              </w:rPr>
            </w:pPr>
            <w:r>
              <w:rPr>
                <w:rFonts w:ascii="Arial" w:cs="Arial" w:eastAsia="Arial" w:hAnsi="Arial"/>
                <w:sz w:val="18"/>
                <w:szCs w:val="18"/>
                <w:color w:val="auto"/>
              </w:rPr>
              <w:t>THE IRVINE COMPANY LLC</w:t>
            </w:r>
          </w:p>
        </w:tc>
        <w:tc>
          <w:tcPr>
            <w:tcW w:w="3260" w:type="dxa"/>
            <w:vAlign w:val="bottom"/>
          </w:tcPr>
          <w:p>
            <w:pPr>
              <w:spacing w:after="0"/>
              <w:rPr>
                <w:sz w:val="24"/>
                <w:szCs w:val="24"/>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550 Newport Center Drive</w:t>
            </w:r>
          </w:p>
        </w:tc>
        <w:tc>
          <w:tcPr>
            <w:tcW w:w="326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Newport Beach, CA 92660</w:t>
            </w:r>
          </w:p>
        </w:tc>
        <w:tc>
          <w:tcPr>
            <w:tcW w:w="326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Attn:</w:t>
            </w:r>
          </w:p>
        </w:tc>
        <w:tc>
          <w:tcPr>
            <w:tcW w:w="4160" w:type="dxa"/>
            <w:vAlign w:val="bottom"/>
          </w:tcPr>
          <w:p>
            <w:pPr>
              <w:ind w:left="100"/>
              <w:spacing w:after="0"/>
              <w:rPr>
                <w:sz w:val="20"/>
                <w:szCs w:val="20"/>
                <w:color w:val="auto"/>
              </w:rPr>
            </w:pPr>
            <w:r>
              <w:rPr>
                <w:rFonts w:ascii="Arial" w:cs="Arial" w:eastAsia="Arial" w:hAnsi="Arial"/>
                <w:sz w:val="18"/>
                <w:szCs w:val="18"/>
                <w:color w:val="auto"/>
              </w:rPr>
              <w:t>Senior Vice President, Property Operations</w:t>
            </w:r>
          </w:p>
        </w:tc>
        <w:tc>
          <w:tcPr>
            <w:tcW w:w="3260" w:type="dxa"/>
            <w:vAlign w:val="bottom"/>
          </w:tcPr>
          <w:p>
            <w:pPr>
              <w:spacing w:after="0"/>
              <w:rPr>
                <w:sz w:val="18"/>
                <w:szCs w:val="18"/>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Irvine Office Properties</w:t>
            </w:r>
          </w:p>
        </w:tc>
        <w:tc>
          <w:tcPr>
            <w:tcW w:w="3260" w:type="dxa"/>
            <w:vAlign w:val="bottom"/>
          </w:tcPr>
          <w:p>
            <w:pPr>
              <w:spacing w:after="0"/>
              <w:rPr>
                <w:sz w:val="20"/>
                <w:szCs w:val="20"/>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with a copy of notices to:</w:t>
            </w:r>
          </w:p>
        </w:tc>
        <w:tc>
          <w:tcPr>
            <w:tcW w:w="3260" w:type="dxa"/>
            <w:vAlign w:val="bottom"/>
          </w:tcPr>
          <w:p>
            <w:pPr>
              <w:spacing w:after="0"/>
              <w:rPr>
                <w:sz w:val="24"/>
                <w:szCs w:val="24"/>
                <w:color w:val="auto"/>
              </w:rPr>
            </w:pPr>
          </w:p>
        </w:tc>
      </w:tr>
      <w:tr>
        <w:trPr>
          <w:trHeight w:val="418"/>
        </w:trPr>
        <w:tc>
          <w:tcPr>
            <w:tcW w:w="4660" w:type="dxa"/>
            <w:vAlign w:val="bottom"/>
            <w:gridSpan w:val="2"/>
          </w:tcPr>
          <w:p>
            <w:pPr>
              <w:spacing w:after="0"/>
              <w:rPr>
                <w:sz w:val="20"/>
                <w:szCs w:val="20"/>
                <w:color w:val="auto"/>
              </w:rPr>
            </w:pPr>
            <w:r>
              <w:rPr>
                <w:rFonts w:ascii="Arial" w:cs="Arial" w:eastAsia="Arial" w:hAnsi="Arial"/>
                <w:sz w:val="18"/>
                <w:szCs w:val="18"/>
                <w:color w:val="auto"/>
              </w:rPr>
              <w:t>The Irvine Company LLC</w:t>
            </w:r>
          </w:p>
        </w:tc>
        <w:tc>
          <w:tcPr>
            <w:tcW w:w="3260" w:type="dxa"/>
            <w:vAlign w:val="bottom"/>
          </w:tcPr>
          <w:p>
            <w:pPr>
              <w:spacing w:after="0"/>
              <w:rPr>
                <w:sz w:val="24"/>
                <w:szCs w:val="24"/>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550 Newport Center Drive</w:t>
            </w:r>
          </w:p>
        </w:tc>
        <w:tc>
          <w:tcPr>
            <w:tcW w:w="326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Newport Beach, CA, 92660</w:t>
            </w:r>
          </w:p>
        </w:tc>
        <w:tc>
          <w:tcPr>
            <w:tcW w:w="32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Attn:</w:t>
            </w:r>
          </w:p>
        </w:tc>
        <w:tc>
          <w:tcPr>
            <w:tcW w:w="4160" w:type="dxa"/>
            <w:vAlign w:val="bottom"/>
          </w:tcPr>
          <w:p>
            <w:pPr>
              <w:ind w:left="100"/>
              <w:spacing w:after="0"/>
              <w:rPr>
                <w:sz w:val="20"/>
                <w:szCs w:val="20"/>
                <w:color w:val="auto"/>
              </w:rPr>
            </w:pPr>
            <w:r>
              <w:rPr>
                <w:rFonts w:ascii="Arial" w:cs="Arial" w:eastAsia="Arial" w:hAnsi="Arial"/>
                <w:sz w:val="18"/>
                <w:szCs w:val="18"/>
                <w:color w:val="auto"/>
              </w:rPr>
              <w:t>Senior Vice President, Property Operations</w:t>
            </w:r>
          </w:p>
        </w:tc>
        <w:tc>
          <w:tcPr>
            <w:tcW w:w="32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Irvine Office Properties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LIST OF LEASE EXHIBITS </w:t>
      </w:r>
      <w:r>
        <w:rPr>
          <w:rFonts w:ascii="Arial" w:cs="Arial" w:eastAsia="Arial" w:hAnsi="Arial"/>
          <w:sz w:val="22"/>
          <w:szCs w:val="22"/>
          <w:color w:val="auto"/>
        </w:rPr>
        <w:t>(All exhibits, riders and addenda attached to this Lease are hereby incorporated into and made a</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this Lease):</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Exhibit A Exhibit B Exhibit C Exhibit D Exhibit E Exhibit F Exhibit G Exhibit H Exhibit I Exhibit J Exhibit X Exhibit 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Utilities and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Tenant’s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Hazardous Materials Disclosure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[Intentionally Deleted]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Survey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Description</w:t>
      </w:r>
    </w:p>
    <w:p>
      <w:pPr>
        <w:spacing w:after="0" w:line="231" w:lineRule="exact"/>
        <w:rPr>
          <w:sz w:val="20"/>
          <w:szCs w:val="20"/>
          <w:color w:val="auto"/>
        </w:rPr>
      </w:pPr>
    </w:p>
    <w:p>
      <w:pPr>
        <w:sectPr>
          <w:pgSz w:w="11900" w:h="16838" w:orient="portrait"/>
          <w:cols w:equalWidth="0" w:num="2">
            <w:col w:w="720" w:space="640"/>
            <w:col w:w="9880"/>
          </w:cols>
          <w:pgMar w:left="320" w:top="121" w:right="3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2" w:name="page343"/>
    <w:bookmarkEnd w:id="342"/>
    <w:p>
      <w:pPr>
        <w:jc w:val="center"/>
        <w:spacing w:after="0"/>
        <w:rPr>
          <w:sz w:val="20"/>
          <w:szCs w:val="20"/>
          <w:color w:val="auto"/>
        </w:rPr>
      </w:pPr>
      <w:r>
        <w:rPr>
          <w:rFonts w:ascii="Arial" w:cs="Arial" w:eastAsia="Arial" w:hAnsi="Arial"/>
          <w:sz w:val="22"/>
          <w:szCs w:val="22"/>
          <w:b w:val="1"/>
          <w:bCs w:val="1"/>
          <w:color w:val="auto"/>
        </w:rPr>
        <w:t>ARTICLE 2. PREMISES</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2.1. L</w:t>
      </w:r>
      <w:r>
        <w:rPr>
          <w:rFonts w:ascii="Arial" w:cs="Arial" w:eastAsia="Arial" w:hAnsi="Arial"/>
          <w:sz w:val="13"/>
          <w:szCs w:val="13"/>
          <w:b w:val="1"/>
          <w:bCs w:val="1"/>
          <w:color w:val="auto"/>
        </w:rPr>
        <w:t>EASED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REMISES</w:t>
      </w:r>
      <w:r>
        <w:rPr>
          <w:rFonts w:ascii="Arial" w:cs="Arial" w:eastAsia="Arial" w:hAnsi="Arial"/>
          <w:sz w:val="20"/>
          <w:szCs w:val="20"/>
          <w:color w:val="auto"/>
        </w:rPr>
        <w:t>. Landlord leases to Tenant and Tenant leases from Landlord the Premises shown in 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i w:val="1"/>
          <w:iCs w:val="1"/>
          <w:color w:val="auto"/>
        </w:rPr>
        <w:t>Premises</w:t>
      </w:r>
      <w:r>
        <w:rPr>
          <w:rFonts w:ascii="Arial" w:cs="Arial" w:eastAsia="Arial" w:hAnsi="Arial"/>
          <w:sz w:val="20"/>
          <w:szCs w:val="20"/>
          <w:color w:val="auto"/>
        </w:rPr>
        <w:t>”), containing approximately the floor area set forth in Item 8 of the Basic Lease Provisions (the “</w:t>
      </w:r>
      <w:r>
        <w:rPr>
          <w:rFonts w:ascii="Arial" w:cs="Arial" w:eastAsia="Arial" w:hAnsi="Arial"/>
          <w:sz w:val="20"/>
          <w:szCs w:val="20"/>
          <w:b w:val="1"/>
          <w:bCs w:val="1"/>
          <w:i w:val="1"/>
          <w:iCs w:val="1"/>
          <w:color w:val="auto"/>
        </w:rPr>
        <w:t>Floor Area</w:t>
      </w:r>
      <w:r>
        <w:rPr>
          <w:rFonts w:ascii="Arial" w:cs="Arial" w:eastAsia="Arial" w:hAnsi="Arial"/>
          <w:sz w:val="20"/>
          <w:szCs w:val="20"/>
          <w:color w:val="auto"/>
        </w:rPr>
        <w:t>”). The Premises consist of all of the Floor Area of the building identified in Item 2 of the Basic Lease Provisions (the “</w:t>
      </w:r>
      <w:r>
        <w:rPr>
          <w:rFonts w:ascii="Arial" w:cs="Arial" w:eastAsia="Arial" w:hAnsi="Arial"/>
          <w:sz w:val="20"/>
          <w:szCs w:val="20"/>
          <w:b w:val="1"/>
          <w:bCs w:val="1"/>
          <w:i w:val="1"/>
          <w:iCs w:val="1"/>
          <w:color w:val="auto"/>
        </w:rPr>
        <w:t>Building</w:t>
      </w:r>
      <w:r>
        <w:rPr>
          <w:rFonts w:ascii="Arial" w:cs="Arial" w:eastAsia="Arial" w:hAnsi="Arial"/>
          <w:sz w:val="20"/>
          <w:szCs w:val="20"/>
          <w:color w:val="auto"/>
        </w:rPr>
        <w:t>”), which is a portion of the project described in Item 2 (the “</w:t>
      </w:r>
      <w:r>
        <w:rPr>
          <w:rFonts w:ascii="Arial" w:cs="Arial" w:eastAsia="Arial" w:hAnsi="Arial"/>
          <w:sz w:val="20"/>
          <w:szCs w:val="20"/>
          <w:b w:val="1"/>
          <w:bCs w:val="1"/>
          <w:i w:val="1"/>
          <w:iCs w:val="1"/>
          <w:color w:val="auto"/>
        </w:rPr>
        <w:t>Project</w:t>
      </w:r>
      <w:r>
        <w:rPr>
          <w:rFonts w:ascii="Arial" w:cs="Arial" w:eastAsia="Arial" w:hAnsi="Arial"/>
          <w:sz w:val="20"/>
          <w:szCs w:val="20"/>
          <w:color w:val="auto"/>
        </w:rPr>
        <w:t>”). Landlord and Tenant stipulate and agree that the Floor Area of Premises set forth in Item 8 of the Basic Lease Provisions is correct.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2.2. A</w:t>
      </w:r>
      <w:r>
        <w:rPr>
          <w:rFonts w:ascii="Arial" w:cs="Arial" w:eastAsia="Arial" w:hAnsi="Arial"/>
          <w:sz w:val="13"/>
          <w:szCs w:val="13"/>
          <w:b w:val="1"/>
          <w:bCs w:val="1"/>
          <w:color w:val="auto"/>
        </w:rPr>
        <w:t>CCEPTANCE OF</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REMISES</w:t>
      </w:r>
      <w:r>
        <w:rPr>
          <w:rFonts w:ascii="Arial" w:cs="Arial" w:eastAsia="Arial" w:hAnsi="Arial"/>
          <w:sz w:val="19"/>
          <w:szCs w:val="19"/>
          <w:color w:val="auto"/>
        </w:rPr>
        <w:t>. Tenant acknowledges that neither Landlord nor any representative of Landlord has</w:t>
      </w:r>
      <w:r>
        <w:rPr>
          <w:rFonts w:ascii="Arial" w:cs="Arial" w:eastAsia="Arial" w:hAnsi="Arial"/>
          <w:sz w:val="19"/>
          <w:szCs w:val="19"/>
          <w:b w:val="1"/>
          <w:bCs w:val="1"/>
          <w:color w:val="auto"/>
        </w:rPr>
        <w:t xml:space="preserve"> </w:t>
      </w:r>
      <w:r>
        <w:rPr>
          <w:rFonts w:ascii="Arial" w:cs="Arial" w:eastAsia="Arial" w:hAnsi="Arial"/>
          <w:sz w:val="19"/>
          <w:szCs w:val="19"/>
          <w:color w:val="auto"/>
        </w:rPr>
        <w:t>made any representation or warranty with respect to the Premises, the Building or the Project or the suitability or fitness of either for any purpose, except as expressly set forth in Section 3 of Exhibit G attached hereto and elsewhere in this Lease. Tenant acknowledges that the flooring materials which may be installed within portions of the Premises located on the ground floor of the Building may be limited by the moisture content of the Building slab and underlying soils. The taking of possession or use of the Premises by Tenant for any purpose other than construction shall conclusively establish that the Premises and the Building were in satisfactory condition and in conformity with the provisions of this Lease in all respects, except for those matters which Tenant shall have brought to Landlord’s attention on a written punch list. The punch list shall be limited to any items required to be accomplished by Landlord under the Work Letter (if any) attached as Exhibit X, and shall be delivered to Landlord within 30 days after the Commencement Date (as defined herein). If there is no Work Letter, or if no items are required of Landlord under the Work Letter, by taking possession of the Premises Tenant accepts the improvements in their existing condition, and waives any right or claim against Landlord arising out of the condition of the Premises. Nothing contained in this Section 2.2 shall affect the commencement of the Term or the obligation of Tenant to pay rent. Landlord shall diligently complete all punch list items of which it is notified as provided above, but in no event longer than thirty (30) days after receipt from Tenant.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TERM</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3.1. G</w:t>
      </w:r>
      <w:r>
        <w:rPr>
          <w:rFonts w:ascii="Arial" w:cs="Arial" w:eastAsia="Arial" w:hAnsi="Arial"/>
          <w:sz w:val="13"/>
          <w:szCs w:val="13"/>
          <w:b w:val="1"/>
          <w:bCs w:val="1"/>
          <w:color w:val="auto"/>
        </w:rPr>
        <w:t>ENERAL</w:t>
      </w:r>
      <w:r>
        <w:rPr>
          <w:rFonts w:ascii="Arial" w:cs="Arial" w:eastAsia="Arial" w:hAnsi="Arial"/>
          <w:sz w:val="19"/>
          <w:szCs w:val="19"/>
          <w:color w:val="auto"/>
        </w:rPr>
        <w:t>. The term of this Lease (“</w:t>
      </w:r>
      <w:r>
        <w:rPr>
          <w:rFonts w:ascii="Arial" w:cs="Arial" w:eastAsia="Arial" w:hAnsi="Arial"/>
          <w:sz w:val="19"/>
          <w:szCs w:val="19"/>
          <w:b w:val="1"/>
          <w:bCs w:val="1"/>
          <w:i w:val="1"/>
          <w:iCs w:val="1"/>
          <w:color w:val="auto"/>
        </w:rPr>
        <w:t>Term</w:t>
      </w:r>
      <w:r>
        <w:rPr>
          <w:rFonts w:ascii="Arial" w:cs="Arial" w:eastAsia="Arial" w:hAnsi="Arial"/>
          <w:sz w:val="19"/>
          <w:szCs w:val="19"/>
          <w:color w:val="auto"/>
        </w:rPr>
        <w:t>”) shall be for the period shown in Item 5 of the Basic Lease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shall commence (“</w:t>
      </w:r>
      <w:r>
        <w:rPr>
          <w:rFonts w:ascii="Arial" w:cs="Arial" w:eastAsia="Arial" w:hAnsi="Arial"/>
          <w:sz w:val="19"/>
          <w:szCs w:val="19"/>
          <w:b w:val="1"/>
          <w:bCs w:val="1"/>
          <w:i w:val="1"/>
          <w:iCs w:val="1"/>
          <w:color w:val="auto"/>
        </w:rPr>
        <w:t>Commencement Date</w:t>
      </w:r>
      <w:r>
        <w:rPr>
          <w:rFonts w:ascii="Arial" w:cs="Arial" w:eastAsia="Arial" w:hAnsi="Arial"/>
          <w:sz w:val="19"/>
          <w:szCs w:val="19"/>
          <w:color w:val="auto"/>
        </w:rPr>
        <w:t>”) on the earlier of (a) the date the Premises are deemed “ready for occupancy” (as hereinafter defined) and possession thereof is delivered to Tenant, but not sooner than February 1, 2014, or (b) the date Tenant commences its regular business activities within the Premises. Promptly following request by Landlord, the parties shall memorialize on a form provided by Landlord (the “</w:t>
      </w:r>
      <w:r>
        <w:rPr>
          <w:rFonts w:ascii="Arial" w:cs="Arial" w:eastAsia="Arial" w:hAnsi="Arial"/>
          <w:sz w:val="19"/>
          <w:szCs w:val="19"/>
          <w:b w:val="1"/>
          <w:bCs w:val="1"/>
          <w:i w:val="1"/>
          <w:iCs w:val="1"/>
          <w:color w:val="auto"/>
        </w:rPr>
        <w:t>Commencement Memorandum</w:t>
      </w:r>
      <w:r>
        <w:rPr>
          <w:rFonts w:ascii="Arial" w:cs="Arial" w:eastAsia="Arial" w:hAnsi="Arial"/>
          <w:sz w:val="19"/>
          <w:szCs w:val="19"/>
          <w:color w:val="auto"/>
        </w:rPr>
        <w:t>”) the actual Commencement Date and the expiration date (“</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of this Lease; should Tenant fail to execute and return the Commencement Memorandum to Landlord within 10 business days (or provide specific written objections thereto within that period), then Landlord’s determination of the Commencement and Expiration Dates as set forth in the Commencement Memorandum shall be conclusive. The Premises shall be deemed “ready for occupancy” when Landlord, to the extent applicable, has substantially completed all the work required to be completed by Landlord pursuant to the Work Letter (if any) attached to this Lease but for minor punch list matters, and has obtained the requisite governmental approvals for Tenant’s occupancy in connection with such work.</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3.2. D</w:t>
      </w:r>
      <w:r>
        <w:rPr>
          <w:rFonts w:ascii="Arial" w:cs="Arial" w:eastAsia="Arial" w:hAnsi="Arial"/>
          <w:sz w:val="13"/>
          <w:szCs w:val="13"/>
          <w:b w:val="1"/>
          <w:bCs w:val="1"/>
          <w:color w:val="auto"/>
        </w:rPr>
        <w:t>ELAY IN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OSSESSION</w:t>
      </w:r>
      <w:r>
        <w:rPr>
          <w:rFonts w:ascii="Arial" w:cs="Arial" w:eastAsia="Arial" w:hAnsi="Arial"/>
          <w:sz w:val="20"/>
          <w:szCs w:val="20"/>
          <w:color w:val="auto"/>
        </w:rPr>
        <w:t>. If Landlord, for any reason whatsoever, cannot deliver possession of the Premises to Tenant</w:t>
      </w:r>
      <w:r>
        <w:rPr>
          <w:rFonts w:ascii="Arial" w:cs="Arial" w:eastAsia="Arial" w:hAnsi="Arial"/>
          <w:sz w:val="20"/>
          <w:szCs w:val="20"/>
          <w:b w:val="1"/>
          <w:bCs w:val="1"/>
          <w:color w:val="auto"/>
        </w:rPr>
        <w:t xml:space="preserve"> </w:t>
      </w:r>
      <w:r>
        <w:rPr>
          <w:rFonts w:ascii="Arial" w:cs="Arial" w:eastAsia="Arial" w:hAnsi="Arial"/>
          <w:sz w:val="20"/>
          <w:szCs w:val="20"/>
          <w:color w:val="auto"/>
        </w:rPr>
        <w:t>on or before the Estimated Commencement Date set forth in Item 4 of the Basic Lease Provisions, this Lease shall not be void or voidable nor shall Landlord be liable to Tenant for any resulting loss or damage However, Tenant shall not be liable for any rent until the Commencement Date occurs as provided in Section 3.1 above, except that if Landlord’s failure to substantially complete all work required of Landlord pursuant to Section 3.1(i) above is attributable to any action or inaction by Tenant (including without limitation any Tenant Delay described in the Work Letter, if any, attached to this Lease), then the Premises shall be deemed ready for occupancy, and Landlord shall be entitled to full performance by Tenant (including the payment of rent), as of the date Landlord would have been able to substantially complete such work and deliver the Premises to Tenant but for Tenant’s delay(s).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22"/>
          <w:szCs w:val="22"/>
          <w:b w:val="1"/>
          <w:bCs w:val="1"/>
          <w:color w:val="auto"/>
        </w:rPr>
        <w:t>ARTICLE 4. RENT AND OPERATING EXPENSES</w:t>
      </w:r>
    </w:p>
    <w:p>
      <w:pPr>
        <w:spacing w:after="0" w:line="2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4.1. B</w:t>
      </w:r>
      <w:r>
        <w:rPr>
          <w:rFonts w:ascii="Arial" w:cs="Arial" w:eastAsia="Arial" w:hAnsi="Arial"/>
          <w:sz w:val="13"/>
          <w:szCs w:val="13"/>
          <w:b w:val="1"/>
          <w:bCs w:val="1"/>
          <w:color w:val="auto"/>
        </w:rPr>
        <w:t>ASIC</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ENT</w:t>
      </w:r>
      <w:r>
        <w:rPr>
          <w:rFonts w:ascii="Arial" w:cs="Arial" w:eastAsia="Arial" w:hAnsi="Arial"/>
          <w:sz w:val="20"/>
          <w:szCs w:val="20"/>
          <w:color w:val="auto"/>
        </w:rPr>
        <w:t>. From and after the Commencement Date, Tenant shall pay to Landlord without deduction or offset a</w:t>
      </w:r>
      <w:r>
        <w:rPr>
          <w:rFonts w:ascii="Arial" w:cs="Arial" w:eastAsia="Arial" w:hAnsi="Arial"/>
          <w:sz w:val="20"/>
          <w:szCs w:val="20"/>
          <w:b w:val="1"/>
          <w:bCs w:val="1"/>
          <w:color w:val="auto"/>
        </w:rPr>
        <w:t xml:space="preserve"> </w:t>
      </w:r>
      <w:r>
        <w:rPr>
          <w:rFonts w:ascii="Arial" w:cs="Arial" w:eastAsia="Arial" w:hAnsi="Arial"/>
          <w:sz w:val="20"/>
          <w:szCs w:val="20"/>
          <w:color w:val="auto"/>
        </w:rPr>
        <w:t>Basic Rent for the Premises in the total amount shown (including subsequent adjustments, if any) in Item 6 of the Basic Lease Provisions (the “</w:t>
      </w:r>
      <w:r>
        <w:rPr>
          <w:rFonts w:ascii="Arial" w:cs="Arial" w:eastAsia="Arial" w:hAnsi="Arial"/>
          <w:sz w:val="20"/>
          <w:szCs w:val="20"/>
          <w:b w:val="1"/>
          <w:bCs w:val="1"/>
          <w:i w:val="1"/>
          <w:iCs w:val="1"/>
          <w:color w:val="auto"/>
        </w:rPr>
        <w:t>Basic Rent</w:t>
      </w:r>
      <w:r>
        <w:rPr>
          <w:rFonts w:ascii="Arial" w:cs="Arial" w:eastAsia="Arial" w:hAnsi="Arial"/>
          <w:sz w:val="20"/>
          <w:szCs w:val="20"/>
          <w:color w:val="auto"/>
        </w:rPr>
        <w:t>”). if the Commencement Date is other than the first day of a calendar month, any rental adjustment shown In Item 6 shall be deemed to occur on the first day of the next calendar month following the specified monthly anniversary of the Commencement Date. The Basic Rent shall be due and payable in advance commencing on the Commencement Date and continuing thereafter on the first day of each successive calendar month of the Term, as prorated for any partial month. No demand, notice or invoice shall be required. An installment in the amount of 1 full month’s Basic Rent at the initial rate specified in Item 6 of the Basic Lease Provisions shall be delivered to Landlord concurrently with Tenant’s execution of this Lease and shall be applied against the Basic Rent first due hereunder; the next installment of Basic Rent shall be due on the first day of the second calendar month of the Term, which installment shall, if applicable, be appropriately prorated to reflect the amount prepaid for that calendar month.</w:t>
      </w:r>
    </w:p>
    <w:p>
      <w:pPr>
        <w:spacing w:after="0" w:line="19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0"/>
          <w:szCs w:val="20"/>
          <w:b w:val="1"/>
          <w:bCs w:val="1"/>
          <w:color w:val="auto"/>
        </w:rPr>
        <w:t>O</w:t>
      </w:r>
      <w:r>
        <w:rPr>
          <w:rFonts w:ascii="Arial" w:cs="Arial" w:eastAsia="Arial" w:hAnsi="Arial"/>
          <w:sz w:val="13"/>
          <w:szCs w:val="13"/>
          <w:b w:val="1"/>
          <w:bCs w:val="1"/>
          <w:color w:val="auto"/>
        </w:rPr>
        <w:t>PERATING</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XPENSES</w:t>
      </w:r>
      <w:r>
        <w:rPr>
          <w:rFonts w:ascii="Arial" w:cs="Arial" w:eastAsia="Arial" w:hAnsi="Arial"/>
          <w:sz w:val="20"/>
          <w:szCs w:val="20"/>
          <w:color w:val="auto"/>
        </w:rPr>
        <w:t>. Tenant shall pay Tenant’s Share of Operating Expenses in accordance with Exhibit B of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4.3. S</w:t>
      </w:r>
      <w:r>
        <w:rPr>
          <w:rFonts w:ascii="Arial" w:cs="Arial" w:eastAsia="Arial" w:hAnsi="Arial"/>
          <w:sz w:val="13"/>
          <w:szCs w:val="13"/>
          <w:b w:val="1"/>
          <w:bCs w:val="1"/>
          <w:color w:val="auto"/>
        </w:rPr>
        <w:t>ECURITY</w:t>
      </w:r>
      <w:r>
        <w:rPr>
          <w:rFonts w:ascii="Arial" w:cs="Arial" w:eastAsia="Arial" w:hAnsi="Arial"/>
          <w:sz w:val="19"/>
          <w:szCs w:val="19"/>
          <w:b w:val="1"/>
          <w:bCs w:val="1"/>
          <w:color w:val="auto"/>
        </w:rPr>
        <w:t xml:space="preserve"> D</w:t>
      </w:r>
      <w:r>
        <w:rPr>
          <w:rFonts w:ascii="Arial" w:cs="Arial" w:eastAsia="Arial" w:hAnsi="Arial"/>
          <w:sz w:val="13"/>
          <w:szCs w:val="13"/>
          <w:b w:val="1"/>
          <w:bCs w:val="1"/>
          <w:color w:val="auto"/>
        </w:rPr>
        <w:t>EPOSIT</w:t>
      </w:r>
      <w:r>
        <w:rPr>
          <w:rFonts w:ascii="Arial" w:cs="Arial" w:eastAsia="Arial" w:hAnsi="Arial"/>
          <w:sz w:val="19"/>
          <w:szCs w:val="19"/>
          <w:color w:val="auto"/>
        </w:rPr>
        <w:t>. Concurrently with Tenant’s delivery of this Lease, Tenant shall deposit with Landlord the sum,</w:t>
      </w:r>
      <w:r>
        <w:rPr>
          <w:rFonts w:ascii="Arial" w:cs="Arial" w:eastAsia="Arial" w:hAnsi="Arial"/>
          <w:sz w:val="19"/>
          <w:szCs w:val="19"/>
          <w:b w:val="1"/>
          <w:bCs w:val="1"/>
          <w:color w:val="auto"/>
        </w:rPr>
        <w:t xml:space="preserve"> </w:t>
      </w:r>
      <w:r>
        <w:rPr>
          <w:rFonts w:ascii="Arial" w:cs="Arial" w:eastAsia="Arial" w:hAnsi="Arial"/>
          <w:sz w:val="19"/>
          <w:szCs w:val="19"/>
          <w:color w:val="auto"/>
        </w:rPr>
        <w:t>if any, stated in Item 9 of the Basic Lease Provisions (the “</w:t>
      </w:r>
      <w:r>
        <w:rPr>
          <w:rFonts w:ascii="Arial" w:cs="Arial" w:eastAsia="Arial" w:hAnsi="Arial"/>
          <w:sz w:val="19"/>
          <w:szCs w:val="19"/>
          <w:b w:val="1"/>
          <w:bCs w:val="1"/>
          <w:i w:val="1"/>
          <w:iCs w:val="1"/>
          <w:color w:val="auto"/>
        </w:rPr>
        <w:t>Security Deposit</w:t>
      </w:r>
      <w:r>
        <w:rPr>
          <w:rFonts w:ascii="Arial" w:cs="Arial" w:eastAsia="Arial" w:hAnsi="Arial"/>
          <w:sz w:val="19"/>
          <w:szCs w:val="19"/>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Sections 7.1 and 15.2 or any other provision of this Lease. Upon any breach of the foregoing obligations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the Security Deposit separate from its general funds, and Tenant shall not be entitled to interest on the Security Deposit. In no event may Tenant utilize all or any portion of the Security Deposit as a payment toward any rental sum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 in connection with Landlord’s application of the Security Deposit to prospective rent that would have been payable by Tenant but for the early termination due to Tenant’s Default (as defined herein).</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Provided that no Default has occurred under any provision of this Lease at any time during the Term hereof, then upon the written request of Tenant given at any time following the expiration of the 30th full calendar month of the Term, Landlord shall return a portion of the Security Deposit in the amount of $104,991.00 to Tenant in the form of credit(s) against Rent next coming due under this Lease.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 USES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5.1. U</w:t>
      </w:r>
      <w:r>
        <w:rPr>
          <w:rFonts w:ascii="Arial" w:cs="Arial" w:eastAsia="Arial" w:hAnsi="Arial"/>
          <w:sz w:val="13"/>
          <w:szCs w:val="13"/>
          <w:b w:val="1"/>
          <w:bCs w:val="1"/>
          <w:color w:val="auto"/>
        </w:rPr>
        <w:t>SE</w:t>
      </w:r>
      <w:r>
        <w:rPr>
          <w:rFonts w:ascii="Arial" w:cs="Arial" w:eastAsia="Arial" w:hAnsi="Arial"/>
          <w:sz w:val="20"/>
          <w:szCs w:val="20"/>
          <w:color w:val="auto"/>
        </w:rPr>
        <w:t>. Tenant shall use the Premises only for the purposes stated in Item 3 of the Basic Lease Provisions and for no</w:t>
      </w:r>
      <w:r>
        <w:rPr>
          <w:rFonts w:ascii="Arial" w:cs="Arial" w:eastAsia="Arial" w:hAnsi="Arial"/>
          <w:sz w:val="20"/>
          <w:szCs w:val="20"/>
          <w:b w:val="1"/>
          <w:bCs w:val="1"/>
          <w:color w:val="auto"/>
        </w:rPr>
        <w:t xml:space="preserve"> </w:t>
      </w:r>
      <w:r>
        <w:rPr>
          <w:rFonts w:ascii="Arial" w:cs="Arial" w:eastAsia="Arial" w:hAnsi="Arial"/>
          <w:sz w:val="20"/>
          <w:szCs w:val="20"/>
          <w:color w:val="auto"/>
        </w:rPr>
        <w:t>other use whatsoever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or (iii) schools, temporary employment agencies or other training facilities which are not ancillary to corporate, executive or professional office use. Tenant shall not do or permit anything to be done in or about the Premises which will in any way interfere with the rights or quiet enjoyment of other occupants of the Building or the Project, or use or allow the Premises to be used for any unlawful purpose, nor shall Tenant permit any nuisance or commit any waste in the Premises or the Project. Tenant shall not perform any work or conduct any business whatsoever in the Project other than inside the Premises. Tenant shall comply at its expense with all present and future laws, ordinances and requirements of all governmental authorities that pertain to Tenant or its use of the Premises. As of the date of this Lease, there has been no inspection of the Building and Project by a Certified Access Specialist as referenced in Section 1938 of the California Civil Code.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4" w:name="page345"/>
    <w:bookmarkEnd w:id="344"/>
    <w:p>
      <w:pPr>
        <w:jc w:val="both"/>
        <w:ind w:firstLine="648"/>
        <w:spacing w:after="0" w:line="256" w:lineRule="auto"/>
        <w:rPr>
          <w:sz w:val="20"/>
          <w:szCs w:val="20"/>
          <w:color w:val="auto"/>
        </w:rPr>
      </w:pPr>
      <w:r>
        <w:rPr>
          <w:rFonts w:ascii="Arial" w:cs="Arial" w:eastAsia="Arial" w:hAnsi="Arial"/>
          <w:sz w:val="20"/>
          <w:szCs w:val="20"/>
          <w:b w:val="1"/>
          <w:bCs w:val="1"/>
          <w:color w:val="auto"/>
        </w:rPr>
        <w:t>5.2. S</w:t>
      </w:r>
      <w:r>
        <w:rPr>
          <w:rFonts w:ascii="Arial" w:cs="Arial" w:eastAsia="Arial" w:hAnsi="Arial"/>
          <w:sz w:val="13"/>
          <w:szCs w:val="13"/>
          <w:b w:val="1"/>
          <w:bCs w:val="1"/>
          <w:color w:val="auto"/>
        </w:rPr>
        <w:t>IGNS</w:t>
      </w:r>
      <w:r>
        <w:rPr>
          <w:rFonts w:ascii="Arial" w:cs="Arial" w:eastAsia="Arial" w:hAnsi="Arial"/>
          <w:sz w:val="20"/>
          <w:szCs w:val="20"/>
          <w:color w:val="auto"/>
        </w:rPr>
        <w:t>. Provided Tenant continues to occupy the entire Premises, Tenant shall have the exclusive right to 2</w:t>
      </w:r>
      <w:r>
        <w:rPr>
          <w:rFonts w:ascii="Arial" w:cs="Arial" w:eastAsia="Arial" w:hAnsi="Arial"/>
          <w:sz w:val="20"/>
          <w:szCs w:val="20"/>
          <w:b w:val="1"/>
          <w:bCs w:val="1"/>
          <w:color w:val="auto"/>
        </w:rPr>
        <w:t xml:space="preserve"> </w:t>
      </w:r>
      <w:r>
        <w:rPr>
          <w:rFonts w:ascii="Arial" w:cs="Arial" w:eastAsia="Arial" w:hAnsi="Arial"/>
          <w:sz w:val="20"/>
          <w:szCs w:val="20"/>
          <w:color w:val="auto"/>
        </w:rPr>
        <w:t>exterior “</w:t>
      </w:r>
      <w:r>
        <w:rPr>
          <w:rFonts w:ascii="Arial" w:cs="Arial" w:eastAsia="Arial" w:hAnsi="Arial"/>
          <w:sz w:val="20"/>
          <w:szCs w:val="20"/>
          <w:b w:val="1"/>
          <w:bCs w:val="1"/>
          <w:i w:val="1"/>
          <w:iCs w:val="1"/>
          <w:color w:val="auto"/>
        </w:rPr>
        <w:t>building top</w:t>
      </w:r>
      <w:r>
        <w:rPr>
          <w:rFonts w:ascii="Arial" w:cs="Arial" w:eastAsia="Arial" w:hAnsi="Arial"/>
          <w:sz w:val="20"/>
          <w:szCs w:val="20"/>
          <w:color w:val="auto"/>
        </w:rPr>
        <w:t>” signs on the Building for Tenant’s name and graphics in locations designated by Landlord, subject to Landlord’s right of prior approval that such exterior signage is in compliance with the Signage Criteria (defined below). Except as provided in the foregoing, and except for Landlord’s standard lobby directory and suite signage identifying Tenant’s name and/or logo, Tenant shall have no right to maintain signs in any location in, on or about the Premises, the Building or the Project and shall not place or erect any signs that are visible from the exterior of the Building. The size, design, graphics, material, style, color and other physical aspects of any permitted sign shall be subject to Landlords written determination, as determined reasonably by Landlord, prior to installation, that signage is in compliance with any covenants, conditions or restrictions encumbering the Premises and Landlord’s signage program for the Project, as in effect from time to time and approved by the City in which the Premises are located (“</w:t>
      </w:r>
      <w:r>
        <w:rPr>
          <w:rFonts w:ascii="Arial" w:cs="Arial" w:eastAsia="Arial" w:hAnsi="Arial"/>
          <w:sz w:val="20"/>
          <w:szCs w:val="20"/>
          <w:b w:val="1"/>
          <w:bCs w:val="1"/>
          <w:i w:val="1"/>
          <w:iCs w:val="1"/>
          <w:color w:val="auto"/>
        </w:rPr>
        <w:t>Signage Criteria</w:t>
      </w:r>
      <w:r>
        <w:rPr>
          <w:rFonts w:ascii="Arial" w:cs="Arial" w:eastAsia="Arial" w:hAnsi="Arial"/>
          <w:sz w:val="20"/>
          <w:szCs w:val="20"/>
          <w:color w:val="auto"/>
        </w:rPr>
        <w:t>”). Prior to placing or erecting any such signs, Tenant shall obtain and deliver to Landlord a copy of any applicable municipal or other governmental permits and approvals, except to Landlord’s standard suite signage. Tenant shall be responsible for all costs of any permitted sign, including, without limitation, the fabrication, installation, maintenance and removal thereof and the cost of any permits therefor, except that Landlord shall pay for the initial installation costs only of the standard lobby directory and suite signage. If Tenant fails to maintain its sign in good condition, or if Tenant fails to remove same upon termination of this Lease and repair and restore any damage caused by the sign or its removal, Landlord may do so at Tenant’s expense. Landlord shall have the right to temporarily remove any signs in connection with any repairs or maintenance in or upon the Building. The term “</w:t>
      </w:r>
      <w:r>
        <w:rPr>
          <w:rFonts w:ascii="Arial" w:cs="Arial" w:eastAsia="Arial" w:hAnsi="Arial"/>
          <w:sz w:val="20"/>
          <w:szCs w:val="20"/>
          <w:b w:val="1"/>
          <w:bCs w:val="1"/>
          <w:i w:val="1"/>
          <w:iCs w:val="1"/>
          <w:color w:val="auto"/>
        </w:rPr>
        <w:t>sign</w:t>
      </w:r>
      <w:r>
        <w:rPr>
          <w:rFonts w:ascii="Arial" w:cs="Arial" w:eastAsia="Arial" w:hAnsi="Arial"/>
          <w:sz w:val="20"/>
          <w:szCs w:val="20"/>
          <w:color w:val="auto"/>
        </w:rPr>
        <w:t>” as used in this Section shall include all signs, designs, monuments, displays, advertising materials, logos, banners, projected images, pennants, decals, pictures, notices, lettering, numerals or graphics. Tenant’s exterior signage rights under this Section 5.2 belong solely to Ghost Media Group, LLC, a Nevada limited liability company, and any attempted assignment or transfer of such rights shall be void and of no force and effect.</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b w:val="1"/>
          <w:bCs w:val="1"/>
          <w:color w:val="auto"/>
        </w:rPr>
        <w:t>5.3. H</w:t>
      </w:r>
      <w:r>
        <w:rPr>
          <w:rFonts w:ascii="Arial" w:cs="Arial" w:eastAsia="Arial" w:hAnsi="Arial"/>
          <w:sz w:val="13"/>
          <w:szCs w:val="13"/>
          <w:b w:val="1"/>
          <w:bCs w:val="1"/>
          <w:color w:val="auto"/>
        </w:rPr>
        <w:t>AZARDOUS</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ATERIALS</w:t>
      </w:r>
      <w:r>
        <w:rPr>
          <w:rFonts w:ascii="Arial" w:cs="Arial" w:eastAsia="Arial" w:hAnsi="Arial"/>
          <w:sz w:val="20"/>
          <w:szCs w:val="20"/>
          <w:color w:val="auto"/>
        </w:rPr>
        <w:t>. Tenant shall not generate, handle, store or dispose of hazardous or toxic materials (as</w:t>
      </w:r>
      <w:r>
        <w:rPr>
          <w:rFonts w:ascii="Arial" w:cs="Arial" w:eastAsia="Arial" w:hAnsi="Arial"/>
          <w:sz w:val="20"/>
          <w:szCs w:val="20"/>
          <w:b w:val="1"/>
          <w:bCs w:val="1"/>
          <w:color w:val="auto"/>
        </w:rPr>
        <w:t xml:space="preserve"> </w:t>
      </w:r>
      <w:r>
        <w:rPr>
          <w:rFonts w:ascii="Arial" w:cs="Arial" w:eastAsia="Arial" w:hAnsi="Arial"/>
          <w:sz w:val="20"/>
          <w:szCs w:val="20"/>
          <w:color w:val="auto"/>
        </w:rPr>
        <w:t>such materials may be identified in any federal, state or local law or regulation) in the Premises or Project without the prior written consent of Landlord; provided that the foregoing shall not be deemed to proscribe the use by Tenant of customary office supplies in normal quantities so long as such use comports with all applicable laws. Tenant acknowledges that it has read, understands and, if applicable, shall comply with the provisions of Exhibit H to this Lease, if that Exhibit is attached.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 LANDLORD SERVICES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6.1. U</w:t>
      </w:r>
      <w:r>
        <w:rPr>
          <w:rFonts w:ascii="Arial" w:cs="Arial" w:eastAsia="Arial" w:hAnsi="Arial"/>
          <w:sz w:val="13"/>
          <w:szCs w:val="13"/>
          <w:b w:val="1"/>
          <w:bCs w:val="1"/>
          <w:color w:val="auto"/>
        </w:rPr>
        <w:t>TILITIES</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19"/>
          <w:szCs w:val="19"/>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19"/>
          <w:szCs w:val="19"/>
          <w:color w:val="auto"/>
        </w:rPr>
        <w:t>. Landlord and Tenant shall be responsible to furnish those utilities and services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to the extent provided in Exhibit C, subject to the conditions and payment obligations and standards set forth in this Lease. Landlord shall not be liable for any failure to furnish any services or utilities when the failure is the result of any accident or other cause beyond Landlord’s reasonable control, nor shall Landlord be liable for damages resulting from power surges or any breakdown in telecommunications facilities or services. Landlord’s temporary inability to furnish any services or utilities shall not entitle Tenant to any damages, relieve Tenant of the obligation to pay rent or constitute a constructive or other eviction of Tenant, except that Landlord shall diligently attempt to restore the service or utility promptly However, if the Premises, or a material portion of the Premises, are made untenantable for a period in excess of 5 consecutive business days as a result of a service interruption that is reasonably within the control of Landlord to correct and through no fault of Tenant and for reasons other than as contemplated in Article 11, then Tenant, as its sole remedy, shall be entitled to receive an abatement of rent payable hereunder during the period beginning on the 6th consecutive business day of the service interruption and ending on the day the service has been restored. Tenant shall comply with all rules and regulations which Landlord may reasonably establish for the provision of services and utilities, and shall cooperate with all reasonable conservation practices established by Landlord. Landlord shall at all reasonable times have free access to all electrical and mechanical installations of Landlord.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5" w:name="page346"/>
    <w:bookmarkEnd w:id="345"/>
    <w:p>
      <w:pPr>
        <w:jc w:val="both"/>
        <w:ind w:firstLine="648"/>
        <w:spacing w:after="0" w:line="236" w:lineRule="auto"/>
        <w:rPr>
          <w:sz w:val="20"/>
          <w:szCs w:val="20"/>
          <w:color w:val="auto"/>
        </w:rPr>
      </w:pPr>
      <w:r>
        <w:rPr>
          <w:rFonts w:ascii="Arial" w:cs="Arial" w:eastAsia="Arial" w:hAnsi="Arial"/>
          <w:sz w:val="22"/>
          <w:szCs w:val="22"/>
          <w:b w:val="1"/>
          <w:bCs w:val="1"/>
          <w:color w:val="auto"/>
        </w:rPr>
        <w:t>6.2. O</w:t>
      </w:r>
      <w:r>
        <w:rPr>
          <w:rFonts w:ascii="Arial" w:cs="Arial" w:eastAsia="Arial" w:hAnsi="Arial"/>
          <w:sz w:val="14"/>
          <w:szCs w:val="14"/>
          <w:b w:val="1"/>
          <w:bCs w:val="1"/>
          <w:color w:val="auto"/>
        </w:rPr>
        <w:t>PERATION AND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AINTENANCE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REAS</w:t>
      </w:r>
      <w:r>
        <w:rPr>
          <w:rFonts w:ascii="Arial" w:cs="Arial" w:eastAsia="Arial" w:hAnsi="Arial"/>
          <w:sz w:val="22"/>
          <w:szCs w:val="22"/>
          <w:color w:val="auto"/>
        </w:rPr>
        <w:t>. During the Term, Landlord shall operate all Common Areas</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Building and the Project. The term “</w:t>
      </w:r>
      <w:r>
        <w:rPr>
          <w:rFonts w:ascii="Arial" w:cs="Arial" w:eastAsia="Arial" w:hAnsi="Arial"/>
          <w:sz w:val="22"/>
          <w:szCs w:val="22"/>
          <w:b w:val="1"/>
          <w:bCs w:val="1"/>
          <w:i w:val="1"/>
          <w:iCs w:val="1"/>
          <w:color w:val="auto"/>
        </w:rPr>
        <w:t>Common Areas</w:t>
      </w:r>
      <w:r>
        <w:rPr>
          <w:rFonts w:ascii="Arial" w:cs="Arial" w:eastAsia="Arial" w:hAnsi="Arial"/>
          <w:sz w:val="22"/>
          <w:szCs w:val="22"/>
          <w:color w:val="auto"/>
        </w:rPr>
        <w:t>” shall mean all areas within the Building and other buildings in the Project which are not held for exclusive use by persons entitled to occupy space, including without limitation parking areas and structures, driveways, sidewalks, landscaped and planted areas, hallways and interior stairwells not located within the premises of any tenant, common electrical rooms, entrances and lobbies, elevators, and restrooms not located within the premises of any tenant.</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6.3. U</w:t>
      </w:r>
      <w:r>
        <w:rPr>
          <w:rFonts w:ascii="Arial" w:cs="Arial" w:eastAsia="Arial" w:hAnsi="Arial"/>
          <w:sz w:val="13"/>
          <w:szCs w:val="13"/>
          <w:b w:val="1"/>
          <w:bCs w:val="1"/>
          <w:color w:val="auto"/>
        </w:rPr>
        <w:t>SE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OMMON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REAS</w:t>
      </w:r>
      <w:r>
        <w:rPr>
          <w:rFonts w:ascii="Arial" w:cs="Arial" w:eastAsia="Arial" w:hAnsi="Arial"/>
          <w:sz w:val="20"/>
          <w:szCs w:val="20"/>
          <w:color w:val="auto"/>
        </w:rPr>
        <w:t>. The occupancy by Tenant of the Premises shall include the use of the Common Areas in</w:t>
      </w:r>
      <w:r>
        <w:rPr>
          <w:rFonts w:ascii="Arial" w:cs="Arial" w:eastAsia="Arial" w:hAnsi="Arial"/>
          <w:sz w:val="20"/>
          <w:szCs w:val="20"/>
          <w:b w:val="1"/>
          <w:bCs w:val="1"/>
          <w:color w:val="auto"/>
        </w:rPr>
        <w:t xml:space="preserve"> </w:t>
      </w:r>
      <w:r>
        <w:rPr>
          <w:rFonts w:ascii="Arial" w:cs="Arial" w:eastAsia="Arial" w:hAnsi="Arial"/>
          <w:sz w:val="20"/>
          <w:szCs w:val="20"/>
          <w:color w:val="auto"/>
        </w:rPr>
        <w:t>common with Landlord and with all others for whose convenience and use the Common Areas may be provided by Landlord, subject, however, to compliance with Rules and Regulations described in Article 17 below. Landlord shall at all times during the Term have exclusive control of the Common Areas, and may restrain or permit any use or occupancy, except as otherwise provided in this Lease or in Landlord’s rules and regulations. Tenant shall keep the Common Areas clear of any obstruction or unauthorized use related to Tenant’s operations. Landlord may temporarily close any portion of the Common Areas for repairs, remodeling and/or alterations, to prevent a public dedication or the accrual of prescriptive rights, or for any other reasonable purpose. Landlord’s temporary closure of any portion of the Common Areas for such purposes shall not deprive Tenant of reasonable access to the Premises.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6.4. C</w:t>
      </w:r>
      <w:r>
        <w:rPr>
          <w:rFonts w:ascii="Arial" w:cs="Arial" w:eastAsia="Arial" w:hAnsi="Arial"/>
          <w:sz w:val="14"/>
          <w:szCs w:val="14"/>
          <w:b w:val="1"/>
          <w:bCs w:val="1"/>
          <w:color w:val="auto"/>
        </w:rPr>
        <w:t>HANGES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DDITIONS BY</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ANDLORD</w:t>
      </w:r>
      <w:r>
        <w:rPr>
          <w:rFonts w:ascii="Arial" w:cs="Arial" w:eastAsia="Arial" w:hAnsi="Arial"/>
          <w:sz w:val="22"/>
          <w:szCs w:val="22"/>
          <w:color w:val="auto"/>
        </w:rPr>
        <w:t>. Landlord reserves the right to make alterations or additions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Building or the Project or to the attendant fixtures, equipment and Common Areas, and such change shall not entitle Tenant to any abatement of rent or other claim against Landlord. No such change shall deprive Tenant of reasonable access to or use of the Premises.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REPAIRS AND MAINTENANCE</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7.1. T</w:t>
      </w:r>
      <w:r>
        <w:rPr>
          <w:rFonts w:ascii="Arial" w:cs="Arial" w:eastAsia="Arial" w:hAnsi="Arial"/>
          <w:sz w:val="13"/>
          <w:szCs w:val="13"/>
          <w:b w:val="1"/>
          <w:bCs w:val="1"/>
          <w:color w:val="auto"/>
        </w:rPr>
        <w:t>ENANT</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AINTENANCE AND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EPAIR</w:t>
      </w:r>
      <w:r>
        <w:rPr>
          <w:rFonts w:ascii="Arial" w:cs="Arial" w:eastAsia="Arial" w:hAnsi="Arial"/>
          <w:sz w:val="20"/>
          <w:szCs w:val="20"/>
          <w:color w:val="auto"/>
        </w:rPr>
        <w:t>. Subject to Articles 11 and 12, Tenant at its sole expense shall make all</w:t>
      </w:r>
      <w:r>
        <w:rPr>
          <w:rFonts w:ascii="Arial" w:cs="Arial" w:eastAsia="Arial" w:hAnsi="Arial"/>
          <w:sz w:val="20"/>
          <w:szCs w:val="20"/>
          <w:b w:val="1"/>
          <w:bCs w:val="1"/>
          <w:color w:val="auto"/>
        </w:rPr>
        <w:t xml:space="preserve"> </w:t>
      </w:r>
      <w:r>
        <w:rPr>
          <w:rFonts w:ascii="Arial" w:cs="Arial" w:eastAsia="Arial" w:hAnsi="Arial"/>
          <w:sz w:val="20"/>
          <w:szCs w:val="20"/>
          <w:color w:val="auto"/>
        </w:rPr>
        <w:t>repairs necessary to keep the Premises and all improvements and fixtures therein in good condition and repair, excepting ordinary wear and tear. Notwithstanding Section 7.2 below, Tenant’s maintenance obligation shall include without limitation all appliances, interior glass, doors, door closures, hardware, fixtures, electrical, plumbing, fire extinguisher equipment and other equipment installed in the Premises and all Alterations constructed by Tenant pursuant to Section 7.3 below, together with any supplemental HVAC equipment servicing only the Premises. All repairs and other work performed by Tenant or its contractors shall be subject to the terms of Sections 7.3 and 7.4 below. Alternatively, should Landlord or its management agent agree to make a repair on behalf of Tenant and at Tenant’s request, Tenant shall promptly reimburse Landlord as additional rent for all reasonable costs incurred (including the standard supervision fee) upon submission of an invoice.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7.2. L</w:t>
      </w:r>
      <w:r>
        <w:rPr>
          <w:rFonts w:ascii="Arial" w:cs="Arial" w:eastAsia="Arial" w:hAnsi="Arial"/>
          <w:sz w:val="13"/>
          <w:szCs w:val="13"/>
          <w:b w:val="1"/>
          <w:bCs w:val="1"/>
          <w:color w:val="auto"/>
        </w:rPr>
        <w:t>ANDLORD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AINTENANCE AND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EPAIR</w:t>
      </w:r>
      <w:r>
        <w:rPr>
          <w:rFonts w:ascii="Arial" w:cs="Arial" w:eastAsia="Arial" w:hAnsi="Arial"/>
          <w:sz w:val="20"/>
          <w:szCs w:val="20"/>
          <w:color w:val="auto"/>
        </w:rPr>
        <w:t>. Subject to Articles 11 and 12, Landlord shall provide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maintenance and repair with respect to the heating, ventilating and air conditioning (“</w:t>
      </w:r>
      <w:r>
        <w:rPr>
          <w:rFonts w:ascii="Arial" w:cs="Arial" w:eastAsia="Arial" w:hAnsi="Arial"/>
          <w:sz w:val="20"/>
          <w:szCs w:val="20"/>
          <w:b w:val="1"/>
          <w:bCs w:val="1"/>
          <w:i w:val="1"/>
          <w:iCs w:val="1"/>
          <w:color w:val="auto"/>
        </w:rPr>
        <w:t>HVAC</w:t>
      </w:r>
      <w:r>
        <w:rPr>
          <w:rFonts w:ascii="Arial" w:cs="Arial" w:eastAsia="Arial" w:hAnsi="Arial"/>
          <w:sz w:val="20"/>
          <w:szCs w:val="20"/>
          <w:color w:val="auto"/>
        </w:rPr>
        <w:t>”) equipment of the Building (exclusive of any supplemental HVAC equipment servicing only the Premises) and shall maintain in good repair the Common Areas, roof,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Landlord need not make any other improvements or repairs except as specifically required under this Lease, and nothing contained in this Section 7.2 shall limit Landlord’s right to reimbursement from Tenant for maintenance, repair costs and replacement costs as provided elsewhere in this Lease.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 shall any related activity by Landlord constitute an actual or constructive eviction; provided, however, that in making repairs, alterations or improvements, Landlord shall interfere as little as reasonably practicable with the conduct of Tenant’s business in the Premises. Tenant hereby waives any and all rights under and benefits of subsection 1 of Section 1932, and Sections 1941 and 1942 of the California Civil Code, or any similar or successor laws now or hereafter in effect.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6" w:name="page347"/>
    <w:bookmarkEnd w:id="346"/>
    <w:p>
      <w:pPr>
        <w:jc w:val="both"/>
        <w:ind w:firstLine="648"/>
        <w:spacing w:after="0" w:line="269" w:lineRule="auto"/>
        <w:rPr>
          <w:sz w:val="20"/>
          <w:szCs w:val="20"/>
          <w:color w:val="auto"/>
        </w:rPr>
      </w:pPr>
      <w:r>
        <w:rPr>
          <w:rFonts w:ascii="Arial" w:cs="Arial" w:eastAsia="Arial" w:hAnsi="Arial"/>
          <w:sz w:val="19"/>
          <w:szCs w:val="19"/>
          <w:b w:val="1"/>
          <w:bCs w:val="1"/>
          <w:color w:val="auto"/>
        </w:rPr>
        <w:t>7.3. A</w:t>
      </w:r>
      <w:r>
        <w:rPr>
          <w:rFonts w:ascii="Arial" w:cs="Arial" w:eastAsia="Arial" w:hAnsi="Arial"/>
          <w:sz w:val="13"/>
          <w:szCs w:val="13"/>
          <w:b w:val="1"/>
          <w:bCs w:val="1"/>
          <w:color w:val="auto"/>
        </w:rPr>
        <w:t>LTERATIONS</w:t>
      </w:r>
      <w:r>
        <w:rPr>
          <w:rFonts w:ascii="Arial" w:cs="Arial" w:eastAsia="Arial" w:hAnsi="Arial"/>
          <w:sz w:val="19"/>
          <w:szCs w:val="19"/>
          <w:color w:val="auto"/>
        </w:rPr>
        <w:t>. Except for cosmetic alterations and projects that do not exceed $150,000.00 during any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year of the Term, that do not require a permit from the City of Irvine and that satisfy the criteria in the next following sentence (which cosmetic work shall require notice to Landlord but not Landlord’s consent), Tenant shall make no alterations, additions, decorations, or improvements (collectively referred to as “</w:t>
      </w:r>
      <w:r>
        <w:rPr>
          <w:rFonts w:ascii="Arial" w:cs="Arial" w:eastAsia="Arial" w:hAnsi="Arial"/>
          <w:sz w:val="19"/>
          <w:szCs w:val="19"/>
          <w:b w:val="1"/>
          <w:bCs w:val="1"/>
          <w:i w:val="1"/>
          <w:iCs w:val="1"/>
          <w:color w:val="auto"/>
        </w:rPr>
        <w:t>Alterations</w:t>
      </w:r>
      <w:r>
        <w:rPr>
          <w:rFonts w:ascii="Arial" w:cs="Arial" w:eastAsia="Arial" w:hAnsi="Arial"/>
          <w:sz w:val="19"/>
          <w:szCs w:val="19"/>
          <w:color w:val="auto"/>
        </w:rPr>
        <w:t>”) to the Premises without the prior written consent of Landlord. Landlord’s consent shall not be unreasonably withheld as long as the proposed Alterations do not affect the structural, electrical or mechanical components or systems of the Building, are not visible from the exterior of the Premises, do not change the basic floor plan of the Premises, and utilize only Landlord’s building standard materials (“</w:t>
      </w:r>
      <w:r>
        <w:rPr>
          <w:rFonts w:ascii="Arial" w:cs="Arial" w:eastAsia="Arial" w:hAnsi="Arial"/>
          <w:sz w:val="19"/>
          <w:szCs w:val="19"/>
          <w:b w:val="1"/>
          <w:bCs w:val="1"/>
          <w:i w:val="1"/>
          <w:iCs w:val="1"/>
          <w:color w:val="auto"/>
        </w:rPr>
        <w:t>Standard Improvements</w:t>
      </w:r>
      <w:r>
        <w:rPr>
          <w:rFonts w:ascii="Arial" w:cs="Arial" w:eastAsia="Arial" w:hAnsi="Arial"/>
          <w:sz w:val="19"/>
          <w:szCs w:val="19"/>
          <w:color w:val="auto"/>
        </w:rPr>
        <w:t>”). Landlord may impose, as a condition to its consent, any requirements that Landlord in its discretion may deem reasonable or desirable. Without limiting the generality of the foregoing, Tenant shall use Landlord’s designated mechanical and electrical contractors for all Alterations work affecting the mechanical or electrical systems of the Building. Should Tenant perform any Alterations work that would necessitate any ancillary Building modification or other expenditure by Landlord, then Tenant shall promptly fund the cost thereof to Landlord. Tenant shall obtain all required permits for the Alterations and shall perform the work in compliance with all applicable laws, regulations and ordinances with contractors reasonably acceptable to Landlord, and except for cosmetic Alterations not requiring a permit, Landlord shall be entitled to a supervision fee in the amount of 5% of the cost of the Alterations Any request for Landlord’s consent shall be made in writing and shall contain architectural plans describing the work in detail reasonably satisfactory to Landlord. Landlord may elect to cause its architect to review Tenant’s architectural plans, and the reasonable cost of the review shall be reimbursed by Tenant. Should the Alterations proposed by Tenant and consented to by Landlord change the floor plan of the Premises, then Tenant shall, at its expense, furnish Landlord with as-built drawings and CAD disks compatible with Landlord’s systems. Alterations shall be constructed in a good and workmanlike manner using materials of a quality reasonably approved by Landlord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and shall be surrendered with the Premises at the end of the Term, except that Landlord may, by notice to Tenant given at least 30 days prior to the Expiration Date, require Tenant to remove by the Expiration Date, or sooner termination date of this Lease, all or any Alterations (including without limitation all telephone and data cabling) installed either by Tenant or by Landlord at Tenant’s request (collectively, the “</w:t>
      </w:r>
      <w:r>
        <w:rPr>
          <w:rFonts w:ascii="Arial" w:cs="Arial" w:eastAsia="Arial" w:hAnsi="Arial"/>
          <w:sz w:val="19"/>
          <w:szCs w:val="19"/>
          <w:b w:val="1"/>
          <w:bCs w:val="1"/>
          <w:i w:val="1"/>
          <w:iCs w:val="1"/>
          <w:color w:val="auto"/>
        </w:rPr>
        <w:t>Required Removables</w:t>
      </w:r>
      <w:r>
        <w:rPr>
          <w:rFonts w:ascii="Arial" w:cs="Arial" w:eastAsia="Arial" w:hAnsi="Arial"/>
          <w:sz w:val="19"/>
          <w:szCs w:val="19"/>
          <w:color w:val="auto"/>
        </w:rPr>
        <w:t>”), and to replace any non-Standard Improvements with the applicable Standard Improvements. Tenant, at the time it requests approval for a proposed Alteration, may request in writing that Landlord advise Tenant whether the Alteration or any portion thereof, is a Required Removable. Within 10 days after receipt of Tenant’s request, Landlord shall advise Tenant in writing as to which portions of the subject Alterations are Required Removables. In connection with its removal of Required Removables, Tenant shall repair any damage to the Premises arising from that removal and shall restore the affected area to its pre-existing condition, reasonable wear and tear excepted.</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7.4. M</w:t>
      </w:r>
      <w:r>
        <w:rPr>
          <w:rFonts w:ascii="Arial" w:cs="Arial" w:eastAsia="Arial" w:hAnsi="Arial"/>
          <w:sz w:val="13"/>
          <w:szCs w:val="13"/>
          <w:b w:val="1"/>
          <w:bCs w:val="1"/>
          <w:color w:val="auto"/>
        </w:rPr>
        <w:t>ECHANIC</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IENS</w:t>
      </w:r>
      <w:r>
        <w:rPr>
          <w:rFonts w:ascii="Arial" w:cs="Arial" w:eastAsia="Arial" w:hAnsi="Arial"/>
          <w:sz w:val="20"/>
          <w:szCs w:val="20"/>
          <w:color w:val="auto"/>
        </w:rPr>
        <w:t>. Tenant shall keep the Premises free from any liens arising out of any work performed,</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furnished, or obligations incurred by or for Tenant. Upon request by Landlord, Tenant shall promptly cause any such lien to be released by posting a bond in accordance with California Civil Code Section 8424 or any successor statute. In the event that Tenant shall not, within 15 days following the imposition of any lien, cause the lien to be released of record by payment or posting of a proper bond, Landlord shall have, in addition to all other available remedies, the right to cause the lien to be released by any means it deems proper, including payment of or defense against the claim giving rise to the lien. All expenses so incurred by Landlord, including Landlord’s attorneys’ fees, shall be reimbursed by Tenant promptly following Landlord’s demand, together with interest from the date of payment by Landlord at the maximum rate permitted by law until paid. Tenant shall give Landlord no less than 20 days’ prior notice in writing before commencing construction of any kind on the Premises.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7" w:name="page348"/>
    <w:bookmarkEnd w:id="347"/>
    <w:p>
      <w:pPr>
        <w:jc w:val="both"/>
        <w:ind w:firstLine="648"/>
        <w:spacing w:after="0" w:line="261" w:lineRule="auto"/>
        <w:rPr>
          <w:sz w:val="20"/>
          <w:szCs w:val="20"/>
          <w:color w:val="auto"/>
        </w:rPr>
      </w:pPr>
      <w:r>
        <w:rPr>
          <w:rFonts w:ascii="Arial" w:cs="Arial" w:eastAsia="Arial" w:hAnsi="Arial"/>
          <w:sz w:val="20"/>
          <w:szCs w:val="20"/>
          <w:b w:val="1"/>
          <w:bCs w:val="1"/>
          <w:color w:val="auto"/>
        </w:rPr>
        <w:t>7.5. E</w:t>
      </w:r>
      <w:r>
        <w:rPr>
          <w:rFonts w:ascii="Arial" w:cs="Arial" w:eastAsia="Arial" w:hAnsi="Arial"/>
          <w:sz w:val="13"/>
          <w:szCs w:val="13"/>
          <w:b w:val="1"/>
          <w:bCs w:val="1"/>
          <w:color w:val="auto"/>
        </w:rPr>
        <w:t>NTRY AND</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NSPECTION</w:t>
      </w:r>
      <w:r>
        <w:rPr>
          <w:rFonts w:ascii="Arial" w:cs="Arial" w:eastAsia="Arial" w:hAnsi="Arial"/>
          <w:sz w:val="20"/>
          <w:szCs w:val="20"/>
          <w:color w:val="auto"/>
        </w:rPr>
        <w:t>. Landlord shall at all reasonable times have the right to enter the Premises to inspect them,</w:t>
      </w:r>
      <w:r>
        <w:rPr>
          <w:rFonts w:ascii="Arial" w:cs="Arial" w:eastAsia="Arial" w:hAnsi="Arial"/>
          <w:sz w:val="20"/>
          <w:szCs w:val="20"/>
          <w:b w:val="1"/>
          <w:bCs w:val="1"/>
          <w:color w:val="auto"/>
        </w:rPr>
        <w:t xml:space="preserve"> </w:t>
      </w:r>
      <w:r>
        <w:rPr>
          <w:rFonts w:ascii="Arial" w:cs="Arial" w:eastAsia="Arial" w:hAnsi="Arial"/>
          <w:sz w:val="20"/>
          <w:szCs w:val="20"/>
          <w:color w:val="auto"/>
        </w:rPr>
        <w:t>to supply services in 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 If reasonably necessary, Landlord may temporarily close all or a portion of the Premises to perform repairs, alterations and additions. Except in emergencies or to provide Building services, Landlord shall provide Tenant with at least 24-hour prior verbal notice of entry and shall use reasonable efforts to minimize any interference with Tenant’s use of the Premises.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 [Intentionally Deleted]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 ASSIGNMENT AND SUBLETTING</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2"/>
          <w:szCs w:val="22"/>
          <w:b w:val="1"/>
          <w:bCs w:val="1"/>
          <w:color w:val="auto"/>
        </w:rPr>
        <w:t>R</w:t>
      </w:r>
      <w:r>
        <w:rPr>
          <w:rFonts w:ascii="Arial" w:cs="Arial" w:eastAsia="Arial" w:hAnsi="Arial"/>
          <w:sz w:val="14"/>
          <w:szCs w:val="14"/>
          <w:b w:val="1"/>
          <w:bCs w:val="1"/>
          <w:color w:val="auto"/>
        </w:rPr>
        <w:t>IGHTS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ARTIES</w:t>
      </w:r>
      <w:r>
        <w:rPr>
          <w:rFonts w:ascii="Arial" w:cs="Arial" w:eastAsia="Arial" w:hAnsi="Arial"/>
          <w:sz w:val="22"/>
          <w:szCs w:val="22"/>
          <w:color w:val="auto"/>
        </w:rPr>
        <w:t>.</w:t>
      </w:r>
    </w:p>
    <w:p>
      <w:pPr>
        <w:spacing w:after="0" w:line="239" w:lineRule="exact"/>
        <w:rPr>
          <w:sz w:val="20"/>
          <w:szCs w:val="20"/>
          <w:color w:val="auto"/>
        </w:rPr>
      </w:pPr>
    </w:p>
    <w:p>
      <w:pPr>
        <w:jc w:val="both"/>
        <w:ind w:firstLine="1304"/>
        <w:spacing w:after="0" w:line="275" w:lineRule="auto"/>
        <w:tabs>
          <w:tab w:leader="none" w:pos="2265" w:val="left"/>
        </w:tabs>
        <w:numPr>
          <w:ilvl w:val="0"/>
          <w:numId w:val="310"/>
        </w:numPr>
        <w:rPr>
          <w:rFonts w:ascii="Arial" w:cs="Arial" w:eastAsia="Arial" w:hAnsi="Arial"/>
          <w:sz w:val="19"/>
          <w:szCs w:val="19"/>
          <w:color w:val="auto"/>
        </w:rPr>
      </w:pPr>
      <w:r>
        <w:rPr>
          <w:rFonts w:ascii="Arial" w:cs="Arial" w:eastAsia="Arial" w:hAnsi="Arial"/>
          <w:sz w:val="19"/>
          <w:szCs w:val="19"/>
          <w:color w:val="auto"/>
        </w:rPr>
        <w:t>Except as otherwise specifically provided in this Article 9, Tenant may not, either voluntarily or by operation of law, assign, sublet, encumber, or otherwise transfer all or any part of Tenant’s interest in this Lease, or permit the Premises to be occupied by anyone other than Tenant (each, a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without Landlord’s prior written consent, which consent shall not unreasonably be withheld in accordance with the provisions of Section 9.1(b). For purposes of this Lease, references to any subletting, sublease or variation thereof shall be deemed to apply not only to a sublease effected directly by Tenant, but also to a sub-subletting or an assignment of subtenancy by a subtenant at any level. Except as otherwise specifically provided in this Article 9, no Transfer (whether voluntary, involuntary or by operation of law) shall be valid or effective without Landlord’s prior written consent and, at Landlord’s election, such a Transfer shall constitute a material default of this Lease.</w:t>
      </w:r>
    </w:p>
    <w:p>
      <w:pPr>
        <w:spacing w:after="0" w:line="184" w:lineRule="exact"/>
        <w:rPr>
          <w:rFonts w:ascii="Arial" w:cs="Arial" w:eastAsia="Arial" w:hAnsi="Arial"/>
          <w:sz w:val="19"/>
          <w:szCs w:val="19"/>
          <w:color w:val="auto"/>
        </w:rPr>
      </w:pPr>
    </w:p>
    <w:p>
      <w:pPr>
        <w:jc w:val="both"/>
        <w:ind w:firstLine="1304"/>
        <w:spacing w:after="0" w:line="269" w:lineRule="auto"/>
        <w:tabs>
          <w:tab w:leader="none" w:pos="2011" w:val="left"/>
        </w:tabs>
        <w:numPr>
          <w:ilvl w:val="0"/>
          <w:numId w:val="310"/>
        </w:numPr>
        <w:rPr>
          <w:rFonts w:ascii="Arial" w:cs="Arial" w:eastAsia="Arial" w:hAnsi="Arial"/>
          <w:sz w:val="19"/>
          <w:szCs w:val="19"/>
          <w:color w:val="auto"/>
        </w:rPr>
      </w:pPr>
      <w:r>
        <w:rPr>
          <w:rFonts w:ascii="Arial" w:cs="Arial" w:eastAsia="Arial" w:hAnsi="Arial"/>
          <w:sz w:val="19"/>
          <w:szCs w:val="19"/>
          <w:color w:val="auto"/>
        </w:rPr>
        <w:t>Except as otherwise specifically provided in this Article 9, if Tenant or any subtenant hereunder desires to transfer an interest in this Lease, Tenant shall first notify Landlord in writing and shall request Landlord’s consent thereto. Tenant shall also submit to Landlord in writing: (i) the name and address of the proposed transferee; (ii) the nature of any proposed subtenant’s or assignee’s business to be carried on in the Premises; (iii) the terms and provisions of any proposed sublease or assignment (including without limitation the rent and other economic provisions, term, improvement obligations and commencement date); (iv) evidence that the proposed assignee or subtenant will comply with the requirements of Exhibit D to this Lease; and (v) any other information requested by Landlord and reasonably related to the Transfer. Landlord shall not unreasonably withhold its consent, provided: (1) the use of the Premises will be consistent with the provisions of this Lease and with Landlord’s commitment to other tenants of the Building and Project; (2) any proposed subtenant or assignee demonstrates that it is financially responsible by submission to Landlord of all reasonable information as Landlord may request concerning the proposed subtenant or assignee, including, but not limited to, a balance sheet of the proposed subtenant or assignee as of a date within 90 days of the request for Landlord’s consent and statements of income or profit and loss of the proposed subtenant or assignee for the two-year period preceding the request for Landlord’s consent; (3) the proposed assignee or subtenant is neither an existing tenant or occupant of the Building or Project with whom Landlord has been “</w:t>
      </w:r>
      <w:r>
        <w:rPr>
          <w:rFonts w:ascii="Arial" w:cs="Arial" w:eastAsia="Arial" w:hAnsi="Arial"/>
          <w:sz w:val="19"/>
          <w:szCs w:val="19"/>
          <w:b w:val="1"/>
          <w:bCs w:val="1"/>
          <w:i w:val="1"/>
          <w:iCs w:val="1"/>
          <w:color w:val="auto"/>
        </w:rPr>
        <w:t>actively negotiating</w:t>
      </w:r>
      <w:r>
        <w:rPr>
          <w:rFonts w:ascii="Arial" w:cs="Arial" w:eastAsia="Arial" w:hAnsi="Arial"/>
          <w:sz w:val="19"/>
          <w:szCs w:val="19"/>
          <w:color w:val="auto"/>
        </w:rPr>
        <w:t>” (as hereinafter defined) to expand or relocate within the Building or Project nor a prospective tenant with whom Landlord or Landlord’s affiliate has been actively negotiating to become a tenant at the Building or Project; and (4) the proposed transferee is not an SDN (as defined below) and will not impose additional burdens or security risks on Landlord. If Landlord consents to the proposed Transfer, then the Transfer may be effected within 90 days after the date of the consent upon the terms described in the information furnished to Landlord; provided that any material change in the terms shall be subject to Landlord’s consent as set forth in this Section 9.1(b). Landlord shall approve or disapprove any requested Transfer within 30 days following receipt of Tenant’s written notice and the information set forth above. Except in connection with a Permitted Transfer (as defined below), if Landlord approves the Transfer Tenant shall pay a transfer fee of $750.00 to Landlord concurrently with Tenant’s execution of a Transfer consent prepared by Landlord. As used herein, “</w:t>
      </w:r>
      <w:r>
        <w:rPr>
          <w:rFonts w:ascii="Arial" w:cs="Arial" w:eastAsia="Arial" w:hAnsi="Arial"/>
          <w:sz w:val="19"/>
          <w:szCs w:val="19"/>
          <w:b w:val="1"/>
          <w:bCs w:val="1"/>
          <w:i w:val="1"/>
          <w:iCs w:val="1"/>
          <w:color w:val="auto"/>
        </w:rPr>
        <w:t>actively negotiating</w:t>
      </w:r>
      <w:r>
        <w:rPr>
          <w:rFonts w:ascii="Arial" w:cs="Arial" w:eastAsia="Arial" w:hAnsi="Arial"/>
          <w:sz w:val="19"/>
          <w:szCs w:val="19"/>
          <w:color w:val="auto"/>
        </w:rPr>
        <w:t>” shall mean that Landlord and the existing or prospective tenant have exchanged written communications concerning the leased space in the Building or the Project within 120 days prior to the date of Tenant’s request for Landlord’s consent.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8" w:name="page349"/>
    <w:bookmarkEnd w:id="348"/>
    <w:p>
      <w:pPr>
        <w:jc w:val="both"/>
        <w:ind w:firstLine="1304"/>
        <w:spacing w:after="0" w:line="235" w:lineRule="auto"/>
        <w:tabs>
          <w:tab w:leader="none" w:pos="223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Notwithstanding the provisions of Subsection (b) above, and except in connection with a “</w:t>
      </w:r>
      <w:r>
        <w:rPr>
          <w:rFonts w:ascii="Arial" w:cs="Arial" w:eastAsia="Arial" w:hAnsi="Arial"/>
          <w:sz w:val="22"/>
          <w:szCs w:val="22"/>
          <w:b w:val="1"/>
          <w:bCs w:val="1"/>
          <w:i w:val="1"/>
          <w:iCs w:val="1"/>
          <w:color w:val="auto"/>
        </w:rPr>
        <w:t>Permitted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(as defined below), in lieu of consenting to a proposed assignment of this Lease or to a proposed subletting of all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substantially all of the Premises for all or substantially all of the remainder of the Term, Landlord may elect to terminate this Lease in its entirety, such termination to be effective on the date that such proposed sublease or assignment would have commenced. Landlord may thereafter, at its option, assign or re-let any space so recaptured to any third party, including without limitation the proposed transferee identified by Tenant.</w:t>
      </w:r>
    </w:p>
    <w:p>
      <w:pPr>
        <w:spacing w:after="0" w:line="215" w:lineRule="exact"/>
        <w:rPr>
          <w:rFonts w:ascii="Arial" w:cs="Arial" w:eastAsia="Arial" w:hAnsi="Arial"/>
          <w:sz w:val="22"/>
          <w:szCs w:val="22"/>
          <w:color w:val="auto"/>
        </w:rPr>
      </w:pPr>
    </w:p>
    <w:p>
      <w:pPr>
        <w:jc w:val="both"/>
        <w:ind w:firstLine="1304"/>
        <w:spacing w:after="0" w:line="277" w:lineRule="auto"/>
        <w:tabs>
          <w:tab w:leader="none" w:pos="2074" w:val="left"/>
        </w:tabs>
        <w:numPr>
          <w:ilvl w:val="0"/>
          <w:numId w:val="311"/>
        </w:numPr>
        <w:rPr>
          <w:rFonts w:ascii="Arial" w:cs="Arial" w:eastAsia="Arial" w:hAnsi="Arial"/>
          <w:sz w:val="19"/>
          <w:szCs w:val="19"/>
          <w:color w:val="auto"/>
        </w:rPr>
      </w:pPr>
      <w:r>
        <w:rPr>
          <w:rFonts w:ascii="Arial" w:cs="Arial" w:eastAsia="Arial" w:hAnsi="Arial"/>
          <w:sz w:val="19"/>
          <w:szCs w:val="19"/>
          <w:color w:val="auto"/>
        </w:rPr>
        <w:t>Should any Transfer occur, Tenant shall, except in connection with a Permitted Transfer, promptly pay or cause to be paid to landlord, as additional rent, 50% of any amounts paid by the assignee or subtenant, however described and whether funded during or after the Lease Term, to the extent such amounts are in excess of the sum of (i) the scheduled Basic Rent payable by Tenant hereunder (or, in the event of a subletting of only a portion of the Premises, the Basic Rent allocable to such portion and (ii) the direct out-of-pocket costs, as evidenced by third party invoices provided to Landlord, incurred by Tenant to effect the Transfer (including, but not limited to, costs of tenant improvements, brokerage fees, moving allowances), which costs shall be amortized over the remaining Term of this Lease or, if shorter, over the term of the sublease.</w:t>
      </w:r>
    </w:p>
    <w:p>
      <w:pPr>
        <w:spacing w:after="0" w:line="178" w:lineRule="exact"/>
        <w:rPr>
          <w:rFonts w:ascii="Arial" w:cs="Arial" w:eastAsia="Arial" w:hAnsi="Arial"/>
          <w:sz w:val="19"/>
          <w:szCs w:val="19"/>
          <w:color w:val="auto"/>
        </w:rPr>
      </w:pPr>
    </w:p>
    <w:p>
      <w:pPr>
        <w:jc w:val="both"/>
        <w:ind w:firstLine="1304"/>
        <w:spacing w:after="0" w:line="271" w:lineRule="auto"/>
        <w:tabs>
          <w:tab w:leader="none" w:pos="2101" w:val="left"/>
        </w:tabs>
        <w:numPr>
          <w:ilvl w:val="0"/>
          <w:numId w:val="311"/>
        </w:numPr>
        <w:rPr>
          <w:rFonts w:ascii="Arial" w:cs="Arial" w:eastAsia="Arial" w:hAnsi="Arial"/>
          <w:sz w:val="19"/>
          <w:szCs w:val="19"/>
          <w:color w:val="auto"/>
        </w:rPr>
      </w:pPr>
      <w:r>
        <w:rPr>
          <w:rFonts w:ascii="Arial" w:cs="Arial" w:eastAsia="Arial" w:hAnsi="Arial"/>
          <w:sz w:val="19"/>
          <w:szCs w:val="19"/>
          <w:color w:val="auto"/>
        </w:rPr>
        <w:t>The sale of all or substantially all of the assets of Tenant (other than bulk sales in the ordinary course of business), the merger or consolidation of Tenant, the sale of Tenant’s capital stock, or any other direct or indirect change of control of Tenant, including, without limitation, change of control of Tenant’s parent company or a merger by Tenant or its parent company, shall be deemed a Transfer within the meaning and provisions of this Article. Notwithstanding the foregoing, Tenant may assign this Lease to a successor to Tenant by merger, consolidation or the purchase of substantially all of Tenant’s assets, or assign this Lease or sublet all or a portion of the Premises to an Affiliate (defined below), without the consent of Landlord but subject to the provisions of Section 9.2, provided that all of the following conditions are satisfied (a °Permitted Transfer”): (i) Tenant is not then in Default hereunder; (ii) Tenant gives Landlord written notice at least 10 business days before such Permitted Transfer; and (iii) the successor entity resulting from any merger or consolidation of Tenant or the sale of all or substantially all of the assets of Tenant, has a net worth (computed in accordance with generally accepted accounting principles, except that intangible assets such as goodwill, patents, copyrights, and trademarks shall be excluded in the calculation (“</w:t>
      </w:r>
      <w:r>
        <w:rPr>
          <w:rFonts w:ascii="Arial" w:cs="Arial" w:eastAsia="Arial" w:hAnsi="Arial"/>
          <w:sz w:val="19"/>
          <w:szCs w:val="19"/>
          <w:b w:val="1"/>
          <w:bCs w:val="1"/>
          <w:i w:val="1"/>
          <w:iCs w:val="1"/>
          <w:color w:val="auto"/>
        </w:rPr>
        <w:t>Net Worth</w:t>
      </w:r>
      <w:r>
        <w:rPr>
          <w:rFonts w:ascii="Arial" w:cs="Arial" w:eastAsia="Arial" w:hAnsi="Arial"/>
          <w:sz w:val="19"/>
          <w:szCs w:val="19"/>
          <w:color w:val="auto"/>
        </w:rPr>
        <w:t>”)) at the time of the Permitted Transfer that is at least equal to the Net Worth of Tenant immediately before the Permitted Transfer. Tenant’s notice to Landlord shall include reasonable information and documentation evidencing the Permitted Transfer and showing that each of the above conditions has been satisfied. If requested by Landlord, Tenant’s successor shall sign and deliver to Landlord a commercially reasonable form of assumption agreement. “Affiliate” shall mean an entity controlled by, controlling or under common control with Tenant.</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b w:val="1"/>
          <w:bCs w:val="1"/>
          <w:color w:val="auto"/>
        </w:rPr>
        <w:t>9.2. E</w:t>
      </w:r>
      <w:r>
        <w:rPr>
          <w:rFonts w:ascii="Arial" w:cs="Arial" w:eastAsia="Arial" w:hAnsi="Arial"/>
          <w:sz w:val="13"/>
          <w:szCs w:val="13"/>
          <w:b w:val="1"/>
          <w:bCs w:val="1"/>
          <w:color w:val="auto"/>
        </w:rPr>
        <w:t>FFECT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RANSFER</w:t>
      </w:r>
      <w:r>
        <w:rPr>
          <w:rFonts w:ascii="Arial" w:cs="Arial" w:eastAsia="Arial" w:hAnsi="Arial"/>
          <w:sz w:val="20"/>
          <w:szCs w:val="20"/>
          <w:color w:val="auto"/>
        </w:rPr>
        <w:t>. No subletting or assignment, even with the consent of Landlord, shall relieve Tenant, or any</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successor-in-interest to Tenant hereunder, of its obligation to pay rent and to perform all its other obligations under this Lease. Each assignee, other than Landlord, shall be deemed to assume all obligations of Tenant under this Lease and shall be liable jointly and severally with Tenant for the payment of all rent, and for the due performance of all of Tenant’s obligations, under this Lease. Such joint and several liability shall not be discharged or impaired by any subsequent modification or extension of this Lease. Consent by Landlord to one or more transfers shall not operate as a waiver or estoppel to the future enforcement by Landlord of its rights under this Lease.</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9.3. S</w:t>
      </w:r>
      <w:r>
        <w:rPr>
          <w:rFonts w:ascii="Arial" w:cs="Arial" w:eastAsia="Arial" w:hAnsi="Arial"/>
          <w:sz w:val="13"/>
          <w:szCs w:val="13"/>
          <w:b w:val="1"/>
          <w:bCs w:val="1"/>
          <w:color w:val="auto"/>
        </w:rPr>
        <w:t>UBLEASE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EQUIREMENTS</w:t>
      </w:r>
      <w:r>
        <w:rPr>
          <w:rFonts w:ascii="Arial" w:cs="Arial" w:eastAsia="Arial" w:hAnsi="Arial"/>
          <w:sz w:val="20"/>
          <w:szCs w:val="20"/>
          <w:color w:val="auto"/>
        </w:rPr>
        <w:t>. Any sublease, license, concession or other occupancy agreement entered into by Tenant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subordinate and subject to the provisions of this Lease, and if this Lease is terminated during the term of any such agreement, Landlord shall have the right to: (i) treat such agreement as cancelled and repossess the subject space by any lawful means, or (ii) require that such transferee attorn to and recognize Landlord as its landlord (or licensor, as applicable) under such agreement. Landlord shall not, by reason of such attornment or the collection of sublease rentals, be deemed liable to the subtenant for the performance of any of Tenant’s obligations under the sublease. If Tenant is in Default (hereinafter defined), Landlord is irrevocably authorized to direct any transferee under any such agreement to make all payments under such agreement directly to Landlord (which Landlord shall apply towards Tenant’s obligations under this Lease) until such Default is cured. No collection or acceptance of rent by Landlord from any transferee shall be deemed a waiver of any provision of Article 9 of this Lease, an approval of any transferee, or a release of Tenant from any obligation under this Lease, whenever accruing. In no event shall Landlord’s enforcement of any provision of this Lease against any transferee be deemed a waiver of Landlord’s right to enforce any term of this Lease against Tenant or any other person.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22"/>
          <w:szCs w:val="22"/>
          <w:b w:val="1"/>
          <w:bCs w:val="1"/>
          <w:color w:val="auto"/>
        </w:rPr>
        <w:t>ARTICLE 10. INSURANCE AND INDEMNITY</w:t>
      </w:r>
    </w:p>
    <w:p>
      <w:pPr>
        <w:spacing w:after="0" w:line="23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0"/>
          <w:szCs w:val="20"/>
          <w:b w:val="1"/>
          <w:bCs w:val="1"/>
          <w:color w:val="auto"/>
        </w:rPr>
        <w:t>10.1. T</w:t>
      </w:r>
      <w:r>
        <w:rPr>
          <w:rFonts w:ascii="Arial" w:cs="Arial" w:eastAsia="Arial" w:hAnsi="Arial"/>
          <w:sz w:val="13"/>
          <w:szCs w:val="13"/>
          <w:b w:val="1"/>
          <w:bCs w:val="1"/>
          <w:color w:val="auto"/>
        </w:rPr>
        <w:t>ENANT</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color w:val="auto"/>
        </w:rPr>
        <w:t>. Tenant, at its sole cost and expense, shall provide and maintain in effect the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Exhibit D. Evidence of that insurance must be delivered to Landlord prior to the Commencement Date.</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10.2. L</w:t>
      </w:r>
      <w:r>
        <w:rPr>
          <w:rFonts w:ascii="Arial" w:cs="Arial" w:eastAsia="Arial" w:hAnsi="Arial"/>
          <w:sz w:val="13"/>
          <w:szCs w:val="13"/>
          <w:b w:val="1"/>
          <w:bCs w:val="1"/>
          <w:color w:val="auto"/>
        </w:rPr>
        <w:t>ANDLORD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color w:val="auto"/>
        </w:rPr>
        <w:t>. Landlord shall provide the following types of insurance, with or without deductible and</w:t>
      </w:r>
      <w:r>
        <w:rPr>
          <w:rFonts w:ascii="Arial" w:cs="Arial" w:eastAsia="Arial" w:hAnsi="Arial"/>
          <w:sz w:val="20"/>
          <w:szCs w:val="20"/>
          <w:b w:val="1"/>
          <w:bCs w:val="1"/>
          <w:color w:val="auto"/>
        </w:rPr>
        <w:t xml:space="preserve"> </w:t>
      </w:r>
      <w:r>
        <w:rPr>
          <w:rFonts w:ascii="Arial" w:cs="Arial" w:eastAsia="Arial" w:hAnsi="Arial"/>
          <w:sz w:val="20"/>
          <w:szCs w:val="20"/>
          <w:color w:val="auto"/>
        </w:rPr>
        <w:t>in amounts and coverages as may be determined by Landlord in its discretion: property insurance, subject to standard exclusions (such as, but not limited to, earthquake and flood exclusions), covering the Building or Project. In addition, Landlord may, at its election, obtain insurance coverages for such other risks as Landlord or its Mortgagees may from time to time deem appropriate, including earthquake and commercial general liability coverage. Landlord shall not be required to carry insurance of any kind on any tenant improvements or Alterations in the Premises installed by Tenant or its contractors or otherwise removable by Tenant (collectively, “</w:t>
      </w:r>
      <w:r>
        <w:rPr>
          <w:rFonts w:ascii="Arial" w:cs="Arial" w:eastAsia="Arial" w:hAnsi="Arial"/>
          <w:sz w:val="20"/>
          <w:szCs w:val="20"/>
          <w:b w:val="1"/>
          <w:bCs w:val="1"/>
          <w:i w:val="1"/>
          <w:iCs w:val="1"/>
          <w:color w:val="auto"/>
        </w:rPr>
        <w:t>Tenant Installations</w:t>
      </w:r>
      <w:r>
        <w:rPr>
          <w:rFonts w:ascii="Arial" w:cs="Arial" w:eastAsia="Arial" w:hAnsi="Arial"/>
          <w:sz w:val="20"/>
          <w:szCs w:val="20"/>
          <w:color w:val="auto"/>
        </w:rPr>
        <w:t>”), or on any trade fixtures, furnishings, equipment, interior plate glass, signs or items of personal property in the Premises, and Landlord shall not be obligated to repair or replace any of the foregoing items should damage occur. All proceeds of insurance maintained by Landlord upon the Building and Project shall be the property of Landlord, whether or not Landlord is obligated to or elects to make any repairs.</w:t>
      </w:r>
    </w:p>
    <w:p>
      <w:pPr>
        <w:spacing w:after="0" w:line="1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10.3. T</w:t>
      </w:r>
      <w:r>
        <w:rPr>
          <w:rFonts w:ascii="Arial" w:cs="Arial" w:eastAsia="Arial" w:hAnsi="Arial"/>
          <w:sz w:val="13"/>
          <w:szCs w:val="13"/>
          <w:b w:val="1"/>
          <w:bCs w:val="1"/>
          <w:color w:val="auto"/>
        </w:rPr>
        <w:t>ENANT</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NDEMNITY</w:t>
      </w:r>
      <w:r>
        <w:rPr>
          <w:rFonts w:ascii="Arial" w:cs="Arial" w:eastAsia="Arial" w:hAnsi="Arial"/>
          <w:sz w:val="20"/>
          <w:szCs w:val="20"/>
          <w:color w:val="auto"/>
        </w:rPr>
        <w:t>. To the fullest extent permitted by law, but subject to Section 10.5 below, Tenant shall defend,</w:t>
      </w:r>
      <w:r>
        <w:rPr>
          <w:rFonts w:ascii="Arial" w:cs="Arial" w:eastAsia="Arial" w:hAnsi="Arial"/>
          <w:sz w:val="20"/>
          <w:szCs w:val="20"/>
          <w:b w:val="1"/>
          <w:bCs w:val="1"/>
          <w:color w:val="auto"/>
        </w:rPr>
        <w:t xml:space="preserve"> </w:t>
      </w:r>
      <w:r>
        <w:rPr>
          <w:rFonts w:ascii="Arial" w:cs="Arial" w:eastAsia="Arial" w:hAnsi="Arial"/>
          <w:sz w:val="20"/>
          <w:szCs w:val="20"/>
          <w:color w:val="auto"/>
        </w:rPr>
        <w:t>indemnify and hold harmless Landlord and Landlord’s agents, employees, lenders, and affiliates, from and against any and all negligence, claims, liabilities, damages, costs or expenses arising either before or after the Commencement Date which arise from or are caused by Tenant’s use or occupancy of the Premises, the Building or the Common Areas of the Project, or from the conduct of Tenant’s business, or from any activity, work, or thing done, permitted or suffered by Tenant or Tenant’s agents, employees, subtenants, vendors, contractors, invitees or licensees in or about the Premises, the Building or the Common Areas of the Project, or from any Default in the performance of any obligation on Tenant’s part to be performed under this Lease, or from any act, omission or negligence on the part of Tenant or Tenant’s agents, employees, subtenants, vendors, contractors, invitees or licensees. Landlord may, at its option, require Tenant to assume Landlord’s defense in any action covered by this Section 10.3 through counsel reasonably satisfactory to Landlord. Notwithstanding the foregoing, Tenant shall not be obligated to indemnify Landlord against any liability or expense to the extent it is ultimately determined that the same was caused by the sole negligence or willful misconduct of Landlord, its agents, contractors or employees.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10.4. L</w:t>
      </w:r>
      <w:r>
        <w:rPr>
          <w:rFonts w:ascii="Arial" w:cs="Arial" w:eastAsia="Arial" w:hAnsi="Arial"/>
          <w:sz w:val="13"/>
          <w:szCs w:val="13"/>
          <w:b w:val="1"/>
          <w:bCs w:val="1"/>
          <w:color w:val="auto"/>
        </w:rPr>
        <w:t>ANDLORD</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ONLIABILITY</w:t>
      </w:r>
      <w:r>
        <w:rPr>
          <w:rFonts w:ascii="Arial" w:cs="Arial" w:eastAsia="Arial" w:hAnsi="Arial"/>
          <w:sz w:val="20"/>
          <w:szCs w:val="20"/>
          <w:color w:val="auto"/>
        </w:rPr>
        <w:t>. Landlord shall not be liable to Tenant, its employees, agents and invitees,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hereby waives all claims against 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regardless of the negligence of Landlord, its agents or any and all affiliates of Landlord in connection with the foregoing. It is understood that any such condition may require the temporary evacuation or closure of all or a portion of the Building. Should Tenant elect to receive any service from a concessionaire, licensee or third party tenant of Landlord, Tenant shall not seek recourse against Landlord for any breach or liability of that service provider.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0" w:name="page351"/>
    <w:bookmarkEnd w:id="350"/>
    <w:p>
      <w:pPr>
        <w:jc w:val="both"/>
        <w:ind w:firstLine="648"/>
        <w:spacing w:after="0" w:line="260" w:lineRule="auto"/>
        <w:rPr>
          <w:sz w:val="20"/>
          <w:szCs w:val="20"/>
          <w:color w:val="auto"/>
        </w:rPr>
      </w:pPr>
      <w:r>
        <w:rPr>
          <w:rFonts w:ascii="Arial" w:cs="Arial" w:eastAsia="Arial" w:hAnsi="Arial"/>
          <w:sz w:val="20"/>
          <w:szCs w:val="20"/>
          <w:b w:val="1"/>
          <w:bCs w:val="1"/>
          <w:color w:val="auto"/>
        </w:rPr>
        <w:t>10.5. W</w:t>
      </w:r>
      <w:r>
        <w:rPr>
          <w:rFonts w:ascii="Arial" w:cs="Arial" w:eastAsia="Arial" w:hAnsi="Arial"/>
          <w:sz w:val="13"/>
          <w:szCs w:val="13"/>
          <w:b w:val="1"/>
          <w:bCs w:val="1"/>
          <w:color w:val="auto"/>
        </w:rPr>
        <w:t>AIVER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UBROGATION</w:t>
      </w:r>
      <w:r>
        <w:rPr>
          <w:rFonts w:ascii="Arial" w:cs="Arial" w:eastAsia="Arial" w:hAnsi="Arial"/>
          <w:sz w:val="20"/>
          <w:szCs w:val="20"/>
          <w:color w:val="auto"/>
        </w:rPr>
        <w:t>. Landlord and Tenant each hereby waives all rights of recovery against the other on</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of loss and damage occasioned to the property of such waiving party to the extent that the waiving party is entitled to proceeds for such loss and damage under any property insurance policies carried or otherwise required to be carried by this Lease; provided however, that the foregoing waiver shall not apply to the extent of Tenant’s obligation to pay deductibles under any such policies and this Lease. By this waiver it is the intent of the parties that neither Landlord nor Tenant shall be liable to any insurance company (by way of subrogation or otherwise) insuring the other party for any loss or damage insured against under any property insurance policies, even though such loss or damage might be occasioned by the negligence of such party, its agents, employees, contractors or invitees. The foregoing waiver by Tenant shall also inure to the benefit of Landlord’s management agent for the Building.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DAMAGE OR DESTRUCTION</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2"/>
          <w:szCs w:val="22"/>
          <w:b w:val="1"/>
          <w:bCs w:val="1"/>
          <w:color w:val="auto"/>
        </w:rPr>
        <w:t>R</w:t>
      </w:r>
      <w:r>
        <w:rPr>
          <w:rFonts w:ascii="Arial" w:cs="Arial" w:eastAsia="Arial" w:hAnsi="Arial"/>
          <w:sz w:val="14"/>
          <w:szCs w:val="14"/>
          <w:b w:val="1"/>
          <w:bCs w:val="1"/>
          <w:color w:val="auto"/>
        </w:rPr>
        <w:t>ESTORATION</w:t>
      </w:r>
      <w:r>
        <w:rPr>
          <w:rFonts w:ascii="Arial" w:cs="Arial" w:eastAsia="Arial" w:hAnsi="Arial"/>
          <w:sz w:val="22"/>
          <w:szCs w:val="22"/>
          <w:color w:val="auto"/>
        </w:rPr>
        <w:t>.</w:t>
      </w:r>
    </w:p>
    <w:p>
      <w:pPr>
        <w:spacing w:after="0" w:line="239" w:lineRule="exact"/>
        <w:rPr>
          <w:sz w:val="20"/>
          <w:szCs w:val="20"/>
          <w:color w:val="auto"/>
        </w:rPr>
      </w:pPr>
    </w:p>
    <w:p>
      <w:pPr>
        <w:jc w:val="both"/>
        <w:ind w:firstLine="1304"/>
        <w:spacing w:after="0" w:line="234" w:lineRule="auto"/>
        <w:tabs>
          <w:tab w:leader="none" w:pos="2181"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so notify Tenant in the “Casualty Notice” (as defined below), and this Lease shall terminate as of the date of delivery of that notice.</w:t>
      </w:r>
    </w:p>
    <w:p>
      <w:pPr>
        <w:spacing w:after="0" w:line="213" w:lineRule="exact"/>
        <w:rPr>
          <w:rFonts w:ascii="Arial" w:cs="Arial" w:eastAsia="Arial" w:hAnsi="Arial"/>
          <w:sz w:val="22"/>
          <w:szCs w:val="22"/>
          <w:color w:val="auto"/>
        </w:rPr>
      </w:pPr>
    </w:p>
    <w:p>
      <w:pPr>
        <w:jc w:val="both"/>
        <w:ind w:firstLine="1304"/>
        <w:spacing w:after="0" w:line="235" w:lineRule="auto"/>
        <w:tabs>
          <w:tab w:leader="none" w:pos="2257" w:val="left"/>
        </w:tabs>
        <w:numPr>
          <w:ilvl w:val="0"/>
          <w:numId w:val="312"/>
        </w:numPr>
        <w:rPr>
          <w:rFonts w:ascii="Arial" w:cs="Arial" w:eastAsia="Arial" w:hAnsi="Arial"/>
          <w:sz w:val="22"/>
          <w:szCs w:val="22"/>
          <w:color w:val="auto"/>
        </w:rPr>
      </w:pPr>
      <w:r>
        <w:rPr>
          <w:rFonts w:ascii="Arial" w:cs="Arial" w:eastAsia="Arial" w:hAnsi="Arial"/>
          <w:sz w:val="22"/>
          <w:szCs w:val="22"/>
          <w:color w:val="auto"/>
        </w:rPr>
        <w:t>As soon as reasonably practicable following the casualty event but not later than 60 days thereafter, Landlord shall notify Tenant in writing (“</w:t>
      </w:r>
      <w:r>
        <w:rPr>
          <w:rFonts w:ascii="Arial" w:cs="Arial" w:eastAsia="Arial" w:hAnsi="Arial"/>
          <w:sz w:val="22"/>
          <w:szCs w:val="22"/>
          <w:b w:val="1"/>
          <w:bCs w:val="1"/>
          <w:i w:val="1"/>
          <w:iCs w:val="1"/>
          <w:color w:val="auto"/>
        </w:rPr>
        <w:t>Casualty Notice</w:t>
      </w:r>
      <w:r>
        <w:rPr>
          <w:rFonts w:ascii="Arial" w:cs="Arial" w:eastAsia="Arial" w:hAnsi="Arial"/>
          <w:sz w:val="22"/>
          <w:szCs w:val="22"/>
          <w:color w:val="auto"/>
        </w:rPr>
        <w:t>”) of Landlord’s election, if applicable, to terminate this Lease. If this Lease is not so terminated, the Casualty Notice shall set forth the anticipated period for repairing the casualty damage. If the anticipated repair period exceeds 270 days and if the damage is so extensive as to reasonably prevent Tenant’s substantial use and enjoyment of the Premises, then either party may elect to terminate this Lease by written notice to the other within 10 days following delivery of the Casualty Notice.</w:t>
      </w:r>
    </w:p>
    <w:p>
      <w:pPr>
        <w:spacing w:after="0" w:line="214" w:lineRule="exact"/>
        <w:rPr>
          <w:rFonts w:ascii="Arial" w:cs="Arial" w:eastAsia="Arial" w:hAnsi="Arial"/>
          <w:sz w:val="22"/>
          <w:szCs w:val="22"/>
          <w:color w:val="auto"/>
        </w:rPr>
      </w:pPr>
    </w:p>
    <w:p>
      <w:pPr>
        <w:jc w:val="both"/>
        <w:ind w:firstLine="1304"/>
        <w:spacing w:after="0" w:line="275" w:lineRule="auto"/>
        <w:tabs>
          <w:tab w:leader="none" w:pos="2114"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Tenant Installations; provided if the estimated cost to repair such Tenant Installations exceeds the amount of insurance proceeds received by Landlord from Tenant’s insurance carrier, the excess cost of such repairs shall be paid by Tenant to Landlord prior to Landlord’s commencement of repairs. Within 15 days of demand, Tenant shall also pay Landlord for any additional excess costs that are determined during the performance of the repairs to such Tenant Installations.</w:t>
      </w:r>
    </w:p>
    <w:p>
      <w:pPr>
        <w:spacing w:after="0" w:line="177" w:lineRule="exact"/>
        <w:rPr>
          <w:rFonts w:ascii="Arial" w:cs="Arial" w:eastAsia="Arial" w:hAnsi="Arial"/>
          <w:sz w:val="19"/>
          <w:szCs w:val="19"/>
          <w:color w:val="auto"/>
        </w:rPr>
      </w:pPr>
    </w:p>
    <w:p>
      <w:pPr>
        <w:jc w:val="both"/>
        <w:ind w:firstLine="1304"/>
        <w:spacing w:after="0" w:line="202" w:lineRule="auto"/>
        <w:tabs>
          <w:tab w:leader="none" w:pos="2146" w:val="left"/>
        </w:tabs>
        <w:numPr>
          <w:ilvl w:val="0"/>
          <w:numId w:val="312"/>
        </w:numPr>
        <w:rPr>
          <w:rFonts w:ascii="Arial" w:cs="Arial" w:eastAsia="Arial" w:hAnsi="Arial"/>
          <w:sz w:val="22"/>
          <w:szCs w:val="22"/>
          <w:color w:val="auto"/>
        </w:rPr>
      </w:pPr>
      <w:r>
        <w:rPr>
          <w:rFonts w:ascii="Arial" w:cs="Arial" w:eastAsia="Arial" w:hAnsi="Arial"/>
          <w:sz w:val="22"/>
          <w:szCs w:val="22"/>
          <w:color w:val="auto"/>
        </w:rPr>
        <w:t>From and after the 6</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business day following the casualty event, the rental to be paid under this Lease shall be abated in the same proportion that the Floor Area of the Premises that is rendered unusable by the damage from time to time bears to the total Floor Area of the Premises.</w:t>
      </w:r>
    </w:p>
    <w:p>
      <w:pPr>
        <w:spacing w:after="0" w:line="213" w:lineRule="exact"/>
        <w:rPr>
          <w:rFonts w:ascii="Arial" w:cs="Arial" w:eastAsia="Arial" w:hAnsi="Arial"/>
          <w:sz w:val="22"/>
          <w:szCs w:val="22"/>
          <w:color w:val="auto"/>
        </w:rPr>
      </w:pPr>
    </w:p>
    <w:p>
      <w:pPr>
        <w:jc w:val="both"/>
        <w:ind w:firstLine="1304"/>
        <w:spacing w:after="0" w:line="282" w:lineRule="auto"/>
        <w:tabs>
          <w:tab w:leader="none" w:pos="209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Notwithstanding the provisions of subsections (a), (b) and (c) of this Section 11.1, but subject to Section 10.5, the cost of any repairs shall be borne by Tenant, and Tenant shall not be entitled to rental abatement or termination rights, if the damage is due to the fault or neglect of Tenant or its employees, subtenants, contractors, invitees or representatives. In addition, the provisions of this Section 11.1 shall not be deemed to require Landlord to repair any Tenant Installations, fixtures and other items that Tenant is obligated to insure pursuant to Exhibit D or under any other provision of this Lease.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1" w:name="page352"/>
    <w:bookmarkEnd w:id="351"/>
    <w:p>
      <w:pPr>
        <w:jc w:val="both"/>
        <w:ind w:right="20" w:firstLine="648"/>
        <w:spacing w:after="0" w:line="257" w:lineRule="auto"/>
        <w:rPr>
          <w:sz w:val="20"/>
          <w:szCs w:val="20"/>
          <w:color w:val="auto"/>
        </w:rPr>
      </w:pPr>
      <w:r>
        <w:rPr>
          <w:rFonts w:ascii="Arial" w:cs="Arial" w:eastAsia="Arial" w:hAnsi="Arial"/>
          <w:sz w:val="22"/>
          <w:szCs w:val="22"/>
          <w:b w:val="1"/>
          <w:bCs w:val="1"/>
          <w:color w:val="auto"/>
        </w:rPr>
        <w:t>11.2. L</w:t>
      </w:r>
      <w:r>
        <w:rPr>
          <w:rFonts w:ascii="Arial" w:cs="Arial" w:eastAsia="Arial" w:hAnsi="Arial"/>
          <w:sz w:val="14"/>
          <w:szCs w:val="14"/>
          <w:b w:val="1"/>
          <w:bCs w:val="1"/>
          <w:color w:val="auto"/>
        </w:rPr>
        <w:t>EASE</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OVERNS</w:t>
      </w:r>
      <w:r>
        <w:rPr>
          <w:rFonts w:ascii="Arial" w:cs="Arial" w:eastAsia="Arial" w:hAnsi="Arial"/>
          <w:sz w:val="22"/>
          <w:szCs w:val="22"/>
          <w:color w:val="auto"/>
        </w:rPr>
        <w:t>. Tenant agrees that the provisions of this Lease, including without limitation Section 11.1, shall</w:t>
      </w:r>
      <w:r>
        <w:rPr>
          <w:rFonts w:ascii="Arial" w:cs="Arial" w:eastAsia="Arial" w:hAnsi="Arial"/>
          <w:sz w:val="22"/>
          <w:szCs w:val="22"/>
          <w:b w:val="1"/>
          <w:bCs w:val="1"/>
          <w:color w:val="auto"/>
        </w:rPr>
        <w:t xml:space="preserve"> </w:t>
      </w:r>
      <w:r>
        <w:rPr>
          <w:rFonts w:ascii="Arial" w:cs="Arial" w:eastAsia="Arial" w:hAnsi="Arial"/>
          <w:sz w:val="22"/>
          <w:szCs w:val="22"/>
          <w:color w:val="auto"/>
        </w:rPr>
        <w:t>govern any damage or destruction and shall accordingly supersede any contrary statute or rule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EMINENT DOMAIN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19"/>
          <w:szCs w:val="19"/>
          <w:b w:val="1"/>
          <w:bCs w:val="1"/>
          <w:i w:val="1"/>
          <w:iCs w:val="1"/>
          <w:color w:val="auto"/>
        </w:rPr>
        <w:t>Taking</w:t>
      </w:r>
      <w:r>
        <w:rPr>
          <w:rFonts w:ascii="Arial" w:cs="Arial" w:eastAsia="Arial" w:hAnsi="Arial"/>
          <w:sz w:val="19"/>
          <w:szCs w:val="19"/>
          <w:color w:val="auto"/>
        </w:rPr>
        <w:t>”) Landlord shall also have the right to terminate this Lease if there is a Taking of any portion of the Building or Project which would have a material adverse effect on Landlord’s ability to profitably operate the remainder of the Building. The termination shall be effective as of the effective date of any order granting possession to, or vesting legal title in, the condemning authority. If this Lease is not terminated, Basic Rent and Tenant’s Share of Operating Expenses shall be appropriately adjusted to account for any reduction in the square footage of the Building or Premises. All compensation awarded for a Taking shall be the property of Landlord and the right to receive compensation or proceeds in connection with a Taking are expressly waived by Tenant; provided, however, Tenant may file a separate claim for Tenant’s personal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 Tenant agrees that the provisions of this Lease shall govern any Taking and shall accordingly supersede any contrary statute or rule of law.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SUBORDINATION; ESTOPPEL CERTIFICATE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13.1. S</w:t>
      </w:r>
      <w:r>
        <w:rPr>
          <w:rFonts w:ascii="Arial" w:cs="Arial" w:eastAsia="Arial" w:hAnsi="Arial"/>
          <w:sz w:val="13"/>
          <w:szCs w:val="13"/>
          <w:b w:val="1"/>
          <w:bCs w:val="1"/>
          <w:color w:val="auto"/>
        </w:rPr>
        <w:t>UBORDINATION</w:t>
      </w:r>
      <w:r>
        <w:rPr>
          <w:rFonts w:ascii="Arial" w:cs="Arial" w:eastAsia="Arial" w:hAnsi="Arial"/>
          <w:sz w:val="20"/>
          <w:szCs w:val="20"/>
          <w:color w:val="auto"/>
        </w:rPr>
        <w:t>. Tenant accepts this Lease subject and subordinate to any mortgage(s), deed(s) of trust, ground</w:t>
      </w:r>
      <w:r>
        <w:rPr>
          <w:rFonts w:ascii="Arial" w:cs="Arial" w:eastAsia="Arial" w:hAnsi="Arial"/>
          <w:sz w:val="20"/>
          <w:szCs w:val="20"/>
          <w:b w:val="1"/>
          <w:bCs w:val="1"/>
          <w:color w:val="auto"/>
        </w:rPr>
        <w:t xml:space="preserve"> </w:t>
      </w:r>
      <w:r>
        <w:rPr>
          <w:rFonts w:ascii="Arial" w:cs="Arial" w:eastAsia="Arial" w:hAnsi="Arial"/>
          <w:sz w:val="20"/>
          <w:szCs w:val="20"/>
          <w:color w:val="auto"/>
        </w:rPr>
        <w:t>lease(s) or other lien(s) now or subsequently arising upon the Premises, the Building or the Project, and to renewals, modifications, refinancings and extensions thereof (collectively referred to as a “</w:t>
      </w:r>
      <w:r>
        <w:rPr>
          <w:rFonts w:ascii="Arial" w:cs="Arial" w:eastAsia="Arial" w:hAnsi="Arial"/>
          <w:sz w:val="20"/>
          <w:szCs w:val="20"/>
          <w:b w:val="1"/>
          <w:bCs w:val="1"/>
          <w:i w:val="1"/>
          <w:iCs w:val="1"/>
          <w:color w:val="auto"/>
        </w:rPr>
        <w:t>Mortgage</w:t>
      </w:r>
      <w:r>
        <w:rPr>
          <w:rFonts w:ascii="Arial" w:cs="Arial" w:eastAsia="Arial" w:hAnsi="Arial"/>
          <w:sz w:val="20"/>
          <w:szCs w:val="20"/>
          <w:color w:val="auto"/>
        </w:rPr>
        <w:t>”). The party having the benefit of a Mortgage shall be referred to as a “</w:t>
      </w:r>
      <w:r>
        <w:rPr>
          <w:rFonts w:ascii="Arial" w:cs="Arial" w:eastAsia="Arial" w:hAnsi="Arial"/>
          <w:sz w:val="20"/>
          <w:szCs w:val="20"/>
          <w:b w:val="1"/>
          <w:bCs w:val="1"/>
          <w:i w:val="1"/>
          <w:iCs w:val="1"/>
          <w:color w:val="auto"/>
        </w:rPr>
        <w:t>Mortgagee</w:t>
      </w:r>
      <w:r>
        <w:rPr>
          <w:rFonts w:ascii="Arial" w:cs="Arial" w:eastAsia="Arial" w:hAnsi="Arial"/>
          <w:sz w:val="20"/>
          <w:szCs w:val="20"/>
          <w:color w:val="auto"/>
        </w:rPr>
        <w:t>”. This clause shall be self-operative, but upon request from a Mortgagee, Tenant shall execute a commercially reasonable subordination and attornment agreement in favor of the Mortgagee, provided such agreement provides a non-disturbance covenant benefiting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provided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13.2. E</w:t>
      </w:r>
      <w:r>
        <w:rPr>
          <w:rFonts w:ascii="Arial" w:cs="Arial" w:eastAsia="Arial" w:hAnsi="Arial"/>
          <w:sz w:val="14"/>
          <w:szCs w:val="14"/>
          <w:b w:val="1"/>
          <w:bCs w:val="1"/>
          <w:color w:val="auto"/>
        </w:rPr>
        <w:t>STOPPEL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22"/>
          <w:szCs w:val="22"/>
          <w:color w:val="auto"/>
        </w:rPr>
        <w:t>. Tenant shall, within 10 days after receipt of a written request from Landlord, execute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 a commercially reasonable estoppel certificate in favor of those parties as are reasonably requested, Landlord (including a Mortgagee or a prospective purchaser of the Building or the Project).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 DEFAULTS AND REMEDIES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14.1. T</w:t>
      </w:r>
      <w:r>
        <w:rPr>
          <w:rFonts w:ascii="Arial" w:cs="Arial" w:eastAsia="Arial" w:hAnsi="Arial"/>
          <w:sz w:val="14"/>
          <w:szCs w:val="14"/>
          <w:b w:val="1"/>
          <w:bCs w:val="1"/>
          <w:color w:val="auto"/>
        </w:rPr>
        <w:t>ENANT</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EFAULTS</w:t>
      </w:r>
      <w:r>
        <w:rPr>
          <w:rFonts w:ascii="Arial" w:cs="Arial" w:eastAsia="Arial" w:hAnsi="Arial"/>
          <w:sz w:val="22"/>
          <w:szCs w:val="22"/>
          <w:color w:val="auto"/>
        </w:rPr>
        <w:t>. In addition to any other event of default set forth in this Lease, the occurrence of any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of the following events shall constitute a “</w:t>
      </w:r>
      <w:r>
        <w:rPr>
          <w:rFonts w:ascii="Arial" w:cs="Arial" w:eastAsia="Arial" w:hAnsi="Arial"/>
          <w:sz w:val="22"/>
          <w:szCs w:val="22"/>
          <w:b w:val="1"/>
          <w:bCs w:val="1"/>
          <w:i w:val="1"/>
          <w:iCs w:val="1"/>
          <w:color w:val="auto"/>
        </w:rPr>
        <w:t>Default</w:t>
      </w:r>
      <w:r>
        <w:rPr>
          <w:rFonts w:ascii="Arial" w:cs="Arial" w:eastAsia="Arial" w:hAnsi="Arial"/>
          <w:sz w:val="22"/>
          <w:szCs w:val="22"/>
          <w:color w:val="auto"/>
        </w:rPr>
        <w:t>” by Tenant: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2" w:name="page353"/>
    <w:bookmarkEnd w:id="352"/>
    <w:p>
      <w:pPr>
        <w:jc w:val="both"/>
        <w:ind w:firstLine="1304"/>
        <w:spacing w:after="0" w:line="238" w:lineRule="auto"/>
        <w:tabs>
          <w:tab w:leader="none" w:pos="2169"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failure by Tenant to make any payment of Rent required to be made by Tenant, as and when due, where the failure continues for a period of 5 days after written notice from Landlord to Tenant. The term “</w:t>
      </w:r>
      <w:r>
        <w:rPr>
          <w:rFonts w:ascii="Arial" w:cs="Arial" w:eastAsia="Arial" w:hAnsi="Arial"/>
          <w:sz w:val="22"/>
          <w:szCs w:val="22"/>
          <w:b w:val="1"/>
          <w:bCs w:val="1"/>
          <w:i w:val="1"/>
          <w:iCs w:val="1"/>
          <w:color w:val="auto"/>
        </w:rPr>
        <w:t>Rent</w:t>
      </w:r>
      <w:r>
        <w:rPr>
          <w:rFonts w:ascii="Arial" w:cs="Arial" w:eastAsia="Arial" w:hAnsi="Arial"/>
          <w:sz w:val="22"/>
          <w:szCs w:val="22"/>
          <w:color w:val="auto"/>
        </w:rPr>
        <w:t>” as used in this Lease shall be deemed to mean the Basic Rent and all other sums required to be paid by Tenant to Landlord pursuant to the terms of this Lease.</w:t>
      </w:r>
    </w:p>
    <w:p>
      <w:pPr>
        <w:spacing w:after="0" w:line="212" w:lineRule="exact"/>
        <w:rPr>
          <w:rFonts w:ascii="Arial" w:cs="Arial" w:eastAsia="Arial" w:hAnsi="Arial"/>
          <w:sz w:val="22"/>
          <w:szCs w:val="22"/>
          <w:color w:val="auto"/>
        </w:rPr>
      </w:pPr>
    </w:p>
    <w:p>
      <w:pPr>
        <w:jc w:val="both"/>
        <w:ind w:firstLine="1304"/>
        <w:spacing w:after="0"/>
        <w:tabs>
          <w:tab w:leader="none" w:pos="2032"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assignment, sublease, encumbrance or other Transfer of the Lease by Tenant, either voluntarily or by operation of law, whether by judgment, execution, transfer by intestacy or testacy, or other means, without the prior written consent of Landlord unless otherwise authorized in Article 9 of this Lease.</w:t>
      </w:r>
    </w:p>
    <w:p>
      <w:pPr>
        <w:spacing w:after="0" w:line="213" w:lineRule="exact"/>
        <w:rPr>
          <w:rFonts w:ascii="Arial" w:cs="Arial" w:eastAsia="Arial" w:hAnsi="Arial"/>
          <w:sz w:val="22"/>
          <w:szCs w:val="22"/>
          <w:color w:val="auto"/>
        </w:rPr>
      </w:pPr>
    </w:p>
    <w:p>
      <w:pPr>
        <w:ind w:firstLine="1304"/>
        <w:spacing w:after="0" w:line="250" w:lineRule="auto"/>
        <w:tabs>
          <w:tab w:leader="none" w:pos="2099"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discovery by Landlord that any financial statement provided by Tenant, or by any affiliate, successor or guarantor of Tenant, was materially false.</w:t>
      </w:r>
    </w:p>
    <w:p>
      <w:pPr>
        <w:spacing w:after="0" w:line="201" w:lineRule="exact"/>
        <w:rPr>
          <w:rFonts w:ascii="Arial" w:cs="Arial" w:eastAsia="Arial" w:hAnsi="Arial"/>
          <w:sz w:val="22"/>
          <w:szCs w:val="22"/>
          <w:color w:val="auto"/>
        </w:rPr>
      </w:pPr>
    </w:p>
    <w:p>
      <w:pPr>
        <w:jc w:val="both"/>
        <w:ind w:firstLine="1304"/>
        <w:spacing w:after="0" w:line="234" w:lineRule="auto"/>
        <w:tabs>
          <w:tab w:leader="none" w:pos="1988" w:val="left"/>
        </w:tabs>
        <w:numPr>
          <w:ilvl w:val="0"/>
          <w:numId w:val="313"/>
        </w:numPr>
        <w:rPr>
          <w:rFonts w:ascii="Arial" w:cs="Arial" w:eastAsia="Arial" w:hAnsi="Arial"/>
          <w:sz w:val="22"/>
          <w:szCs w:val="22"/>
          <w:color w:val="auto"/>
        </w:rPr>
      </w:pPr>
      <w:r>
        <w:rPr>
          <w:rFonts w:ascii="Arial" w:cs="Arial" w:eastAsia="Arial" w:hAnsi="Arial"/>
          <w:sz w:val="22"/>
          <w:szCs w:val="22"/>
          <w:color w:val="auto"/>
        </w:rPr>
        <w:t>Except where a specific time period is otherwise set forth for Tenant’s performance in this Lease (in which event the failure to perform by Tenant within such time period shall be a Default), the failure or inability by Tenant to observe or perform any of the covenants or provisions of this Lease to be observed or performed by Tenant, other than as specified in any other subsection of this Section 14.1, where the failure continues for a period of 30 days after written notice from Landlord to Tenant. However, if the nature of the failure is such that more than 30 days are reasonably required for its cure, then Tenant shall not be deemed to be in Default if Tenant commences the cure within 30 days, and thereafter diligently pursues the cure to completion.</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20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14.2.</w:t>
        <w:tab/>
        <w:t>L</w:t>
      </w:r>
      <w:r>
        <w:rPr>
          <w:rFonts w:ascii="Arial" w:cs="Arial" w:eastAsia="Arial" w:hAnsi="Arial"/>
          <w:sz w:val="14"/>
          <w:szCs w:val="14"/>
          <w:b w:val="1"/>
          <w:bCs w:val="1"/>
          <w:color w:val="auto"/>
        </w:rPr>
        <w:t>ANDLORD</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22"/>
          <w:szCs w:val="22"/>
          <w:color w:val="auto"/>
        </w:rPr>
        <w:t>.</w:t>
      </w:r>
    </w:p>
    <w:p>
      <w:pPr>
        <w:spacing w:after="0" w:line="239" w:lineRule="exact"/>
        <w:rPr>
          <w:sz w:val="20"/>
          <w:szCs w:val="20"/>
          <w:color w:val="auto"/>
        </w:rPr>
      </w:pPr>
    </w:p>
    <w:p>
      <w:pPr>
        <w:ind w:firstLine="1304"/>
        <w:spacing w:after="0" w:line="250" w:lineRule="auto"/>
        <w:tabs>
          <w:tab w:leader="none" w:pos="2346" w:val="left"/>
        </w:tabs>
        <w:numPr>
          <w:ilvl w:val="0"/>
          <w:numId w:val="314"/>
        </w:numPr>
        <w:rPr>
          <w:rFonts w:ascii="Arial" w:cs="Arial" w:eastAsia="Arial" w:hAnsi="Arial"/>
          <w:sz w:val="22"/>
          <w:szCs w:val="22"/>
          <w:color w:val="auto"/>
        </w:rPr>
      </w:pPr>
      <w:r>
        <w:rPr>
          <w:rFonts w:ascii="Arial" w:cs="Arial" w:eastAsia="Arial" w:hAnsi="Arial"/>
          <w:sz w:val="22"/>
          <w:szCs w:val="22"/>
          <w:color w:val="auto"/>
        </w:rPr>
        <w:t>Upon the occurrence of any Default by Tenant, then in addition to any other remedies available to Landlord, Landlord may exercise the following remedies:</w:t>
      </w:r>
    </w:p>
    <w:p>
      <w:pPr>
        <w:spacing w:after="0" w:line="201" w:lineRule="exact"/>
        <w:rPr>
          <w:rFonts w:ascii="Arial" w:cs="Arial" w:eastAsia="Arial" w:hAnsi="Arial"/>
          <w:sz w:val="22"/>
          <w:szCs w:val="22"/>
          <w:color w:val="auto"/>
        </w:rPr>
      </w:pPr>
    </w:p>
    <w:p>
      <w:pPr>
        <w:jc w:val="both"/>
        <w:ind w:firstLine="1952"/>
        <w:spacing w:after="0" w:line="287" w:lineRule="auto"/>
        <w:tabs>
          <w:tab w:leader="none" w:pos="2896" w:val="left"/>
        </w:tabs>
        <w:numPr>
          <w:ilvl w:val="1"/>
          <w:numId w:val="314"/>
        </w:numPr>
        <w:rPr>
          <w:rFonts w:ascii="Arial" w:cs="Arial" w:eastAsia="Arial" w:hAnsi="Arial"/>
          <w:sz w:val="19"/>
          <w:szCs w:val="19"/>
          <w:color w:val="auto"/>
        </w:rPr>
      </w:pPr>
      <w:r>
        <w:rPr>
          <w:rFonts w:ascii="Arial" w:cs="Arial" w:eastAsia="Arial" w:hAnsi="Arial"/>
          <w:sz w:val="19"/>
          <w:szCs w:val="19"/>
          <w:color w:val="auto"/>
        </w:rPr>
        <w:t>Landlord may terminate Tenant’s right to possession of the Premises by any lawful means, in which case this Lease shall terminate and Tenant shall immediately surrender possession of the Premises to Landlord. Such termination shall not affect any accrued obligations of Tenant under this Lease. Upon termination, Landlord shall have the right to reenter the Premises and remove all persons and property. Landlord shall also be entitled to recover from Tenant:</w:t>
      </w:r>
    </w:p>
    <w:p>
      <w:pPr>
        <w:spacing w:after="0" w:line="169" w:lineRule="exact"/>
        <w:rPr>
          <w:rFonts w:ascii="Arial" w:cs="Arial" w:eastAsia="Arial" w:hAnsi="Arial"/>
          <w:sz w:val="19"/>
          <w:szCs w:val="19"/>
          <w:color w:val="auto"/>
        </w:rPr>
      </w:pPr>
    </w:p>
    <w:p>
      <w:pPr>
        <w:ind w:left="3440" w:hanging="840"/>
        <w:spacing w:after="0"/>
        <w:tabs>
          <w:tab w:leader="none" w:pos="3440" w:val="left"/>
        </w:tabs>
        <w:numPr>
          <w:ilvl w:val="2"/>
          <w:numId w:val="314"/>
        </w:numPr>
        <w:rPr>
          <w:rFonts w:ascii="Arial" w:cs="Arial" w:eastAsia="Arial" w:hAnsi="Arial"/>
          <w:sz w:val="19"/>
          <w:szCs w:val="19"/>
          <w:color w:val="auto"/>
        </w:rPr>
      </w:pPr>
      <w:r>
        <w:rPr>
          <w:rFonts w:ascii="Arial" w:cs="Arial" w:eastAsia="Arial" w:hAnsi="Arial"/>
          <w:sz w:val="19"/>
          <w:szCs w:val="19"/>
          <w:color w:val="auto"/>
        </w:rPr>
        <w:t>The worth at the time of award of the unpaid Rent which had been earned at the time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termination:</w:t>
      </w:r>
    </w:p>
    <w:p>
      <w:pPr>
        <w:spacing w:after="0" w:line="215" w:lineRule="exact"/>
        <w:rPr>
          <w:rFonts w:ascii="Arial" w:cs="Arial" w:eastAsia="Arial" w:hAnsi="Arial"/>
          <w:sz w:val="19"/>
          <w:szCs w:val="19"/>
          <w:color w:val="auto"/>
        </w:rPr>
      </w:pPr>
    </w:p>
    <w:p>
      <w:pPr>
        <w:jc w:val="both"/>
        <w:ind w:firstLine="2600"/>
        <w:spacing w:after="0"/>
        <w:tabs>
          <w:tab w:leader="none" w:pos="3349" w:val="left"/>
        </w:tabs>
        <w:numPr>
          <w:ilvl w:val="2"/>
          <w:numId w:val="314"/>
        </w:numPr>
        <w:rPr>
          <w:rFonts w:ascii="Arial" w:cs="Arial" w:eastAsia="Arial" w:hAnsi="Arial"/>
          <w:sz w:val="22"/>
          <w:szCs w:val="22"/>
          <w:color w:val="auto"/>
        </w:rPr>
      </w:pPr>
      <w:r>
        <w:rPr>
          <w:rFonts w:ascii="Arial" w:cs="Arial" w:eastAsia="Arial" w:hAnsi="Arial"/>
          <w:sz w:val="22"/>
          <w:szCs w:val="22"/>
          <w:color w:val="auto"/>
        </w:rPr>
        <w:t>The worth at the time of award of the amount by which the unpaid Rent which would have been earned after termination until the time of award exceeds the amount of such loss that Tenant proves could have been reasonably avoided;</w:t>
      </w:r>
    </w:p>
    <w:p>
      <w:pPr>
        <w:spacing w:after="0" w:line="213" w:lineRule="exact"/>
        <w:rPr>
          <w:rFonts w:ascii="Arial" w:cs="Arial" w:eastAsia="Arial" w:hAnsi="Arial"/>
          <w:sz w:val="22"/>
          <w:szCs w:val="22"/>
          <w:color w:val="auto"/>
        </w:rPr>
      </w:pPr>
    </w:p>
    <w:p>
      <w:pPr>
        <w:ind w:firstLine="2600"/>
        <w:spacing w:after="0" w:line="328" w:lineRule="auto"/>
        <w:tabs>
          <w:tab w:leader="none" w:pos="3370" w:val="left"/>
        </w:tabs>
        <w:numPr>
          <w:ilvl w:val="2"/>
          <w:numId w:val="314"/>
        </w:numPr>
        <w:rPr>
          <w:rFonts w:ascii="Arial" w:cs="Arial" w:eastAsia="Arial" w:hAnsi="Arial"/>
          <w:sz w:val="19"/>
          <w:szCs w:val="19"/>
          <w:color w:val="auto"/>
        </w:rPr>
      </w:pPr>
      <w:r>
        <w:rPr>
          <w:rFonts w:ascii="Arial" w:cs="Arial" w:eastAsia="Arial" w:hAnsi="Arial"/>
          <w:sz w:val="19"/>
          <w:szCs w:val="19"/>
          <w:color w:val="auto"/>
        </w:rPr>
        <w:t>The worth at the time of award of the amount by which the unpaid Rent for the balance of the Term after the time of award exceeds the amount of such loss that Tenant proves could be reasonably avoided;</w:t>
      </w:r>
    </w:p>
    <w:p>
      <w:pPr>
        <w:spacing w:after="0" w:line="131" w:lineRule="exact"/>
        <w:rPr>
          <w:rFonts w:ascii="Arial" w:cs="Arial" w:eastAsia="Arial" w:hAnsi="Arial"/>
          <w:sz w:val="19"/>
          <w:szCs w:val="19"/>
          <w:color w:val="auto"/>
        </w:rPr>
      </w:pPr>
    </w:p>
    <w:p>
      <w:pPr>
        <w:jc w:val="both"/>
        <w:ind w:firstLine="2600"/>
        <w:spacing w:after="0" w:line="236" w:lineRule="auto"/>
        <w:tabs>
          <w:tab w:leader="none" w:pos="3475" w:val="left"/>
        </w:tabs>
        <w:numPr>
          <w:ilvl w:val="2"/>
          <w:numId w:val="314"/>
        </w:numPr>
        <w:rPr>
          <w:rFonts w:ascii="Arial" w:cs="Arial" w:eastAsia="Arial" w:hAnsi="Arial"/>
          <w:sz w:val="22"/>
          <w:szCs w:val="22"/>
          <w:color w:val="auto"/>
        </w:rPr>
      </w:pPr>
      <w:r>
        <w:rPr>
          <w:rFonts w:ascii="Arial" w:cs="Arial" w:eastAsia="Arial" w:hAnsi="Arial"/>
          <w:sz w:val="22"/>
          <w:szCs w:val="22"/>
          <w:color w:val="auto"/>
        </w:rPr>
        <w:t>Any other amount necessary to compensate Landlord for all the detriment proximately caused by Tenant’s failure to perform its obligations under this Lease or which in the ordinary course of things would be likely to result from Tenant’s default, including, but not limited to, the cost of recovering possession of the Premises, commissions and other expenses of reletting, including necessary repair, renovation, improvement and alteration of the Premises for a new tenant, reasonable attorneys’ fees, and any other reasonable costs;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3" w:name="page354"/>
    <w:bookmarkEnd w:id="353"/>
    <w:p>
      <w:pPr>
        <w:jc w:val="both"/>
        <w:ind w:firstLine="2600"/>
        <w:spacing w:after="0" w:line="277" w:lineRule="auto"/>
        <w:tabs>
          <w:tab w:leader="none" w:pos="3403" w:val="left"/>
        </w:tabs>
        <w:numPr>
          <w:ilvl w:val="2"/>
          <w:numId w:val="315"/>
        </w:numPr>
        <w:rPr>
          <w:rFonts w:ascii="Arial" w:cs="Arial" w:eastAsia="Arial" w:hAnsi="Arial"/>
          <w:sz w:val="19"/>
          <w:szCs w:val="19"/>
          <w:color w:val="auto"/>
        </w:rPr>
      </w:pPr>
      <w:r>
        <w:rPr>
          <w:rFonts w:ascii="Arial" w:cs="Arial" w:eastAsia="Arial" w:hAnsi="Arial"/>
          <w:sz w:val="19"/>
          <w:szCs w:val="19"/>
          <w:color w:val="auto"/>
        </w:rPr>
        <w:t>At Landlord’s election, all other amounts in addition to or in lieu of the foregoing as may be permitted by law. Any sum, other than Basic Rent, shall be computed on the basis of the average monthly amount accruing during the 24 month period immediately prior to Default, except that if it becomes necessary to compute such rental before the 24 month period has occurred, then the computation shall be on the basis of the average monthly amount during the shorter period. As used in subparagraphs (1) and (2) above, the “</w:t>
      </w:r>
      <w:r>
        <w:rPr>
          <w:rFonts w:ascii="Arial" w:cs="Arial" w:eastAsia="Arial" w:hAnsi="Arial"/>
          <w:sz w:val="19"/>
          <w:szCs w:val="19"/>
          <w:b w:val="1"/>
          <w:bCs w:val="1"/>
          <w:i w:val="1"/>
          <w:iCs w:val="1"/>
          <w:color w:val="auto"/>
        </w:rPr>
        <w:t>worth at the time of award</w:t>
      </w:r>
      <w:r>
        <w:rPr>
          <w:rFonts w:ascii="Arial" w:cs="Arial" w:eastAsia="Arial" w:hAnsi="Arial"/>
          <w:sz w:val="19"/>
          <w:szCs w:val="19"/>
          <w:color w:val="auto"/>
        </w:rPr>
        <w:t>” shall be computed by allowing interest at the rate of 10% per annum. As used in subparagraph (3) above, the “</w:t>
      </w:r>
      <w:r>
        <w:rPr>
          <w:rFonts w:ascii="Arial" w:cs="Arial" w:eastAsia="Arial" w:hAnsi="Arial"/>
          <w:sz w:val="19"/>
          <w:szCs w:val="19"/>
          <w:b w:val="1"/>
          <w:bCs w:val="1"/>
          <w:i w:val="1"/>
          <w:iCs w:val="1"/>
          <w:color w:val="auto"/>
        </w:rPr>
        <w:t>worth at the time of award</w:t>
      </w:r>
      <w:r>
        <w:rPr>
          <w:rFonts w:ascii="Arial" w:cs="Arial" w:eastAsia="Arial" w:hAnsi="Arial"/>
          <w:sz w:val="19"/>
          <w:szCs w:val="19"/>
          <w:color w:val="auto"/>
        </w:rPr>
        <w:t>” shall be computed by discounting the amount at the discount rate of the Federal Reserve Bank of San Francisco at the time of award plus 1%.</w:t>
      </w:r>
    </w:p>
    <w:p>
      <w:pPr>
        <w:spacing w:after="0" w:line="179" w:lineRule="exact"/>
        <w:rPr>
          <w:rFonts w:ascii="Arial" w:cs="Arial" w:eastAsia="Arial" w:hAnsi="Arial"/>
          <w:sz w:val="19"/>
          <w:szCs w:val="19"/>
          <w:color w:val="auto"/>
        </w:rPr>
      </w:pPr>
    </w:p>
    <w:p>
      <w:pPr>
        <w:jc w:val="both"/>
        <w:ind w:firstLine="1952"/>
        <w:spacing w:after="0" w:line="234" w:lineRule="auto"/>
        <w:tabs>
          <w:tab w:leader="none" w:pos="2734" w:val="left"/>
        </w:tabs>
        <w:numPr>
          <w:ilvl w:val="1"/>
          <w:numId w:val="316"/>
        </w:numPr>
        <w:rPr>
          <w:rFonts w:ascii="Arial" w:cs="Arial" w:eastAsia="Arial" w:hAnsi="Arial"/>
          <w:sz w:val="22"/>
          <w:szCs w:val="22"/>
          <w:color w:val="auto"/>
        </w:rPr>
      </w:pPr>
      <w:r>
        <w:rPr>
          <w:rFonts w:ascii="Arial" w:cs="Arial" w:eastAsia="Arial" w:hAnsi="Arial"/>
          <w:sz w:val="22"/>
          <w:szCs w:val="22"/>
          <w:color w:val="auto"/>
        </w:rPr>
        <w:t>Landlord may elect not to terminate Tenant’s right to possession of the Premises, in which event Landlord may continue to enforce all of its rights and remedies under this Lease, including the right to collect all rent as it becomes due. Efforts by the Landlord to maintain, preserve or relet the Premises, or the appointment of a receiver to protect the Landlord’s interests under this Lease, shall not constitute a termination of the Tenant’s right to possession of the Premises. In the event that Landlord elects to avail itself of the remedy provided by this subsection (ii), Landlord shall not unreasonably withhold its consent to an assignment or subletting of the Premises subject to the reasonable standards for Landlord’s consent as are contained in this Lease.</w:t>
      </w:r>
    </w:p>
    <w:p>
      <w:pPr>
        <w:spacing w:after="0" w:line="217" w:lineRule="exact"/>
        <w:rPr>
          <w:rFonts w:ascii="Arial" w:cs="Arial" w:eastAsia="Arial" w:hAnsi="Arial"/>
          <w:sz w:val="22"/>
          <w:szCs w:val="22"/>
          <w:color w:val="auto"/>
        </w:rPr>
      </w:pPr>
    </w:p>
    <w:p>
      <w:pPr>
        <w:jc w:val="both"/>
        <w:ind w:firstLine="1304"/>
        <w:spacing w:after="0" w:line="270" w:lineRule="auto"/>
        <w:tabs>
          <w:tab w:leader="none" w:pos="2043"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The various rights and remedies reserved to Landlord in this Lease or otherwise shall be cumulative and, except as otherwise provided by California law, Landlord may pursue any or all of its rights and remedies at the same time. No delay or omission of Landlord to exercise any right or remedy shall be construed as a waiver of the right or remedy or of any breach or Default by Tenant. The acceptance by Landlord of rent shall not be a (i) waiver of any preceding breach or Default by Tenant of any provision of this Lease, other than the failure of Tenant to pay the particular rent accepted, regardless of Landlord’s knowledge of the preceding breach or Default at the time of acceptance of rent, or (ii) a waiver of Landlord’s right to exercise any remedy available to Landlord by virtue of the breach or Default. The acceptance of any payment from a debtor in possession, a trustee, a receiver or any other person acting on behalf of Tenant or Tenant’s estate shall not waive or cure a Default under Section 14.1. No payment by Tenant or receipt by Landlord of a lesser amount than the rent required by this Lease shall be deemed to be other than a partial payment on account of the earliest due stipulated rent, nor shall any endorsement or statement on any check or letter be deemed an accord and satisfaction and Landlord shall accept the check or payment without prejudice to Landlord’s right to recover the balance of the rent or pursue any other remedy available to it. Tenant hereby waives any right of redemption or relief from forfeiture under California Code of Civil Procedure Section 1174 or 1179, or under any successor statute, in the event this Lease is terminated by reason of any Default by Tenant. No act or thing done by Landlord or Landlord’s agents during the Term shall be deemed an acceptance of a surrender of the Premises, and no agreement to accept a surrender shall be valid unless in writing and signed by Landlord. No employee of Landlord or of Landlord’s agents shall have any power to accept the keys to the Premises prior to the termination of this Lease, and the delivery of the keys to any employee shall not operate as a termination of the Lease or a surrender of the Premises.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14.3. L</w:t>
      </w:r>
      <w:r>
        <w:rPr>
          <w:rFonts w:ascii="Arial" w:cs="Arial" w:eastAsia="Arial" w:hAnsi="Arial"/>
          <w:sz w:val="13"/>
          <w:szCs w:val="13"/>
          <w:b w:val="1"/>
          <w:bCs w:val="1"/>
          <w:color w:val="auto"/>
        </w:rPr>
        <w:t>ATE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AYMENTS</w:t>
      </w:r>
      <w:r>
        <w:rPr>
          <w:rFonts w:ascii="Arial" w:cs="Arial" w:eastAsia="Arial" w:hAnsi="Arial"/>
          <w:sz w:val="20"/>
          <w:szCs w:val="20"/>
          <w:color w:val="auto"/>
        </w:rPr>
        <w:t>. Any Rent due under this Lease that is not paid to Landlord within 5 business days of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when due shall bear interest at the maximum rate permitted by law from the date due until fully paid. The payment of interest shall not cure any Default by Tenant under this Lease. In addition, Tenant acknowledges that the late payment by Tenant to Landlord of rent will cause Landlord to incur costs not contemplated by this Lease, the exact amount of which will be extremely difficult and impracticable to ascertain. Those costs may include, but are not limited to, administrative, processing and accounting charges, and late charges which may be imposed on Landlord by the terms of any ground lease, mortgage or trust deed covering the Premises. Accordingly, if any rent due from Tenant shall not be received by Landlord or Landlord’s designee within 5 business days after the date due, then Tenant shall pay to Landlord, in addition to the interest provided above, a late charge for each delinquent payment equal to the greater of (i) 5% of that delinquent payment or (ii) $100.00. Acceptance of a late charge by Landlord shall not constitute a waiver of Tenant’s Default with respect to the overdue amount, nor shall it prevent Landlord from exercising any of its other rights and remedies.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4" w:name="page355"/>
    <w:bookmarkEnd w:id="354"/>
    <w:p>
      <w:pPr>
        <w:jc w:val="both"/>
        <w:ind w:firstLine="648"/>
        <w:spacing w:after="0" w:line="243" w:lineRule="auto"/>
        <w:rPr>
          <w:sz w:val="20"/>
          <w:szCs w:val="20"/>
          <w:color w:val="auto"/>
        </w:rPr>
      </w:pPr>
      <w:r>
        <w:rPr>
          <w:rFonts w:ascii="Arial" w:cs="Arial" w:eastAsia="Arial" w:hAnsi="Arial"/>
          <w:sz w:val="22"/>
          <w:szCs w:val="22"/>
          <w:b w:val="1"/>
          <w:bCs w:val="1"/>
          <w:color w:val="auto"/>
        </w:rPr>
        <w:t>14.4. R</w:t>
      </w:r>
      <w:r>
        <w:rPr>
          <w:rFonts w:ascii="Arial" w:cs="Arial" w:eastAsia="Arial" w:hAnsi="Arial"/>
          <w:sz w:val="14"/>
          <w:szCs w:val="14"/>
          <w:b w:val="1"/>
          <w:bCs w:val="1"/>
          <w:color w:val="auto"/>
        </w:rPr>
        <w:t>IGHT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ANDLORD 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22"/>
          <w:szCs w:val="22"/>
          <w:color w:val="auto"/>
        </w:rPr>
        <w:t>. If Tenant is in Default of any of its obligations under the Lease, Landlord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right to perform such obligations. Tenant shall reimburse Landlord for the cost of such performance upon demand together with an administrative charge equal to 10% of the cost of the work performed by Landlord.</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14.5. D</w:t>
      </w:r>
      <w:r>
        <w:rPr>
          <w:rFonts w:ascii="Arial" w:cs="Arial" w:eastAsia="Arial" w:hAnsi="Arial"/>
          <w:sz w:val="13"/>
          <w:szCs w:val="13"/>
          <w:b w:val="1"/>
          <w:bCs w:val="1"/>
          <w:color w:val="auto"/>
        </w:rPr>
        <w:t>EFAULT BY</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ANDLORD</w:t>
      </w:r>
      <w:r>
        <w:rPr>
          <w:rFonts w:ascii="Arial" w:cs="Arial" w:eastAsia="Arial" w:hAnsi="Arial"/>
          <w:sz w:val="20"/>
          <w:szCs w:val="20"/>
          <w:color w:val="auto"/>
        </w:rPr>
        <w:t>. Landlord shall not be deemed to be in default in the performance of any obligation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unless and until it has failed to perform the obligation within 30 days after written notice by Tenant to Landlord specifying in reasonable detail the nature and extent of the failure, provided, however, that if the nature of Landlord’s obligation is such that more than 30 days are required for its performance, then Landlord shall not be deemed to be in default if it commences performance within the 30 day period and thereafter diligently pursues the cure to completion. Tenant hereby waives any right to terminate or rescind this Lease as a result of any default by Landlord hereunder or any breach by Landlord of any promise or inducement relating hereto, and Tenant agrees that its remedies shall be limited to a suit for actual damages and/or injunction and shall in no event include any consequential damages, lost profits or opportunity costs.</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0"/>
          <w:szCs w:val="20"/>
          <w:b w:val="1"/>
          <w:bCs w:val="1"/>
          <w:color w:val="auto"/>
        </w:rPr>
        <w:t>14.6. E</w:t>
      </w:r>
      <w:r>
        <w:rPr>
          <w:rFonts w:ascii="Arial" w:cs="Arial" w:eastAsia="Arial" w:hAnsi="Arial"/>
          <w:sz w:val="13"/>
          <w:szCs w:val="13"/>
          <w:b w:val="1"/>
          <w:bCs w:val="1"/>
          <w:color w:val="auto"/>
        </w:rPr>
        <w:t>XPENSES AND</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EGAL</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EES</w:t>
      </w:r>
      <w:r>
        <w:rPr>
          <w:rFonts w:ascii="Arial" w:cs="Arial" w:eastAsia="Arial" w:hAnsi="Arial"/>
          <w:sz w:val="20"/>
          <w:szCs w:val="20"/>
          <w:color w:val="auto"/>
        </w:rPr>
        <w:t>. Should either Landlord or Tenant bring any action int connection with this Lease, the</w:t>
      </w:r>
      <w:r>
        <w:rPr>
          <w:rFonts w:ascii="Arial" w:cs="Arial" w:eastAsia="Arial" w:hAnsi="Arial"/>
          <w:sz w:val="20"/>
          <w:szCs w:val="20"/>
          <w:b w:val="1"/>
          <w:bCs w:val="1"/>
          <w:color w:val="auto"/>
        </w:rPr>
        <w:t xml:space="preserve"> </w:t>
      </w:r>
      <w:r>
        <w:rPr>
          <w:rFonts w:ascii="Arial" w:cs="Arial" w:eastAsia="Arial" w:hAnsi="Arial"/>
          <w:sz w:val="20"/>
          <w:szCs w:val="20"/>
          <w:color w:val="auto"/>
        </w:rPr>
        <w:t>prevailing party shall be entitled to recover as a part of the action its reasonable attorneys’ fees, and all other reasonable costs The prevailing party for the purpose of this paragraph shall be determined by the trier of the facts.</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14.7.</w:t>
        <w:tab/>
        <w:t>W</w:t>
      </w:r>
      <w:r>
        <w:rPr>
          <w:rFonts w:ascii="Arial" w:cs="Arial" w:eastAsia="Arial" w:hAnsi="Arial"/>
          <w:sz w:val="14"/>
          <w:szCs w:val="14"/>
          <w:b w:val="1"/>
          <w:bCs w:val="1"/>
          <w:color w:val="auto"/>
        </w:rPr>
        <w:t>AIVER OF</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URY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RIAL</w:t>
      </w:r>
      <w:r>
        <w:rPr>
          <w:rFonts w:ascii="Arial" w:cs="Arial" w:eastAsia="Arial" w:hAnsi="Arial"/>
          <w:sz w:val="22"/>
          <w:szCs w:val="22"/>
          <w:b w:val="1"/>
          <w:bCs w:val="1"/>
          <w:color w:val="auto"/>
        </w:rPr>
        <w:t>/J</w:t>
      </w:r>
      <w:r>
        <w:rPr>
          <w:rFonts w:ascii="Arial" w:cs="Arial" w:eastAsia="Arial" w:hAnsi="Arial"/>
          <w:sz w:val="14"/>
          <w:szCs w:val="14"/>
          <w:b w:val="1"/>
          <w:bCs w:val="1"/>
          <w:color w:val="auto"/>
        </w:rPr>
        <w:t>UDICIAL</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EFERENCE</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34" w:lineRule="auto"/>
        <w:tabs>
          <w:tab w:leader="none" w:pos="2184" w:val="left"/>
        </w:tabs>
        <w:numPr>
          <w:ilvl w:val="0"/>
          <w:numId w:val="318"/>
        </w:numPr>
        <w:rPr>
          <w:rFonts w:ascii="Arial" w:cs="Arial" w:eastAsia="Arial" w:hAnsi="Arial"/>
          <w:sz w:val="22"/>
          <w:szCs w:val="22"/>
          <w:color w:val="auto"/>
        </w:rPr>
      </w:pPr>
      <w:r>
        <w:rPr>
          <w:rFonts w:ascii="Arial" w:cs="Arial" w:eastAsia="Arial" w:hAnsi="Arial"/>
          <w:sz w:val="22"/>
          <w:szCs w:val="22"/>
          <w:b w:val="1"/>
          <w:bCs w:val="1"/>
          <w:color w:val="auto"/>
        </w:rPr>
        <w:t>LANDLORD AND TENANT EACH ACKNOWLEDGES THAT IT IS AWARE OF AND HAS HAD THE ADVICE OF COUNSEL OF ITS CHOICE WITH RESPECT TO ITS RIGHT TO TRIAL BY JURY, AND EACH PARTY DOES HEREBY EXPRESSLY AND KNOWINGLY WAIVE AND RELEASE ALL SUCH RIGHTS TO TRIAL BY JURY IN ANY ACTION, PROCEEDING OR COUNTERCLAIM BROUGHT BY EITHER PARTY HERETO AGAINST THE OTHER (AND/OR AGAINST ITS OFFICERS, DIRECTORS, EMPLOYEES, AGENTS, OR SUBSIDIARY OR AFFILIATED ENTITIES) ON ANY MATTERS WHATSOEVER ARISING OUT OF OR IN ANY WAY CONNECTED WITH THIS LEASE, TENANT’S USE OR OCCUPANCY OF THE PREMISES, AND/OR ANY CLAIM OF INJURY OR DAMAGE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34" w:lineRule="auto"/>
        <w:tabs>
          <w:tab w:leader="none" w:pos="2113"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In the event that the jury waiver provisions of Section 14.7 (a) are not enforceable under California law, then, unless otherwise agreed to by the parties, the provisions of this Section 14.7 (b) shall apply. Landlord and Tenant agree that any disputes arising in connection with this Lease (including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14.7 shall apply to an unlawful detainer action.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14.8. S</w:t>
      </w:r>
      <w:r>
        <w:rPr>
          <w:rFonts w:ascii="Arial" w:cs="Arial" w:eastAsia="Arial" w:hAnsi="Arial"/>
          <w:sz w:val="14"/>
          <w:szCs w:val="14"/>
          <w:b w:val="1"/>
          <w:bCs w:val="1"/>
          <w:color w:val="auto"/>
        </w:rPr>
        <w:t>ATISFACTION OF</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UDGMENT</w:t>
      </w:r>
      <w:r>
        <w:rPr>
          <w:rFonts w:ascii="Arial" w:cs="Arial" w:eastAsia="Arial" w:hAnsi="Arial"/>
          <w:sz w:val="22"/>
          <w:szCs w:val="22"/>
          <w:color w:val="auto"/>
        </w:rPr>
        <w:t>. The obligations of Landlord do not constitute the personal obligations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partners, trustees, directors, officers, members or shareholders of Landlord or its constituent partners or members.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22"/>
          <w:szCs w:val="22"/>
          <w:b w:val="1"/>
          <w:bCs w:val="1"/>
          <w:color w:val="auto"/>
        </w:rPr>
        <w:t>ARTICLE 15. END OF TERM</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15.1. H</w:t>
      </w:r>
      <w:r>
        <w:rPr>
          <w:rFonts w:ascii="Arial" w:cs="Arial" w:eastAsia="Arial" w:hAnsi="Arial"/>
          <w:sz w:val="13"/>
          <w:szCs w:val="13"/>
          <w:b w:val="1"/>
          <w:bCs w:val="1"/>
          <w:color w:val="auto"/>
        </w:rPr>
        <w:t>OLDING</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VER</w:t>
      </w:r>
      <w:r>
        <w:rPr>
          <w:rFonts w:ascii="Arial" w:cs="Arial" w:eastAsia="Arial" w:hAnsi="Arial"/>
          <w:sz w:val="19"/>
          <w:szCs w:val="19"/>
          <w:color w:val="auto"/>
        </w:rPr>
        <w:t>. If Tenant holds over for any period after the Expiration Date (or earlier termination of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Landlord, such tenancy shall constitute a tenancy at sufferance only and a Default by Tenant; such holding over with the prior written consent of Landlord shall constitute a month-to-month tenancy commencing on the 1</w:t>
      </w:r>
      <w:r>
        <w:rPr>
          <w:rFonts w:ascii="Arial" w:cs="Arial" w:eastAsia="Arial" w:hAnsi="Arial"/>
          <w:sz w:val="30"/>
          <w:szCs w:val="30"/>
          <w:color w:val="auto"/>
          <w:vertAlign w:val="superscript"/>
        </w:rPr>
        <w:t>st</w:t>
      </w:r>
      <w:r>
        <w:rPr>
          <w:rFonts w:ascii="Arial" w:cs="Arial" w:eastAsia="Arial" w:hAnsi="Arial"/>
          <w:sz w:val="19"/>
          <w:szCs w:val="19"/>
          <w:color w:val="auto"/>
        </w:rPr>
        <w:t xml:space="preserve"> day following the termination of this Lease and terminating 30 days following delivery of written notice of termination by either Landlord or Tenant to the other. In either of such events, possession shall be subject to all of the terms of this Lease, except that the monthly rental shall be 150% of the total monthly rental for the month immediately preceding the date of termination, subject to Landlord’s right to modify same upon 30 days notice to Tenant. The acceptance by Landlord of monthly 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 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9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15.2. S</w:t>
      </w:r>
      <w:r>
        <w:rPr>
          <w:rFonts w:ascii="Arial" w:cs="Arial" w:eastAsia="Arial" w:hAnsi="Arial"/>
          <w:sz w:val="14"/>
          <w:szCs w:val="14"/>
          <w:b w:val="1"/>
          <w:bCs w:val="1"/>
          <w:color w:val="auto"/>
        </w:rPr>
        <w:t>URRENDER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REMISES</w:t>
      </w:r>
      <w:r>
        <w:rPr>
          <w:rFonts w:ascii="Arial" w:cs="Arial" w:eastAsia="Arial" w:hAnsi="Arial"/>
          <w:sz w:val="22"/>
          <w:szCs w:val="22"/>
          <w:b w:val="1"/>
          <w:bCs w:val="1"/>
          <w:color w:val="auto"/>
        </w:rPr>
        <w:t xml:space="preserve"> ; R</w:t>
      </w:r>
      <w:r>
        <w:rPr>
          <w:rFonts w:ascii="Arial" w:cs="Arial" w:eastAsia="Arial" w:hAnsi="Arial"/>
          <w:sz w:val="14"/>
          <w:szCs w:val="14"/>
          <w:b w:val="1"/>
          <w:bCs w:val="1"/>
          <w:color w:val="auto"/>
        </w:rPr>
        <w:t>EMOVAL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2"/>
          <w:szCs w:val="22"/>
          <w:color w:val="auto"/>
        </w:rPr>
        <w:t>. Upon the Expiration Date or upon any earlier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Lease, Tenant shall quit and surrender possession of the Premises to Landlord in as good order, condition and repair as when received or as hereafter may be improved by Landlord or Tenant, reasonable wear and tear and repairs which are Landlord’s obligation excepted, and shall remove or fund to Landlord the cost of removing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Landlord may effect the removal and/or make any repairs, and the cost to Landlord shall be additional rent payable by Tenant upon demand.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 PAYMENTS AND NOTICES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as for example in the payment of rent pursuant to Section 4.1, all payments shall be due and payable within 5 days after demand.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“overnight”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 RULES AND REGULATIONS</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Tenant agrees to comply with the Rules and Regulations attached as Exhibit E, and any reasonable and nondiscriminatory amendments, modifications and/or additions as may be adopted and published by written notice to tenants by Landlord for the safety, care, security, good order, or cleanliness of the Premises, Building, Project and/or Common Areas Landlord shall not be liable to Tenant for any violation of the Rules and Regulations or the breach of any covenant or condition in any lease or any other act or conduct by any other tenant, and the same shall not constitute a constructive eviction hereunder. One or more waivers by Landlord of any breach of the Rules and Regulations by Tenant or by any other tenant(s) shall not be a waiver of any subsequent breach of that rule or any other. Tenant’s failure to keep and observe the Rules and Regulations shall constitute a default under this Lease. In the case of any conflict between the Rules and Regulations and this Lease, this Lease shall be controlling.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22"/>
          <w:szCs w:val="22"/>
          <w:b w:val="1"/>
          <w:bCs w:val="1"/>
          <w:color w:val="auto"/>
        </w:rPr>
        <w:t>ARTICLE 18. BROKER’S COMMISSION</w:t>
      </w:r>
    </w:p>
    <w:p>
      <w:pPr>
        <w:spacing w:after="0" w:line="2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It is understood that Landlord’s Broker represents only Landlord in this transaction and Tenant’s Broker (if any) represents only Tenant. Each party warrants that it has had no dealings with any other real estate broker or agent in connection with the negotiation of this Lease, and agrees to indemnify and hold the other party harmless from any cost, expense or liability (including reasonable attorneys’ fees) for any compensation, commissions or charges claimed by any other real estate broker or agent employed or claiming to represent or to have been employed by the indemnifying party in connection with the negotiation of this Lease. The foregoing agreement shall survive the termination of this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19. TRANSFER OF LANDLORD’S INTEREST</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the event of any transfer of Landlord’s interest in the Premises, the transferor shall be automatically relieved of all obligations on the part of Landlord accruing under this Lease from and after the date of the transfer, provided that Tenant is duly notified of the transfer. Any funds held by the transferor in which Tenant has an interest, including without limitation, the Security Deposit, shall be turned over, subject to that interest, to the transferee. No Mortgagee to which this Lease is or may be subordinate shall be responsible in connection with the Security Deposit unless the Mortgagee actually receives the Security Deposit. It is intended that the covenants and obligations contained in this Lease on the part of Landlord shall, subject to the foregoing, be binding on Landlord, its successors and assigns, only during and in respect to their respective successive periods of ownership.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20. INTERPRETATION</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20.1. N</w:t>
      </w:r>
      <w:r>
        <w:rPr>
          <w:rFonts w:ascii="Arial" w:cs="Arial" w:eastAsia="Arial" w:hAnsi="Arial"/>
          <w:sz w:val="14"/>
          <w:szCs w:val="14"/>
          <w:b w:val="1"/>
          <w:bCs w:val="1"/>
          <w:color w:val="auto"/>
        </w:rPr>
        <w:t>UMBER</w:t>
      </w:r>
      <w:r>
        <w:rPr>
          <w:rFonts w:ascii="Arial" w:cs="Arial" w:eastAsia="Arial" w:hAnsi="Arial"/>
          <w:sz w:val="22"/>
          <w:szCs w:val="22"/>
          <w:color w:val="auto"/>
        </w:rPr>
        <w:t>. Whenever the context of this Lease requires, the words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and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 shall include the</w:t>
      </w:r>
      <w:r>
        <w:rPr>
          <w:rFonts w:ascii="Arial" w:cs="Arial" w:eastAsia="Arial" w:hAnsi="Arial"/>
          <w:sz w:val="22"/>
          <w:szCs w:val="22"/>
          <w:b w:val="1"/>
          <w:bCs w:val="1"/>
          <w:color w:val="auto"/>
        </w:rPr>
        <w:t xml:space="preserve"> </w:t>
      </w:r>
      <w:r>
        <w:rPr>
          <w:rFonts w:ascii="Arial" w:cs="Arial" w:eastAsia="Arial" w:hAnsi="Arial"/>
          <w:sz w:val="22"/>
          <w:szCs w:val="22"/>
          <w:color w:val="auto"/>
        </w:rPr>
        <w:t>plural as well as the singular.</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20.2. H</w:t>
      </w:r>
      <w:r>
        <w:rPr>
          <w:rFonts w:ascii="Arial" w:cs="Arial" w:eastAsia="Arial" w:hAnsi="Arial"/>
          <w:sz w:val="14"/>
          <w:szCs w:val="14"/>
          <w:b w:val="1"/>
          <w:bCs w:val="1"/>
          <w:color w:val="auto"/>
        </w:rPr>
        <w:t>EADINGS</w:t>
      </w:r>
      <w:r>
        <w:rPr>
          <w:rFonts w:ascii="Arial" w:cs="Arial" w:eastAsia="Arial" w:hAnsi="Arial"/>
          <w:sz w:val="22"/>
          <w:szCs w:val="22"/>
          <w:color w:val="auto"/>
        </w:rPr>
        <w:t>. The captions and headings of the articles and sections of this Lease are for convenience only, are not a</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this Lease and shall have no effect upon its construction or interpretation.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20.3. J</w:t>
      </w:r>
      <w:r>
        <w:rPr>
          <w:rFonts w:ascii="Arial" w:cs="Arial" w:eastAsia="Arial" w:hAnsi="Arial"/>
          <w:sz w:val="14"/>
          <w:szCs w:val="14"/>
          <w:b w:val="1"/>
          <w:bCs w:val="1"/>
          <w:color w:val="auto"/>
        </w:rPr>
        <w:t>OINT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EVERAL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22"/>
          <w:szCs w:val="22"/>
          <w:color w:val="auto"/>
        </w:rPr>
        <w:t>. If more than one person or entity is named as Tenant, the obligations imposed</w:t>
      </w:r>
      <w:r>
        <w:rPr>
          <w:rFonts w:ascii="Arial" w:cs="Arial" w:eastAsia="Arial" w:hAnsi="Arial"/>
          <w:sz w:val="22"/>
          <w:szCs w:val="22"/>
          <w:b w:val="1"/>
          <w:bCs w:val="1"/>
          <w:color w:val="auto"/>
        </w:rPr>
        <w:t xml:space="preserve"> </w:t>
      </w:r>
      <w:r>
        <w:rPr>
          <w:rFonts w:ascii="Arial" w:cs="Arial" w:eastAsia="Arial" w:hAnsi="Arial"/>
          <w:sz w:val="22"/>
          <w:szCs w:val="22"/>
          <w:color w:val="auto"/>
        </w:rPr>
        <w:t>upon each shall 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b w:val="1"/>
          <w:bCs w:val="1"/>
          <w:color w:val="auto"/>
        </w:rPr>
        <w:t>20.4. S</w:t>
      </w:r>
      <w:r>
        <w:rPr>
          <w:rFonts w:ascii="Arial" w:cs="Arial" w:eastAsia="Arial" w:hAnsi="Arial"/>
          <w:sz w:val="13"/>
          <w:szCs w:val="13"/>
          <w:b w:val="1"/>
          <w:bCs w:val="1"/>
          <w:color w:val="auto"/>
        </w:rPr>
        <w:t>UCCESSORS</w:t>
      </w:r>
      <w:r>
        <w:rPr>
          <w:rFonts w:ascii="Arial" w:cs="Arial" w:eastAsia="Arial" w:hAnsi="Arial"/>
          <w:sz w:val="20"/>
          <w:szCs w:val="20"/>
          <w:color w:val="auto"/>
        </w:rPr>
        <w:t>. Subject to Sections 13.1 and 22.3 and to Articles 9 and 19 of this Lease, all rights and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given to or imposed upon Landlord and Tenant shall extend to and bind their respective heirs, executors, administrators, successors and assigns. Nothing contained in this Section 20.4 is intended, or shall be construed, to grant to any person other than Landlord and Tenant and their successors and assigns any rights or remedies under this Lease.</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20.5. T</w:t>
      </w:r>
      <w:r>
        <w:rPr>
          <w:rFonts w:ascii="Arial" w:cs="Arial" w:eastAsia="Arial" w:hAnsi="Arial"/>
          <w:sz w:val="14"/>
          <w:szCs w:val="14"/>
          <w:b w:val="1"/>
          <w:bCs w:val="1"/>
          <w:color w:val="auto"/>
        </w:rPr>
        <w:t>IME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SSENCE</w:t>
      </w:r>
      <w:r>
        <w:rPr>
          <w:rFonts w:ascii="Arial" w:cs="Arial" w:eastAsia="Arial" w:hAnsi="Arial"/>
          <w:sz w:val="22"/>
          <w:szCs w:val="22"/>
          <w:color w:val="auto"/>
        </w:rPr>
        <w:t>. Time is of the essence with respect to the performance of every provision of this Lease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time of performance is a factor.</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20.6. C</w:t>
      </w:r>
      <w:r>
        <w:rPr>
          <w:rFonts w:ascii="Arial" w:cs="Arial" w:eastAsia="Arial" w:hAnsi="Arial"/>
          <w:sz w:val="14"/>
          <w:szCs w:val="14"/>
          <w:b w:val="1"/>
          <w:bCs w:val="1"/>
          <w:color w:val="auto"/>
        </w:rPr>
        <w:t>ONTROLLING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/V</w:t>
      </w:r>
      <w:r>
        <w:rPr>
          <w:rFonts w:ascii="Arial" w:cs="Arial" w:eastAsia="Arial" w:hAnsi="Arial"/>
          <w:sz w:val="14"/>
          <w:szCs w:val="14"/>
          <w:b w:val="1"/>
          <w:bCs w:val="1"/>
          <w:color w:val="auto"/>
        </w:rPr>
        <w:t>ENUE</w:t>
      </w:r>
      <w:r>
        <w:rPr>
          <w:rFonts w:ascii="Arial" w:cs="Arial" w:eastAsia="Arial" w:hAnsi="Arial"/>
          <w:sz w:val="22"/>
          <w:szCs w:val="22"/>
          <w:color w:val="auto"/>
        </w:rPr>
        <w:t>. This Lease shall be governed by and interpreted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California. Should any litigation be commenced between the parties in connection with this Lease, such action shall be prosecuted in the applicable State Court of California in the county in which the Building is located.</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20.7. S</w:t>
      </w:r>
      <w:r>
        <w:rPr>
          <w:rFonts w:ascii="Arial" w:cs="Arial" w:eastAsia="Arial" w:hAnsi="Arial"/>
          <w:sz w:val="14"/>
          <w:szCs w:val="14"/>
          <w:b w:val="1"/>
          <w:bCs w:val="1"/>
          <w:color w:val="auto"/>
        </w:rPr>
        <w:t>EVERABILITY</w:t>
      </w:r>
      <w:r>
        <w:rPr>
          <w:rFonts w:ascii="Arial" w:cs="Arial" w:eastAsia="Arial" w:hAnsi="Arial"/>
          <w:sz w:val="22"/>
          <w:szCs w:val="22"/>
          <w:color w:val="auto"/>
        </w:rPr>
        <w:t>. If any term or provision of this Lease, the deletion of which would not adversely affect the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of any material 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7" w:name="page358"/>
    <w:bookmarkEnd w:id="357"/>
    <w:p>
      <w:pPr>
        <w:jc w:val="both"/>
        <w:ind w:firstLine="648"/>
        <w:spacing w:after="0" w:line="289" w:lineRule="auto"/>
        <w:rPr>
          <w:sz w:val="20"/>
          <w:szCs w:val="20"/>
          <w:color w:val="auto"/>
        </w:rPr>
      </w:pPr>
      <w:r>
        <w:rPr>
          <w:rFonts w:ascii="Arial" w:cs="Arial" w:eastAsia="Arial" w:hAnsi="Arial"/>
          <w:sz w:val="19"/>
          <w:szCs w:val="19"/>
          <w:b w:val="1"/>
          <w:bCs w:val="1"/>
          <w:color w:val="auto"/>
        </w:rPr>
        <w:t>20.8. W</w:t>
      </w:r>
      <w:r>
        <w:rPr>
          <w:rFonts w:ascii="Arial" w:cs="Arial" w:eastAsia="Arial" w:hAnsi="Arial"/>
          <w:sz w:val="13"/>
          <w:szCs w:val="13"/>
          <w:b w:val="1"/>
          <w:bCs w:val="1"/>
          <w:color w:val="auto"/>
        </w:rPr>
        <w:t>AIVER</w:t>
      </w:r>
      <w:r>
        <w:rPr>
          <w:rFonts w:ascii="Arial" w:cs="Arial" w:eastAsia="Arial" w:hAnsi="Arial"/>
          <w:sz w:val="19"/>
          <w:szCs w:val="19"/>
          <w:color w:val="auto"/>
        </w:rPr>
        <w:t>. One or more waivers by Landlord or Tenant of any breach of any term, covenant or condition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Lease 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20.9. I</w:t>
      </w:r>
      <w:r>
        <w:rPr>
          <w:rFonts w:ascii="Arial" w:cs="Arial" w:eastAsia="Arial" w:hAnsi="Arial"/>
          <w:sz w:val="14"/>
          <w:szCs w:val="14"/>
          <w:b w:val="1"/>
          <w:bCs w:val="1"/>
          <w:color w:val="auto"/>
        </w:rPr>
        <w:t>NABILITY 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22"/>
          <w:szCs w:val="22"/>
          <w:color w:val="auto"/>
        </w:rPr>
        <w:t>. In the event that either party shall be delayed or hindered in or prevented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any work or in performing any act required under this Lease by reason of any cause beyond the reasonable control of that party, then the performance of the work or the doing of the act shall be excused for the period of the delay and the time for performance shall be extended for a period equivalent to the period of the delay. The provisions of this Section 20.9 shall not operate to excuse Tenant from the prompt payment of Rent.</w:t>
      </w:r>
    </w:p>
    <w:p>
      <w:pPr>
        <w:spacing w:after="0" w:line="20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20.10. E</w:t>
      </w:r>
      <w:r>
        <w:rPr>
          <w:rFonts w:ascii="Arial" w:cs="Arial" w:eastAsia="Arial" w:hAnsi="Arial"/>
          <w:sz w:val="14"/>
          <w:szCs w:val="14"/>
          <w:b w:val="1"/>
          <w:bCs w:val="1"/>
          <w:color w:val="auto"/>
        </w:rPr>
        <w:t>NTIRE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color w:val="auto"/>
        </w:rPr>
        <w:t>. This Lease and its exhibits and other attachments cover in full each and every agreement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every kind between the parties concerning the Premises, the Building, and the Project, and all preliminary negotiations, oral agreements, understandings and/or practices, except those contained in this Lease, are superseded and of no further effect. Tenant waives its rights to rely on any representations or promises made by Landlord or others which are not contained in this Lease. No verbal agreement or implied covenant shall be held to modify the provisions of this Lease, any statute, law, or custom to the contrary notwithstanding.</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20.11. Q</w:t>
      </w:r>
      <w:r>
        <w:rPr>
          <w:rFonts w:ascii="Arial" w:cs="Arial" w:eastAsia="Arial" w:hAnsi="Arial"/>
          <w:sz w:val="14"/>
          <w:szCs w:val="14"/>
          <w:b w:val="1"/>
          <w:bCs w:val="1"/>
          <w:color w:val="auto"/>
        </w:rPr>
        <w:t>UIET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NJOYMENT</w:t>
      </w:r>
      <w:r>
        <w:rPr>
          <w:rFonts w:ascii="Arial" w:cs="Arial" w:eastAsia="Arial" w:hAnsi="Arial"/>
          <w:sz w:val="22"/>
          <w:szCs w:val="22"/>
          <w:color w:val="auto"/>
        </w:rPr>
        <w:t>. Upon the observance and performance of all the covenants, terms and conditions on Tenant’s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 to be observed and performed, and subject to the other provisions of this Lease, Tenant shall have the right of quiet enjoyment and use of the Premises for the Term without hindrance or interruption by Landlord or any other person claiming by or through Landlord.</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0"/>
          <w:szCs w:val="20"/>
          <w:b w:val="1"/>
          <w:bCs w:val="1"/>
          <w:color w:val="auto"/>
        </w:rPr>
        <w:t>20.12. S</w:t>
      </w:r>
      <w:r>
        <w:rPr>
          <w:rFonts w:ascii="Arial" w:cs="Arial" w:eastAsia="Arial" w:hAnsi="Arial"/>
          <w:sz w:val="13"/>
          <w:szCs w:val="13"/>
          <w:b w:val="1"/>
          <w:bCs w:val="1"/>
          <w:color w:val="auto"/>
        </w:rPr>
        <w:t>URVIVAL</w:t>
      </w:r>
      <w:r>
        <w:rPr>
          <w:rFonts w:ascii="Arial" w:cs="Arial" w:eastAsia="Arial" w:hAnsi="Arial"/>
          <w:sz w:val="20"/>
          <w:szCs w:val="20"/>
          <w:color w:val="auto"/>
        </w:rPr>
        <w:t>. All covenants of Landlord or Tenant which reasonably would be intended to survive the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sooner termination of this Lease, including without limitation any warranty or indemnity hereunder, shall so survive and continue to be binding upon and inure to the benefit of the respective parties and their successors and assigns.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21. EXECUTION AND RECORDING</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b w:val="1"/>
          <w:bCs w:val="1"/>
          <w:color w:val="auto"/>
        </w:rPr>
        <w:t>21.1. C</w:t>
      </w:r>
      <w:r>
        <w:rPr>
          <w:rFonts w:ascii="Arial" w:cs="Arial" w:eastAsia="Arial" w:hAnsi="Arial"/>
          <w:sz w:val="13"/>
          <w:szCs w:val="13"/>
          <w:b w:val="1"/>
          <w:bCs w:val="1"/>
          <w:color w:val="auto"/>
        </w:rPr>
        <w:t>OUNTERPARTS</w:t>
      </w:r>
      <w:r>
        <w:rPr>
          <w:rFonts w:ascii="Arial" w:cs="Arial" w:eastAsia="Arial" w:hAnsi="Arial"/>
          <w:sz w:val="20"/>
          <w:szCs w:val="20"/>
          <w:b w:val="1"/>
          <w:bCs w:val="1"/>
          <w:color w:val="auto"/>
        </w:rPr>
        <w:t>; D</w:t>
      </w:r>
      <w:r>
        <w:rPr>
          <w:rFonts w:ascii="Arial" w:cs="Arial" w:eastAsia="Arial" w:hAnsi="Arial"/>
          <w:sz w:val="13"/>
          <w:szCs w:val="13"/>
          <w:b w:val="1"/>
          <w:bCs w:val="1"/>
          <w:color w:val="auto"/>
        </w:rPr>
        <w:t>IGITAL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IGNATURES</w:t>
      </w:r>
      <w:r>
        <w:rPr>
          <w:rFonts w:ascii="Arial" w:cs="Arial" w:eastAsia="Arial" w:hAnsi="Arial"/>
          <w:sz w:val="20"/>
          <w:szCs w:val="20"/>
          <w:color w:val="auto"/>
        </w:rPr>
        <w:t>. This Lease may be executed in one or more counterparts, each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shall 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21.2. C</w:t>
      </w:r>
      <w:r>
        <w:rPr>
          <w:rFonts w:ascii="Arial" w:cs="Arial" w:eastAsia="Arial" w:hAnsi="Arial"/>
          <w:sz w:val="14"/>
          <w:szCs w:val="14"/>
          <w:b w:val="1"/>
          <w:bCs w:val="1"/>
          <w:color w:val="auto"/>
        </w:rPr>
        <w:t>ORPORATE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ARTNERSHIP</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UTHORITY</w:t>
      </w:r>
      <w:r>
        <w:rPr>
          <w:rFonts w:ascii="Arial" w:cs="Arial" w:eastAsia="Arial" w:hAnsi="Arial"/>
          <w:sz w:val="22"/>
          <w:szCs w:val="22"/>
          <w:color w:val="auto"/>
        </w:rPr>
        <w:t>. If Tenant is a corporation, limited liability company or partnership, each</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executing this Lease on behalf of the entity represents and warrants that such individual is duly authorized to execute and deliver this Lease and that this Lease is binding upon the corporation, limited liability company or partnership in accordance with its terms. Tenant shall, at Landlord’s request, deliver a certified copy of its organizational documents or an appropriate certificate authorizing or evidencing the execution of this Lease.</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21.3. E</w:t>
      </w:r>
      <w:r>
        <w:rPr>
          <w:rFonts w:ascii="Arial" w:cs="Arial" w:eastAsia="Arial" w:hAnsi="Arial"/>
          <w:sz w:val="14"/>
          <w:szCs w:val="14"/>
          <w:b w:val="1"/>
          <w:bCs w:val="1"/>
          <w:color w:val="auto"/>
        </w:rPr>
        <w:t>XECUTION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r>
        <w:rPr>
          <w:rFonts w:ascii="Arial" w:cs="Arial" w:eastAsia="Arial" w:hAnsi="Arial"/>
          <w:sz w:val="22"/>
          <w:szCs w:val="22"/>
          <w:b w:val="1"/>
          <w:bCs w:val="1"/>
          <w:color w:val="auto"/>
        </w:rPr>
        <w:t>; 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FFER</w:t>
      </w:r>
      <w:r>
        <w:rPr>
          <w:rFonts w:ascii="Arial" w:cs="Arial" w:eastAsia="Arial" w:hAnsi="Arial"/>
          <w:sz w:val="22"/>
          <w:szCs w:val="22"/>
          <w:color w:val="auto"/>
        </w:rPr>
        <w:t>. The submission of this Lease to Tenant shall be for examination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20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0"/>
          <w:szCs w:val="20"/>
          <w:b w:val="1"/>
          <w:bCs w:val="1"/>
          <w:color w:val="auto"/>
        </w:rPr>
        <w:t>21.4. R</w:t>
      </w:r>
      <w:r>
        <w:rPr>
          <w:rFonts w:ascii="Arial" w:cs="Arial" w:eastAsia="Arial" w:hAnsi="Arial"/>
          <w:sz w:val="13"/>
          <w:szCs w:val="13"/>
          <w:b w:val="1"/>
          <w:bCs w:val="1"/>
          <w:color w:val="auto"/>
        </w:rPr>
        <w:t>ECORDING</w:t>
      </w:r>
      <w:r>
        <w:rPr>
          <w:rFonts w:ascii="Arial" w:cs="Arial" w:eastAsia="Arial" w:hAnsi="Arial"/>
          <w:sz w:val="20"/>
          <w:szCs w:val="20"/>
          <w:color w:val="auto"/>
        </w:rPr>
        <w:t>. Tenant shall not record this Lease without the prior written consent of Landlord. Tenant,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Landlord, shall execute and acknowledge a “</w:t>
      </w:r>
      <w:r>
        <w:rPr>
          <w:rFonts w:ascii="Arial" w:cs="Arial" w:eastAsia="Arial" w:hAnsi="Arial"/>
          <w:sz w:val="20"/>
          <w:szCs w:val="20"/>
          <w:b w:val="1"/>
          <w:bCs w:val="1"/>
          <w:i w:val="1"/>
          <w:iCs w:val="1"/>
          <w:color w:val="auto"/>
        </w:rPr>
        <w:t>short form</w:t>
      </w:r>
      <w:r>
        <w:rPr>
          <w:rFonts w:ascii="Arial" w:cs="Arial" w:eastAsia="Arial" w:hAnsi="Arial"/>
          <w:sz w:val="20"/>
          <w:szCs w:val="20"/>
          <w:color w:val="auto"/>
        </w:rPr>
        <w:t>” memorandum of this Lease for recording purposes.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8" w:name="page359"/>
    <w:bookmarkEnd w:id="358"/>
    <w:p>
      <w:pPr>
        <w:jc w:val="both"/>
        <w:ind w:firstLine="648"/>
        <w:spacing w:after="0" w:line="239" w:lineRule="auto"/>
        <w:rPr>
          <w:sz w:val="20"/>
          <w:szCs w:val="20"/>
          <w:color w:val="auto"/>
        </w:rPr>
      </w:pPr>
      <w:r>
        <w:rPr>
          <w:rFonts w:ascii="Arial" w:cs="Arial" w:eastAsia="Arial" w:hAnsi="Arial"/>
          <w:sz w:val="22"/>
          <w:szCs w:val="22"/>
          <w:b w:val="1"/>
          <w:bCs w:val="1"/>
          <w:color w:val="auto"/>
        </w:rPr>
        <w:t>21.5. A</w:t>
      </w:r>
      <w:r>
        <w:rPr>
          <w:rFonts w:ascii="Arial" w:cs="Arial" w:eastAsia="Arial" w:hAnsi="Arial"/>
          <w:sz w:val="14"/>
          <w:szCs w:val="14"/>
          <w:b w:val="1"/>
          <w:bCs w:val="1"/>
          <w:color w:val="auto"/>
        </w:rPr>
        <w:t>MENDMENTS</w:t>
      </w:r>
      <w:r>
        <w:rPr>
          <w:rFonts w:ascii="Arial" w:cs="Arial" w:eastAsia="Arial" w:hAnsi="Arial"/>
          <w:sz w:val="22"/>
          <w:szCs w:val="22"/>
          <w:color w:val="auto"/>
        </w:rPr>
        <w:t>. No amendment or mutual termination of this Lease shall be effective unless in writing signed by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signatories of Tenant and Landlord, or by their respective successors in interest. No actions, policies, oral or informal arrangements, business dealings or other course of conduct by or between the parties shall be deemed to modify this Lease in any respect.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22. MISCELLANEOUS</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22.1. N</w:t>
      </w:r>
      <w:r>
        <w:rPr>
          <w:rFonts w:ascii="Arial" w:cs="Arial" w:eastAsia="Arial" w:hAnsi="Arial"/>
          <w:sz w:val="14"/>
          <w:szCs w:val="14"/>
          <w:b w:val="1"/>
          <w:bCs w:val="1"/>
          <w:color w:val="auto"/>
        </w:rPr>
        <w:t>ONDISCLOSURE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EASE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22"/>
          <w:szCs w:val="22"/>
          <w:color w:val="auto"/>
        </w:rPr>
        <w:t>. Tenant acknowledges that the content of this Lease and any related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are confidential information. Except to the extent disclosure is required by law, Tenant shall keep such confidential information strictly confidential and shall not disclose such confidential information to any person or entity other than Tenant’s financial, legal and space-planning consultants, provided, however, that Tenant may disclose the terms to prospective subtenants or assignees under this Lease or pursuant to legal requirement.</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color w:val="auto"/>
        </w:rPr>
        <w:t>22.2. T</w:t>
      </w:r>
      <w:r>
        <w:rPr>
          <w:rFonts w:ascii="Arial" w:cs="Arial" w:eastAsia="Arial" w:hAnsi="Arial"/>
          <w:sz w:val="13"/>
          <w:szCs w:val="13"/>
          <w:b w:val="1"/>
          <w:bCs w:val="1"/>
          <w:color w:val="auto"/>
        </w:rPr>
        <w:t>ENANT</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TATEMENTS</w:t>
      </w:r>
      <w:r>
        <w:rPr>
          <w:rFonts w:ascii="Arial" w:cs="Arial" w:eastAsia="Arial" w:hAnsi="Arial"/>
          <w:sz w:val="20"/>
          <w:szCs w:val="20"/>
          <w:color w:val="auto"/>
        </w:rPr>
        <w:t>. The application, financial statements and tax returns, if any, submitted and</w:t>
      </w:r>
      <w:r>
        <w:rPr>
          <w:rFonts w:ascii="Arial" w:cs="Arial" w:eastAsia="Arial" w:hAnsi="Arial"/>
          <w:sz w:val="20"/>
          <w:szCs w:val="20"/>
          <w:b w:val="1"/>
          <w:bCs w:val="1"/>
          <w:color w:val="auto"/>
        </w:rPr>
        <w:t xml:space="preserve"> </w:t>
      </w:r>
      <w:r>
        <w:rPr>
          <w:rFonts w:ascii="Arial" w:cs="Arial" w:eastAsia="Arial" w:hAnsi="Arial"/>
          <w:sz w:val="20"/>
          <w:szCs w:val="20"/>
          <w:color w:val="auto"/>
        </w:rPr>
        <w:t>certified to by Tenant as an accurate representation of its financial condition have been prepared, certified and submitted to Landlord as an inducement and consideration to Landlord to enter into this Lease. Tenant shall during the Term furnish Landlord with current annual financial statements accurately reflecting Tenant’s financial condition upon written request from Landlord within 10 days following Landlord’s request; provided, however, that so long as Tenant is a publicly traded corporation on a nationally recognized stock exchange, the foregoing obligation to deliver the statements shall be waived.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22.3. M</w:t>
      </w:r>
      <w:r>
        <w:rPr>
          <w:rFonts w:ascii="Arial" w:cs="Arial" w:eastAsia="Arial" w:hAnsi="Arial"/>
          <w:sz w:val="13"/>
          <w:szCs w:val="13"/>
          <w:b w:val="1"/>
          <w:bCs w:val="1"/>
          <w:color w:val="auto"/>
        </w:rPr>
        <w:t>ORTGAGEE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ROTECTION</w:t>
      </w:r>
      <w:r>
        <w:rPr>
          <w:rFonts w:ascii="Arial" w:cs="Arial" w:eastAsia="Arial" w:hAnsi="Arial"/>
          <w:sz w:val="20"/>
          <w:szCs w:val="20"/>
          <w:color w:val="auto"/>
        </w:rPr>
        <w:t>. No act or failure to act on the part of Landlord which would otherwise entitle Tenant to</w:t>
      </w:r>
      <w:r>
        <w:rPr>
          <w:rFonts w:ascii="Arial" w:cs="Arial" w:eastAsia="Arial" w:hAnsi="Arial"/>
          <w:sz w:val="20"/>
          <w:szCs w:val="20"/>
          <w:b w:val="1"/>
          <w:bCs w:val="1"/>
          <w:color w:val="auto"/>
        </w:rPr>
        <w:t xml:space="preserve"> </w:t>
      </w:r>
      <w:r>
        <w:rPr>
          <w:rFonts w:ascii="Arial" w:cs="Arial" w:eastAsia="Arial" w:hAnsi="Arial"/>
          <w:sz w:val="20"/>
          <w:szCs w:val="20"/>
          <w:color w:val="auto"/>
        </w:rPr>
        <w:t>be relieved of its obligations hereunder or to terminate this Lease shall result in such a release or termination unless (a) Tenant has given notice by registered or certified mail to any Mortgagee of a Mortgage covering the Building whose address has been furnished to Tenant and (b) such Mortgagee is afforded a reasonable opportunity to cure the default by Landlord (which shall in no event be less than 60 days), including, if necessary to effect the cure, time to obtain possession of the Building by power of sale or judicial foreclosure provided that such foreclosure remedy is diligently pursued. Tenant shall comply with any written directions by any Mortgagee to pay Rent due hereunder directly to such Mortgagee without determining whether a default exists under such Mortgagee’s Mortgage.</w:t>
      </w:r>
    </w:p>
    <w:p>
      <w:pPr>
        <w:spacing w:after="0" w:line="18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22.4. SDN UST</w:t>
      </w:r>
      <w:r>
        <w:rPr>
          <w:rFonts w:ascii="Arial" w:cs="Arial" w:eastAsia="Arial" w:hAnsi="Arial"/>
          <w:sz w:val="19"/>
          <w:szCs w:val="19"/>
          <w:color w:val="auto"/>
        </w:rPr>
        <w:t>. Tenant hereby represents and warrants that neither Tenant nor any officer, director, employee, partner,</w:t>
      </w:r>
      <w:r>
        <w:rPr>
          <w:rFonts w:ascii="Arial" w:cs="Arial" w:eastAsia="Arial" w:hAnsi="Arial"/>
          <w:sz w:val="19"/>
          <w:szCs w:val="19"/>
          <w:b w:val="1"/>
          <w:bCs w:val="1"/>
          <w:color w:val="auto"/>
        </w:rPr>
        <w:t xml:space="preserve"> </w:t>
      </w:r>
      <w:r>
        <w:rPr>
          <w:rFonts w:ascii="Arial" w:cs="Arial" w:eastAsia="Arial" w:hAnsi="Arial"/>
          <w:sz w:val="19"/>
          <w:szCs w:val="19"/>
          <w:color w:val="auto"/>
        </w:rPr>
        <w:t>member or other principal of Tenant (collectively, “</w:t>
      </w:r>
      <w:r>
        <w:rPr>
          <w:rFonts w:ascii="Arial" w:cs="Arial" w:eastAsia="Arial" w:hAnsi="Arial"/>
          <w:sz w:val="19"/>
          <w:szCs w:val="19"/>
          <w:b w:val="1"/>
          <w:bCs w:val="1"/>
          <w:i w:val="1"/>
          <w:iCs w:val="1"/>
          <w:color w:val="auto"/>
        </w:rPr>
        <w:t>Tenant Parties</w:t>
      </w:r>
      <w:r>
        <w:rPr>
          <w:rFonts w:ascii="Arial" w:cs="Arial" w:eastAsia="Arial" w:hAnsi="Arial"/>
          <w:sz w:val="19"/>
          <w:szCs w:val="19"/>
          <w:color w:val="auto"/>
        </w:rPr>
        <w:t>”) is listed as a Specially Designated National and Blocked Person (“</w:t>
      </w:r>
      <w:r>
        <w:rPr>
          <w:rFonts w:ascii="Arial" w:cs="Arial" w:eastAsia="Arial" w:hAnsi="Arial"/>
          <w:sz w:val="19"/>
          <w:szCs w:val="19"/>
          <w:b w:val="1"/>
          <w:bCs w:val="1"/>
          <w:i w:val="1"/>
          <w:iCs w:val="1"/>
          <w:color w:val="auto"/>
        </w:rPr>
        <w:t>SDN</w:t>
      </w:r>
      <w:r>
        <w:rPr>
          <w:rFonts w:ascii="Arial" w:cs="Arial" w:eastAsia="Arial" w:hAnsi="Arial"/>
          <w:sz w:val="19"/>
          <w:szCs w:val="19"/>
          <w:color w:val="auto"/>
        </w:rPr>
        <w:t>”) on the list of such persons and entities issued by the U.S. Treasury Office of Foreign Assets Control (OFAC). In the event Tenant or any Tenant Party is or becomes listed as an SDN, Tenant shall be deemed in breach of this Lease and Landlord shall have the right to terminate this Lease immediately upon written notice to Tenant.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TENANT:</w:t>
            </w:r>
          </w:p>
        </w:tc>
        <w:tc>
          <w:tcPr>
            <w:tcW w:w="0" w:type="dxa"/>
            <w:vAlign w:val="bottom"/>
          </w:tcPr>
          <w:p>
            <w:pPr>
              <w:spacing w:after="0"/>
              <w:rPr>
                <w:sz w:val="1"/>
                <w:szCs w:val="1"/>
                <w:color w:val="auto"/>
              </w:rPr>
            </w:pPr>
          </w:p>
        </w:tc>
      </w:tr>
      <w:tr>
        <w:trPr>
          <w:trHeight w:val="418"/>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HOST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EDIA</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LLC</w:t>
            </w:r>
            <w:r>
              <w:rPr>
                <w:rFonts w:ascii="Arial" w:cs="Arial" w:eastAsia="Arial" w:hAnsi="Arial"/>
                <w:sz w:val="18"/>
                <w:szCs w:val="18"/>
                <w:color w:val="auto"/>
              </w:rPr>
              <w:t>,</w:t>
            </w:r>
          </w:p>
        </w:tc>
        <w:tc>
          <w:tcPr>
            <w:tcW w:w="6160" w:type="dxa"/>
            <w:vAlign w:val="bottom"/>
            <w:gridSpan w:val="4"/>
          </w:tcPr>
          <w:p>
            <w:pPr>
              <w:ind w:left="1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RVINE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LLC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6160" w:type="dxa"/>
            <w:vAlign w:val="bottom"/>
            <w:gridSpan w:val="4"/>
          </w:tcPr>
          <w:p>
            <w:pPr>
              <w:ind w:left="1120"/>
              <w:spacing w:after="0"/>
              <w:rPr>
                <w:sz w:val="20"/>
                <w:szCs w:val="20"/>
                <w:color w:val="auto"/>
              </w:rPr>
            </w:pPr>
            <w:r>
              <w:rPr>
                <w:rFonts w:ascii="Arial" w:cs="Arial" w:eastAsia="Arial" w:hAnsi="Arial"/>
                <w:sz w:val="18"/>
                <w:szCs w:val="18"/>
                <w:color w:val="auto"/>
              </w:rPr>
              <w:t>a Delaware limited liability company</w:t>
            </w:r>
          </w:p>
        </w:tc>
        <w:tc>
          <w:tcPr>
            <w:tcW w:w="0" w:type="dxa"/>
            <w:vAlign w:val="bottom"/>
          </w:tcPr>
          <w:p>
            <w:pPr>
              <w:spacing w:after="0"/>
              <w:rPr>
                <w:sz w:val="1"/>
                <w:szCs w:val="1"/>
                <w:color w:val="auto"/>
              </w:rPr>
            </w:pPr>
          </w:p>
        </w:tc>
      </w:tr>
      <w:tr>
        <w:trPr>
          <w:trHeight w:val="453"/>
        </w:trPr>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M. Case</w:t>
            </w:r>
          </w:p>
        </w:tc>
        <w:tc>
          <w:tcPr>
            <w:tcW w:w="6160" w:type="dxa"/>
            <w:vAlign w:val="bottom"/>
            <w:gridSpan w:val="4"/>
          </w:tcPr>
          <w:p>
            <w:pPr>
              <w:ind w:left="11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Justin Hartfield</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4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Steven M. Case</w:t>
            </w:r>
          </w:p>
        </w:tc>
        <w:tc>
          <w:tcPr>
            <w:tcW w:w="1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8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w:t>
            </w:r>
          </w:p>
        </w:tc>
        <w:tc>
          <w:tcPr>
            <w:tcW w:w="6160" w:type="dxa"/>
            <w:vAlign w:val="bottom"/>
            <w:gridSpan w:val="4"/>
          </w:tcPr>
          <w:p>
            <w:pPr>
              <w:ind w:left="1120"/>
              <w:spacing w:after="0"/>
              <w:rPr>
                <w:sz w:val="20"/>
                <w:szCs w:val="20"/>
                <w:color w:val="auto"/>
              </w:rPr>
            </w:pPr>
            <w:r>
              <w:rPr>
                <w:rFonts w:ascii="Arial" w:cs="Arial" w:eastAsia="Arial" w:hAnsi="Arial"/>
                <w:sz w:val="18"/>
                <w:szCs w:val="18"/>
                <w:color w:val="auto"/>
              </w:rPr>
              <w:t>Printed Name  Justin Hartfield</w:t>
            </w:r>
          </w:p>
        </w:tc>
        <w:tc>
          <w:tcPr>
            <w:tcW w:w="0" w:type="dxa"/>
            <w:vAlign w:val="bottom"/>
          </w:tcPr>
          <w:p>
            <w:pPr>
              <w:spacing w:after="0"/>
              <w:rPr>
                <w:sz w:val="1"/>
                <w:szCs w:val="1"/>
                <w:color w:val="auto"/>
              </w:rPr>
            </w:pPr>
          </w:p>
        </w:tc>
      </w:tr>
      <w:tr>
        <w:trPr>
          <w:trHeight w:val="216"/>
        </w:trPr>
        <w:tc>
          <w:tcPr>
            <w:tcW w:w="5080" w:type="dxa"/>
            <w:vAlign w:val="bottom"/>
            <w:gridSpan w:val="2"/>
          </w:tcPr>
          <w:p>
            <w:pPr>
              <w:ind w:left="240"/>
              <w:spacing w:after="0"/>
              <w:rPr>
                <w:sz w:val="20"/>
                <w:szCs w:val="20"/>
                <w:color w:val="auto"/>
              </w:rPr>
            </w:pPr>
            <w:r>
              <w:rPr>
                <w:rFonts w:ascii="Arial" w:cs="Arial" w:eastAsia="Arial" w:hAnsi="Arial"/>
                <w:sz w:val="18"/>
                <w:szCs w:val="18"/>
                <w:color w:val="auto"/>
              </w:rPr>
              <w:t>Office Properties</w:t>
            </w:r>
          </w:p>
        </w:tc>
        <w:tc>
          <w:tcPr>
            <w:tcW w:w="2240" w:type="dxa"/>
            <w:vAlign w:val="bottom"/>
            <w:gridSpan w:val="3"/>
            <w:vMerge w:val="restart"/>
          </w:tcPr>
          <w:p>
            <w:pPr>
              <w:ind w:left="1120"/>
              <w:spacing w:after="0"/>
              <w:rPr>
                <w:sz w:val="20"/>
                <w:szCs w:val="20"/>
                <w:color w:val="auto"/>
              </w:rPr>
            </w:pPr>
            <w:r>
              <w:rPr>
                <w:rFonts w:ascii="Arial" w:cs="Arial" w:eastAsia="Arial" w:hAnsi="Arial"/>
                <w:sz w:val="18"/>
                <w:szCs w:val="18"/>
                <w:color w:val="auto"/>
                <w:w w:val="99"/>
              </w:rPr>
              <w:t>Title Manager</w:t>
            </w:r>
          </w:p>
        </w:tc>
        <w:tc>
          <w:tcPr>
            <w:tcW w:w="3920" w:type="dxa"/>
            <w:vAlign w:val="bottom"/>
            <w:tcBorders>
              <w:top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40" w:type="dxa"/>
            <w:vAlign w:val="bottom"/>
            <w:gridSpan w:val="3"/>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T. Bennett</w:t>
            </w:r>
          </w:p>
        </w:tc>
        <w:tc>
          <w:tcPr>
            <w:tcW w:w="1560" w:type="dxa"/>
            <w:vAlign w:val="bottom"/>
            <w:gridSpan w:val="2"/>
          </w:tcPr>
          <w:p>
            <w:pPr>
              <w:ind w:left="1120"/>
              <w:spacing w:after="0"/>
              <w:rPr>
                <w:sz w:val="20"/>
                <w:szCs w:val="20"/>
                <w:color w:val="auto"/>
              </w:rPr>
            </w:pPr>
            <w:r>
              <w:rPr>
                <w:rFonts w:ascii="Arial" w:cs="Arial" w:eastAsia="Arial" w:hAnsi="Arial"/>
                <w:sz w:val="18"/>
                <w:szCs w:val="18"/>
                <w:color w:val="auto"/>
              </w:rPr>
              <w:t>By</w:t>
            </w:r>
          </w:p>
        </w:tc>
        <w:tc>
          <w:tcPr>
            <w:tcW w:w="46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4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T. Bennett</w:t>
            </w:r>
          </w:p>
        </w:tc>
        <w:tc>
          <w:tcPr>
            <w:tcW w:w="1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80" w:type="dxa"/>
            <w:vAlign w:val="bottom"/>
            <w:gridSpan w:val="2"/>
          </w:tcPr>
          <w:p>
            <w:pPr>
              <w:ind w:left="240"/>
              <w:spacing w:after="0"/>
              <w:rPr>
                <w:sz w:val="20"/>
                <w:szCs w:val="20"/>
                <w:color w:val="auto"/>
              </w:rPr>
            </w:pPr>
            <w:r>
              <w:rPr>
                <w:rFonts w:ascii="Arial" w:cs="Arial" w:eastAsia="Arial" w:hAnsi="Arial"/>
                <w:sz w:val="18"/>
                <w:szCs w:val="18"/>
                <w:color w:val="auto"/>
              </w:rPr>
              <w:t>Senior Vice President, Operations,</w:t>
            </w:r>
          </w:p>
        </w:tc>
        <w:tc>
          <w:tcPr>
            <w:tcW w:w="2240" w:type="dxa"/>
            <w:vAlign w:val="bottom"/>
            <w:gridSpan w:val="3"/>
          </w:tcPr>
          <w:p>
            <w:pPr>
              <w:ind w:left="1120"/>
              <w:spacing w:after="0"/>
              <w:rPr>
                <w:sz w:val="20"/>
                <w:szCs w:val="20"/>
                <w:color w:val="auto"/>
              </w:rPr>
            </w:pPr>
            <w:r>
              <w:rPr>
                <w:rFonts w:ascii="Arial" w:cs="Arial" w:eastAsia="Arial" w:hAnsi="Arial"/>
                <w:sz w:val="18"/>
                <w:szCs w:val="18"/>
                <w:color w:val="auto"/>
                <w:w w:val="99"/>
              </w:rPr>
              <w:t>Printed Name</w:t>
            </w:r>
          </w:p>
        </w:tc>
        <w:tc>
          <w:tcPr>
            <w:tcW w:w="3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Office Properties</w:t>
            </w:r>
          </w:p>
        </w:tc>
        <w:tc>
          <w:tcPr>
            <w:tcW w:w="6160" w:type="dxa"/>
            <w:vAlign w:val="bottom"/>
            <w:gridSpan w:val="4"/>
            <w:vMerge w:val="restart"/>
          </w:tcPr>
          <w:p>
            <w:pPr>
              <w:ind w:left="11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1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PREMISES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 DISCOVERY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1" w:name="page362"/>
    <w:bookmarkEnd w:id="361"/>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Expenses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w:t>
      </w:r>
    </w:p>
    <w:p>
      <w:pPr>
        <w:spacing w:after="0" w:line="215" w:lineRule="exact"/>
        <w:rPr>
          <w:sz w:val="20"/>
          <w:szCs w:val="20"/>
          <w:color w:val="auto"/>
        </w:rPr>
      </w:pPr>
    </w:p>
    <w:p>
      <w:pPr>
        <w:jc w:val="both"/>
        <w:ind w:firstLine="656"/>
        <w:spacing w:after="0" w:line="270" w:lineRule="auto"/>
        <w:tabs>
          <w:tab w:leader="none" w:pos="1558" w:val="left"/>
        </w:tabs>
        <w:numPr>
          <w:ilvl w:val="1"/>
          <w:numId w:val="319"/>
        </w:numPr>
        <w:rPr>
          <w:rFonts w:ascii="Arial" w:cs="Arial" w:eastAsia="Arial" w:hAnsi="Arial"/>
          <w:sz w:val="19"/>
          <w:szCs w:val="19"/>
          <w:color w:val="auto"/>
        </w:rPr>
      </w:pPr>
      <w:r>
        <w:rPr>
          <w:rFonts w:ascii="Arial" w:cs="Arial" w:eastAsia="Arial" w:hAnsi="Arial"/>
          <w:sz w:val="19"/>
          <w:szCs w:val="19"/>
          <w:color w:val="auto"/>
        </w:rPr>
        <w:t>From and after the Commencement Date, Tenant shall pay to Landlord, as additional rent, Tenant’s Share of Operating Expenses, incurred by Landlord in the operation of the Building and the Project. The term “</w:t>
      </w:r>
      <w:r>
        <w:rPr>
          <w:rFonts w:ascii="Arial" w:cs="Arial" w:eastAsia="Arial" w:hAnsi="Arial"/>
          <w:sz w:val="19"/>
          <w:szCs w:val="19"/>
          <w:b w:val="1"/>
          <w:bCs w:val="1"/>
          <w:i w:val="1"/>
          <w:iCs w:val="1"/>
          <w:color w:val="auto"/>
        </w:rPr>
        <w:t>Tenant’s Share</w:t>
      </w:r>
      <w:r>
        <w:rPr>
          <w:rFonts w:ascii="Arial" w:cs="Arial" w:eastAsia="Arial" w:hAnsi="Arial"/>
          <w:sz w:val="19"/>
          <w:szCs w:val="19"/>
          <w:color w:val="auto"/>
        </w:rPr>
        <w:t>” means 100% of the Operating Expenses determined by Landlord to benefit or relate substantially to the Building, plus that portion of any Operating Expenses determined by multiplying the cost of such item by a fraction, the numerator of which is the Floor Area and the denominator of which is the total rentable square footage, as determined from time to time by Landlord, of (i) the Building, for expenses determined by Landlord to benefit or relate substantially to the Building rather than the entire Project, and</w:t>
      </w:r>
    </w:p>
    <w:p>
      <w:pPr>
        <w:spacing w:after="0" w:line="1" w:lineRule="exact"/>
        <w:rPr>
          <w:rFonts w:ascii="Arial" w:cs="Arial" w:eastAsia="Arial" w:hAnsi="Arial"/>
          <w:sz w:val="19"/>
          <w:szCs w:val="19"/>
          <w:color w:val="auto"/>
        </w:rPr>
      </w:pPr>
    </w:p>
    <w:p>
      <w:pPr>
        <w:jc w:val="both"/>
        <w:ind w:firstLine="8"/>
        <w:spacing w:after="0" w:line="270" w:lineRule="auto"/>
        <w:tabs>
          <w:tab w:leader="none" w:pos="34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all or some of the buildings in the Project, for expenses determined by Landlord to benefit or relate substantially to all or some of the buildings in the Project rather than any specific building. Notwithstanding the foregoing, for the initial 6 months of the Term of the Lease only, Tenant’s Share of Operating Expenses shall be reduced to 50% of the amount determined in the foregoing. Landlord reserves the right to allocate to the entire Project any Operating Expenses which may benefit or substantially relate to a particular building within the Project in order to maintain greater consistency of Operating Expenses among buildings within the Project. In the event that Landlord determines that the Premises or the Building incur a non-proportional benefit from any expense, or is the non-proportional cause of any such expense, Landlord may allocate a greater percentage of such Operating Expense to the Premises or the Building. In the event that any management and/or overhead fee payable or imposed by Landlord for the management of Tenant’s Premises is calculated as a percentage of the rent payable by Tenant and other tenants of Landlord, then the full amount of such management and/or overhead fee which is attributable to the rent paid by Tenant shall be additional rent payable by Tenant, in full, provided, however, that Landlord may elect to include such full amount as part of Tenant’s Share of Operating Expenses.</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656"/>
        <w:spacing w:after="0" w:line="272" w:lineRule="auto"/>
        <w:tabs>
          <w:tab w:leader="none" w:pos="1497" w:val="left"/>
        </w:tabs>
        <w:numPr>
          <w:ilvl w:val="1"/>
          <w:numId w:val="320"/>
        </w:numPr>
        <w:rPr>
          <w:rFonts w:ascii="Arial" w:cs="Arial" w:eastAsia="Arial" w:hAnsi="Arial"/>
          <w:sz w:val="19"/>
          <w:szCs w:val="19"/>
          <w:color w:val="auto"/>
        </w:rPr>
      </w:pPr>
      <w:r>
        <w:rPr>
          <w:rFonts w:ascii="Arial" w:cs="Arial" w:eastAsia="Arial" w:hAnsi="Arial"/>
          <w:sz w:val="19"/>
          <w:szCs w:val="19"/>
          <w:color w:val="auto"/>
        </w:rPr>
        <w:t>Landlord estimates that the amount of Tenant’s Share of Operating Expenses for the Expense Recovery Period ended June 30, 2014 shall be $.42 per rentable square foot of the Premises. Commencing prior to the start of the first full “</w:t>
      </w:r>
      <w:r>
        <w:rPr>
          <w:rFonts w:ascii="Arial" w:cs="Arial" w:eastAsia="Arial" w:hAnsi="Arial"/>
          <w:sz w:val="19"/>
          <w:szCs w:val="19"/>
          <w:b w:val="1"/>
          <w:bCs w:val="1"/>
          <w:i w:val="1"/>
          <w:iCs w:val="1"/>
          <w:color w:val="auto"/>
        </w:rPr>
        <w:t>Expense Recovery Period</w:t>
      </w:r>
      <w:r>
        <w:rPr>
          <w:rFonts w:ascii="Arial" w:cs="Arial" w:eastAsia="Arial" w:hAnsi="Arial"/>
          <w:sz w:val="19"/>
          <w:szCs w:val="19"/>
          <w:color w:val="auto"/>
        </w:rPr>
        <w:t>” of the Lease (as defined in Item 7 of the Basic Lease Provisions), and prior to the start of each full or partial Expense Recovery Period thereafter, Landlord shall give Tenant a written estimate of the amount of Tenant’s Share of Operating Expenses for the applicable Expense Recovery Period. Tenant shall pay the estimated amounts to Landlord in equal monthly installments, in advance, concurrently with payments of Basic Rent. If Landlord has not furnished its written estimate for any Expense Recovery Period by the time set forth above, Tenant shall continue to pay monthly the estimated Tenant’s Share of Operating Expenses in effect during the prior Expense Recovery Period; provided that when the new estimate is delivered to Tenant, Tenant shall, at the next monthly payment date, pay any accrued estimated Tenant’s Share of Operating Expenses based upon the new estimate. Not more than once in any calendar year, Landlord may from time to time change the Expense Recovery Period to reflect a calendar year or a new fiscal year of Landlord, as applicable, in which event Tenant’s Share of Operating Expenses shall be equitably prorated for any partial year.</w:t>
      </w:r>
    </w:p>
    <w:p>
      <w:pPr>
        <w:spacing w:after="0" w:line="187" w:lineRule="exact"/>
        <w:rPr>
          <w:rFonts w:ascii="Arial" w:cs="Arial" w:eastAsia="Arial" w:hAnsi="Arial"/>
          <w:sz w:val="19"/>
          <w:szCs w:val="19"/>
          <w:color w:val="auto"/>
        </w:rPr>
      </w:pPr>
    </w:p>
    <w:p>
      <w:pPr>
        <w:jc w:val="both"/>
        <w:ind w:firstLine="656"/>
        <w:spacing w:after="0" w:line="272" w:lineRule="auto"/>
        <w:tabs>
          <w:tab w:leader="none" w:pos="1349" w:val="left"/>
        </w:tabs>
        <w:numPr>
          <w:ilvl w:val="1"/>
          <w:numId w:val="320"/>
        </w:numPr>
        <w:rPr>
          <w:rFonts w:ascii="Arial" w:cs="Arial" w:eastAsia="Arial" w:hAnsi="Arial"/>
          <w:sz w:val="19"/>
          <w:szCs w:val="19"/>
          <w:color w:val="auto"/>
        </w:rPr>
      </w:pPr>
      <w:r>
        <w:rPr>
          <w:rFonts w:ascii="Arial" w:cs="Arial" w:eastAsia="Arial" w:hAnsi="Arial"/>
          <w:sz w:val="19"/>
          <w:szCs w:val="19"/>
          <w:color w:val="auto"/>
        </w:rPr>
        <w:t>Within 180 days after the end of each Expense Recovery Period, Landlord shall furnish to Tenant a statement (a “</w:t>
      </w:r>
      <w:r>
        <w:rPr>
          <w:rFonts w:ascii="Arial" w:cs="Arial" w:eastAsia="Arial" w:hAnsi="Arial"/>
          <w:sz w:val="19"/>
          <w:szCs w:val="19"/>
          <w:b w:val="1"/>
          <w:bCs w:val="1"/>
          <w:i w:val="1"/>
          <w:iCs w:val="1"/>
          <w:color w:val="auto"/>
        </w:rPr>
        <w:t>Reconciliation Statement</w:t>
      </w:r>
      <w:r>
        <w:rPr>
          <w:rFonts w:ascii="Arial" w:cs="Arial" w:eastAsia="Arial" w:hAnsi="Arial"/>
          <w:sz w:val="19"/>
          <w:szCs w:val="19"/>
          <w:color w:val="auto"/>
        </w:rPr>
        <w:t>”) showing in reasonable detail the actual or prorated Tenant’s Share of Operating Expenses incurred by Landlord during such Expense Recovery Period, and the parties shall within 30 days thereafter make any payment or allowance necessary to adjust Tenant’s estimated payments of Tenant’s Share of Operating Expenses, if any, to the actual Tenant’s Share of Operating Expenses as shown by the Reconciliation Statement. Any delay or failure by Landlord in delivering any Reconciliation Statement shall not constitute a waiver of Landlord’s right to require Tenant to pay Tenant’s Share of Operating Expenses pursuant hereto. Any amount due Tenant shall be credited against installments next coming due under this Exhibit B, and any deficiency shall be paid by Tenant together with the next installment. Should Tenant fail to object in writing to Landlord’s determination of Tenant’s Share of Operating Expenses, or fail to give written notice of its intent to audit Landlord’s Operating Expenses pursuant to the provisions of the next succeeding paragraph, within 120 days following delivery of Landlord’s Reconciliation Statement, Landlord’s determination of Tenant’s Share of Operating Expenses for the applicable Expense Recovery Period shall be conclusive and binding on Tenant for all purposes and any future claims by Tenant to the contrary shall be barred.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2" w:name="page363"/>
    <w:bookmarkEnd w:id="362"/>
    <w:p>
      <w:pPr>
        <w:jc w:val="both"/>
        <w:ind w:firstLine="648"/>
        <w:spacing w:after="0" w:line="269" w:lineRule="auto"/>
        <w:rPr>
          <w:sz w:val="20"/>
          <w:szCs w:val="20"/>
          <w:color w:val="auto"/>
        </w:rPr>
      </w:pPr>
      <w:r>
        <w:rPr>
          <w:rFonts w:ascii="Arial" w:cs="Arial" w:eastAsia="Arial" w:hAnsi="Arial"/>
          <w:sz w:val="19"/>
          <w:szCs w:val="19"/>
          <w:color w:val="auto"/>
        </w:rPr>
        <w:t>Provided no Default has occurred, Tenant shall have the right to cause a certified public accountant, engaged on a non-contingency fee basis, to audit Operating Expenses by inspecting Landlord’s general ledger of expenses not more than once during any Expense Recovery Period. However, to the extent that insurance premiums or any other component of Operating Expenses is determined by Landlord on the basis of an internal allocation of costs utilizing information Landlord in good faith deems proprietary, such expense component shall not be subject to audit so long as it does not exceed the amount per square foot typically imposed by landlords of other first class business parks in the vicinity of the Project. Tenant shall give notice to Landlord of Tenant’s intent to audit within 120 days after delivery of Landlord’s Reconciliation Statement which sets forth Tenant’s Share of Landlord’s actual Operating Expenses to Tenant Such audit shall be conducted at a mutually agreeable time during normal business hours at the office of Landlord or its management agent where such accounts are maintained. If Tenant’s audit determines that actual Operating Expenses have been overstated by more than 5%, then subject to Landlord’s right to review and/or contest the audit results, Landlord shall reimburse Tenant for the reasonable out-of-pocket costs of such audit. Tenant’s rent shall be appropriately adjusted to reflect any overstatement in Operating Expenses. All of the information obtained by Tenant and/or its auditor in connection with such audit, as well as any compromise, settlement, or adjustment reached between Landlord and Tenant as a result thereof, shall be held in strict confidence and, except as may be required pursuant to litigation, shall not be disclosed to any third party, directly or indirectly, by Tenant or its auditor or any of their officers, agents or employees. Landlord may require Tenant’s auditor to execute a separate confidentiality agreement affirming the foregoing as a condition precedent to any audit. In the event of a violation of this confidentiality covenant in connection with any audit, then in addition to any other legal or equitable remedy available to Landlord, Tenant shall forfeit its right to any reconciliation or cost reimbursement payment from Landlord due to said audit (and any such payment theretofore made by Landlord shall be promptly returned by Tenant), and Tenant shall have no further audit rights under this Lease. Notwithstanding the foregoing, Tenant shall have no right of audit with respect to any Expense Recovery Period unless the total Operating Expenses per square foot for such Expense Recovery Period, as set forth in Landlord’s annual Reconciliation Statement, exceed the total Operating Expenses per square foot during the initial Expense Recovery Period during the Term, as increased by the percentage change in the United States Department of Labor, Bureau of Labor Statistics, Consumer Price Index for all Urban Consumers, Los Angeles — Riverside — Orange County Area Average, all items (1982-84 = 100) (the “</w:t>
      </w:r>
      <w:r>
        <w:rPr>
          <w:rFonts w:ascii="Arial" w:cs="Arial" w:eastAsia="Arial" w:hAnsi="Arial"/>
          <w:sz w:val="19"/>
          <w:szCs w:val="19"/>
          <w:b w:val="1"/>
          <w:bCs w:val="1"/>
          <w:i w:val="1"/>
          <w:iCs w:val="1"/>
          <w:color w:val="auto"/>
        </w:rPr>
        <w:t>Index</w:t>
      </w:r>
      <w:r>
        <w:rPr>
          <w:rFonts w:ascii="Arial" w:cs="Arial" w:eastAsia="Arial" w:hAnsi="Arial"/>
          <w:sz w:val="19"/>
          <w:szCs w:val="19"/>
          <w:color w:val="auto"/>
        </w:rPr>
        <w:t>”), which change in the Index shall be measured by comparing the Index published for January of the initial Expense Recovery Period during the Term with the Index published for January of the applicable Expense Recovery Period.</w:t>
      </w:r>
    </w:p>
    <w:p>
      <w:pPr>
        <w:spacing w:after="0" w:line="200" w:lineRule="exact"/>
        <w:rPr>
          <w:sz w:val="20"/>
          <w:szCs w:val="20"/>
          <w:color w:val="auto"/>
        </w:rPr>
      </w:pPr>
    </w:p>
    <w:p>
      <w:pPr>
        <w:spacing w:after="0" w:line="237" w:lineRule="exact"/>
        <w:rPr>
          <w:sz w:val="20"/>
          <w:szCs w:val="20"/>
          <w:color w:val="auto"/>
        </w:rPr>
      </w:pPr>
    </w:p>
    <w:p>
      <w:pPr>
        <w:jc w:val="both"/>
        <w:ind w:firstLine="656"/>
        <w:spacing w:after="0" w:line="234" w:lineRule="auto"/>
        <w:tabs>
          <w:tab w:leader="none" w:pos="1447" w:val="left"/>
        </w:tabs>
        <w:numPr>
          <w:ilvl w:val="0"/>
          <w:numId w:val="321"/>
        </w:numPr>
        <w:rPr>
          <w:rFonts w:ascii="Arial" w:cs="Arial" w:eastAsia="Arial" w:hAnsi="Arial"/>
          <w:sz w:val="22"/>
          <w:szCs w:val="22"/>
          <w:color w:val="auto"/>
        </w:rPr>
      </w:pPr>
      <w:r>
        <w:rPr>
          <w:rFonts w:ascii="Arial" w:cs="Arial" w:eastAsia="Arial" w:hAnsi="Arial"/>
          <w:sz w:val="22"/>
          <w:szCs w:val="22"/>
          <w:color w:val="auto"/>
        </w:rPr>
        <w:t>Even though this Lease has terminated and the Tenant has vacated the Premises, when the final determination is made of Tenant’s Share of Operating Expenses for the Expense Recovery Period in which this Lease terminates, Tenant shall within 30 days of written notice pay the entire increase over the estimated Tenant’s Share of Operating Expenses already paid. Conversely, any overpayment by Tenant shall be rebated by Landlord to Tenant not later than 30 days after such final determination. However, in lieu thereof, Landlord may deliver a reasonable estimate of the anticipated reconciliation amount to Tenant prior to the Expiration Date of the Term, in which event the appropriate party shall fund the amount by the Expiration Date.</w:t>
      </w:r>
    </w:p>
    <w:p>
      <w:pPr>
        <w:spacing w:after="0" w:line="217" w:lineRule="exact"/>
        <w:rPr>
          <w:rFonts w:ascii="Arial" w:cs="Arial" w:eastAsia="Arial" w:hAnsi="Arial"/>
          <w:sz w:val="22"/>
          <w:szCs w:val="22"/>
          <w:color w:val="auto"/>
        </w:rPr>
      </w:pPr>
    </w:p>
    <w:p>
      <w:pPr>
        <w:jc w:val="both"/>
        <w:ind w:firstLine="656"/>
        <w:spacing w:after="0" w:line="245" w:lineRule="auto"/>
        <w:tabs>
          <w:tab w:leader="none" w:pos="1598" w:val="left"/>
        </w:tabs>
        <w:numPr>
          <w:ilvl w:val="0"/>
          <w:numId w:val="321"/>
        </w:numPr>
        <w:rPr>
          <w:rFonts w:ascii="Arial" w:cs="Arial" w:eastAsia="Arial" w:hAnsi="Arial"/>
          <w:sz w:val="21"/>
          <w:szCs w:val="21"/>
          <w:color w:val="auto"/>
        </w:rPr>
      </w:pPr>
      <w:r>
        <w:rPr>
          <w:rFonts w:ascii="Arial" w:cs="Arial" w:eastAsia="Arial" w:hAnsi="Arial"/>
          <w:sz w:val="21"/>
          <w:szCs w:val="21"/>
          <w:color w:val="auto"/>
        </w:rPr>
        <w:t>If, at any time during any Expense Recovery Period (but not more than once during each Expense Recovery Period), any one or more of the Operating Expenses are increased to a rate(s) or amount(s) in excess of the rate(s) or amount(s) used in calculating the estimated Tenant’s Share of Operating Expenses for the year, then the estimate of Tenants Share of Operating Expenses may be increased by written notice from Landlord for the month in which such rate(s) or amount(s) becomes effective and for all succeeding months by an amount equal to the estimated amount of Tenant’s Share of the increase. Landlord shall give Tenant written notice of the amount or estimated amount of the increase, the month in which the increase will become effective, Tenant’s Share thereof and the months for which the payments are due. Tenant shall pay the increase to Landlord as part of the Tenant’s monthly payments of estimated expenses as provided in paragraph (b) above, commencing with the month in which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3" w:name="page364"/>
    <w:bookmarkEnd w:id="363"/>
    <w:p>
      <w:pPr>
        <w:ind w:firstLine="656"/>
        <w:spacing w:after="0" w:line="251" w:lineRule="auto"/>
        <w:tabs>
          <w:tab w:leader="none" w:pos="150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i w:val="1"/>
          <w:iCs w:val="1"/>
          <w:color w:val="auto"/>
        </w:rPr>
        <w:t>Operating Expenses</w:t>
      </w:r>
      <w:r>
        <w:rPr>
          <w:rFonts w:ascii="Arial" w:cs="Arial" w:eastAsia="Arial" w:hAnsi="Arial"/>
          <w:sz w:val="22"/>
          <w:szCs w:val="22"/>
          <w:color w:val="auto"/>
        </w:rPr>
        <w:t>” shall mean and include all Project Costs, as defined in Section (g) below, and Property Taxes, as defined in Section (h) below.</w:t>
      </w:r>
    </w:p>
    <w:p>
      <w:pPr>
        <w:spacing w:after="0" w:line="200" w:lineRule="exact"/>
        <w:rPr>
          <w:rFonts w:ascii="Arial" w:cs="Arial" w:eastAsia="Arial" w:hAnsi="Arial"/>
          <w:sz w:val="22"/>
          <w:szCs w:val="22"/>
          <w:color w:val="auto"/>
        </w:rPr>
      </w:pPr>
    </w:p>
    <w:p>
      <w:pPr>
        <w:jc w:val="both"/>
        <w:ind w:firstLine="656"/>
        <w:spacing w:after="0" w:line="269" w:lineRule="auto"/>
        <w:tabs>
          <w:tab w:leader="none" w:pos="188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Project Costs</w:t>
      </w:r>
      <w:r>
        <w:rPr>
          <w:rFonts w:ascii="Arial" w:cs="Arial" w:eastAsia="Arial" w:hAnsi="Arial"/>
          <w:sz w:val="19"/>
          <w:szCs w:val="19"/>
          <w:color w:val="auto"/>
        </w:rPr>
        <w:t>” shall mean all expenses of operation, management, repair, replacement and maintenance of the Building and the Project, including without limitation all appurtenant Common Areas (as defined in Section 6.2 of the Lease), and shall include the following charges by way of illustration but not limitation: water and sewer charges; insurance premiums, deductibles, or reasonable premium equivalents or deductible equivalents should Landlord elect to self insure any risk that Landlord is authorized to insure hereunder; license, permit, and inspection fees; light; power, window washing; trash pickup; janitorial services to any interior Common Areas; heating, ventilating and air conditioning; supplies; materials; equipment; tools; reasonable fees for consulting services; access control/security costs, inclusive of the reasonable cost of improvements made to enhance access control systems and procedures; establishment of reasonable reserves for replacement of the roof of the Building; costs incurred in connection with compliance with any laws or changes in laws applicable to the Building or the Project; the cost of any capital improvements or replacements (other than tenant improvements for specific tenants) to the extent of the amortized amount thereof over the useful life of such capital improvements or replacements (or, if such capital improvements or replacements are anticipated to achieve a cost savings as to the Operating Expenses, any shorter estimated period of time over which the cost of the capital improvements or replacements would be recovered from the estimated cost savings) calculated at a market cost of funds, all as determined by Landlord, for each year of useful life or shorter recovery period of such capital expenditure whether such capital expenditure occurs during or prior to the Term; costs associated with the maintenance of an air conditioning, heating and ventilation service agreement, and maintenance of any communications or networked data transmission equipment, conduit, cabling, wiring and related telecommunications facilitating automation and control systems, remote telecommunication or data transmission infrastructure within the Building and/or the Project, and any other maintenance, repair and replacement costs associated with such infrastructure; capital costs associated with a requirement related to demands on utilities by Project tenants, including without limitation the cost to obtain additional voice, data and modem connections; labor; reasonably allocated wages and salaries, fringe benefits, and payroll taxes for administrative and other personnel directly applicable to the Building and/or Project, including both Landlord’s personnel and outside personnel; any expense incurred pursuant to Sections 6.1, 6.2, 7.2, 10.2, and Exhibits C and F of the Lease; and reasonable and market-competitive overhead and/or management fees for the professional operation of the Project. It is understood and agreed that Project Costs may include competitive charges for direct services (including, without limitation, management and/or operations services) provided by any subsidiary, division or affiliate of Landlord.</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firstLine="656"/>
        <w:spacing w:after="0" w:line="272" w:lineRule="auto"/>
        <w:tabs>
          <w:tab w:leader="none" w:pos="1419"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Property Taxes</w:t>
      </w:r>
      <w:r>
        <w:rPr>
          <w:rFonts w:ascii="Arial" w:cs="Arial" w:eastAsia="Arial" w:hAnsi="Arial"/>
          <w:sz w:val="19"/>
          <w:szCs w:val="19"/>
          <w:color w:val="auto"/>
        </w:rPr>
        <w:t>” as used herein shall include any form of federal, state, county or local government or municipal taxes, fees, charges or other impositions of every kind (whether general, special, ordinary or extraordinary) related to the ownership, leasing or operation of the Premises, Building or Project, including without limitation, the following: (i) all real estate taxes or personal property taxes levied against the Premises, the Building or Project, as such property taxes may be reassessed from time to time; and (ii) other taxes, charges and assessments which are levied with respect to this Lease or to the Building and/or the Project, and any improvements, fixtures and equipment and other property of Landlord located in the Building and/or the Project, (iii) all assessments and fees for public improvements, services, and facilities and impacts thereon, including without limitation arising out of any Community Facilities Districts, “Mello Roos” districts, similar assessment districts, and any traffic impact mitigation assessments or fees; (iv) any tax, surcharge or assessment which shall be levied in addition to or in lieu of real estate or personal property taxes, and (v) taxes based on the receipt of rent (including gross receipts or sales taxes applicable to the receipt of rent), and (vi) costs and expenses incurred in contesting the amount or validity of any Property Tax by appropriate proceedings. Notwithstanding the foregoing, general net income or franchise taxes imposed against Landlord shall be excluded.</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460" w:hanging="804"/>
        <w:spacing w:after="0"/>
        <w:tabs>
          <w:tab w:leader="none" w:pos="146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Notwithstanding the foregoing provisions of this Exhibit B, Operating Expenses shall exclude the following:</w:t>
      </w:r>
    </w:p>
    <w:p>
      <w:pPr>
        <w:spacing w:after="0" w:line="267" w:lineRule="exact"/>
        <w:rPr>
          <w:rFonts w:ascii="Arial" w:cs="Arial" w:eastAsia="Arial" w:hAnsi="Arial"/>
          <w:sz w:val="19"/>
          <w:szCs w:val="19"/>
          <w:color w:val="auto"/>
        </w:rPr>
      </w:pPr>
    </w:p>
    <w:p>
      <w:pPr>
        <w:ind w:left="2280" w:hanging="976"/>
        <w:spacing w:after="0"/>
        <w:tabs>
          <w:tab w:leader="none" w:pos="2280" w:val="left"/>
        </w:tabs>
        <w:numPr>
          <w:ilvl w:val="1"/>
          <w:numId w:val="322"/>
        </w:numPr>
        <w:rPr>
          <w:rFonts w:ascii="Arial" w:cs="Arial" w:eastAsia="Arial" w:hAnsi="Arial"/>
          <w:sz w:val="19"/>
          <w:szCs w:val="19"/>
          <w:color w:val="auto"/>
        </w:rPr>
      </w:pPr>
      <w:r>
        <w:rPr>
          <w:rFonts w:ascii="Arial" w:cs="Arial" w:eastAsia="Arial" w:hAnsi="Arial"/>
          <w:sz w:val="19"/>
          <w:szCs w:val="19"/>
          <w:color w:val="auto"/>
        </w:rPr>
        <w:t>All costs and expenses of operation of any child care, health club, restaurants and retail space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Building;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4" w:name="page365"/>
    <w:bookmarkEnd w:id="364"/>
    <w:p>
      <w:pPr>
        <w:jc w:val="both"/>
        <w:ind w:firstLine="1304"/>
        <w:spacing w:after="0" w:line="287" w:lineRule="auto"/>
        <w:tabs>
          <w:tab w:leader="none" w:pos="217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Costs include wages and/or benefits attributable to personnel above the level of portfolio property manager or chief engineer;</w:t>
      </w:r>
    </w:p>
    <w:p>
      <w:pPr>
        <w:spacing w:after="0" w:line="170" w:lineRule="exact"/>
        <w:rPr>
          <w:rFonts w:ascii="Arial" w:cs="Arial" w:eastAsia="Arial" w:hAnsi="Arial"/>
          <w:sz w:val="19"/>
          <w:szCs w:val="19"/>
          <w:color w:val="auto"/>
        </w:rPr>
      </w:pPr>
    </w:p>
    <w:p>
      <w:pPr>
        <w:ind w:left="2100" w:hanging="796"/>
        <w:spacing w:after="0"/>
        <w:tabs>
          <w:tab w:leader="none" w:pos="210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Interest on debt or amortization on any Mortgage or Mortgages encumbering the Building;</w:t>
      </w:r>
    </w:p>
    <w:p>
      <w:pPr>
        <w:spacing w:after="0" w:line="233" w:lineRule="exact"/>
        <w:rPr>
          <w:rFonts w:ascii="Arial" w:cs="Arial" w:eastAsia="Arial" w:hAnsi="Arial"/>
          <w:sz w:val="22"/>
          <w:szCs w:val="22"/>
          <w:color w:val="auto"/>
        </w:rPr>
      </w:pPr>
    </w:p>
    <w:p>
      <w:pPr>
        <w:jc w:val="both"/>
        <w:ind w:firstLine="1304"/>
        <w:spacing w:after="0"/>
        <w:tabs>
          <w:tab w:leader="none" w:pos="214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All costs relating to activities for the marketing, solicitation and execution or renewal of leases of space in the Project, including, without limitation, accounting and legal fees, advertising, printing costs and brochures, space planning, tenant allowances, leasehold improvements and other tenant concessions;</w:t>
      </w:r>
    </w:p>
    <w:p>
      <w:pPr>
        <w:spacing w:after="0" w:line="213" w:lineRule="exact"/>
        <w:rPr>
          <w:rFonts w:ascii="Arial" w:cs="Arial" w:eastAsia="Arial" w:hAnsi="Arial"/>
          <w:sz w:val="22"/>
          <w:szCs w:val="22"/>
          <w:color w:val="auto"/>
        </w:rPr>
      </w:pPr>
    </w:p>
    <w:p>
      <w:pPr>
        <w:ind w:firstLine="1304"/>
        <w:spacing w:after="0" w:line="328" w:lineRule="auto"/>
        <w:tabs>
          <w:tab w:leader="none" w:pos="208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Costs associated with the sale or refinancing of the Project, including, without limitation, attorneys’ fees, accounting costs, closing costs, consulting or brokerage commissions, origination fees or points, and interest cost or charges;</w:t>
      </w:r>
    </w:p>
    <w:p>
      <w:pPr>
        <w:spacing w:after="0" w:line="131" w:lineRule="exact"/>
        <w:rPr>
          <w:rFonts w:ascii="Arial" w:cs="Arial" w:eastAsia="Arial" w:hAnsi="Arial"/>
          <w:sz w:val="19"/>
          <w:szCs w:val="19"/>
          <w:color w:val="auto"/>
        </w:rPr>
      </w:pPr>
    </w:p>
    <w:p>
      <w:pPr>
        <w:ind w:firstLine="1304"/>
        <w:spacing w:after="0" w:line="250" w:lineRule="auto"/>
        <w:tabs>
          <w:tab w:leader="none" w:pos="2181" w:val="left"/>
        </w:tabs>
        <w:numPr>
          <w:ilvl w:val="0"/>
          <w:numId w:val="323"/>
        </w:numPr>
        <w:rPr>
          <w:rFonts w:ascii="Arial" w:cs="Arial" w:eastAsia="Arial" w:hAnsi="Arial"/>
          <w:sz w:val="22"/>
          <w:szCs w:val="22"/>
          <w:color w:val="auto"/>
        </w:rPr>
      </w:pPr>
      <w:r>
        <w:rPr>
          <w:rFonts w:ascii="Arial" w:cs="Arial" w:eastAsia="Arial" w:hAnsi="Arial"/>
          <w:sz w:val="22"/>
          <w:szCs w:val="22"/>
          <w:color w:val="auto"/>
        </w:rPr>
        <w:t>Costs associated with the acquisition of the fee, ground lease (including payments due under a ground lease), air rights or development rights with respect to the Project;</w:t>
      </w:r>
    </w:p>
    <w:p>
      <w:pPr>
        <w:spacing w:after="0" w:line="201" w:lineRule="exact"/>
        <w:rPr>
          <w:rFonts w:ascii="Arial" w:cs="Arial" w:eastAsia="Arial" w:hAnsi="Arial"/>
          <w:sz w:val="22"/>
          <w:szCs w:val="22"/>
          <w:color w:val="auto"/>
        </w:rPr>
      </w:pPr>
    </w:p>
    <w:p>
      <w:pPr>
        <w:ind w:firstLine="1304"/>
        <w:spacing w:after="0" w:line="250" w:lineRule="auto"/>
        <w:tabs>
          <w:tab w:leader="none" w:pos="2235" w:val="left"/>
        </w:tabs>
        <w:numPr>
          <w:ilvl w:val="0"/>
          <w:numId w:val="323"/>
        </w:numPr>
        <w:rPr>
          <w:rFonts w:ascii="Arial" w:cs="Arial" w:eastAsia="Arial" w:hAnsi="Arial"/>
          <w:sz w:val="22"/>
          <w:szCs w:val="22"/>
          <w:color w:val="auto"/>
        </w:rPr>
      </w:pPr>
      <w:r>
        <w:rPr>
          <w:rFonts w:ascii="Arial" w:cs="Arial" w:eastAsia="Arial" w:hAnsi="Arial"/>
          <w:sz w:val="22"/>
          <w:szCs w:val="22"/>
          <w:color w:val="auto"/>
        </w:rPr>
        <w:t>Cost of decorating, redecorating, or tenant installations incurred in connection with preparing rentable space for a new tenant (or retaining a tenant);</w:t>
      </w:r>
    </w:p>
    <w:p>
      <w:pPr>
        <w:spacing w:after="0" w:line="201" w:lineRule="exact"/>
        <w:rPr>
          <w:rFonts w:ascii="Arial" w:cs="Arial" w:eastAsia="Arial" w:hAnsi="Arial"/>
          <w:sz w:val="22"/>
          <w:szCs w:val="22"/>
          <w:color w:val="auto"/>
        </w:rPr>
      </w:pPr>
    </w:p>
    <w:p>
      <w:pPr>
        <w:ind w:firstLine="1304"/>
        <w:spacing w:after="0" w:line="250" w:lineRule="auto"/>
        <w:tabs>
          <w:tab w:leader="none" w:pos="2244" w:val="left"/>
        </w:tabs>
        <w:numPr>
          <w:ilvl w:val="0"/>
          <w:numId w:val="323"/>
        </w:numPr>
        <w:rPr>
          <w:rFonts w:ascii="Arial" w:cs="Arial" w:eastAsia="Arial" w:hAnsi="Arial"/>
          <w:sz w:val="22"/>
          <w:szCs w:val="22"/>
          <w:color w:val="auto"/>
        </w:rPr>
      </w:pPr>
      <w:r>
        <w:rPr>
          <w:rFonts w:ascii="Arial" w:cs="Arial" w:eastAsia="Arial" w:hAnsi="Arial"/>
          <w:sz w:val="22"/>
          <w:szCs w:val="22"/>
          <w:color w:val="auto"/>
        </w:rPr>
        <w:t>Expenses in connection with services or other benefits which are not provided to Tenant or for which Tenant is charged for directly but which are provided to another tenant or occupant of the Project;</w:t>
      </w:r>
    </w:p>
    <w:p>
      <w:pPr>
        <w:spacing w:after="0" w:line="201" w:lineRule="exact"/>
        <w:rPr>
          <w:rFonts w:ascii="Arial" w:cs="Arial" w:eastAsia="Arial" w:hAnsi="Arial"/>
          <w:sz w:val="22"/>
          <w:szCs w:val="22"/>
          <w:color w:val="auto"/>
        </w:rPr>
      </w:pPr>
    </w:p>
    <w:p>
      <w:pPr>
        <w:jc w:val="both"/>
        <w:ind w:firstLine="1304"/>
        <w:spacing w:after="0"/>
        <w:tabs>
          <w:tab w:leader="none" w:pos="2073" w:val="left"/>
        </w:tabs>
        <w:numPr>
          <w:ilvl w:val="0"/>
          <w:numId w:val="323"/>
        </w:numPr>
        <w:rPr>
          <w:rFonts w:ascii="Arial" w:cs="Arial" w:eastAsia="Arial" w:hAnsi="Arial"/>
          <w:sz w:val="22"/>
          <w:szCs w:val="22"/>
          <w:color w:val="auto"/>
        </w:rPr>
      </w:pPr>
      <w:r>
        <w:rPr>
          <w:rFonts w:ascii="Arial" w:cs="Arial" w:eastAsia="Arial" w:hAnsi="Arial"/>
          <w:sz w:val="22"/>
          <w:szCs w:val="22"/>
          <w:color w:val="auto"/>
        </w:rPr>
        <w:t>Costs incurred by Landlord for repairs, replacements and/or restoration to or of the Building to the extent that Landlord is actually reimbursed by insurance or condemnation proceeds or by tenants (other than through Operating Expense pass-through), warrantors or other third persons;</w:t>
      </w:r>
    </w:p>
    <w:p>
      <w:pPr>
        <w:spacing w:after="0" w:line="213" w:lineRule="exact"/>
        <w:rPr>
          <w:rFonts w:ascii="Arial" w:cs="Arial" w:eastAsia="Arial" w:hAnsi="Arial"/>
          <w:sz w:val="22"/>
          <w:szCs w:val="22"/>
          <w:color w:val="auto"/>
        </w:rPr>
      </w:pPr>
    </w:p>
    <w:p>
      <w:pPr>
        <w:jc w:val="both"/>
        <w:ind w:firstLine="1304"/>
        <w:spacing w:after="0" w:line="297" w:lineRule="auto"/>
        <w:tabs>
          <w:tab w:leader="none" w:pos="21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Costs incurred by Landlord for improvements or replacements (including structural additions), repairs, equipment and tools which are of a “</w:t>
      </w:r>
      <w:r>
        <w:rPr>
          <w:rFonts w:ascii="Arial" w:cs="Arial" w:eastAsia="Arial" w:hAnsi="Arial"/>
          <w:sz w:val="19"/>
          <w:szCs w:val="19"/>
          <w:b w:val="1"/>
          <w:bCs w:val="1"/>
          <w:i w:val="1"/>
          <w:iCs w:val="1"/>
          <w:color w:val="auto"/>
        </w:rPr>
        <w:t>capital</w:t>
      </w:r>
      <w:r>
        <w:rPr>
          <w:rFonts w:ascii="Arial" w:cs="Arial" w:eastAsia="Arial" w:hAnsi="Arial"/>
          <w:sz w:val="19"/>
          <w:szCs w:val="19"/>
          <w:color w:val="auto"/>
        </w:rPr>
        <w:t>” nature and/or which are considered “</w:t>
      </w:r>
      <w:r>
        <w:rPr>
          <w:rFonts w:ascii="Arial" w:cs="Arial" w:eastAsia="Arial" w:hAnsi="Arial"/>
          <w:sz w:val="19"/>
          <w:szCs w:val="19"/>
          <w:b w:val="1"/>
          <w:bCs w:val="1"/>
          <w:i w:val="1"/>
          <w:iCs w:val="1"/>
          <w:color w:val="auto"/>
        </w:rPr>
        <w:t>capital</w:t>
      </w:r>
      <w:r>
        <w:rPr>
          <w:rFonts w:ascii="Arial" w:cs="Arial" w:eastAsia="Arial" w:hAnsi="Arial"/>
          <w:sz w:val="19"/>
          <w:szCs w:val="19"/>
          <w:color w:val="auto"/>
        </w:rPr>
        <w:t>” improvements or replacements under GAAP, except to the extent included in Project Costs by the express terms of Section (f) of this Exhibit B;</w:t>
      </w:r>
    </w:p>
    <w:p>
      <w:pPr>
        <w:spacing w:after="0" w:line="160" w:lineRule="exact"/>
        <w:rPr>
          <w:rFonts w:ascii="Arial" w:cs="Arial" w:eastAsia="Arial" w:hAnsi="Arial"/>
          <w:sz w:val="19"/>
          <w:szCs w:val="19"/>
          <w:color w:val="auto"/>
        </w:rPr>
      </w:pPr>
    </w:p>
    <w:p>
      <w:pPr>
        <w:jc w:val="both"/>
        <w:ind w:firstLine="1304"/>
        <w:spacing w:after="0" w:line="238" w:lineRule="auto"/>
        <w:tabs>
          <w:tab w:leader="none" w:pos="209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Overhead and profit increments paid to subsidiaries or affiliates of Landlord for services provided to the Building or any other portion of the Project to the extent the same exceeds the costs that would generally be charged for such services if rendered on a competitive basis (based upon a standard of similar office buildings in the general market area of the Premises) by unaffiliated third parties capable of providing such service;</w:t>
      </w:r>
    </w:p>
    <w:p>
      <w:pPr>
        <w:spacing w:after="0" w:line="211" w:lineRule="exact"/>
        <w:rPr>
          <w:rFonts w:ascii="Arial" w:cs="Arial" w:eastAsia="Arial" w:hAnsi="Arial"/>
          <w:sz w:val="22"/>
          <w:szCs w:val="22"/>
          <w:color w:val="auto"/>
        </w:rPr>
      </w:pPr>
    </w:p>
    <w:p>
      <w:pPr>
        <w:ind w:left="2100" w:hanging="796"/>
        <w:spacing w:after="0"/>
        <w:tabs>
          <w:tab w:leader="none" w:pos="210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cost of alterations of rentable space in the Building leased to Tenant and other tenants;</w:t>
      </w:r>
    </w:p>
    <w:p>
      <w:pPr>
        <w:spacing w:after="0" w:line="233" w:lineRule="exact"/>
        <w:rPr>
          <w:rFonts w:ascii="Arial" w:cs="Arial" w:eastAsia="Arial" w:hAnsi="Arial"/>
          <w:sz w:val="22"/>
          <w:szCs w:val="22"/>
          <w:color w:val="auto"/>
        </w:rPr>
      </w:pPr>
    </w:p>
    <w:p>
      <w:pPr>
        <w:ind w:left="2420" w:hanging="1116"/>
        <w:spacing w:after="0"/>
        <w:tabs>
          <w:tab w:leader="none" w:pos="242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Costs arising from the gross negligence or intentional misconduct of Landlord or its employees,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contractors or agents,</w:t>
      </w:r>
    </w:p>
    <w:p>
      <w:pPr>
        <w:spacing w:after="0" w:line="215" w:lineRule="exact"/>
        <w:rPr>
          <w:rFonts w:ascii="Arial" w:cs="Arial" w:eastAsia="Arial" w:hAnsi="Arial"/>
          <w:sz w:val="19"/>
          <w:szCs w:val="19"/>
          <w:color w:val="auto"/>
        </w:rPr>
      </w:pPr>
    </w:p>
    <w:p>
      <w:pPr>
        <w:jc w:val="both"/>
        <w:ind w:firstLine="1304"/>
        <w:spacing w:after="0" w:line="279" w:lineRule="auto"/>
        <w:tabs>
          <w:tab w:leader="none" w:pos="210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Costs incurred to remove, remedy, contain, or treat any hazardous material, which hazardous material is brought onto the Project (A) before the date of this Lease and (B) after the date hereof by Landlord or any other tenant of the Project or any other person other than Tenant, its employees, agents, licensees, subtenants or invitees, and is of such a nature, at that time, that a federal, state or municipal governmental authority, if it had then had knowledge of the presence of such hazardous material, in the state, and under the conditions, that it then exists on the Project, would have then required the removal of such hazardous material or other remedial or containment action with respect thereto;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5" w:name="page366"/>
    <w:bookmarkEnd w:id="365"/>
    <w:p>
      <w:pPr>
        <w:ind w:left="2280" w:hanging="976"/>
        <w:spacing w:after="0"/>
        <w:tabs>
          <w:tab w:leader="none" w:pos="2280" w:val="left"/>
        </w:tabs>
        <w:numPr>
          <w:ilvl w:val="0"/>
          <w:numId w:val="324"/>
        </w:numPr>
        <w:rPr>
          <w:rFonts w:ascii="Arial" w:cs="Arial" w:eastAsia="Arial" w:hAnsi="Arial"/>
          <w:sz w:val="19"/>
          <w:szCs w:val="19"/>
          <w:color w:val="auto"/>
        </w:rPr>
      </w:pPr>
      <w:r>
        <w:rPr>
          <w:rFonts w:ascii="Arial" w:cs="Arial" w:eastAsia="Arial" w:hAnsi="Arial"/>
          <w:sz w:val="19"/>
          <w:szCs w:val="19"/>
          <w:color w:val="auto"/>
        </w:rPr>
        <w:t>Penalties and interest charges as a result of Landlord not paying bills when due or within any grace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15" w:lineRule="exact"/>
        <w:rPr>
          <w:sz w:val="20"/>
          <w:szCs w:val="20"/>
          <w:color w:val="auto"/>
        </w:rPr>
      </w:pPr>
    </w:p>
    <w:p>
      <w:pPr>
        <w:ind w:left="2100" w:hanging="796"/>
        <w:spacing w:after="0"/>
        <w:tabs>
          <w:tab w:leader="none" w:pos="21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Ground rent or similar payments to a ground lessor;</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Costs related to Landlord’s charitable or political contributions;</w:t>
      </w:r>
    </w:p>
    <w:p>
      <w:pPr>
        <w:spacing w:after="0" w:line="233" w:lineRule="exact"/>
        <w:rPr>
          <w:rFonts w:ascii="Arial" w:cs="Arial" w:eastAsia="Arial" w:hAnsi="Arial"/>
          <w:sz w:val="22"/>
          <w:szCs w:val="22"/>
          <w:color w:val="auto"/>
        </w:rPr>
      </w:pPr>
    </w:p>
    <w:p>
      <w:pPr>
        <w:jc w:val="both"/>
        <w:ind w:firstLine="1304"/>
        <w:spacing w:after="0" w:line="287" w:lineRule="auto"/>
        <w:tabs>
          <w:tab w:leader="none" w:pos="2097"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Attorneys’ fees and other costs and expenses incurred in connection with negotiations or disputes with present or prospective tenants or other occupants of the Project, except those attorneys’ fees and other costs and expenses incurred in connection with negotiations, disputes or claims relating to items of Operating Expenses, enforcement of rules and regulations of the Project and such other matters relating to the maintenance of standards required of Landlord;</w:t>
      </w:r>
    </w:p>
    <w:p>
      <w:pPr>
        <w:spacing w:after="0" w:line="169" w:lineRule="exact"/>
        <w:rPr>
          <w:rFonts w:ascii="Arial" w:cs="Arial" w:eastAsia="Arial" w:hAnsi="Arial"/>
          <w:sz w:val="19"/>
          <w:szCs w:val="19"/>
          <w:color w:val="auto"/>
        </w:rPr>
      </w:pPr>
    </w:p>
    <w:p>
      <w:pPr>
        <w:ind w:left="2180" w:hanging="876"/>
        <w:spacing w:after="0"/>
        <w:tabs>
          <w:tab w:leader="none" w:pos="218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Damage and repairs due to Landlord’s, its employees’, servants’ or agents’, gross negligence or willful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misconduct;</w:t>
      </w:r>
    </w:p>
    <w:p>
      <w:pPr>
        <w:spacing w:after="0" w:line="215" w:lineRule="exact"/>
        <w:rPr>
          <w:rFonts w:ascii="Arial" w:cs="Arial" w:eastAsia="Arial" w:hAnsi="Arial"/>
          <w:sz w:val="19"/>
          <w:szCs w:val="19"/>
          <w:color w:val="auto"/>
        </w:rPr>
      </w:pPr>
    </w:p>
    <w:p>
      <w:pPr>
        <w:ind w:left="2400" w:hanging="1096"/>
        <w:spacing w:after="0"/>
        <w:tabs>
          <w:tab w:leader="none" w:pos="2400" w:val="left"/>
        </w:tabs>
        <w:numPr>
          <w:ilvl w:val="0"/>
          <w:numId w:val="325"/>
        </w:numPr>
        <w:rPr>
          <w:rFonts w:ascii="Arial" w:cs="Arial" w:eastAsia="Arial" w:hAnsi="Arial"/>
          <w:sz w:val="21"/>
          <w:szCs w:val="21"/>
          <w:color w:val="auto"/>
        </w:rPr>
      </w:pPr>
      <w:r>
        <w:rPr>
          <w:rFonts w:ascii="Arial" w:cs="Arial" w:eastAsia="Arial" w:hAnsi="Arial"/>
          <w:sz w:val="21"/>
          <w:szCs w:val="21"/>
          <w:color w:val="auto"/>
        </w:rPr>
        <w:t>Electric power costs or other utility costs for which any tenant directly contracts with the utility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 and</w:t>
      </w:r>
    </w:p>
    <w:p>
      <w:pPr>
        <w:spacing w:after="0" w:line="215" w:lineRule="exact"/>
        <w:rPr>
          <w:rFonts w:ascii="Arial" w:cs="Arial" w:eastAsia="Arial" w:hAnsi="Arial"/>
          <w:sz w:val="21"/>
          <w:szCs w:val="21"/>
          <w:color w:val="auto"/>
        </w:rPr>
      </w:pPr>
    </w:p>
    <w:p>
      <w:pPr>
        <w:jc w:val="both"/>
        <w:ind w:firstLine="1304"/>
        <w:spacing w:after="0" w:line="279" w:lineRule="auto"/>
        <w:tabs>
          <w:tab w:leader="none" w:pos="2249"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All costs associated with the operation of the business of the ownership or entity which constitutes “Landlord”, as distinguished from the costs of operating, maintaining, repairing, replacing and managing the Building or Project, including, but not limited to, partnership accounting and legal matters, costs of defending any lawsuits with any mortgagee (except as the actions of Tenant may be in issue), costs of selling, syndicating, financing, mortgaging or hypothecating any of Landlord’s interest in the Building, costs of any disputes between Landlord and its employees (if any) not engaged in Building operation, disputes of Landlord with Building management, or outside fees paid in connection with disputes with other tenants.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It is understood that Operating Costs shall be reduced by all cash discounts, trade discounts, or quantity discounts received by Landlord or Landlord’s managing agent in the purchase of any goods, utilities, or services in connection with the operation of the Building. Landlord shall make payments for goods, utilities and services in a timely manner to obtain the maximum possible discount. In the calculation of any expenses hereunder, it is understood that no expense shall be charged more than once. Landlord shall use its best efforts to effect an equitable proration of bills for services rendered to the Building and to any other property owned by Landlord. Landlord agrees to keep books and records showing the Operating Costs in accordance with a system of accounts and accounting practices consistently maintained on a year-to-year basis.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UTILITIES AND SERVICE</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Tenant shall be responsible for and shall pay promptly, directly to the appropriate supplier, all charges for electricity metered to the Premises, telephone, telecommunications service, janitorial service, interior landscape maintenance and all other utilities, materials and services furnished directly to Tenant or the Premises or used by Tenant in, on or about the Premises during the Term, together with any taxes thereon. Landlord shall make a reasonable determination of Tenant’s proportionate share of the cost of water, gas, sewer, refuse pickup and any other utilities and services that are not separately metered to the Premises and services, and Tenant shall pay such amount to Landlord, as an item of additional rent, within 10 days after delivery of Landlord’s statement or invoice therefor. Alternatively, Landlord may elect to include such cost in the definition of Project Costs in which event Tenant shall pay Tenant’s proportionate share of such costs in the manner set forth in Section 4.2. Tenant shall also pay to Landlord as an item of additional rent, within 10 days after delivery of Landlord’s statement or invoice therefor, Landlord’s “standard charges” (as hereinafter defined, which shall be in addition to the electricity charge paid to the utility provider) for “after hours” usage by Tenant of each HVAC unit servicing the Premises. “After hours” shall mean more than 3,396 hours of usage during each calendar year of the Term, as equitably prorated for any partial calendar year. “</w:t>
      </w:r>
      <w:r>
        <w:rPr>
          <w:rFonts w:ascii="Arial" w:cs="Arial" w:eastAsia="Arial" w:hAnsi="Arial"/>
          <w:sz w:val="19"/>
          <w:szCs w:val="19"/>
          <w:b w:val="1"/>
          <w:bCs w:val="1"/>
          <w:color w:val="auto"/>
        </w:rPr>
        <w:t>After hours</w:t>
      </w:r>
      <w:r>
        <w:rPr>
          <w:rFonts w:ascii="Arial" w:cs="Arial" w:eastAsia="Arial" w:hAnsi="Arial"/>
          <w:sz w:val="19"/>
          <w:szCs w:val="19"/>
          <w:color w:val="auto"/>
        </w:rPr>
        <w:t>” usage shall be determined based upon the operation of the applicable HVAC unit during each calendar year on a “non-cumulative” basis (that is, without regard to Tenant’s usage or nonusage of other unit(s) serving the Premises, or of the applicable unit during other years of the Term). As used herein, “</w:t>
      </w:r>
      <w:r>
        <w:rPr>
          <w:rFonts w:ascii="Arial" w:cs="Arial" w:eastAsia="Arial" w:hAnsi="Arial"/>
          <w:sz w:val="19"/>
          <w:szCs w:val="19"/>
          <w:b w:val="1"/>
          <w:bCs w:val="1"/>
          <w:color w:val="auto"/>
        </w:rPr>
        <w:t>standard charges</w:t>
      </w:r>
      <w:r>
        <w:rPr>
          <w:rFonts w:ascii="Arial" w:cs="Arial" w:eastAsia="Arial" w:hAnsi="Arial"/>
          <w:sz w:val="19"/>
          <w:szCs w:val="19"/>
          <w:color w:val="auto"/>
        </w:rPr>
        <w:t>” shall mean $10.00 per hour for each hour of “after hours” use ( in addition to the applicable electricity charges paid to the utility provider).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TENANT’S INSURANCE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requirements for Tenant’s insurance shall be in effect during the Term, and Tenant shall also cause any subtenant to comply with the requirements. Landlord reserves the right to adopt reasonable nondiscriminatory modifications and additions to these requirements.</w:t>
      </w:r>
    </w:p>
    <w:p>
      <w:pPr>
        <w:spacing w:after="0" w:line="213" w:lineRule="exact"/>
        <w:rPr>
          <w:sz w:val="20"/>
          <w:szCs w:val="20"/>
          <w:color w:val="auto"/>
        </w:rPr>
      </w:pPr>
    </w:p>
    <w:p>
      <w:pPr>
        <w:jc w:val="both"/>
        <w:ind w:firstLine="656"/>
        <w:spacing w:after="0" w:line="272" w:lineRule="auto"/>
        <w:tabs>
          <w:tab w:leader="none" w:pos="1626"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Tenant shall maintain, at its sole cost and expense, during the entire Term: (i) commercial general liability insurance with respect to the Premises and the operations of Tenant in, on or about the Premises, on a policy form that is at least as broad as Insurance Service Office (ISO) CGL 00 01 (if alcoholic beverages are sold on the Premises, liquor liability shall be explicitly covered), which policy(ies) shall be written on an “occurrence” basis and for not less than $2,000,000 combined single limit per occurrence for bodily injury, death, and property damage liability; (ii) workers’ compensation insurance coverage as required by law, together with employers’ liability insurance coverage of at least $1,000,000 each accident and each disease; (iii) with respect to Alterations constructed by Tenant under this Lease, builder’s risk insurance, in an amount equal to the replacement cost of the work; and (iv) insurance against fire, vandalism, malicious mischief and such other additional perils as may be included in a standard “special form” policy, insuring all Alterations, trade fixtures, furnishings, equipment and items of personal property in the Premises, in an amount equal to not less than 90% of their replacement cost (with replacement cost endorsement), which policy shall also include business interruption coverage in an amount sufficient to cover 1 year of loss. In no event shall the limits of any policy be considered as limiting the liability of Tenant under this Lease.</w:t>
      </w:r>
    </w:p>
    <w:p>
      <w:pPr>
        <w:spacing w:after="0" w:line="187" w:lineRule="exact"/>
        <w:rPr>
          <w:rFonts w:ascii="Arial" w:cs="Arial" w:eastAsia="Arial" w:hAnsi="Arial"/>
          <w:sz w:val="19"/>
          <w:szCs w:val="19"/>
          <w:color w:val="auto"/>
        </w:rPr>
      </w:pPr>
    </w:p>
    <w:p>
      <w:pPr>
        <w:jc w:val="both"/>
        <w:ind w:firstLine="656"/>
        <w:spacing w:after="0" w:line="244" w:lineRule="auto"/>
        <w:tabs>
          <w:tab w:leader="none" w:pos="1429" w:val="left"/>
        </w:tabs>
        <w:numPr>
          <w:ilvl w:val="0"/>
          <w:numId w:val="326"/>
        </w:numPr>
        <w:rPr>
          <w:rFonts w:ascii="Arial" w:cs="Arial" w:eastAsia="Arial" w:hAnsi="Arial"/>
          <w:sz w:val="21"/>
          <w:szCs w:val="21"/>
          <w:color w:val="auto"/>
        </w:rPr>
      </w:pPr>
      <w:r>
        <w:rPr>
          <w:rFonts w:ascii="Arial" w:cs="Arial" w:eastAsia="Arial" w:hAnsi="Arial"/>
          <w:sz w:val="21"/>
          <w:szCs w:val="21"/>
          <w:color w:val="auto"/>
        </w:rPr>
        <w:t>All policies of insurance required to be carried by Tenant pursuant to this Exhibit D shall be written by insurance companies authorized to do business in the State of California and with a genera( policyholder rating of not less than “</w:t>
      </w:r>
      <w:r>
        <w:rPr>
          <w:rFonts w:ascii="Arial" w:cs="Arial" w:eastAsia="Arial" w:hAnsi="Arial"/>
          <w:sz w:val="21"/>
          <w:szCs w:val="21"/>
          <w:b w:val="1"/>
          <w:bCs w:val="1"/>
          <w:color w:val="auto"/>
        </w:rPr>
        <w:t>A-</w:t>
      </w:r>
      <w:r>
        <w:rPr>
          <w:rFonts w:ascii="Arial" w:cs="Arial" w:eastAsia="Arial" w:hAnsi="Arial"/>
          <w:sz w:val="21"/>
          <w:szCs w:val="21"/>
          <w:color w:val="auto"/>
        </w:rPr>
        <w:t>” and financial rating of not less than “</w:t>
      </w:r>
      <w:r>
        <w:rPr>
          <w:rFonts w:ascii="Arial" w:cs="Arial" w:eastAsia="Arial" w:hAnsi="Arial"/>
          <w:sz w:val="21"/>
          <w:szCs w:val="21"/>
          <w:b w:val="1"/>
          <w:bCs w:val="1"/>
          <w:color w:val="auto"/>
        </w:rPr>
        <w:t>VIII</w:t>
      </w:r>
      <w:r>
        <w:rPr>
          <w:rFonts w:ascii="Arial" w:cs="Arial" w:eastAsia="Arial" w:hAnsi="Arial"/>
          <w:sz w:val="21"/>
          <w:szCs w:val="21"/>
          <w:color w:val="auto"/>
        </w:rPr>
        <w:t>” in the most current Best’s Insurance Report. The deductible or other retained limit under any policy carried by Tenant shall be commercially reasonable, and Tenant shall be responsible for payment of such deductible or retained limit with waiver of subrogation in favor of Landlord. Any insurance required of Tenant may be furnished by Tenant under any blanket policy carried by it or under a separate policy. A certificate of insurance, certifying that the policy has been issued, provides the coverage required by this Exhibit and contains the required provisions, together with endorsements acceptable to Landlord evidencing the waiver of subrogation and additional insured provisions required below, shall be delivered to Landlord prior to the date Tenant is given the right of possession of the Premises. Proper evidence of the renewal of any insurance coverage shall also be delivered to Landlord not less than thirty (30) days prior to the expiration of the coverage. In the event of a loss covered by any policy under which Landlord is an additional insured, Landlord shall be entitled to review a copy of such policy.</w:t>
      </w:r>
    </w:p>
    <w:p>
      <w:pPr>
        <w:spacing w:after="0" w:line="212" w:lineRule="exact"/>
        <w:rPr>
          <w:rFonts w:ascii="Arial" w:cs="Arial" w:eastAsia="Arial" w:hAnsi="Arial"/>
          <w:sz w:val="21"/>
          <w:szCs w:val="21"/>
          <w:color w:val="auto"/>
        </w:rPr>
      </w:pPr>
    </w:p>
    <w:p>
      <w:pPr>
        <w:jc w:val="both"/>
        <w:ind w:firstLine="656"/>
        <w:spacing w:after="0" w:line="246" w:lineRule="auto"/>
        <w:tabs>
          <w:tab w:leader="none" w:pos="1492" w:val="left"/>
        </w:tabs>
        <w:numPr>
          <w:ilvl w:val="0"/>
          <w:numId w:val="326"/>
        </w:numPr>
        <w:rPr>
          <w:rFonts w:ascii="Arial" w:cs="Arial" w:eastAsia="Arial" w:hAnsi="Arial"/>
          <w:sz w:val="21"/>
          <w:szCs w:val="21"/>
          <w:color w:val="auto"/>
        </w:rPr>
      </w:pPr>
      <w:r>
        <w:rPr>
          <w:rFonts w:ascii="Arial" w:cs="Arial" w:eastAsia="Arial" w:hAnsi="Arial"/>
          <w:sz w:val="21"/>
          <w:szCs w:val="21"/>
          <w:color w:val="auto"/>
        </w:rPr>
        <w:t>Tenant’s commercial general liability insurance shall contain a provision that the policy shall be primary to and noncontributory with any policies carried by Landlord, together with a provision including Landlord and any other parties in interest designated by Landlord as additional insureds. Tenant’s policies described in Subsections 1 (ii), (iii) and (iv) above shall each contain a waiver by the insurer of any right to subrogation against Landlord, its agents, employees, contractors and representatives. Tenant also waives its right of recovery for any deductible or retained limit under same policies enumerated above. All of Tenant’s policies shall contain a provision that the insurer will not cancel or change the coverage provided by the policy without first giving Landlord 30 days prior written notice. Tenant shall also name Landlord as an additional insured on any excess or umbrella liability insurance policy carried by Tenant.</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NOTICE TO TENANT: IN ACCORDANCE WITH THE TERMS OF THIS LEASE, TENANT MUST PROVIDE EVIDENCE OF THE REQUIRED INSURANCE TO LANDLORD’S MANAGEMENT AGENT PRIOR TO BEING AFFORDED ACCESS TO THE PREMISES.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RULES AND REGULATIONS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Rules and Regulations shall be in effect at the Building. Landlord reserves the right to adopt reasonable nondiscriminatory modifications and additions at any time. In the case of any conflict between these regulations and the Lease, the Lease shall be controlling.</w:t>
      </w:r>
    </w:p>
    <w:p>
      <w:pPr>
        <w:spacing w:after="0" w:line="213" w:lineRule="exact"/>
        <w:rPr>
          <w:sz w:val="20"/>
          <w:szCs w:val="20"/>
          <w:color w:val="auto"/>
        </w:rPr>
      </w:pPr>
    </w:p>
    <w:p>
      <w:pPr>
        <w:jc w:val="both"/>
        <w:ind w:firstLine="656"/>
        <w:spacing w:after="0" w:line="238" w:lineRule="auto"/>
        <w:tabs>
          <w:tab w:leader="none" w:pos="1377"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sidewalks, halls, passages, elevators, stairways, and other common areas shall not be obstructed by Tenant or used by it for storage, for depositing items, or for any purpose other than for ingress to and egress from the Premises. Should Tenant have access to any balcony or patio area, Tenant shall not place any furniture other personal property in such area without the prior written approval of Landlord.</w:t>
      </w:r>
    </w:p>
    <w:p>
      <w:pPr>
        <w:spacing w:after="0" w:line="211" w:lineRule="exact"/>
        <w:rPr>
          <w:rFonts w:ascii="Arial" w:cs="Arial" w:eastAsia="Arial" w:hAnsi="Arial"/>
          <w:sz w:val="22"/>
          <w:szCs w:val="22"/>
          <w:color w:val="auto"/>
        </w:rPr>
      </w:pPr>
    </w:p>
    <w:p>
      <w:pPr>
        <w:ind w:firstLine="656"/>
        <w:spacing w:after="0" w:line="250" w:lineRule="auto"/>
        <w:tabs>
          <w:tab w:leader="none" w:pos="1397" w:val="left"/>
        </w:tabs>
        <w:numPr>
          <w:ilvl w:val="0"/>
          <w:numId w:val="327"/>
        </w:numPr>
        <w:rPr>
          <w:rFonts w:ascii="Arial" w:cs="Arial" w:eastAsia="Arial" w:hAnsi="Arial"/>
          <w:sz w:val="22"/>
          <w:szCs w:val="22"/>
          <w:color w:val="auto"/>
        </w:rPr>
      </w:pPr>
      <w:r>
        <w:rPr>
          <w:rFonts w:ascii="Arial" w:cs="Arial" w:eastAsia="Arial" w:hAnsi="Arial"/>
          <w:sz w:val="22"/>
          <w:szCs w:val="22"/>
          <w:color w:val="auto"/>
        </w:rPr>
        <w:t>Neither Tenant nor any employee or contractor of Tenant shall go upon the roof of the Building without the prior written consent of Landlord.</w:t>
      </w:r>
    </w:p>
    <w:p>
      <w:pPr>
        <w:spacing w:after="0" w:line="201" w:lineRule="exact"/>
        <w:rPr>
          <w:rFonts w:ascii="Arial" w:cs="Arial" w:eastAsia="Arial" w:hAnsi="Arial"/>
          <w:sz w:val="22"/>
          <w:szCs w:val="22"/>
          <w:color w:val="auto"/>
        </w:rPr>
      </w:pPr>
    </w:p>
    <w:p>
      <w:pPr>
        <w:ind w:left="1420" w:hanging="764"/>
        <w:spacing w:after="0"/>
        <w:tabs>
          <w:tab w:leader="none" w:pos="142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33" w:lineRule="exact"/>
        <w:rPr>
          <w:rFonts w:ascii="Arial" w:cs="Arial" w:eastAsia="Arial" w:hAnsi="Arial"/>
          <w:sz w:val="22"/>
          <w:szCs w:val="22"/>
          <w:color w:val="auto"/>
        </w:rPr>
      </w:pPr>
    </w:p>
    <w:p>
      <w:pPr>
        <w:ind w:left="1420" w:hanging="764"/>
        <w:spacing w:after="0"/>
        <w:tabs>
          <w:tab w:leader="none" w:pos="1420" w:val="left"/>
        </w:tabs>
        <w:numPr>
          <w:ilvl w:val="0"/>
          <w:numId w:val="327"/>
        </w:numPr>
        <w:rPr>
          <w:rFonts w:ascii="Arial" w:cs="Arial" w:eastAsia="Arial" w:hAnsi="Arial"/>
          <w:sz w:val="21"/>
          <w:szCs w:val="21"/>
          <w:color w:val="auto"/>
        </w:rPr>
      </w:pPr>
      <w:r>
        <w:rPr>
          <w:rFonts w:ascii="Arial" w:cs="Arial" w:eastAsia="Arial" w:hAnsi="Arial"/>
          <w:sz w:val="21"/>
          <w:szCs w:val="21"/>
          <w:color w:val="auto"/>
        </w:rPr>
        <w:t>No antenna or satellite dish shall be installed by Tenant without the prior written agreement of Landlord.</w:t>
      </w:r>
    </w:p>
    <w:p>
      <w:pPr>
        <w:spacing w:after="0" w:line="244" w:lineRule="exact"/>
        <w:rPr>
          <w:rFonts w:ascii="Arial" w:cs="Arial" w:eastAsia="Arial" w:hAnsi="Arial"/>
          <w:sz w:val="21"/>
          <w:szCs w:val="21"/>
          <w:color w:val="auto"/>
        </w:rPr>
      </w:pPr>
    </w:p>
    <w:p>
      <w:pPr>
        <w:jc w:val="both"/>
        <w:ind w:firstLine="656"/>
        <w:spacing w:after="0" w:line="249" w:lineRule="auto"/>
        <w:tabs>
          <w:tab w:leader="none" w:pos="1460" w:val="left"/>
        </w:tabs>
        <w:numPr>
          <w:ilvl w:val="0"/>
          <w:numId w:val="327"/>
        </w:numPr>
        <w:rPr>
          <w:rFonts w:ascii="Arial" w:cs="Arial" w:eastAsia="Arial" w:hAnsi="Arial"/>
          <w:sz w:val="21"/>
          <w:szCs w:val="21"/>
          <w:color w:val="auto"/>
        </w:rPr>
      </w:pPr>
      <w:r>
        <w:rPr>
          <w:rFonts w:ascii="Arial" w:cs="Arial" w:eastAsia="Arial" w:hAnsi="Arial"/>
          <w:sz w:val="21"/>
          <w:szCs w:val="21"/>
          <w:color w:val="auto"/>
        </w:rPr>
        <w:t>The sashes, sash doors, windows, glass lights, solar film and/or screen, and any lights or skylights that reflect or admit light into the halls or other places of the Building shall not be covered or obstructed. If Landlord, by a notice in writing to Tenant, shall object to any curtain, blind, tinting, shade or screen attached to, or hung in, or used in connection with, any window or door of the Premises, the use of that curtain, blind, tinting, shade or screen shall be Immediately discontinued and removed by Tenant. No awnings shall be permitted on any part of the Premises.</w:t>
      </w:r>
    </w:p>
    <w:p>
      <w:pPr>
        <w:spacing w:after="0" w:line="205" w:lineRule="exact"/>
        <w:rPr>
          <w:rFonts w:ascii="Arial" w:cs="Arial" w:eastAsia="Arial" w:hAnsi="Arial"/>
          <w:sz w:val="21"/>
          <w:szCs w:val="21"/>
          <w:color w:val="auto"/>
        </w:rPr>
      </w:pPr>
    </w:p>
    <w:p>
      <w:pPr>
        <w:jc w:val="both"/>
        <w:ind w:firstLine="656"/>
        <w:spacing w:after="0" w:line="282" w:lineRule="auto"/>
        <w:tabs>
          <w:tab w:leader="none" w:pos="1438"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installation and location of any unusually heavy equipment in the Premises, including without limitation file storage units, safes and electronic data processing equipment, shall require the prior written approval of Landlord. The moving of large or heavy objects shall occur only between those hours as may be designated by, and only upon previous notice to, Landlord. No freight, furniture or bulky matter of any description shall be received into or moved out of the lobby of the Building or carried in any elevator other than the freight elevator (if available) designated by Landlord unless approved in writing by Landlord.</w:t>
      </w:r>
    </w:p>
    <w:p>
      <w:pPr>
        <w:spacing w:after="0" w:line="174" w:lineRule="exact"/>
        <w:rPr>
          <w:rFonts w:ascii="Arial" w:cs="Arial" w:eastAsia="Arial" w:hAnsi="Arial"/>
          <w:sz w:val="19"/>
          <w:szCs w:val="19"/>
          <w:color w:val="auto"/>
        </w:rPr>
      </w:pPr>
    </w:p>
    <w:p>
      <w:pPr>
        <w:ind w:firstLine="656"/>
        <w:spacing w:after="0" w:line="250" w:lineRule="auto"/>
        <w:tabs>
          <w:tab w:leader="none" w:pos="1455" w:val="left"/>
        </w:tabs>
        <w:numPr>
          <w:ilvl w:val="0"/>
          <w:numId w:val="327"/>
        </w:numPr>
        <w:rPr>
          <w:rFonts w:ascii="Arial" w:cs="Arial" w:eastAsia="Arial" w:hAnsi="Arial"/>
          <w:sz w:val="22"/>
          <w:szCs w:val="22"/>
          <w:color w:val="auto"/>
        </w:rPr>
      </w:pPr>
      <w:r>
        <w:rPr>
          <w:rFonts w:ascii="Arial" w:cs="Arial" w:eastAsia="Arial" w:hAnsi="Arial"/>
          <w:sz w:val="22"/>
          <w:szCs w:val="22"/>
          <w:color w:val="auto"/>
        </w:rPr>
        <w:t>Any pipes or tubing used by Tenant to transmit water to an appliance or device in the Premises must be made of copper or stainless steel, and in no event shall plastic tubing be used for that purpose.</w:t>
      </w:r>
    </w:p>
    <w:p>
      <w:pPr>
        <w:spacing w:after="0" w:line="201" w:lineRule="exact"/>
        <w:rPr>
          <w:rFonts w:ascii="Arial" w:cs="Arial" w:eastAsia="Arial" w:hAnsi="Arial"/>
          <w:sz w:val="22"/>
          <w:szCs w:val="22"/>
          <w:color w:val="auto"/>
        </w:rPr>
      </w:pPr>
    </w:p>
    <w:p>
      <w:pPr>
        <w:jc w:val="both"/>
        <w:ind w:firstLine="656"/>
        <w:spacing w:after="0" w:line="238" w:lineRule="auto"/>
        <w:tabs>
          <w:tab w:leader="none" w:pos="1576"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Tenant shall not place any lock(s) on any door in the Premises or Building without Landlord’s prior written consent, which consent shall not be unreasonably withheld. Upon the termination of its tenancy, Tenant shall deliver to Landlord all the keys to offices, rooms and toilet rooms and all access cards which shall have been furnished to Tenant or which Tenant shall have had made.</w:t>
      </w:r>
    </w:p>
    <w:p>
      <w:pPr>
        <w:spacing w:after="0" w:line="211" w:lineRule="exact"/>
        <w:rPr>
          <w:rFonts w:ascii="Arial" w:cs="Arial" w:eastAsia="Arial" w:hAnsi="Arial"/>
          <w:sz w:val="22"/>
          <w:szCs w:val="22"/>
          <w:color w:val="auto"/>
        </w:rPr>
      </w:pPr>
    </w:p>
    <w:p>
      <w:pPr>
        <w:ind w:firstLine="656"/>
        <w:spacing w:after="0" w:line="250" w:lineRule="auto"/>
        <w:tabs>
          <w:tab w:leader="none" w:pos="1416"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Tenant shall not install equipment requiring electrical or air conditioning service in excess of that to be provided by Landlord under the Lease without prior written approval from Landlord.</w:t>
      </w:r>
    </w:p>
    <w:p>
      <w:pPr>
        <w:spacing w:after="0" w:line="201" w:lineRule="exact"/>
        <w:rPr>
          <w:rFonts w:ascii="Arial" w:cs="Arial" w:eastAsia="Arial" w:hAnsi="Arial"/>
          <w:sz w:val="22"/>
          <w:szCs w:val="22"/>
          <w:color w:val="auto"/>
        </w:rPr>
      </w:pPr>
    </w:p>
    <w:p>
      <w:pPr>
        <w:ind w:left="1420" w:hanging="764"/>
        <w:spacing w:after="0"/>
        <w:tabs>
          <w:tab w:leader="none" w:pos="142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Tenant shall not use space heaters within the Premises.</w:t>
      </w:r>
    </w:p>
    <w:p>
      <w:pPr>
        <w:spacing w:after="0" w:line="233" w:lineRule="exact"/>
        <w:rPr>
          <w:rFonts w:ascii="Arial" w:cs="Arial" w:eastAsia="Arial" w:hAnsi="Arial"/>
          <w:sz w:val="22"/>
          <w:szCs w:val="22"/>
          <w:color w:val="auto"/>
        </w:rPr>
      </w:pPr>
    </w:p>
    <w:p>
      <w:pPr>
        <w:jc w:val="both"/>
        <w:ind w:firstLine="656"/>
        <w:spacing w:after="0"/>
        <w:tabs>
          <w:tab w:leader="none" w:pos="1489"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Tenant shall not do or permit anything to be done in the Premises, or bring or keep anything in the Premises, which shall in any way increase the insurance on the Building, or on the property kept in the Building, or interfere with the rights of other tenants, or conflict with any government rule or regulation.</w:t>
      </w:r>
    </w:p>
    <w:p>
      <w:pPr>
        <w:spacing w:after="0" w:line="213" w:lineRule="exact"/>
        <w:rPr>
          <w:rFonts w:ascii="Arial" w:cs="Arial" w:eastAsia="Arial" w:hAnsi="Arial"/>
          <w:sz w:val="22"/>
          <w:szCs w:val="22"/>
          <w:color w:val="auto"/>
        </w:rPr>
      </w:pPr>
    </w:p>
    <w:p>
      <w:pPr>
        <w:ind w:left="1420" w:hanging="764"/>
        <w:spacing w:after="0"/>
        <w:tabs>
          <w:tab w:leader="none" w:pos="142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Tenant shall not use or keep any foul or noxious gas or substance In the Premises.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9" w:name="page370"/>
    <w:bookmarkEnd w:id="369"/>
    <w:p>
      <w:pPr>
        <w:jc w:val="both"/>
        <w:ind w:firstLine="656"/>
        <w:spacing w:after="0"/>
        <w:tabs>
          <w:tab w:leader="none" w:pos="1366"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Tenant shall not permit the Premises to be occupied or used in a manner offensive or objectionable to Landlord or other occupants of the Building by reason of noise, odors and/or vibrations, or interfere in any way with other tenants or those having business with other tenants.</w:t>
      </w:r>
    </w:p>
    <w:p>
      <w:pPr>
        <w:spacing w:after="0" w:line="213" w:lineRule="exact"/>
        <w:rPr>
          <w:rFonts w:ascii="Arial" w:cs="Arial" w:eastAsia="Arial" w:hAnsi="Arial"/>
          <w:sz w:val="22"/>
          <w:szCs w:val="22"/>
          <w:color w:val="auto"/>
        </w:rPr>
      </w:pPr>
    </w:p>
    <w:p>
      <w:pPr>
        <w:ind w:left="1420" w:hanging="764"/>
        <w:spacing w:after="0"/>
        <w:tabs>
          <w:tab w:leader="none" w:pos="142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Tenant shall not permit any animals or birds be kept by Tenant in or about the Building.</w:t>
      </w:r>
    </w:p>
    <w:p>
      <w:pPr>
        <w:spacing w:after="0" w:line="233" w:lineRule="exact"/>
        <w:rPr>
          <w:rFonts w:ascii="Arial" w:cs="Arial" w:eastAsia="Arial" w:hAnsi="Arial"/>
          <w:sz w:val="22"/>
          <w:szCs w:val="22"/>
          <w:color w:val="auto"/>
        </w:rPr>
      </w:pPr>
    </w:p>
    <w:p>
      <w:pPr>
        <w:ind w:firstLine="656"/>
        <w:spacing w:after="0" w:line="250" w:lineRule="auto"/>
        <w:tabs>
          <w:tab w:leader="none" w:pos="157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Neither Tenant nor its employees, agents, contractors, invitees or licensees shall bring any firearm, whether loaded or unloaded, into the Project at any time.</w:t>
      </w:r>
    </w:p>
    <w:p>
      <w:pPr>
        <w:spacing w:after="0" w:line="201" w:lineRule="exact"/>
        <w:rPr>
          <w:rFonts w:ascii="Arial" w:cs="Arial" w:eastAsia="Arial" w:hAnsi="Arial"/>
          <w:sz w:val="22"/>
          <w:szCs w:val="22"/>
          <w:color w:val="auto"/>
        </w:rPr>
      </w:pPr>
    </w:p>
    <w:p>
      <w:pPr>
        <w:jc w:val="both"/>
        <w:ind w:firstLine="656"/>
        <w:spacing w:after="0"/>
        <w:tabs>
          <w:tab w:leader="none" w:pos="168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Smoking anywhere within the Premises or Building is strictly prohibited, and Landlord may enforce such prohibition pursuant to Landlord’s leasehold remedies. Smoking is permitted outside the Building and within the project only in areas designated by Landlord.</w:t>
      </w:r>
    </w:p>
    <w:p>
      <w:pPr>
        <w:spacing w:after="0" w:line="213" w:lineRule="exact"/>
        <w:rPr>
          <w:rFonts w:ascii="Arial" w:cs="Arial" w:eastAsia="Arial" w:hAnsi="Arial"/>
          <w:sz w:val="22"/>
          <w:szCs w:val="22"/>
          <w:color w:val="auto"/>
        </w:rPr>
      </w:pPr>
    </w:p>
    <w:p>
      <w:pPr>
        <w:ind w:left="1420" w:hanging="764"/>
        <w:spacing w:after="0"/>
        <w:tabs>
          <w:tab w:leader="none" w:pos="1420"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Tenant shall not install an aquarium of any size in the Premises unless otherwise approved by Landlord.</w:t>
      </w:r>
    </w:p>
    <w:p>
      <w:pPr>
        <w:spacing w:after="0" w:line="244" w:lineRule="exact"/>
        <w:rPr>
          <w:rFonts w:ascii="Arial" w:cs="Arial" w:eastAsia="Arial" w:hAnsi="Arial"/>
          <w:sz w:val="21"/>
          <w:szCs w:val="21"/>
          <w:color w:val="auto"/>
        </w:rPr>
      </w:pPr>
    </w:p>
    <w:p>
      <w:pPr>
        <w:jc w:val="both"/>
        <w:ind w:firstLine="656"/>
        <w:spacing w:after="0" w:line="238" w:lineRule="auto"/>
        <w:tabs>
          <w:tab w:leader="none" w:pos="1446"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Tenant shall not utilize any name selected by Landlord from time to time for the Building and/or the Project as any part of Tenant’s corporate or trade name. Landlord shall have the right to change the name, number or designation of the Building or Project without liability to Tenant. Tenant shall not use any picture of the Building in its advertising, stationery or in any other manner.</w:t>
      </w:r>
    </w:p>
    <w:p>
      <w:pPr>
        <w:spacing w:after="0" w:line="211" w:lineRule="exact"/>
        <w:rPr>
          <w:rFonts w:ascii="Arial" w:cs="Arial" w:eastAsia="Arial" w:hAnsi="Arial"/>
          <w:sz w:val="22"/>
          <w:szCs w:val="22"/>
          <w:color w:val="auto"/>
        </w:rPr>
      </w:pPr>
    </w:p>
    <w:p>
      <w:pPr>
        <w:ind w:firstLine="656"/>
        <w:spacing w:after="0" w:line="250" w:lineRule="auto"/>
        <w:tabs>
          <w:tab w:leader="none" w:pos="154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Tenant shall, upon request by Landlord, supply Landlord with the names and telephone numbers of personnel designated by Tenant to be contacted on an after-hours basis should circumstances warrant.</w:t>
      </w:r>
    </w:p>
    <w:p>
      <w:pPr>
        <w:spacing w:after="0" w:line="201" w:lineRule="exact"/>
        <w:rPr>
          <w:rFonts w:ascii="Arial" w:cs="Arial" w:eastAsia="Arial" w:hAnsi="Arial"/>
          <w:sz w:val="22"/>
          <w:szCs w:val="22"/>
          <w:color w:val="auto"/>
        </w:rPr>
      </w:pPr>
    </w:p>
    <w:p>
      <w:pPr>
        <w:ind w:firstLine="656"/>
        <w:spacing w:after="0" w:line="328" w:lineRule="auto"/>
        <w:tabs>
          <w:tab w:leader="none" w:pos="1541" w:val="left"/>
        </w:tabs>
        <w:numPr>
          <w:ilvl w:val="0"/>
          <w:numId w:val="328"/>
        </w:numPr>
        <w:rPr>
          <w:rFonts w:ascii="Arial" w:cs="Arial" w:eastAsia="Arial" w:hAnsi="Arial"/>
          <w:sz w:val="19"/>
          <w:szCs w:val="19"/>
          <w:color w:val="auto"/>
        </w:rPr>
      </w:pPr>
      <w:r>
        <w:rPr>
          <w:rFonts w:ascii="Arial" w:cs="Arial" w:eastAsia="Arial" w:hAnsi="Arial"/>
          <w:sz w:val="19"/>
          <w:szCs w:val="19"/>
          <w:color w:val="auto"/>
        </w:rPr>
        <w:t>Landlord may from time to time grant tenants individual and temporary variances from these Rules, provided that any variance does not have a material adverse effect on the use and enjoyment of the Premises by Tenant.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F</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PARKING</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Tenant shall be entitled to the number of vehicle parking spaces set forth in Item 11 of the Basic Lease Provisions, which spaces shall be unreserved and unassigned, on those portions of the Common Areas designated by Landlord for parking, except that at Tenant’s request, up to 5 of said spaces shall be marked as “reserved” for Tenant in locations designated by Landlord at the rear of the Premises. Tenant shall not use more parking spaces than such number. All parking spaces shall be used only for parking of vehicles no larger than full size passenger automobiles, sport utility vehicles or pickup trucks.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above then Landlord shall have the right, without notice, in addition to such other rights and remedies that Landlord may have, to remove or tow away the vehicle involved and charge the costs to Tenant. Parking within the Common Areas shall be limited to striped parking stalls, and no parking shall be permitted in any driveways, access ways or in any area which would prohibit or impede the free flow of traffic within the Common Areas. There shall be no parking of any vehicles for longer than a forty-eight (48) hour period unless otherwise authorized by Landlord, and vehicles which have been abandoned or parked in violation of the terms hereof may be towed away at the owner’s expense. Nothing contained in this Lease shall be deemed to create liability upon Landlord for any damage to motor vehicles of visitors or employees, for any loss of property from within those motor vehicles, or for any injury to Tenant, its visitors or employees, unless ultimately determined to be caused by the sole negligence or willful misconduct of Landlord. Landlord shall have the right to establish, and from time to time amend, and to enforce against all users all reasonable rules and regulations (including the designation of areas for employee parking) that Landlord may deem necessary and advisable for the proper and efficient operation and maintenance of parking within the Common Areas. Landlord shall have the right to construct, maintain and operate lighting facilities within the parking areas; to change the area, level, location and arrangement of the parking areas and improvements therein; to restrict parking by tenants, their officers, agents and employees to employee parking areas; to enforce parking charges (by operation of meters or otherwise); and to do and perform such other acts in and to the parking areas and improvements therein as, in the use of good business judgment, Landlord shall determine to be advisable, provided, however, that none of the foregoing shall deprive Tenant of reasonable access to the Premises Any person using the parking area shall observe all directional signs and arrows and any posted speed limits. In no event shall Tenant interfere with the use and enjoyment of the parking area by other tenants of the Project or their employees or invitees. Parking areas shall be used only for parking vehicles. Washing, waxing, cleaning or servicing of vehicles, or the storage of vehicles for longer than 48-hours, is prohibited unless otherwise authorized by Landlord. Tenant shall be liable for any damage to the parking areas caused by Tenant or Tenant’s employees, suppliers, shippers, customers or invitees, including without limitation damage from excess oil leakage. Tenant shall have no right to install any fixtures, equipment or personal property in the parking areas.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addition to the vehicle parking spaces allocated to Tenant in Item 11 of the Basic Lease Provisions, Landlord agrees that, subject to availability, Tenant may license the use of up to 22 unreserved spaces in addition to the number of vehicle parking spaces set forth in Item 11 of the Basic Lease Provisions during the initial Term of this Lease (“</w:t>
      </w:r>
      <w:r>
        <w:rPr>
          <w:rFonts w:ascii="Arial" w:cs="Arial" w:eastAsia="Arial" w:hAnsi="Arial"/>
          <w:sz w:val="19"/>
          <w:szCs w:val="19"/>
          <w:b w:val="1"/>
          <w:bCs w:val="1"/>
          <w:i w:val="1"/>
          <w:iCs w:val="1"/>
          <w:color w:val="auto"/>
        </w:rPr>
        <w:t>Additional Parking</w:t>
      </w:r>
      <w:r>
        <w:rPr>
          <w:rFonts w:ascii="Arial" w:cs="Arial" w:eastAsia="Arial" w:hAnsi="Arial"/>
          <w:sz w:val="19"/>
          <w:szCs w:val="19"/>
          <w:color w:val="auto"/>
        </w:rPr>
        <w:t>”) at no additional rent payable by Tenant. Landlord shall have the right to designate location(s) within the Common Areas for Additional Parking from time to time by notice to Tenant. The Additional Parking shall be subject to all of the provisions of this Exhibit C. Tenant’s Additional Parking rights shall belong solely to Ghost Media Group, LLC, a Nevada corporation, and any attempted assignment or transfer of such rights shall be void and of no force and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PROVISIONS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additional provisions shall be binding on Landlord and Tenant:</w:t>
      </w:r>
    </w:p>
    <w:p>
      <w:pPr>
        <w:spacing w:after="0" w:line="227" w:lineRule="exact"/>
        <w:rPr>
          <w:sz w:val="20"/>
          <w:szCs w:val="20"/>
          <w:color w:val="auto"/>
        </w:rPr>
      </w:pPr>
    </w:p>
    <w:p>
      <w:pPr>
        <w:jc w:val="both"/>
        <w:ind w:firstLine="656"/>
        <w:spacing w:after="0" w:line="278" w:lineRule="auto"/>
        <w:tabs>
          <w:tab w:leader="none" w:pos="1350" w:val="left"/>
        </w:tabs>
        <w:numPr>
          <w:ilvl w:val="0"/>
          <w:numId w:val="329"/>
        </w:numPr>
        <w:rPr>
          <w:rFonts w:ascii="Arial" w:cs="Arial" w:eastAsia="Arial" w:hAnsi="Arial"/>
          <w:sz w:val="19"/>
          <w:szCs w:val="19"/>
          <w:b w:val="1"/>
          <w:bCs w:val="1"/>
          <w:color w:val="auto"/>
        </w:rPr>
      </w:pPr>
      <w:r>
        <w:rPr>
          <w:rFonts w:ascii="Arial" w:cs="Arial" w:eastAsia="Arial" w:hAnsi="Arial"/>
          <w:sz w:val="19"/>
          <w:szCs w:val="19"/>
          <w:b w:val="1"/>
          <w:bCs w:val="1"/>
          <w:color w:val="auto"/>
        </w:rPr>
        <w:t>RIGHT TO EXTEND THIS LEASE</w:t>
      </w:r>
      <w:r>
        <w:rPr>
          <w:rFonts w:ascii="Arial" w:cs="Arial" w:eastAsia="Arial" w:hAnsi="Arial"/>
          <w:sz w:val="19"/>
          <w:szCs w:val="19"/>
          <w:color w:val="auto"/>
        </w:rPr>
        <w:t>. Provided that no Default has occurred under any provision of this Lease,</w:t>
      </w:r>
      <w:r>
        <w:rPr>
          <w:rFonts w:ascii="Arial" w:cs="Arial" w:eastAsia="Arial" w:hAnsi="Arial"/>
          <w:sz w:val="19"/>
          <w:szCs w:val="19"/>
          <w:b w:val="1"/>
          <w:bCs w:val="1"/>
          <w:color w:val="auto"/>
        </w:rPr>
        <w:t xml:space="preserve"> </w:t>
      </w:r>
      <w:r>
        <w:rPr>
          <w:rFonts w:ascii="Arial" w:cs="Arial" w:eastAsia="Arial" w:hAnsi="Arial"/>
          <w:sz w:val="19"/>
          <w:szCs w:val="19"/>
          <w:color w:val="auto"/>
        </w:rPr>
        <w:t>either at the time of exercise of the extension right granted herein or at the time of the commencement of such extension, and provided further that Tenant is occupying the entire Premises and has not assigned or sublet any of its interest in this Lease, then Tenant may extend the Term of this Lease for one (1) extension period of 60 months. Tenant shall exercise its right to extend the Term by and only by delivering to Landlord, not less than 9 months or more than 12 months prior to the Expiration Date of the Term, Tenant’s irrevocable written notice of its commitment to extend (the “</w:t>
      </w:r>
      <w:r>
        <w:rPr>
          <w:rFonts w:ascii="Arial" w:cs="Arial" w:eastAsia="Arial" w:hAnsi="Arial"/>
          <w:sz w:val="19"/>
          <w:szCs w:val="19"/>
          <w:b w:val="1"/>
          <w:bCs w:val="1"/>
          <w:i w:val="1"/>
          <w:iCs w:val="1"/>
          <w:color w:val="auto"/>
        </w:rPr>
        <w:t>Commitment Notice</w:t>
      </w:r>
      <w:r>
        <w:rPr>
          <w:rFonts w:ascii="Arial" w:cs="Arial" w:eastAsia="Arial" w:hAnsi="Arial"/>
          <w:sz w:val="19"/>
          <w:szCs w:val="19"/>
          <w:color w:val="auto"/>
        </w:rPr>
        <w:t>”). The Basic Rent payable under the Lease during any extension of the Term shall be determined as provided in the following provisions.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If Landlord and Tenant have not by then been able to agree upon the Basic Rent for the extension of the Term, then not less than 90 days or more than 120 days prior to the Expiration Date of the Term, Landlord shall notify Tenant in writing of the Basic Rent that would reflect the prevailing market rental rate for a 60-month renewal of comparable space in the Project (together with any increases thereof during the extension period) as of the commencement of the extension period (“</w:t>
      </w:r>
      <w:r>
        <w:rPr>
          <w:rFonts w:ascii="Arial" w:cs="Arial" w:eastAsia="Arial" w:hAnsi="Arial"/>
          <w:sz w:val="19"/>
          <w:szCs w:val="19"/>
          <w:b w:val="1"/>
          <w:bCs w:val="1"/>
          <w:i w:val="1"/>
          <w:iCs w:val="1"/>
          <w:color w:val="auto"/>
        </w:rPr>
        <w:t>Landlord’s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Determination</w:t>
      </w:r>
      <w:r>
        <w:rPr>
          <w:rFonts w:ascii="Arial" w:cs="Arial" w:eastAsia="Arial" w:hAnsi="Arial"/>
          <w:sz w:val="19"/>
          <w:szCs w:val="19"/>
          <w:color w:val="auto"/>
        </w:rPr>
        <w:t>”). Should Tenant disagree with the Landlord’s Determination, then Tenant shall, not later than 20 days thereafter,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notify Landlord in writing of Tenant’s determination of those rental terms (“</w:t>
      </w:r>
      <w:r>
        <w:rPr>
          <w:rFonts w:ascii="Arial" w:cs="Arial" w:eastAsia="Arial" w:hAnsi="Arial"/>
          <w:sz w:val="19"/>
          <w:szCs w:val="19"/>
          <w:b w:val="1"/>
          <w:bCs w:val="1"/>
          <w:i w:val="1"/>
          <w:iCs w:val="1"/>
          <w:color w:val="auto"/>
        </w:rPr>
        <w:t>Tenant’s Determination</w:t>
      </w:r>
      <w:r>
        <w:rPr>
          <w:rFonts w:ascii="Arial" w:cs="Arial" w:eastAsia="Arial" w:hAnsi="Arial"/>
          <w:sz w:val="19"/>
          <w:szCs w:val="19"/>
          <w:color w:val="auto"/>
        </w:rPr>
        <w:t>”). Within 10 days following delivery of the Tenant’s Determination, the parties shall attempt to agree on an appraiser to determine the fair market rental. If the parties are unable to agree in that time, then each party shall designate an appraiser within 10 days thereafter. Should either party fail to so designate an appraiser within that time, then the appraiser designated by the other party shall determine the fair market rental. Should each of the parties timely designate an appraiser, then the two appraisers so designated shall appoint a third appraiser who shall, acting alone, determine the fair market rental for the Premises. Any appraiser designated hereunder shall have an MAI certification with not less than 5 years experience in the valuation of commercial industrial buildings in the vicinity of the Project.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Within 30 days following the selection of the appraiser and such appraiser’s receipt of the Landlord’s Determination and the Tenant’s Determination, the appraiser shall determine whether the rental rate determined by Landlord or by Tenant more accurately reflects the fair market rental rate for the 60-month renewal of the Lease for the Premises, as reasonably extrapolated to the commencement of the extension period. Accordingly, either the Landlord’s Determination or the Tenant’s Determination shall be selected by the appraiser as the fair market rental rate for the extension period. In making such determination, the appraiser shall consider rental comparables for the Project (provided that if there are an insufficient number of comparables within the Project, the appraiser shall consider rental comparables for similarly improved space owned by Landlord in the Irvine Spectrum area with appropriate adjustment for location and quality of project), but the appraiser shall not attribute any factor for brokerage commissions in making its determination of the fair market rental rate. At any time before the decision of the appraiser is rendered, either party may, by written notice to the other party, accept the rental terms submitted by the other party, in which event such terms shall be deemed adopted as the agreed fair market rental. The fees of the appraiser(s) shall be borne entirely by the party whose determination of the fair market rental rate was not accepted by the appraiser.</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Within 20 days after the determination of the fair market rental, Landlord shall prepare an appropriate amendment to this Lease for the extension period, and Tenant shall execute and return same to Landlord within 10 days after Tenant’s receipt of same. Should the fair market rental not be established by the commencement of the extension period, then Tenant shall continue paying rent at the rate In effect during the last month of the initial Term, and a lump sum adjustment shall be made promptly upon the determination of such new rental.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2" w:name="page373"/>
    <w:bookmarkEnd w:id="372"/>
    <w:p>
      <w:pPr>
        <w:jc w:val="both"/>
        <w:ind w:firstLine="648"/>
        <w:spacing w:after="0" w:line="245" w:lineRule="auto"/>
        <w:rPr>
          <w:sz w:val="20"/>
          <w:szCs w:val="20"/>
          <w:color w:val="auto"/>
        </w:rPr>
      </w:pPr>
      <w:r>
        <w:rPr>
          <w:rFonts w:ascii="Arial" w:cs="Arial" w:eastAsia="Arial" w:hAnsi="Arial"/>
          <w:sz w:val="21"/>
          <w:szCs w:val="21"/>
          <w:color w:val="auto"/>
        </w:rPr>
        <w:t>If Tenant fails to timely exercise the extension right granted herein within the time period expressly set forth for exercise by Tenant in the initial paragraph of this Section, Tenant’s right to extend the Term shall be extinguished and the Lease shall automatically terminate as of the expiration date of the Term, without any extension and without any liability to Landlord. Tenant’s rights under this Section shall belong solely to Ghost Media Group, LLC, a Nevada corporation, and any attempted assignment or transfer of such rights (except in connection with a Permitted Transfer) shall be void and of no force and effect. Tenant shall have no other right to extend the Term beyond the single 60 month extension period created by this Section.. Unless agreed to in a writing signed by Landlord and Tenant, any extension of the Term, whether created by an amendment to this Lease or by a holdover of the Premises by Tenant, or otherwise, shall be deemed a part of, and not in addition to, any duly exercised extension period permitted by this Section.</w:t>
      </w:r>
    </w:p>
    <w:p>
      <w:pPr>
        <w:spacing w:after="0" w:line="206" w:lineRule="exact"/>
        <w:rPr>
          <w:sz w:val="20"/>
          <w:szCs w:val="20"/>
          <w:color w:val="auto"/>
        </w:rPr>
      </w:pPr>
    </w:p>
    <w:p>
      <w:pPr>
        <w:jc w:val="both"/>
        <w:ind w:firstLine="656"/>
        <w:spacing w:after="0" w:line="235" w:lineRule="auto"/>
        <w:tabs>
          <w:tab w:leader="none" w:pos="1377" w:val="left"/>
        </w:tabs>
        <w:numPr>
          <w:ilvl w:val="0"/>
          <w:numId w:val="330"/>
        </w:numPr>
        <w:rPr>
          <w:rFonts w:ascii="Arial" w:cs="Arial" w:eastAsia="Arial" w:hAnsi="Arial"/>
          <w:sz w:val="22"/>
          <w:szCs w:val="22"/>
          <w:b w:val="1"/>
          <w:bCs w:val="1"/>
          <w:color w:val="auto"/>
        </w:rPr>
      </w:pPr>
      <w:r>
        <w:rPr>
          <w:rFonts w:ascii="Arial" w:cs="Arial" w:eastAsia="Arial" w:hAnsi="Arial"/>
          <w:sz w:val="22"/>
          <w:szCs w:val="22"/>
          <w:b w:val="1"/>
          <w:bCs w:val="1"/>
          <w:color w:val="auto"/>
        </w:rPr>
        <w:t>TENANT’S SECURITY POLICIES, PROCEDURES AND EQUIPMENT</w:t>
      </w:r>
      <w:r>
        <w:rPr>
          <w:rFonts w:ascii="Arial" w:cs="Arial" w:eastAsia="Arial" w:hAnsi="Arial"/>
          <w:sz w:val="22"/>
          <w:szCs w:val="22"/>
          <w:color w:val="auto"/>
        </w:rPr>
        <w:t>. Notwithstanding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in this Lease, Tenant shall have the right, at its sole discretion and expense, to install its own electronic security systems within the Premises, including card key and CCTV system (“</w:t>
      </w:r>
      <w:r>
        <w:rPr>
          <w:rFonts w:ascii="Arial" w:cs="Arial" w:eastAsia="Arial" w:hAnsi="Arial"/>
          <w:sz w:val="22"/>
          <w:szCs w:val="22"/>
          <w:b w:val="1"/>
          <w:bCs w:val="1"/>
          <w:i w:val="1"/>
          <w:iCs w:val="1"/>
          <w:color w:val="auto"/>
        </w:rPr>
        <w:t>Tenant’s Security Systems</w:t>
      </w:r>
      <w:r>
        <w:rPr>
          <w:rFonts w:ascii="Arial" w:cs="Arial" w:eastAsia="Arial" w:hAnsi="Arial"/>
          <w:sz w:val="22"/>
          <w:szCs w:val="22"/>
          <w:color w:val="auto"/>
        </w:rPr>
        <w:t>”), provided that any portions of Tenant’s Security Systems visible from the exterior of the Premises shall be subject to the approval of Landlord as to appearance and conformity with the architectural integrity of the Building, and provided further that Landlord shall approve the operating attributes of the Tenant’s Security Systems. Tenant’s Security System shall be “Required Removables” as defined in Section 7.3 of this Lease.</w:t>
      </w:r>
    </w:p>
    <w:p>
      <w:pPr>
        <w:spacing w:after="0" w:line="210" w:lineRule="exact"/>
        <w:rPr>
          <w:rFonts w:ascii="Arial" w:cs="Arial" w:eastAsia="Arial" w:hAnsi="Arial"/>
          <w:sz w:val="22"/>
          <w:szCs w:val="22"/>
          <w:b w:val="1"/>
          <w:bCs w:val="1"/>
          <w:color w:val="auto"/>
        </w:rPr>
      </w:pPr>
    </w:p>
    <w:p>
      <w:pPr>
        <w:ind w:left="1420" w:hanging="764"/>
        <w:spacing w:after="0"/>
        <w:tabs>
          <w:tab w:leader="none" w:pos="1420" w:val="left"/>
        </w:tabs>
        <w:numPr>
          <w:ilvl w:val="0"/>
          <w:numId w:val="330"/>
        </w:numPr>
        <w:rPr>
          <w:rFonts w:ascii="Arial" w:cs="Arial" w:eastAsia="Arial" w:hAnsi="Arial"/>
          <w:sz w:val="22"/>
          <w:szCs w:val="22"/>
          <w:b w:val="1"/>
          <w:bCs w:val="1"/>
          <w:color w:val="auto"/>
        </w:rPr>
      </w:pPr>
      <w:r>
        <w:rPr>
          <w:rFonts w:ascii="Arial" w:cs="Arial" w:eastAsia="Arial" w:hAnsi="Arial"/>
          <w:sz w:val="22"/>
          <w:szCs w:val="22"/>
          <w:b w:val="1"/>
          <w:bCs w:val="1"/>
          <w:color w:val="auto"/>
        </w:rPr>
        <w:t>LANDLORD’S WARRANTIES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4"/>
        <w:spacing w:after="0" w:line="271" w:lineRule="auto"/>
        <w:tabs>
          <w:tab w:leader="none" w:pos="2379" w:val="left"/>
        </w:tabs>
        <w:numPr>
          <w:ilvl w:val="1"/>
          <w:numId w:val="330"/>
        </w:numPr>
        <w:rPr>
          <w:rFonts w:ascii="Arial" w:cs="Arial" w:eastAsia="Arial" w:hAnsi="Arial"/>
          <w:sz w:val="19"/>
          <w:szCs w:val="19"/>
          <w:color w:val="auto"/>
        </w:rPr>
      </w:pPr>
      <w:r>
        <w:rPr>
          <w:rFonts w:ascii="Arial" w:cs="Arial" w:eastAsia="Arial" w:hAnsi="Arial"/>
          <w:sz w:val="19"/>
          <w:szCs w:val="19"/>
          <w:color w:val="auto"/>
        </w:rPr>
        <w:t>Landlord shall correct, repair and/or replace any non-compliance of (i) the lobby restrooms of the Building, and (ii) the Common Areas of the Project exterior to the Building, with all building permits and codes in effect and applicable as of the execution of this Lease, including without limitation, the provisions of Title III of the Americans With Disabilities Act (“</w:t>
      </w:r>
      <w:r>
        <w:rPr>
          <w:rFonts w:ascii="Arial" w:cs="Arial" w:eastAsia="Arial" w:hAnsi="Arial"/>
          <w:sz w:val="19"/>
          <w:szCs w:val="19"/>
          <w:b w:val="1"/>
          <w:bCs w:val="1"/>
          <w:i w:val="1"/>
          <w:iCs w:val="1"/>
          <w:color w:val="auto"/>
        </w:rPr>
        <w:t>ADA</w:t>
      </w:r>
      <w:r>
        <w:rPr>
          <w:rFonts w:ascii="Arial" w:cs="Arial" w:eastAsia="Arial" w:hAnsi="Arial"/>
          <w:sz w:val="19"/>
          <w:szCs w:val="19"/>
          <w:color w:val="auto"/>
        </w:rPr>
        <w:t>”), which are “triggered” by the permitting and construction of the “Tenant Improvements” by Landlord pursuant to the attached Work Letter. Said costs of compliance shall be Landlord’s sole cost and expense in addition to the “Landlord’s Contribution” set forth in the attached Work Letter and shall not be part of Project Costs. Landlord shall correct, repair or replace any non-compliance of the areas described in Subsection (i) and (ii) above with any revisions or amendments to applicable building codes, including the ADA, becoming effective after the execution of this Lease, provided that the amortized cost of such repairs or replacements (amortized over the useful life thereof) shall be included as Project Costs payable by Tenant. All other ADA compliance issues which pertain to the Premises, including without limitation, in connection with Tenant’s construction of the Tenant Improvements, any Alterations or other improvements to the Premises and the operation of Tenant’s business and employment practices in the Premises, shall be the responsibility of Tenant at its sole cost and expense. The repairs, corrections or replacements required of Landlord or of Tenant under the foregoing provisions of this Section shall be made promptly following notice of non-compliance from any applicable governmental agency.</w:t>
      </w:r>
    </w:p>
    <w:p>
      <w:pPr>
        <w:spacing w:after="0" w:line="191" w:lineRule="exact"/>
        <w:rPr>
          <w:rFonts w:ascii="Arial" w:cs="Arial" w:eastAsia="Arial" w:hAnsi="Arial"/>
          <w:sz w:val="19"/>
          <w:szCs w:val="19"/>
          <w:color w:val="auto"/>
        </w:rPr>
      </w:pPr>
    </w:p>
    <w:p>
      <w:pPr>
        <w:jc w:val="both"/>
        <w:ind w:firstLine="1304"/>
        <w:spacing w:after="0" w:line="248" w:lineRule="auto"/>
        <w:tabs>
          <w:tab w:leader="none" w:pos="2066" w:val="left"/>
        </w:tabs>
        <w:numPr>
          <w:ilvl w:val="1"/>
          <w:numId w:val="330"/>
        </w:numPr>
        <w:rPr>
          <w:rFonts w:ascii="Arial" w:cs="Arial" w:eastAsia="Arial" w:hAnsi="Arial"/>
          <w:sz w:val="21"/>
          <w:szCs w:val="21"/>
          <w:color w:val="auto"/>
        </w:rPr>
      </w:pPr>
      <w:r>
        <w:rPr>
          <w:rFonts w:ascii="Arial" w:cs="Arial" w:eastAsia="Arial" w:hAnsi="Arial"/>
          <w:sz w:val="21"/>
          <w:szCs w:val="21"/>
          <w:color w:val="auto"/>
        </w:rPr>
        <w:t>Landlord warrants to Tenant that the plumbing, fire sprinkler system, lighting, heating, ventilation and air conditioning systems and electrical systems serving the Premises shall be in good operating condition on the Commencement Date of this Lease. Provided that Tenant shall notify Landlord of a non-compliance with the foregoing warranty not later than 30 days following the Commencement Date of the Lease, then Landlord shall, except as otherwise provided in this Lease, promptly after receipt of written notice from Tenant setting forth the nature and extent of such non-compliance, rectify same at Landlord’s sole cost and expense (and not as a Project Cost).</w:t>
      </w:r>
    </w:p>
    <w:p>
      <w:pPr>
        <w:spacing w:after="0" w:line="203" w:lineRule="exact"/>
        <w:rPr>
          <w:rFonts w:ascii="Arial" w:cs="Arial" w:eastAsia="Arial" w:hAnsi="Arial"/>
          <w:sz w:val="21"/>
          <w:szCs w:val="21"/>
          <w:color w:val="auto"/>
        </w:rPr>
      </w:pPr>
    </w:p>
    <w:p>
      <w:pPr>
        <w:jc w:val="both"/>
        <w:ind w:firstLine="1304"/>
        <w:spacing w:after="0" w:line="275" w:lineRule="auto"/>
        <w:tabs>
          <w:tab w:leader="none" w:pos="2152" w:val="left"/>
        </w:tabs>
        <w:numPr>
          <w:ilvl w:val="1"/>
          <w:numId w:val="330"/>
        </w:numPr>
        <w:rPr>
          <w:rFonts w:ascii="Arial" w:cs="Arial" w:eastAsia="Arial" w:hAnsi="Arial"/>
          <w:sz w:val="19"/>
          <w:szCs w:val="19"/>
          <w:color w:val="auto"/>
        </w:rPr>
      </w:pPr>
      <w:r>
        <w:rPr>
          <w:rFonts w:ascii="Arial" w:cs="Arial" w:eastAsia="Arial" w:hAnsi="Arial"/>
          <w:sz w:val="19"/>
          <w:szCs w:val="19"/>
          <w:color w:val="auto"/>
        </w:rPr>
        <w:t>Landlord shall correct, repair and/or replace, at its sole cost and expense and not as a Project Cost, the structural components of the roof, the load-bearing walls and the foundations and footings of the Building. Notwithstanding the foregoing, Landlord’s obligation contained in this Section to bear such costs and expenses shall not apply: (i) to the costs and expenses of periodic maintenance of the roof, walls, foundations and footings of the Building, (ii) to the cost of replacing the roof membrane and accompanying roof materials as and when such replacement is required, nor (iii) to the extent of the negligence or willful misconduct by Tenant, its employees, agents, contractors, licensees or invitees (in which case Tenant shall be responsible for the reasonable costs of such repairs and/or replacements). The repairs or replacements required of Landlord pursuant to this Section shall be made promptly following notice from Tenant.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3" w:name="page374"/>
    <w:bookmarkEnd w:id="373"/>
    <w:p>
      <w:pPr>
        <w:jc w:val="both"/>
        <w:ind w:left="-20" w:firstLine="656"/>
        <w:spacing w:after="0" w:line="236" w:lineRule="auto"/>
        <w:tabs>
          <w:tab w:leader="none" w:pos="1559"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color w:val="auto"/>
        </w:rPr>
        <w:t>EXISTING CABLING</w:t>
      </w:r>
      <w:r>
        <w:rPr>
          <w:rFonts w:ascii="Arial" w:cs="Arial" w:eastAsia="Arial" w:hAnsi="Arial"/>
          <w:sz w:val="22"/>
          <w:szCs w:val="22"/>
          <w:color w:val="auto"/>
        </w:rPr>
        <w:t>. Landlord shall request (but cannot guarantee) that the tenant in possession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at the date of execution of this Lease leaves its cabling installed in the Premises (“</w:t>
      </w:r>
      <w:r>
        <w:rPr>
          <w:rFonts w:ascii="Arial" w:cs="Arial" w:eastAsia="Arial" w:hAnsi="Arial"/>
          <w:sz w:val="22"/>
          <w:szCs w:val="22"/>
          <w:b w:val="1"/>
          <w:bCs w:val="1"/>
          <w:i w:val="1"/>
          <w:iCs w:val="1"/>
          <w:color w:val="auto"/>
        </w:rPr>
        <w:t>Existing Cabling</w:t>
      </w:r>
      <w:r>
        <w:rPr>
          <w:rFonts w:ascii="Arial" w:cs="Arial" w:eastAsia="Arial" w:hAnsi="Arial"/>
          <w:sz w:val="22"/>
          <w:szCs w:val="22"/>
          <w:color w:val="auto"/>
        </w:rPr>
        <w:t>”) for Tenant’s use during the Term. If the Existing Cabling is left in place for Tenant’s use: (i) Landlord makes no representation or warranty whatsoever as to its condition or suitability or fitness for any purpose whatsoever, and Tenant shall operate and maintain the Existing Cabling during the Term at its sole cost and expense, and (ii) the Existing Cabling shall be “</w:t>
      </w:r>
      <w:r>
        <w:rPr>
          <w:rFonts w:ascii="Arial" w:cs="Arial" w:eastAsia="Arial" w:hAnsi="Arial"/>
          <w:sz w:val="22"/>
          <w:szCs w:val="22"/>
          <w:b w:val="1"/>
          <w:bCs w:val="1"/>
          <w:i w:val="1"/>
          <w:iCs w:val="1"/>
          <w:color w:val="auto"/>
        </w:rPr>
        <w:t>Required Removables</w:t>
      </w:r>
      <w:r>
        <w:rPr>
          <w:rFonts w:ascii="Arial" w:cs="Arial" w:eastAsia="Arial" w:hAnsi="Arial"/>
          <w:sz w:val="22"/>
          <w:szCs w:val="22"/>
          <w:color w:val="auto"/>
        </w:rPr>
        <w:t>” at Lease expiration or earlier termination.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H</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LANDLORD’S DISCLOSURES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SPECTRUM</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capitalized terms used and not otherwise defined in this Exhibit shall have the same definitions as set forth in the Lease. The provisions of this Exhibit shall supersede any inconsistent or conflicting provisions of the Lease.</w:t>
      </w:r>
    </w:p>
    <w:p>
      <w:pPr>
        <w:spacing w:after="0" w:line="178" w:lineRule="exact"/>
        <w:rPr>
          <w:sz w:val="20"/>
          <w:szCs w:val="20"/>
          <w:color w:val="auto"/>
        </w:rPr>
      </w:pPr>
    </w:p>
    <w:p>
      <w:pPr>
        <w:jc w:val="both"/>
        <w:ind w:firstLine="656"/>
        <w:spacing w:after="0" w:line="274" w:lineRule="auto"/>
        <w:tabs>
          <w:tab w:leader="none" w:pos="1593" w:val="left"/>
        </w:tabs>
        <w:numPr>
          <w:ilvl w:val="0"/>
          <w:numId w:val="332"/>
        </w:numPr>
        <w:rPr>
          <w:rFonts w:ascii="Arial" w:cs="Arial" w:eastAsia="Arial" w:hAnsi="Arial"/>
          <w:sz w:val="19"/>
          <w:szCs w:val="19"/>
          <w:color w:val="auto"/>
        </w:rPr>
      </w:pPr>
      <w:r>
        <w:rPr>
          <w:rFonts w:ascii="Arial" w:cs="Arial" w:eastAsia="Arial" w:hAnsi="Arial"/>
          <w:sz w:val="19"/>
          <w:szCs w:val="19"/>
          <w:color w:val="auto"/>
        </w:rPr>
        <w:t>Landlord has been informed that the El Toro Marine Corps Air Station (MCAS) has been listed as a Federal Superfund site as a result of chemical releases occurring over many years of occupancy. Various chemicals including jet fuel, motor oil and solvents have been discharged in several areas throughout the MCAS site. A regional study conducted by the Orange County Water District has estimated that groundwaters beneath more than 2,900 acres have been impacted by Trichloroethlene (TCE), an industrial solvent, There is a potential that this substance may have migrated into the ground water underlying the Premises. The U.S. Environmental Protection Agency, the Santa Ana Region Quality Control Board, and the Orange County Health Care Agency are overseeing the investigation/cleanup of this contamination. To the Landlord’s current actual knowledge, the ground water in this area is used for irrigation purposes only, and there is no practical impediment to the use or c) occupancy of the Premises due to the El Toro discharges.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WORK LETTER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BUILD TO SUIT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tenant improvement work (the “</w:t>
      </w:r>
      <w:r>
        <w:rPr>
          <w:rFonts w:ascii="Arial" w:cs="Arial" w:eastAsia="Arial" w:hAnsi="Arial"/>
          <w:sz w:val="22"/>
          <w:szCs w:val="22"/>
          <w:b w:val="1"/>
          <w:bCs w:val="1"/>
          <w:i w:val="1"/>
          <w:iCs w:val="1"/>
          <w:color w:val="auto"/>
        </w:rPr>
        <w:t>Tenant Improvements</w:t>
      </w:r>
      <w:r>
        <w:rPr>
          <w:rFonts w:ascii="Arial" w:cs="Arial" w:eastAsia="Arial" w:hAnsi="Arial"/>
          <w:sz w:val="22"/>
          <w:szCs w:val="22"/>
          <w:color w:val="auto"/>
        </w:rPr>
        <w:t>” and the “</w:t>
      </w:r>
      <w:r>
        <w:rPr>
          <w:rFonts w:ascii="Arial" w:cs="Arial" w:eastAsia="Arial" w:hAnsi="Arial"/>
          <w:sz w:val="22"/>
          <w:szCs w:val="22"/>
          <w:b w:val="1"/>
          <w:bCs w:val="1"/>
          <w:i w:val="1"/>
          <w:iCs w:val="1"/>
          <w:color w:val="auto"/>
        </w:rPr>
        <w:t>Tenant Improvement Work</w:t>
      </w:r>
      <w:r>
        <w:rPr>
          <w:rFonts w:ascii="Arial" w:cs="Arial" w:eastAsia="Arial" w:hAnsi="Arial"/>
          <w:sz w:val="22"/>
          <w:szCs w:val="22"/>
          <w:color w:val="auto"/>
        </w:rPr>
        <w:t>”) shall consist of the work, including work in place as of the date hereof, required to complete the improvements to the Premises as shown in the space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prepared by SAA, dated September 26, 2013, including any “Alternates” shown in the Plan and elected by Tenant, and the cost estimate (the “</w:t>
      </w:r>
      <w:r>
        <w:rPr>
          <w:rFonts w:ascii="Arial" w:cs="Arial" w:eastAsia="Arial" w:hAnsi="Arial"/>
          <w:sz w:val="22"/>
          <w:szCs w:val="22"/>
          <w:b w:val="1"/>
          <w:bCs w:val="1"/>
          <w:i w:val="1"/>
          <w:iCs w:val="1"/>
          <w:color w:val="auto"/>
        </w:rPr>
        <w:t>Cost Estimate</w:t>
      </w:r>
      <w:r>
        <w:rPr>
          <w:rFonts w:ascii="Arial" w:cs="Arial" w:eastAsia="Arial" w:hAnsi="Arial"/>
          <w:sz w:val="22"/>
          <w:szCs w:val="22"/>
          <w:color w:val="auto"/>
        </w:rPr>
        <w:t>”) prepared by Casco Contractors, dated October 14, 2013. The Tenant Improvement Work shall be performed by a contractor selected by Landlord and In accordance with the requirements and procedures set forth below.</w:t>
      </w:r>
    </w:p>
    <w:p>
      <w:pPr>
        <w:spacing w:after="0" w:line="218"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ARCHITECTURAL AND CONSTRUCTION PROCEDURES</w:t>
      </w:r>
    </w:p>
    <w:p>
      <w:pPr>
        <w:spacing w:after="0" w:line="248" w:lineRule="exact"/>
        <w:rPr>
          <w:rFonts w:ascii="Arial" w:cs="Arial" w:eastAsia="Arial" w:hAnsi="Arial"/>
          <w:sz w:val="18"/>
          <w:szCs w:val="18"/>
          <w:b w:val="1"/>
          <w:bCs w:val="1"/>
          <w:color w:val="auto"/>
        </w:rPr>
      </w:pPr>
    </w:p>
    <w:p>
      <w:pPr>
        <w:jc w:val="both"/>
        <w:ind w:firstLine="656"/>
        <w:spacing w:after="0" w:line="273" w:lineRule="auto"/>
        <w:tabs>
          <w:tab w:leader="none" w:pos="1407" w:val="left"/>
        </w:tabs>
        <w:numPr>
          <w:ilvl w:val="1"/>
          <w:numId w:val="333"/>
        </w:numPr>
        <w:rPr>
          <w:rFonts w:ascii="Arial" w:cs="Arial" w:eastAsia="Arial" w:hAnsi="Arial"/>
          <w:sz w:val="19"/>
          <w:szCs w:val="19"/>
          <w:color w:val="auto"/>
        </w:rPr>
      </w:pPr>
      <w:r>
        <w:rPr>
          <w:rFonts w:ascii="Arial" w:cs="Arial" w:eastAsia="Arial" w:hAnsi="Arial"/>
          <w:sz w:val="19"/>
          <w:szCs w:val="19"/>
          <w:color w:val="auto"/>
        </w:rPr>
        <w:t>Landlord shall pay up to the amount of the “Landlord’s Contribution” (as defined below) towards the cost of the Tenant Improvement Work. Any additional cost of the Tenant Improvement Work, including, without limitation, additional costs resulting from Changes (as hereinafter defined) requested by Tenant shall be borne solely by Tenant and paid to Landlord as hereinafter provided. To the extent applicable, the build-out of the Tenant Improvements shall include Landlord’s building standard tenant improvements, materials and specifications for the Project as set forth in Schedule I attached hereto (“</w:t>
      </w:r>
      <w:r>
        <w:rPr>
          <w:rFonts w:ascii="Arial" w:cs="Arial" w:eastAsia="Arial" w:hAnsi="Arial"/>
          <w:sz w:val="19"/>
          <w:szCs w:val="19"/>
          <w:b w:val="1"/>
          <w:bCs w:val="1"/>
          <w:i w:val="1"/>
          <w:iCs w:val="1"/>
          <w:color w:val="auto"/>
        </w:rPr>
        <w:t>Building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Standard Improvements</w:t>
      </w:r>
      <w:r>
        <w:rPr>
          <w:rFonts w:ascii="Arial" w:cs="Arial" w:eastAsia="Arial" w:hAnsi="Arial"/>
          <w:sz w:val="19"/>
          <w:szCs w:val="19"/>
          <w:color w:val="auto"/>
        </w:rPr>
        <w:t>”), except for those additions or variations to Building Standard Improvements expressly approved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Landlord and noted on the Preliminary Plan (any such addition or variation from the Standard Improvements shall be referred to herein as a “</w:t>
      </w:r>
      <w:r>
        <w:rPr>
          <w:rFonts w:ascii="Arial" w:cs="Arial" w:eastAsia="Arial" w:hAnsi="Arial"/>
          <w:sz w:val="19"/>
          <w:szCs w:val="19"/>
          <w:b w:val="1"/>
          <w:bCs w:val="1"/>
          <w:i w:val="1"/>
          <w:iCs w:val="1"/>
          <w:color w:val="auto"/>
        </w:rPr>
        <w:t>Non-Standard Improvement</w:t>
      </w:r>
      <w:r>
        <w:rPr>
          <w:rFonts w:ascii="Arial" w:cs="Arial" w:eastAsia="Arial" w:hAnsi="Arial"/>
          <w:sz w:val="19"/>
          <w:szCs w:val="19"/>
          <w:color w:val="auto"/>
        </w:rPr>
        <w:t>”). Should Landlord submit any additional plans, equipment specification sheets, or other matters to Tenant for approval or completion in connection with the Tenant Improvement Work, Tenant shall respond in writing, as appropriate, within 5 days unless a shorter period is provided herein. Tenant shall not unreasonably withhold its approval of any matter, and any disapproval shall be limited to items not previously approved by Tenant in the Plan or otherwise.</w:t>
      </w:r>
    </w:p>
    <w:p>
      <w:pPr>
        <w:spacing w:after="0" w:line="182" w:lineRule="exact"/>
        <w:rPr>
          <w:rFonts w:ascii="Arial" w:cs="Arial" w:eastAsia="Arial" w:hAnsi="Arial"/>
          <w:sz w:val="19"/>
          <w:szCs w:val="19"/>
          <w:color w:val="auto"/>
        </w:rPr>
      </w:pPr>
    </w:p>
    <w:p>
      <w:pPr>
        <w:jc w:val="both"/>
        <w:ind w:firstLine="656"/>
        <w:spacing w:after="0" w:line="270" w:lineRule="auto"/>
        <w:tabs>
          <w:tab w:leader="none" w:pos="1521" w:val="left"/>
        </w:tabs>
        <w:numPr>
          <w:ilvl w:val="1"/>
          <w:numId w:val="333"/>
        </w:numPr>
        <w:rPr>
          <w:rFonts w:ascii="Arial" w:cs="Arial" w:eastAsia="Arial" w:hAnsi="Arial"/>
          <w:sz w:val="19"/>
          <w:szCs w:val="19"/>
          <w:color w:val="auto"/>
        </w:rPr>
      </w:pPr>
      <w:r>
        <w:rPr>
          <w:rFonts w:ascii="Arial" w:cs="Arial" w:eastAsia="Arial" w:hAnsi="Arial"/>
          <w:sz w:val="19"/>
          <w:szCs w:val="19"/>
          <w:color w:val="auto"/>
        </w:rPr>
        <w:t>In the event that Tenant requests in writing a revision to the Plan (“</w:t>
      </w:r>
      <w:r>
        <w:rPr>
          <w:rFonts w:ascii="Arial" w:cs="Arial" w:eastAsia="Arial" w:hAnsi="Arial"/>
          <w:sz w:val="19"/>
          <w:szCs w:val="19"/>
          <w:b w:val="1"/>
          <w:bCs w:val="1"/>
          <w:i w:val="1"/>
          <w:iCs w:val="1"/>
          <w:color w:val="auto"/>
        </w:rPr>
        <w:t>Change</w:t>
      </w:r>
      <w:r>
        <w:rPr>
          <w:rFonts w:ascii="Arial" w:cs="Arial" w:eastAsia="Arial" w:hAnsi="Arial"/>
          <w:sz w:val="19"/>
          <w:szCs w:val="19"/>
          <w:color w:val="auto"/>
        </w:rPr>
        <w:t>”), and Landlord so approves such Change as provided in the Section next below, Landlord shall advise Tenant by written change order as soon as is practical of any increase in the cost to complete the Tenant Improvement Work that causes the total cost of the Tenant Improvement Work to exceed Landlord’s Contribution. Tenant shall approve or disapprove such change order, if any, in writing within 2 business days following Tenant’s receipt of such change order. If Tenant approves any such change order, Landlord, at its election, may either</w:t>
      </w:r>
    </w:p>
    <w:p>
      <w:pPr>
        <w:spacing w:after="0" w:line="4"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1"/>
          <w:szCs w:val="21"/>
          <w:color w:val="auto"/>
        </w:rPr>
        <w:t>(i) require as a condition to the effectiveness of such change order that Tenant pay any such increase in the Completion Cost attributable to such change order concurrently with delivery of Tenant’s approval of the change order, or (ii) defer Tenant’s payment of such increase until the date 10 days after delivery of invoices for same, provided however, that the Tenant Contribution must in any event be paid in full prior to Tenant’s commencing occupancy of the Premises. If Tenant disapproves any such change order, Tenant shall nonetheless be responsible for the reasonable architectural and/or planning fees incurred in preparing such change order that causes the total cost of the Tenant Improvement Work to exceed the Landlord’s Contribution. Landlord shall have no obligation to interrupt or modify the Tenant Improvement Work pending Tenant’s approval of a change order, but if Tenant fails to timely approve a change order, Landlord may (but shall not be required to) suspend the applicable Tenant Improvement Work, in which event any related critical path delays because of such suspension shall constitute Tenant Delays hereunder.</w:t>
      </w:r>
    </w:p>
    <w:p>
      <w:pPr>
        <w:spacing w:after="0" w:line="210" w:lineRule="exact"/>
        <w:rPr>
          <w:rFonts w:ascii="Arial" w:cs="Arial" w:eastAsia="Arial" w:hAnsi="Arial"/>
          <w:sz w:val="19"/>
          <w:szCs w:val="19"/>
          <w:color w:val="auto"/>
        </w:rPr>
      </w:pPr>
    </w:p>
    <w:p>
      <w:pPr>
        <w:jc w:val="both"/>
        <w:ind w:firstLine="656"/>
        <w:spacing w:after="0" w:line="246" w:lineRule="auto"/>
        <w:tabs>
          <w:tab w:leader="none" w:pos="1413" w:val="left"/>
        </w:tabs>
        <w:numPr>
          <w:ilvl w:val="1"/>
          <w:numId w:val="333"/>
        </w:numPr>
        <w:rPr>
          <w:rFonts w:ascii="Arial" w:cs="Arial" w:eastAsia="Arial" w:hAnsi="Arial"/>
          <w:sz w:val="21"/>
          <w:szCs w:val="21"/>
          <w:color w:val="auto"/>
        </w:rPr>
      </w:pPr>
      <w:r>
        <w:rPr>
          <w:rFonts w:ascii="Arial" w:cs="Arial" w:eastAsia="Arial" w:hAnsi="Arial"/>
          <w:sz w:val="21"/>
          <w:szCs w:val="21"/>
          <w:color w:val="auto"/>
        </w:rPr>
        <w:t>Landlord agrees that it shall not unreasonably withhold its consent to Tenant’s requested Changes, provided that such consent may be withheld in all events if the requested Change (i) is of a lesser quality than the Tenant Improvements previously approved by Landlord, (ii) fails to conform to applicable governmental requirements, (iii) would result in the Premises requiring building services beyond the level normally provided to other tenants, (iv) would delay construction of the Tenant Improvements and Tenant declines to accept such delay in writing as a Tenant Delay, or (v) interferes in any manner with the proper functioning of, or Landlord’s access to, any mechanical, electrical, plumbing or HVAC systems, facilities or equipment in or serving the Building, or (vi) would have an adverse aesthetic impact visible from the exterior of the Premises or would cause additional material expenses to Landlord in reletting the Premises.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6" w:name="page377"/>
    <w:bookmarkEnd w:id="376"/>
    <w:p>
      <w:pPr>
        <w:jc w:val="both"/>
        <w:ind w:firstLine="656"/>
        <w:spacing w:after="0" w:line="271" w:lineRule="auto"/>
        <w:tabs>
          <w:tab w:leader="none" w:pos="1505" w:val="left"/>
        </w:tabs>
        <w:numPr>
          <w:ilvl w:val="0"/>
          <w:numId w:val="334"/>
        </w:numPr>
        <w:rPr>
          <w:rFonts w:ascii="Arial" w:cs="Arial" w:eastAsia="Arial" w:hAnsi="Arial"/>
          <w:sz w:val="19"/>
          <w:szCs w:val="19"/>
          <w:color w:val="auto"/>
        </w:rPr>
      </w:pPr>
      <w:r>
        <w:rPr>
          <w:rFonts w:ascii="Arial" w:cs="Arial" w:eastAsia="Arial" w:hAnsi="Arial"/>
          <w:sz w:val="19"/>
          <w:szCs w:val="19"/>
          <w:color w:val="auto"/>
        </w:rPr>
        <w:t>Notwithstanding any provision in the Lease to the contrary, and not by way of limitation of any other rights or remedies of Landlord, if Tenant fails to comply with any of the time periods specified in this Work Letter, fails otherwise to approve or reasonably disapprove any submittal within the time period specified herein for such response (or if no time period is so specified, within 5 business days following Tenant’s receipt thereof), requests any Changes, furnishes inaccurate or erroneous specifications or other information, or otherwise delays in any manner the completion of the Tenant Improvements (including without limitation by specifying materials that are not readily available) or the issuance of an occupancy certificate (any of the foregoing being referred to in this Lease as a “</w:t>
      </w:r>
      <w:r>
        <w:rPr>
          <w:rFonts w:ascii="Arial" w:cs="Arial" w:eastAsia="Arial" w:hAnsi="Arial"/>
          <w:sz w:val="19"/>
          <w:szCs w:val="19"/>
          <w:b w:val="1"/>
          <w:bCs w:val="1"/>
          <w:i w:val="1"/>
          <w:iCs w:val="1"/>
          <w:color w:val="auto"/>
        </w:rPr>
        <w:t>Tenant Delay</w:t>
      </w:r>
      <w:r>
        <w:rPr>
          <w:rFonts w:ascii="Arial" w:cs="Arial" w:eastAsia="Arial" w:hAnsi="Arial"/>
          <w:sz w:val="19"/>
          <w:szCs w:val="19"/>
          <w:color w:val="auto"/>
        </w:rPr>
        <w:t>”), then Tenant shall bear any resulting additional construction cost or other expenses, and the Commencement Date of this Lease shall be deemed to have occurred for all purposes, including without limitation Tenant’s obligation to pay rent, as of the date Landlord reasonably determines that it would have been able to deliver the Premises to Tenant but for the collective Tenant Delays, but not sooner than the Estimated Commencement Date. Should Landlord reasonably determine that the Commencement Date should be advanced in accordance with the foregoing, it shall so notify Tenant in writing. Landlords determination shall be conclusive unless Tenant notifies Landlord in writing, within 5 days thereafter, of Tenant’s election to contest same by arbitration pursuant to the provisions of Section III below. Pending the outcome of such arbitration proceedings, Tenant shall make timely payment of all rent due under this Lease based upon the Commencement Date set forth in the aforesaid notice from Landlord.</w:t>
      </w:r>
    </w:p>
    <w:p>
      <w:pPr>
        <w:spacing w:after="0" w:line="187" w:lineRule="exact"/>
        <w:rPr>
          <w:rFonts w:ascii="Arial" w:cs="Arial" w:eastAsia="Arial" w:hAnsi="Arial"/>
          <w:sz w:val="19"/>
          <w:szCs w:val="19"/>
          <w:color w:val="auto"/>
        </w:rPr>
      </w:pPr>
    </w:p>
    <w:p>
      <w:pPr>
        <w:jc w:val="both"/>
        <w:ind w:firstLine="656"/>
        <w:spacing w:after="0" w:line="274" w:lineRule="auto"/>
        <w:tabs>
          <w:tab w:leader="none" w:pos="1362" w:val="left"/>
        </w:tabs>
        <w:numPr>
          <w:ilvl w:val="0"/>
          <w:numId w:val="334"/>
        </w:numPr>
        <w:rPr>
          <w:rFonts w:ascii="Arial" w:cs="Arial" w:eastAsia="Arial" w:hAnsi="Arial"/>
          <w:sz w:val="19"/>
          <w:szCs w:val="19"/>
          <w:color w:val="auto"/>
        </w:rPr>
      </w:pPr>
      <w:r>
        <w:rPr>
          <w:rFonts w:ascii="Arial" w:cs="Arial" w:eastAsia="Arial" w:hAnsi="Arial"/>
          <w:sz w:val="19"/>
          <w:szCs w:val="19"/>
          <w:color w:val="auto"/>
        </w:rPr>
        <w:t>All Tenant Improvements shall become the property of Landlord and shall be surrendered with the Premises at the end of the Term; except that Landlord may, by notice to Tenant given at the time of Landlord’s approval of any change requested by Tenant, require Tenant either (i) to remove all or any of the Tenant Improvements approved by way of such Change requested by Tenant, to repair any damage to the Premises or the Common Area arising from such removal, and to replace any Non-Standard Improvements so approved by way of such change with the applicable Building Standard Improvements, or (ii) to reimburse Landlord for the reasonable cost of such removal, repair and replacement upon demand. Any such removals, repairs and replacements by Tenant shall be completed by the Expiration Date, or sooner termination of this Lease. Landlord confirms and agrees, however, that no such removal and/or replacement shall be required for any of the Tenant Improvements shown in the Plan, including any “</w:t>
      </w:r>
      <w:r>
        <w:rPr>
          <w:rFonts w:ascii="Arial" w:cs="Arial" w:eastAsia="Arial" w:hAnsi="Arial"/>
          <w:sz w:val="19"/>
          <w:szCs w:val="19"/>
          <w:b w:val="1"/>
          <w:bCs w:val="1"/>
          <w:i w:val="1"/>
          <w:iCs w:val="1"/>
          <w:color w:val="auto"/>
        </w:rPr>
        <w:t>Alternates</w:t>
      </w:r>
      <w:r>
        <w:rPr>
          <w:rFonts w:ascii="Arial" w:cs="Arial" w:eastAsia="Arial" w:hAnsi="Arial"/>
          <w:sz w:val="19"/>
          <w:szCs w:val="19"/>
          <w:color w:val="auto"/>
        </w:rPr>
        <w:t>” shown in the Plan and elected by Tenant.</w:t>
      </w:r>
    </w:p>
    <w:p>
      <w:pPr>
        <w:spacing w:after="0" w:line="185" w:lineRule="exact"/>
        <w:rPr>
          <w:rFonts w:ascii="Arial" w:cs="Arial" w:eastAsia="Arial" w:hAnsi="Arial"/>
          <w:sz w:val="19"/>
          <w:szCs w:val="19"/>
          <w:color w:val="auto"/>
        </w:rPr>
      </w:pPr>
    </w:p>
    <w:p>
      <w:pPr>
        <w:jc w:val="both"/>
        <w:ind w:firstLine="656"/>
        <w:spacing w:after="0" w:line="271" w:lineRule="auto"/>
        <w:tabs>
          <w:tab w:leader="none" w:pos="135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Landlord shall permit Tenant and its agents to enter the Premises within 30 days prior to the Commencement Date of the Lease in order that Tenant may install fixtures, furniture and cabling through Tenant’s own contractors prior to the Commencement Date. Any such work shall be subject to Landlord’s prior written approval, and shall be performed in a manner and upon terms and conditions and at times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that entry shall cause disharmony or interfere with the work being performed by Landlord, this license may be withdrawn by Landlord upon 24 hours written notice to Tenant. That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the Lease except as to the covenants to pay rent. Landlord shall not be liable in any way for any personal injury, and/or loss or damage of property which may occur in connection with such entry by Tenant or in connection with such work being performed by Tenant, the same being solely at Tenant’s risk. In no event shall the failure of Tenant’s contractors to complete any work in the Premises extend the Commencement Date of this 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7" w:name="page378"/>
    <w:bookmarkEnd w:id="377"/>
    <w:p>
      <w:pPr>
        <w:jc w:val="both"/>
        <w:ind w:left="-8" w:firstLine="656"/>
        <w:spacing w:after="0" w:line="275" w:lineRule="auto"/>
        <w:tabs>
          <w:tab w:leader="none" w:pos="1345"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Tenant hereby designates Doug Francis (</w:t>
      </w:r>
      <w:r>
        <w:rPr>
          <w:rFonts w:ascii="Arial" w:cs="Arial" w:eastAsia="Arial" w:hAnsi="Arial"/>
          <w:sz w:val="19"/>
          <w:szCs w:val="19"/>
          <w:b w:val="1"/>
          <w:bCs w:val="1"/>
          <w:i w:val="1"/>
          <w:iCs w:val="1"/>
          <w:color w:val="auto"/>
        </w:rPr>
        <w:t>Tenant’s Construction Representative</w:t>
      </w:r>
      <w:r>
        <w:rPr>
          <w:rFonts w:ascii="Arial" w:cs="Arial" w:eastAsia="Arial" w:hAnsi="Arial"/>
          <w:sz w:val="19"/>
          <w:szCs w:val="19"/>
          <w:color w:val="auto"/>
        </w:rPr>
        <w:t xml:space="preserve">”), Telephone No. (949) 444-6243, as its representative, agent and attorney-in-fact for all matters related to the Tenant Improvement Work, including but not by way of limitation, for purposes of receiving notices, approving submittals and issuing requests for Changes, and Landlord shall be entitled to rely upon authorizations and directives of such person(s) as if given directly by Tenant. The foregoing authorization is intended to provide assurance to Landlord that it may rely upon the directives and decision making of the Tenant’s Construction Representative with respect to the Tenant Improvement Work and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intended to limit or reduce Landlord’s right to reasonably rely upon any decisions or directives given by other officers or representatives of Tenant. Tenant may amend the designation of its Tenant’s Construction Representative(s) at any time upon delivery of written notice to Landlord.</w:t>
      </w:r>
    </w:p>
    <w:p>
      <w:pPr>
        <w:spacing w:after="0" w:line="184" w:lineRule="exact"/>
        <w:rPr>
          <w:rFonts w:ascii="Arial" w:cs="Arial" w:eastAsia="Arial" w:hAnsi="Arial"/>
          <w:sz w:val="19"/>
          <w:szCs w:val="19"/>
          <w:color w:val="auto"/>
        </w:rPr>
      </w:pPr>
    </w:p>
    <w:p>
      <w:pPr>
        <w:jc w:val="both"/>
        <w:ind w:left="-8" w:firstLine="656"/>
        <w:spacing w:after="0" w:line="235" w:lineRule="auto"/>
        <w:tabs>
          <w:tab w:leader="none" w:pos="1587" w:val="left"/>
        </w:tabs>
        <w:numPr>
          <w:ilvl w:val="1"/>
          <w:numId w:val="335"/>
        </w:numPr>
        <w:rPr>
          <w:rFonts w:ascii="Arial" w:cs="Arial" w:eastAsia="Arial" w:hAnsi="Arial"/>
          <w:sz w:val="22"/>
          <w:szCs w:val="22"/>
          <w:color w:val="auto"/>
        </w:rPr>
      </w:pPr>
      <w:r>
        <w:rPr>
          <w:rFonts w:ascii="Arial" w:cs="Arial" w:eastAsia="Arial" w:hAnsi="Arial"/>
          <w:sz w:val="22"/>
          <w:szCs w:val="22"/>
          <w:color w:val="auto"/>
        </w:rPr>
        <w:t>Landlord shall submit the construction drawings for the Tenant Improvement Work to a competitive bidding process involving at least 3 licensed and reputable general contractors. If requested by Tenant, Landlord shall provide copies of the bid responses to Tenant. After adjustments for any inconsistent assumptions to reflect an “</w:t>
      </w:r>
      <w:r>
        <w:rPr>
          <w:rFonts w:ascii="Arial" w:cs="Arial" w:eastAsia="Arial" w:hAnsi="Arial"/>
          <w:sz w:val="22"/>
          <w:szCs w:val="22"/>
          <w:b w:val="1"/>
          <w:bCs w:val="1"/>
          <w:i w:val="1"/>
          <w:iCs w:val="1"/>
          <w:color w:val="auto"/>
        </w:rPr>
        <w:t>apples to apples</w:t>
      </w:r>
      <w:r>
        <w:rPr>
          <w:rFonts w:ascii="Arial" w:cs="Arial" w:eastAsia="Arial" w:hAnsi="Arial"/>
          <w:sz w:val="22"/>
          <w:szCs w:val="22"/>
          <w:color w:val="auto"/>
        </w:rPr>
        <w:t>” comparison, Landlord shall select the lowest qualified bidder for construction of the Tenant Improvements. Upon selection of the lowest qualified bidder, Landlord shall enter into a construction contract with the contractor so selected in the bid amount for construction of the Tenant Improvements.</w:t>
      </w:r>
    </w:p>
    <w:p>
      <w:pPr>
        <w:spacing w:after="0" w:line="217" w:lineRule="exact"/>
        <w:rPr>
          <w:rFonts w:ascii="Arial" w:cs="Arial" w:eastAsia="Arial" w:hAnsi="Arial"/>
          <w:sz w:val="22"/>
          <w:szCs w:val="22"/>
          <w:color w:val="auto"/>
        </w:rPr>
      </w:pPr>
    </w:p>
    <w:p>
      <w:pPr>
        <w:ind w:left="652" w:hanging="652"/>
        <w:spacing w:after="0"/>
        <w:tabs>
          <w:tab w:leader="none" w:pos="652"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COST OF THE TENANT IMPROVEMENTS WORK</w:t>
      </w:r>
    </w:p>
    <w:p>
      <w:pPr>
        <w:spacing w:after="0" w:line="248" w:lineRule="exact"/>
        <w:rPr>
          <w:rFonts w:ascii="Arial" w:cs="Arial" w:eastAsia="Arial" w:hAnsi="Arial"/>
          <w:sz w:val="18"/>
          <w:szCs w:val="18"/>
          <w:b w:val="1"/>
          <w:bCs w:val="1"/>
          <w:color w:val="auto"/>
        </w:rPr>
      </w:pPr>
    </w:p>
    <w:p>
      <w:pPr>
        <w:jc w:val="both"/>
        <w:ind w:left="-8" w:firstLine="656"/>
        <w:spacing w:after="0" w:line="273" w:lineRule="auto"/>
        <w:tabs>
          <w:tab w:leader="none" w:pos="1579" w:val="left"/>
        </w:tabs>
        <w:numPr>
          <w:ilvl w:val="1"/>
          <w:numId w:val="336"/>
        </w:numPr>
        <w:rPr>
          <w:rFonts w:ascii="Arial" w:cs="Arial" w:eastAsia="Arial" w:hAnsi="Arial"/>
          <w:sz w:val="19"/>
          <w:szCs w:val="19"/>
          <w:color w:val="auto"/>
        </w:rPr>
      </w:pPr>
      <w:r>
        <w:rPr>
          <w:rFonts w:ascii="Arial" w:cs="Arial" w:eastAsia="Arial" w:hAnsi="Arial"/>
          <w:sz w:val="19"/>
          <w:szCs w:val="19"/>
          <w:color w:val="auto"/>
        </w:rPr>
        <w:t>Landlord shalt provide an allowance towards the “Completion Cost” (as defined below) of constructing the Tenant Improvement Work in the amount of $1,011,825.00 (the “</w:t>
      </w:r>
      <w:r>
        <w:rPr>
          <w:rFonts w:ascii="Arial" w:cs="Arial" w:eastAsia="Arial" w:hAnsi="Arial"/>
          <w:sz w:val="19"/>
          <w:szCs w:val="19"/>
          <w:b w:val="1"/>
          <w:bCs w:val="1"/>
          <w:i w:val="1"/>
          <w:iCs w:val="1"/>
          <w:color w:val="auto"/>
        </w:rPr>
        <w:t>Landlord’s Contribution</w:t>
      </w:r>
      <w:r>
        <w:rPr>
          <w:rFonts w:ascii="Arial" w:cs="Arial" w:eastAsia="Arial" w:hAnsi="Arial"/>
          <w:sz w:val="19"/>
          <w:szCs w:val="19"/>
          <w:color w:val="auto"/>
        </w:rPr>
        <w:t>”), based on $25.00 per usable square foot of the Premises, with any excess cost of the Tenant Improvements Work to be borne solely by Tenant. If the actual cost of completion of the Tenant Improvements is less than the maximum amount provided for the Landlord’s Contribution, such savings shall inure to the benefit of Landlord and Tenant shall not be entitled to any credit or payment. Notwithstanding the foregoing, Tenant may utilize a portion of the Landlord’s Contribution, not to exceed the amount of $121,419.00, based on 3.00 per usable square foot of the Premises, towards Tenant’s out-of-pocket costs of cabling, furniture, architectural fees, signage, security system, and related moving expenses for Tenant’s move to the Premises. Landlord shall reimburse Tenant for such costs within 30 days following invoicing by Tenant, provided, however, that Landlord shall have no obligation to fund any portion of the Landlord’s Contribution towards invoices received from Tenant after 90 days following the Commencement Date of this Lease.</w:t>
      </w:r>
    </w:p>
    <w:p>
      <w:pPr>
        <w:spacing w:after="0" w:line="187" w:lineRule="exact"/>
        <w:rPr>
          <w:rFonts w:ascii="Arial" w:cs="Arial" w:eastAsia="Arial" w:hAnsi="Arial"/>
          <w:sz w:val="19"/>
          <w:szCs w:val="19"/>
          <w:color w:val="auto"/>
        </w:rPr>
      </w:pPr>
    </w:p>
    <w:p>
      <w:pPr>
        <w:jc w:val="both"/>
        <w:ind w:left="-8" w:firstLine="656"/>
        <w:spacing w:after="0" w:line="238" w:lineRule="auto"/>
        <w:tabs>
          <w:tab w:leader="none" w:pos="1432" w:val="left"/>
        </w:tabs>
        <w:numPr>
          <w:ilvl w:val="1"/>
          <w:numId w:val="336"/>
        </w:numPr>
        <w:rPr>
          <w:rFonts w:ascii="Arial" w:cs="Arial" w:eastAsia="Arial" w:hAnsi="Arial"/>
          <w:sz w:val="22"/>
          <w:szCs w:val="22"/>
          <w:color w:val="auto"/>
        </w:rPr>
      </w:pPr>
      <w:r>
        <w:rPr>
          <w:rFonts w:ascii="Arial" w:cs="Arial" w:eastAsia="Arial" w:hAnsi="Arial"/>
          <w:sz w:val="22"/>
          <w:szCs w:val="22"/>
          <w:color w:val="auto"/>
        </w:rPr>
        <w:t>Tenant shall pay all Completion Costs attributable to any costs attributable to Tenant Delays and the amount, if any, by which aggregate Completion Cost of the Tenant Improvement Work exceeds the Landlord’s Contribution. The amounts to be paid by Tenant for the Tenant Improvements pursuant to this Section II.C. are sometimes cumulatively referred to herein as the “</w:t>
      </w:r>
      <w:r>
        <w:rPr>
          <w:rFonts w:ascii="Arial" w:cs="Arial" w:eastAsia="Arial" w:hAnsi="Arial"/>
          <w:sz w:val="22"/>
          <w:szCs w:val="22"/>
          <w:b w:val="1"/>
          <w:bCs w:val="1"/>
          <w:i w:val="1"/>
          <w:iCs w:val="1"/>
          <w:color w:val="auto"/>
        </w:rPr>
        <w:t>Tenant’s Contribution</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left="-8" w:firstLine="656"/>
        <w:spacing w:after="0" w:line="275" w:lineRule="auto"/>
        <w:tabs>
          <w:tab w:leader="none" w:pos="1374" w:val="left"/>
        </w:tabs>
        <w:numPr>
          <w:ilvl w:val="1"/>
          <w:numId w:val="336"/>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Completion Cost</w:t>
      </w:r>
      <w:r>
        <w:rPr>
          <w:rFonts w:ascii="Arial" w:cs="Arial" w:eastAsia="Arial" w:hAnsi="Arial"/>
          <w:sz w:val="19"/>
          <w:szCs w:val="19"/>
          <w:color w:val="auto"/>
        </w:rPr>
        <w:t>” shall mean all costs of Landlord in completing the Tenant Improvements Work, including but not limited to the following: (i) payments made to architects, engineers, contractors, subcontractors and other third party consultants in the performance of the Work, (ii) permit fees and other sums paid to governmental agencies, and (iii) costs of all materials incorporated into the Work or used in connection with the Work. The Completion Cost shall also include an administrative/supervision fee to be paid to Landlord or to Landlord’s management agent in the amount of 3% of the Completion Cost. Unless expressly authorized in writing by Landlord, the Completion Cost shall not include (and no portion of the Landlord Contribution shall be paid for) any costs incurred by Tenant, including without limitation, any costs for space planners, managers, advisors or consultants retained by Tenant in connection with the Tenant Improvements.</w:t>
      </w:r>
    </w:p>
    <w:p>
      <w:pPr>
        <w:spacing w:after="0" w:line="184" w:lineRule="exact"/>
        <w:rPr>
          <w:rFonts w:ascii="Arial" w:cs="Arial" w:eastAsia="Arial" w:hAnsi="Arial"/>
          <w:sz w:val="19"/>
          <w:szCs w:val="19"/>
          <w:color w:val="auto"/>
        </w:rPr>
      </w:pPr>
    </w:p>
    <w:p>
      <w:pPr>
        <w:jc w:val="both"/>
        <w:ind w:left="-8" w:firstLine="656"/>
        <w:spacing w:after="0" w:line="245" w:lineRule="auto"/>
        <w:tabs>
          <w:tab w:leader="none" w:pos="1405" w:val="left"/>
        </w:tabs>
        <w:numPr>
          <w:ilvl w:val="1"/>
          <w:numId w:val="336"/>
        </w:numPr>
        <w:rPr>
          <w:rFonts w:ascii="Arial" w:cs="Arial" w:eastAsia="Arial" w:hAnsi="Arial"/>
          <w:sz w:val="21"/>
          <w:szCs w:val="21"/>
          <w:color w:val="auto"/>
        </w:rPr>
      </w:pPr>
      <w:r>
        <w:rPr>
          <w:rFonts w:ascii="Arial" w:cs="Arial" w:eastAsia="Arial" w:hAnsi="Arial"/>
          <w:sz w:val="21"/>
          <w:szCs w:val="21"/>
          <w:color w:val="auto"/>
        </w:rPr>
        <w:t>Prior to start of construction of the Tenant Improvements, Tenant shall pay to Landlord in full the amount of the Tenant’s Contribution, if any, set forth in the approved Cost Estimate. Following completion of the Tenant Improvements Work, Tenant shall pay (or be refunded) any difference between the estimated and the actual amount of the Tenants Contribution towards the Completion Cost. The balance of all sums due and owing and not otherwise paid by Tenant shall be due and payable on or before the Commencement Date of this Lease. If Tenant defaults in the payment of any sums due under this Work Letter, Landlord shall (in addition to all other remedies) have the same rights as in the case of Tenant’s failure to pay rent under the Lease, including, without limitation, the right to terminate this Lease and recover damages from Tenant and/or to charge a late payment fee and to collect interest on delinquent payments, and Landlord may (but shall not be required to) suspend the Tenant Improvement Work following such default, in which event any delays because of such suspension shall constitute Tenant Delays hereunder.</w:t>
      </w:r>
    </w:p>
    <w:p>
      <w:pPr>
        <w:sectPr>
          <w:pgSz w:w="11900" w:h="16838" w:orient="portrait"/>
          <w:cols w:equalWidth="0" w:num="1">
            <w:col w:w="11232"/>
          </w:cols>
          <w:pgMar w:left="328" w:top="118" w:right="339" w:bottom="1440" w:gutter="0" w:footer="0" w:header="0"/>
        </w:sectPr>
      </w:pP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type w:val="continuous"/>
        </w:sectPr>
      </w:pPr>
    </w:p>
    <w:bookmarkStart w:id="378" w:name="page379"/>
    <w:bookmarkEnd w:id="378"/>
    <w:p>
      <w:pPr>
        <w:ind w:left="660" w:hanging="652"/>
        <w:spacing w:after="0"/>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48" w:lineRule="exact"/>
        <w:rPr>
          <w:rFonts w:ascii="Arial" w:cs="Arial" w:eastAsia="Arial" w:hAnsi="Arial"/>
          <w:sz w:val="18"/>
          <w:szCs w:val="18"/>
          <w:b w:val="1"/>
          <w:bCs w:val="1"/>
          <w:color w:val="auto"/>
        </w:rPr>
      </w:pPr>
    </w:p>
    <w:p>
      <w:pPr>
        <w:jc w:val="both"/>
        <w:ind w:firstLine="656"/>
        <w:spacing w:after="0" w:line="245" w:lineRule="auto"/>
        <w:tabs>
          <w:tab w:leader="none" w:pos="1298" w:val="left"/>
        </w:tabs>
        <w:numPr>
          <w:ilvl w:val="1"/>
          <w:numId w:val="337"/>
        </w:numPr>
        <w:rPr>
          <w:rFonts w:ascii="Arial" w:cs="Arial" w:eastAsia="Arial" w:hAnsi="Arial"/>
          <w:sz w:val="21"/>
          <w:szCs w:val="21"/>
          <w:color w:val="auto"/>
        </w:rPr>
      </w:pPr>
      <w:r>
        <w:rPr>
          <w:rFonts w:ascii="Arial" w:cs="Arial" w:eastAsia="Arial" w:hAnsi="Arial"/>
          <w:sz w:val="21"/>
          <w:szCs w:val="21"/>
          <w:color w:val="auto"/>
        </w:rPr>
        <w:t>All claims or disputes between Landlord and Tenant arising out of, or relating to, this Work Letter shall be decided by the JAMS/ENDISPUTE (“</w:t>
      </w:r>
      <w:r>
        <w:rPr>
          <w:rFonts w:ascii="Arial" w:cs="Arial" w:eastAsia="Arial" w:hAnsi="Arial"/>
          <w:sz w:val="21"/>
          <w:szCs w:val="21"/>
          <w:b w:val="1"/>
          <w:bCs w:val="1"/>
          <w:i w:val="1"/>
          <w:iCs w:val="1"/>
          <w:color w:val="auto"/>
        </w:rPr>
        <w:t>JAMS</w:t>
      </w:r>
      <w:r>
        <w:rPr>
          <w:rFonts w:ascii="Arial" w:cs="Arial" w:eastAsia="Arial" w:hAnsi="Arial"/>
          <w:sz w:val="21"/>
          <w:szCs w:val="21"/>
          <w:color w:val="auto"/>
        </w:rPr>
        <w:t>”), or its successor, with such arbitration to be held in Orange County, California, unless the parties mutually agree otherwise. Within 10 business days following submission to JAMS, JAMS shall designate three arbitrators and each party may, within 5 business days thereafter, veto one of the three persons so designated. If two different designated arbitrators have been vetoed, the third arbitrator shall hear and decide the matter. If less than 2 arbitrators are timely vetoed, JAMS shall select a single arbitrator from the non-vetoed arbitrators originally designated by JAMS, who shall hear and decide the matter. Any arbitration pursuant to this section shall be decided within 30 days of submission to JAMS. The decision of the arbitrator shall be final and binding on the parties. All costs associated with the arbitration shall be awarded to the prevailing party as determined by the arbitrator.</w:t>
      </w:r>
    </w:p>
    <w:p>
      <w:pPr>
        <w:spacing w:after="0" w:line="211" w:lineRule="exact"/>
        <w:rPr>
          <w:rFonts w:ascii="Arial" w:cs="Arial" w:eastAsia="Arial" w:hAnsi="Arial"/>
          <w:sz w:val="21"/>
          <w:szCs w:val="21"/>
          <w:color w:val="auto"/>
        </w:rPr>
      </w:pPr>
    </w:p>
    <w:p>
      <w:pPr>
        <w:jc w:val="both"/>
        <w:ind w:firstLine="656"/>
        <w:spacing w:after="0" w:line="246" w:lineRule="auto"/>
        <w:tabs>
          <w:tab w:leader="none" w:pos="1535" w:val="left"/>
        </w:tabs>
        <w:numPr>
          <w:ilvl w:val="1"/>
          <w:numId w:val="337"/>
        </w:numPr>
        <w:rPr>
          <w:rFonts w:ascii="Arial" w:cs="Arial" w:eastAsia="Arial" w:hAnsi="Arial"/>
          <w:sz w:val="21"/>
          <w:szCs w:val="21"/>
          <w:color w:val="auto"/>
        </w:rPr>
      </w:pPr>
      <w:r>
        <w:rPr>
          <w:rFonts w:ascii="Arial" w:cs="Arial" w:eastAsia="Arial" w:hAnsi="Arial"/>
          <w:sz w:val="21"/>
          <w:szCs w:val="21"/>
          <w:color w:val="auto"/>
        </w:rPr>
        <w:t>Notice of the demand for arbitration by either party to the Work Letter shall be filed in writing with the other party to the Work Letter and with JAMS and shall be made within a reasonable time after the dispute has arisen. The award rendered by the arbitrator shall be final, and judgment may be entered upon it in accordance with applicable law in any court having jurisdiction thereof. Except by written consent of the person or entity sought to be joined, no arbitration arising out of or relating to this Work Letter shall include, by consolidation, joinder or in any other manner, any person or entity not a party to the Work Letter unless (1) such person or entity is substantially involved in a common question of fact or law, (2) the presence of such person or entity is required if complete relief is to be accorded in the arbitration, or (3) the interest or responsibility of such person or entity in the matter is not insubstantial.</w:t>
      </w:r>
    </w:p>
    <w:p>
      <w:pPr>
        <w:spacing w:after="0" w:line="206" w:lineRule="exact"/>
        <w:rPr>
          <w:rFonts w:ascii="Arial" w:cs="Arial" w:eastAsia="Arial" w:hAnsi="Arial"/>
          <w:sz w:val="21"/>
          <w:szCs w:val="21"/>
          <w:color w:val="auto"/>
        </w:rPr>
      </w:pPr>
    </w:p>
    <w:p>
      <w:pPr>
        <w:jc w:val="both"/>
        <w:ind w:firstLine="656"/>
        <w:spacing w:after="0" w:line="257" w:lineRule="auto"/>
        <w:tabs>
          <w:tab w:leader="none" w:pos="1454" w:val="left"/>
        </w:tabs>
        <w:numPr>
          <w:ilvl w:val="1"/>
          <w:numId w:val="337"/>
        </w:numPr>
        <w:rPr>
          <w:rFonts w:ascii="Arial" w:cs="Arial" w:eastAsia="Arial" w:hAnsi="Arial"/>
          <w:sz w:val="21"/>
          <w:szCs w:val="21"/>
          <w:color w:val="auto"/>
        </w:rPr>
      </w:pPr>
      <w:r>
        <w:rPr>
          <w:rFonts w:ascii="Arial" w:cs="Arial" w:eastAsia="Arial" w:hAnsi="Arial"/>
          <w:sz w:val="21"/>
          <w:szCs w:val="21"/>
          <w:color w:val="auto"/>
        </w:rPr>
        <w:t>The agreement herein among the parties to arbitrate shall be specifically enforceable under prevailing law. The agreement to arbitrate hereunder shall apply only to disputes arising out of, or relating to, this Work Letter, and shall not apply to other matters of dispute under the Lease except as may be expressly provided in the Lease,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9" w:name="page380"/>
    <w:bookmarkEnd w:id="379"/>
    <w:p>
      <w:pPr>
        <w:spacing w:after="0"/>
        <w:rPr>
          <w:sz w:val="20"/>
          <w:szCs w:val="20"/>
          <w:color w:val="auto"/>
        </w:rPr>
      </w:pPr>
      <w:r>
        <w:rPr>
          <w:rFonts w:ascii="Arial" w:cs="Arial" w:eastAsia="Arial" w:hAnsi="Arial"/>
          <w:sz w:val="22"/>
          <w:szCs w:val="22"/>
          <w:b w:val="1"/>
          <w:bCs w:val="1"/>
          <w:i w:val="1"/>
          <w:iCs w:val="1"/>
          <w:color w:val="auto"/>
        </w:rPr>
        <w:t>Tenant Improvement / Interior Construction Outline Specifications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40" w:type="dxa"/>
            <w:vAlign w:val="bottom"/>
          </w:tcPr>
          <w:p>
            <w:pPr>
              <w:ind w:left="980"/>
              <w:spacing w:after="0"/>
              <w:rPr>
                <w:sz w:val="20"/>
                <w:szCs w:val="20"/>
                <w:color w:val="auto"/>
              </w:rPr>
            </w:pPr>
            <w:r>
              <w:rPr>
                <w:rFonts w:ascii="Arial" w:cs="Arial" w:eastAsia="Arial" w:hAnsi="Arial"/>
                <w:sz w:val="22"/>
                <w:szCs w:val="22"/>
                <w:color w:val="auto"/>
                <w:w w:val="89"/>
              </w:rPr>
              <w:t>(By Tenant/Tenant Allowance)</w:t>
            </w:r>
          </w:p>
        </w:tc>
        <w:tc>
          <w:tcPr>
            <w:tcW w:w="0" w:type="dxa"/>
            <w:vAlign w:val="bottom"/>
          </w:tcPr>
          <w:p>
            <w:pPr>
              <w:spacing w:after="0"/>
              <w:rPr>
                <w:sz w:val="1"/>
                <w:szCs w:val="1"/>
                <w:color w:val="auto"/>
              </w:rPr>
            </w:pPr>
          </w:p>
        </w:tc>
      </w:tr>
      <w:tr>
        <w:trPr>
          <w:trHeight w:val="188"/>
        </w:trPr>
        <w:tc>
          <w:tcPr>
            <w:tcW w:w="2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r>
              <w:rPr>
                <w:rFonts w:ascii="Arial" w:cs="Arial" w:eastAsia="Arial" w:hAnsi="Arial"/>
                <w:sz w:val="18"/>
                <w:szCs w:val="18"/>
                <w:b w:val="1"/>
                <w:bCs w:val="1"/>
                <w:color w:val="auto"/>
              </w:rPr>
              <w:t>:</w:t>
            </w:r>
          </w:p>
        </w:tc>
        <w:tc>
          <w:tcPr>
            <w:tcW w:w="1620" w:type="dxa"/>
            <w:vAlign w:val="bottom"/>
            <w:gridSpan w:val="2"/>
          </w:tcPr>
          <w:p>
            <w:pPr>
              <w:ind w:left="760"/>
              <w:spacing w:after="0"/>
              <w:rPr>
                <w:sz w:val="20"/>
                <w:szCs w:val="20"/>
                <w:color w:val="auto"/>
              </w:rPr>
            </w:pPr>
            <w:r>
              <w:rPr>
                <w:rFonts w:ascii="Arial" w:cs="Arial" w:eastAsia="Arial" w:hAnsi="Arial"/>
                <w:sz w:val="18"/>
                <w:szCs w:val="18"/>
                <w:b w:val="1"/>
                <w:bCs w:val="1"/>
                <w:color w:val="auto"/>
              </w:rPr>
              <w:t>CARPET</w:t>
            </w:r>
          </w:p>
        </w:tc>
        <w:tc>
          <w:tcPr>
            <w:tcW w:w="2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20" w:type="dxa"/>
            <w:vAlign w:val="bottom"/>
            <w:gridSpan w:val="3"/>
          </w:tcPr>
          <w:p>
            <w:pPr>
              <w:ind w:left="760"/>
              <w:spacing w:after="0"/>
              <w:rPr>
                <w:sz w:val="20"/>
                <w:szCs w:val="20"/>
                <w:color w:val="auto"/>
              </w:rPr>
            </w:pPr>
            <w:r>
              <w:rPr>
                <w:rFonts w:ascii="Arial" w:cs="Arial" w:eastAsia="Arial" w:hAnsi="Arial"/>
                <w:sz w:val="18"/>
                <w:szCs w:val="18"/>
                <w:color w:val="auto"/>
              </w:rPr>
              <w:t>Direct glue, from one of the following options: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20" w:type="dxa"/>
            <w:vAlign w:val="bottom"/>
            <w:gridSpan w:val="3"/>
          </w:tcPr>
          <w:p>
            <w:pPr>
              <w:ind w:left="760"/>
              <w:spacing w:after="0"/>
              <w:rPr>
                <w:sz w:val="20"/>
                <w:szCs w:val="20"/>
                <w:color w:val="auto"/>
              </w:rPr>
            </w:pPr>
            <w:r>
              <w:rPr>
                <w:rFonts w:ascii="Arial" w:cs="Arial" w:eastAsia="Arial" w:hAnsi="Arial"/>
                <w:sz w:val="18"/>
                <w:szCs w:val="18"/>
                <w:color w:val="auto"/>
              </w:rPr>
              <w:t>Designweave - Z6354 Tempest Esq.:</w:t>
            </w:r>
          </w:p>
        </w:tc>
        <w:tc>
          <w:tcPr>
            <w:tcW w:w="4760" w:type="dxa"/>
            <w:vAlign w:val="bottom"/>
            <w:gridSpan w:val="3"/>
          </w:tcPr>
          <w:p>
            <w:pPr>
              <w:ind w:left="280"/>
              <w:spacing w:after="0"/>
              <w:rPr>
                <w:sz w:val="20"/>
                <w:szCs w:val="20"/>
                <w:color w:val="auto"/>
              </w:rPr>
            </w:pPr>
            <w:r>
              <w:rPr>
                <w:rFonts w:ascii="Arial" w:cs="Arial" w:eastAsia="Arial" w:hAnsi="Arial"/>
                <w:sz w:val="18"/>
                <w:szCs w:val="18"/>
                <w:color w:val="auto"/>
              </w:rPr>
              <w:t>Designweave – Z6356 Techno:</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a)</w:t>
            </w:r>
          </w:p>
        </w:tc>
        <w:tc>
          <w:tcPr>
            <w:tcW w:w="500" w:type="dxa"/>
            <w:vAlign w:val="bottom"/>
          </w:tcPr>
          <w:p>
            <w:pPr>
              <w:jc w:val="right"/>
              <w:spacing w:after="0"/>
              <w:rPr>
                <w:sz w:val="20"/>
                <w:szCs w:val="20"/>
                <w:color w:val="auto"/>
              </w:rPr>
            </w:pPr>
            <w:r>
              <w:rPr>
                <w:rFonts w:ascii="Arial" w:cs="Arial" w:eastAsia="Arial" w:hAnsi="Arial"/>
                <w:sz w:val="18"/>
                <w:szCs w:val="18"/>
                <w:color w:val="auto"/>
              </w:rPr>
              <w:t>553</w:t>
            </w:r>
          </w:p>
        </w:tc>
        <w:tc>
          <w:tcPr>
            <w:tcW w:w="2800" w:type="dxa"/>
            <w:vAlign w:val="bottom"/>
          </w:tcPr>
          <w:p>
            <w:pPr>
              <w:ind w:left="40"/>
              <w:spacing w:after="0"/>
              <w:rPr>
                <w:sz w:val="20"/>
                <w:szCs w:val="20"/>
                <w:color w:val="auto"/>
              </w:rPr>
            </w:pPr>
            <w:r>
              <w:rPr>
                <w:rFonts w:ascii="Arial" w:cs="Arial" w:eastAsia="Arial" w:hAnsi="Arial"/>
                <w:sz w:val="18"/>
                <w:szCs w:val="18"/>
                <w:color w:val="auto"/>
              </w:rPr>
              <w:t>Steel Wool</w:t>
            </w: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500" w:type="dxa"/>
            <w:vAlign w:val="bottom"/>
          </w:tcPr>
          <w:p>
            <w:pPr>
              <w:jc w:val="right"/>
              <w:spacing w:after="0"/>
              <w:rPr>
                <w:sz w:val="20"/>
                <w:szCs w:val="20"/>
                <w:color w:val="auto"/>
              </w:rPr>
            </w:pPr>
            <w:r>
              <w:rPr>
                <w:rFonts w:ascii="Arial" w:cs="Arial" w:eastAsia="Arial" w:hAnsi="Arial"/>
                <w:sz w:val="18"/>
                <w:szCs w:val="18"/>
                <w:color w:val="auto"/>
              </w:rPr>
              <w:t>336</w:t>
            </w:r>
          </w:p>
        </w:tc>
        <w:tc>
          <w:tcPr>
            <w:tcW w:w="3640" w:type="dxa"/>
            <w:vAlign w:val="bottom"/>
          </w:tcPr>
          <w:p>
            <w:pPr>
              <w:ind w:left="20"/>
              <w:spacing w:after="0"/>
              <w:rPr>
                <w:sz w:val="20"/>
                <w:szCs w:val="20"/>
                <w:color w:val="auto"/>
              </w:rPr>
            </w:pPr>
            <w:r>
              <w:rPr>
                <w:rFonts w:ascii="Arial" w:cs="Arial" w:eastAsia="Arial" w:hAnsi="Arial"/>
                <w:sz w:val="18"/>
                <w:szCs w:val="18"/>
                <w:color w:val="auto"/>
              </w:rPr>
              <w:t>Lido</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b)</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2800" w:type="dxa"/>
            <w:vAlign w:val="bottom"/>
          </w:tcPr>
          <w:p>
            <w:pPr>
              <w:ind w:left="40"/>
              <w:spacing w:after="0"/>
              <w:rPr>
                <w:sz w:val="20"/>
                <w:szCs w:val="20"/>
                <w:color w:val="auto"/>
              </w:rPr>
            </w:pPr>
            <w:r>
              <w:rPr>
                <w:rFonts w:ascii="Arial" w:cs="Arial" w:eastAsia="Arial" w:hAnsi="Arial"/>
                <w:sz w:val="18"/>
                <w:szCs w:val="18"/>
                <w:color w:val="auto"/>
              </w:rPr>
              <w:t>Melba Toast</w:t>
            </w: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3640" w:type="dxa"/>
            <w:vAlign w:val="bottom"/>
          </w:tcPr>
          <w:p>
            <w:pPr>
              <w:ind w:left="20"/>
              <w:spacing w:after="0"/>
              <w:rPr>
                <w:sz w:val="20"/>
                <w:szCs w:val="20"/>
                <w:color w:val="auto"/>
              </w:rPr>
            </w:pPr>
            <w:r>
              <w:rPr>
                <w:rFonts w:ascii="Arial" w:cs="Arial" w:eastAsia="Arial" w:hAnsi="Arial"/>
                <w:sz w:val="18"/>
                <w:szCs w:val="18"/>
                <w:color w:val="auto"/>
              </w:rPr>
              <w:t>Topaz</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c)</w:t>
            </w: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2800" w:type="dxa"/>
            <w:vAlign w:val="bottom"/>
          </w:tcPr>
          <w:p>
            <w:pPr>
              <w:ind w:left="40"/>
              <w:spacing w:after="0"/>
              <w:rPr>
                <w:sz w:val="20"/>
                <w:szCs w:val="20"/>
                <w:color w:val="auto"/>
              </w:rPr>
            </w:pPr>
            <w:r>
              <w:rPr>
                <w:rFonts w:ascii="Arial" w:cs="Arial" w:eastAsia="Arial" w:hAnsi="Arial"/>
                <w:sz w:val="18"/>
                <w:szCs w:val="18"/>
                <w:color w:val="auto"/>
              </w:rPr>
              <w:t>Silver Smoke</w:t>
            </w:r>
          </w:p>
        </w:tc>
        <w:tc>
          <w:tcPr>
            <w:tcW w:w="620" w:type="dxa"/>
            <w:vAlign w:val="bottom"/>
          </w:tcPr>
          <w:p>
            <w:pPr>
              <w:ind w:left="280"/>
              <w:spacing w:after="0"/>
              <w:rPr>
                <w:sz w:val="20"/>
                <w:szCs w:val="20"/>
                <w:color w:val="auto"/>
              </w:rPr>
            </w:pPr>
            <w:r>
              <w:rPr>
                <w:rFonts w:ascii="Arial" w:cs="Arial" w:eastAsia="Arial" w:hAnsi="Arial"/>
                <w:sz w:val="18"/>
                <w:szCs w:val="18"/>
                <w:color w:val="auto"/>
              </w:rPr>
              <w:t>c)</w:t>
            </w:r>
          </w:p>
        </w:tc>
        <w:tc>
          <w:tcPr>
            <w:tcW w:w="500" w:type="dxa"/>
            <w:vAlign w:val="bottom"/>
          </w:tcPr>
          <w:p>
            <w:pPr>
              <w:jc w:val="right"/>
              <w:spacing w:after="0"/>
              <w:rPr>
                <w:sz w:val="20"/>
                <w:szCs w:val="20"/>
                <w:color w:val="auto"/>
              </w:rPr>
            </w:pPr>
            <w:r>
              <w:rPr>
                <w:rFonts w:ascii="Arial" w:cs="Arial" w:eastAsia="Arial" w:hAnsi="Arial"/>
                <w:sz w:val="18"/>
                <w:szCs w:val="18"/>
                <w:color w:val="auto"/>
              </w:rPr>
              <w:t>518</w:t>
            </w:r>
          </w:p>
        </w:tc>
        <w:tc>
          <w:tcPr>
            <w:tcW w:w="3640" w:type="dxa"/>
            <w:vAlign w:val="bottom"/>
          </w:tcPr>
          <w:p>
            <w:pPr>
              <w:ind w:left="20"/>
              <w:spacing w:after="0"/>
              <w:rPr>
                <w:sz w:val="20"/>
                <w:szCs w:val="20"/>
                <w:color w:val="auto"/>
              </w:rPr>
            </w:pPr>
            <w:r>
              <w:rPr>
                <w:rFonts w:ascii="Arial" w:cs="Arial" w:eastAsia="Arial" w:hAnsi="Arial"/>
                <w:sz w:val="18"/>
                <w:szCs w:val="18"/>
                <w:color w:val="auto"/>
              </w:rPr>
              <w:t>Night Sky</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d)</w:t>
            </w: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2800" w:type="dxa"/>
            <w:vAlign w:val="bottom"/>
          </w:tcPr>
          <w:p>
            <w:pPr>
              <w:ind w:left="40"/>
              <w:spacing w:after="0"/>
              <w:rPr>
                <w:sz w:val="20"/>
                <w:szCs w:val="20"/>
                <w:color w:val="auto"/>
              </w:rPr>
            </w:pPr>
            <w:r>
              <w:rPr>
                <w:rFonts w:ascii="Arial" w:cs="Arial" w:eastAsia="Arial" w:hAnsi="Arial"/>
                <w:sz w:val="18"/>
                <w:szCs w:val="18"/>
                <w:color w:val="auto"/>
              </w:rPr>
              <w:t>Dolphin</w:t>
            </w:r>
          </w:p>
        </w:tc>
        <w:tc>
          <w:tcPr>
            <w:tcW w:w="620" w:type="dxa"/>
            <w:vAlign w:val="bottom"/>
          </w:tcPr>
          <w:p>
            <w:pPr>
              <w:ind w:left="280"/>
              <w:spacing w:after="0"/>
              <w:rPr>
                <w:sz w:val="20"/>
                <w:szCs w:val="20"/>
                <w:color w:val="auto"/>
              </w:rPr>
            </w:pPr>
            <w:r>
              <w:rPr>
                <w:rFonts w:ascii="Arial" w:cs="Arial" w:eastAsia="Arial" w:hAnsi="Arial"/>
                <w:sz w:val="18"/>
                <w:szCs w:val="18"/>
                <w:color w:val="auto"/>
              </w:rPr>
              <w:t>d)</w:t>
            </w:r>
          </w:p>
        </w:tc>
        <w:tc>
          <w:tcPr>
            <w:tcW w:w="500" w:type="dxa"/>
            <w:vAlign w:val="bottom"/>
          </w:tcPr>
          <w:p>
            <w:pPr>
              <w:jc w:val="right"/>
              <w:spacing w:after="0"/>
              <w:rPr>
                <w:sz w:val="20"/>
                <w:szCs w:val="20"/>
                <w:color w:val="auto"/>
              </w:rPr>
            </w:pPr>
            <w:r>
              <w:rPr>
                <w:rFonts w:ascii="Arial" w:cs="Arial" w:eastAsia="Arial" w:hAnsi="Arial"/>
                <w:sz w:val="18"/>
                <w:szCs w:val="18"/>
                <w:color w:val="auto"/>
              </w:rPr>
              <w:t>997</w:t>
            </w:r>
          </w:p>
        </w:tc>
        <w:tc>
          <w:tcPr>
            <w:tcW w:w="3640" w:type="dxa"/>
            <w:vAlign w:val="bottom"/>
          </w:tcPr>
          <w:p>
            <w:pPr>
              <w:ind w:left="20"/>
              <w:spacing w:after="0"/>
              <w:rPr>
                <w:sz w:val="20"/>
                <w:szCs w:val="20"/>
                <w:color w:val="auto"/>
              </w:rPr>
            </w:pPr>
            <w:r>
              <w:rPr>
                <w:rFonts w:ascii="Arial" w:cs="Arial" w:eastAsia="Arial" w:hAnsi="Arial"/>
                <w:sz w:val="18"/>
                <w:szCs w:val="18"/>
                <w:color w:val="auto"/>
              </w:rPr>
              <w:t>Silver Plum</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e)</w:t>
            </w:r>
          </w:p>
        </w:tc>
        <w:tc>
          <w:tcPr>
            <w:tcW w:w="500" w:type="dxa"/>
            <w:vAlign w:val="bottom"/>
          </w:tcPr>
          <w:p>
            <w:pPr>
              <w:jc w:val="right"/>
              <w:spacing w:after="0"/>
              <w:rPr>
                <w:sz w:val="20"/>
                <w:szCs w:val="20"/>
                <w:color w:val="auto"/>
              </w:rPr>
            </w:pPr>
            <w:r>
              <w:rPr>
                <w:rFonts w:ascii="Arial" w:cs="Arial" w:eastAsia="Arial" w:hAnsi="Arial"/>
                <w:sz w:val="18"/>
                <w:szCs w:val="18"/>
                <w:color w:val="auto"/>
              </w:rPr>
              <w:t>454</w:t>
            </w:r>
          </w:p>
        </w:tc>
        <w:tc>
          <w:tcPr>
            <w:tcW w:w="2800" w:type="dxa"/>
            <w:vAlign w:val="bottom"/>
          </w:tcPr>
          <w:p>
            <w:pPr>
              <w:ind w:left="40"/>
              <w:spacing w:after="0"/>
              <w:rPr>
                <w:sz w:val="20"/>
                <w:szCs w:val="20"/>
                <w:color w:val="auto"/>
              </w:rPr>
            </w:pPr>
            <w:r>
              <w:rPr>
                <w:rFonts w:ascii="Arial" w:cs="Arial" w:eastAsia="Arial" w:hAnsi="Arial"/>
                <w:sz w:val="18"/>
                <w:szCs w:val="18"/>
                <w:color w:val="auto"/>
              </w:rPr>
              <w:t>Denim</w:t>
            </w:r>
          </w:p>
        </w:tc>
        <w:tc>
          <w:tcPr>
            <w:tcW w:w="620" w:type="dxa"/>
            <w:vAlign w:val="bottom"/>
          </w:tcPr>
          <w:p>
            <w:pPr>
              <w:ind w:left="280"/>
              <w:spacing w:after="0"/>
              <w:rPr>
                <w:sz w:val="20"/>
                <w:szCs w:val="20"/>
                <w:color w:val="auto"/>
              </w:rPr>
            </w:pPr>
            <w:r>
              <w:rPr>
                <w:rFonts w:ascii="Arial" w:cs="Arial" w:eastAsia="Arial" w:hAnsi="Arial"/>
                <w:sz w:val="18"/>
                <w:szCs w:val="18"/>
                <w:color w:val="auto"/>
              </w:rPr>
              <w:t>e)</w:t>
            </w: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3640" w:type="dxa"/>
            <w:vAlign w:val="bottom"/>
          </w:tcPr>
          <w:p>
            <w:pPr>
              <w:ind w:left="20"/>
              <w:spacing w:after="0"/>
              <w:rPr>
                <w:sz w:val="20"/>
                <w:szCs w:val="20"/>
                <w:color w:val="auto"/>
              </w:rPr>
            </w:pPr>
            <w:r>
              <w:rPr>
                <w:rFonts w:ascii="Arial" w:cs="Arial" w:eastAsia="Arial" w:hAnsi="Arial"/>
                <w:sz w:val="18"/>
                <w:szCs w:val="18"/>
                <w:color w:val="auto"/>
              </w:rPr>
              <w:t>Galactic</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VINYL COMPOSMON TILE (VCT)</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12x12 VCT Armstrong Standard Excelon, from the following options:</w:t>
      </w:r>
    </w:p>
    <w:p>
      <w:pPr>
        <w:spacing w:after="0" w:line="4"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680" w:type="dxa"/>
            <w:vAlign w:val="bottom"/>
          </w:tcPr>
          <w:p>
            <w:pPr>
              <w:jc w:val="right"/>
              <w:spacing w:after="0"/>
              <w:rPr>
                <w:sz w:val="20"/>
                <w:szCs w:val="20"/>
                <w:color w:val="auto"/>
              </w:rPr>
            </w:pPr>
            <w:r>
              <w:rPr>
                <w:rFonts w:ascii="Arial" w:cs="Arial" w:eastAsia="Arial" w:hAnsi="Arial"/>
                <w:sz w:val="18"/>
                <w:szCs w:val="18"/>
                <w:color w:val="auto"/>
              </w:rPr>
              <w:t>51803</w:t>
            </w:r>
          </w:p>
        </w:tc>
        <w:tc>
          <w:tcPr>
            <w:tcW w:w="1900" w:type="dxa"/>
            <w:vAlign w:val="bottom"/>
          </w:tcPr>
          <w:p>
            <w:pPr>
              <w:ind w:left="40"/>
              <w:spacing w:after="0"/>
              <w:rPr>
                <w:sz w:val="20"/>
                <w:szCs w:val="20"/>
                <w:color w:val="auto"/>
              </w:rPr>
            </w:pPr>
            <w:r>
              <w:rPr>
                <w:rFonts w:ascii="Arial" w:cs="Arial" w:eastAsia="Arial" w:hAnsi="Arial"/>
                <w:sz w:val="18"/>
                <w:szCs w:val="18"/>
                <w:color w:val="auto"/>
              </w:rPr>
              <w:t>Pearl White</w:t>
            </w:r>
          </w:p>
        </w:tc>
        <w:tc>
          <w:tcPr>
            <w:tcW w:w="1340" w:type="dxa"/>
            <w:vAlign w:val="bottom"/>
          </w:tcPr>
          <w:p>
            <w:pPr>
              <w:ind w:left="1000"/>
              <w:spacing w:after="0"/>
              <w:rPr>
                <w:sz w:val="20"/>
                <w:szCs w:val="20"/>
                <w:color w:val="auto"/>
              </w:rPr>
            </w:pPr>
            <w:r>
              <w:rPr>
                <w:rFonts w:ascii="Arial" w:cs="Arial" w:eastAsia="Arial" w:hAnsi="Arial"/>
                <w:sz w:val="18"/>
                <w:szCs w:val="18"/>
                <w:color w:val="auto"/>
              </w:rPr>
              <w:t>c)</w:t>
            </w:r>
          </w:p>
        </w:tc>
        <w:tc>
          <w:tcPr>
            <w:tcW w:w="680" w:type="dxa"/>
            <w:vAlign w:val="bottom"/>
          </w:tcPr>
          <w:p>
            <w:pPr>
              <w:jc w:val="right"/>
              <w:spacing w:after="0"/>
              <w:rPr>
                <w:sz w:val="20"/>
                <w:szCs w:val="20"/>
                <w:color w:val="auto"/>
              </w:rPr>
            </w:pPr>
            <w:r>
              <w:rPr>
                <w:rFonts w:ascii="Arial" w:cs="Arial" w:eastAsia="Arial" w:hAnsi="Arial"/>
                <w:sz w:val="18"/>
                <w:szCs w:val="18"/>
                <w:color w:val="auto"/>
              </w:rPr>
              <w:t>51908</w:t>
            </w:r>
          </w:p>
        </w:tc>
        <w:tc>
          <w:tcPr>
            <w:tcW w:w="860" w:type="dxa"/>
            <w:vAlign w:val="bottom"/>
          </w:tcPr>
          <w:p>
            <w:pPr>
              <w:ind w:left="20"/>
              <w:spacing w:after="0"/>
              <w:rPr>
                <w:sz w:val="20"/>
                <w:szCs w:val="20"/>
                <w:color w:val="auto"/>
              </w:rPr>
            </w:pPr>
            <w:r>
              <w:rPr>
                <w:rFonts w:ascii="Arial" w:cs="Arial" w:eastAsia="Arial" w:hAnsi="Arial"/>
                <w:sz w:val="18"/>
                <w:szCs w:val="18"/>
                <w:color w:val="auto"/>
              </w:rPr>
              <w:t>Pewter</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680" w:type="dxa"/>
            <w:vAlign w:val="bottom"/>
          </w:tcPr>
          <w:p>
            <w:pPr>
              <w:jc w:val="right"/>
              <w:spacing w:after="0"/>
              <w:rPr>
                <w:sz w:val="20"/>
                <w:szCs w:val="20"/>
                <w:color w:val="auto"/>
              </w:rPr>
            </w:pPr>
            <w:r>
              <w:rPr>
                <w:rFonts w:ascii="Arial" w:cs="Arial" w:eastAsia="Arial" w:hAnsi="Arial"/>
                <w:sz w:val="18"/>
                <w:szCs w:val="18"/>
                <w:color w:val="auto"/>
              </w:rPr>
              <w:t>51899</w:t>
            </w:r>
          </w:p>
        </w:tc>
        <w:tc>
          <w:tcPr>
            <w:tcW w:w="1900" w:type="dxa"/>
            <w:vAlign w:val="bottom"/>
          </w:tcPr>
          <w:p>
            <w:pPr>
              <w:ind w:left="40"/>
              <w:spacing w:after="0"/>
              <w:rPr>
                <w:sz w:val="20"/>
                <w:szCs w:val="20"/>
                <w:color w:val="auto"/>
              </w:rPr>
            </w:pPr>
            <w:r>
              <w:rPr>
                <w:rFonts w:ascii="Arial" w:cs="Arial" w:eastAsia="Arial" w:hAnsi="Arial"/>
                <w:sz w:val="18"/>
                <w:szCs w:val="18"/>
                <w:color w:val="auto"/>
              </w:rPr>
              <w:t>Cool White</w:t>
            </w:r>
          </w:p>
        </w:tc>
        <w:tc>
          <w:tcPr>
            <w:tcW w:w="1340" w:type="dxa"/>
            <w:vAlign w:val="bottom"/>
          </w:tcPr>
          <w:p>
            <w:pPr>
              <w:ind w:left="1000"/>
              <w:spacing w:after="0"/>
              <w:rPr>
                <w:sz w:val="20"/>
                <w:szCs w:val="20"/>
                <w:color w:val="auto"/>
              </w:rPr>
            </w:pPr>
            <w:r>
              <w:rPr>
                <w:rFonts w:ascii="Arial" w:cs="Arial" w:eastAsia="Arial" w:hAnsi="Arial"/>
                <w:sz w:val="18"/>
                <w:szCs w:val="18"/>
                <w:color w:val="auto"/>
              </w:rPr>
              <w:t>d)</w:t>
            </w:r>
          </w:p>
        </w:tc>
        <w:tc>
          <w:tcPr>
            <w:tcW w:w="680" w:type="dxa"/>
            <w:vAlign w:val="bottom"/>
          </w:tcPr>
          <w:p>
            <w:pPr>
              <w:jc w:val="right"/>
              <w:spacing w:after="0"/>
              <w:rPr>
                <w:sz w:val="20"/>
                <w:szCs w:val="20"/>
                <w:color w:val="auto"/>
              </w:rPr>
            </w:pPr>
            <w:r>
              <w:rPr>
                <w:rFonts w:ascii="Arial" w:cs="Arial" w:eastAsia="Arial" w:hAnsi="Arial"/>
                <w:sz w:val="18"/>
                <w:szCs w:val="18"/>
                <w:color w:val="auto"/>
              </w:rPr>
              <w:t>51899</w:t>
            </w:r>
          </w:p>
        </w:tc>
        <w:tc>
          <w:tcPr>
            <w:tcW w:w="860" w:type="dxa"/>
            <w:vAlign w:val="bottom"/>
          </w:tcPr>
          <w:p>
            <w:pPr>
              <w:ind w:left="20"/>
              <w:spacing w:after="0"/>
              <w:rPr>
                <w:sz w:val="20"/>
                <w:szCs w:val="20"/>
                <w:color w:val="auto"/>
              </w:rPr>
            </w:pPr>
            <w:r>
              <w:rPr>
                <w:rFonts w:ascii="Arial" w:cs="Arial" w:eastAsia="Arial" w:hAnsi="Arial"/>
                <w:sz w:val="18"/>
                <w:szCs w:val="18"/>
                <w:color w:val="auto"/>
                <w:w w:val="93"/>
              </w:rPr>
              <w:t>Cool White</w:t>
            </w:r>
          </w:p>
        </w:tc>
      </w:tr>
    </w:tbl>
    <w:p>
      <w:pPr>
        <w:spacing w:after="0" w:line="19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PAINT / WALLS</w:t>
      </w:r>
    </w:p>
    <w:p>
      <w:pPr>
        <w:spacing w:after="0" w:line="27" w:lineRule="exact"/>
        <w:rPr>
          <w:sz w:val="20"/>
          <w:szCs w:val="20"/>
          <w:color w:val="auto"/>
        </w:rPr>
      </w:pPr>
    </w:p>
    <w:p>
      <w:pPr>
        <w:jc w:val="both"/>
        <w:ind w:left="2820"/>
        <w:spacing w:after="0" w:line="253" w:lineRule="auto"/>
        <w:rPr>
          <w:sz w:val="20"/>
          <w:szCs w:val="20"/>
          <w:color w:val="auto"/>
        </w:rPr>
      </w:pPr>
      <w:r>
        <w:rPr>
          <w:rFonts w:ascii="Arial" w:cs="Arial" w:eastAsia="Arial" w:hAnsi="Arial"/>
          <w:sz w:val="18"/>
          <w:szCs w:val="18"/>
          <w:color w:val="auto"/>
        </w:rPr>
        <w:t>5/8” gypsum drywall on 2-1/2” x 25 ga. metal studs, floor to ceiling construction, no walls shall penetrate the grid unless required by code. All walls shall be straight, and parallel to building perimeter walls. All offices and rooms shall be constructed of a standard size and tangent to a building shell or core wall. Paint finish, one standard color to be Benjamin Moore AC-40, Glacier White, flat finish.</w:t>
      </w:r>
    </w:p>
    <w:p>
      <w:pPr>
        <w:spacing w:after="0" w:line="18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BASE</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2-1/2” Burke rubber base color Pearl 137P, straight at cut pile carpet, coved at resilient flooring and loop carpet.</w:t>
      </w:r>
    </w:p>
    <w:p>
      <w:pPr>
        <w:spacing w:after="0" w:line="21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RUBBER TRANSITION STRIP</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Transition strip between carpet and resilient flooring to be Burke #150, color: to match adjacent V.C.T.</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PLASTIC LAMINATE</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Plastic laminate color at millwork to be Nevamar “Smoky White”, Textured #S-7-27T.</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CEILING</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2x4 USG Radar Illusions #2842 grid and scored tile on 9/16” T-bar grid. Continuous grid throughout.</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PERIMETER WALLS</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Furring, 25 ga. metal studs with 5/8” gypsum drywall, with batt insulation.</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LIGHTING</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2X4 fluorescent, 3-lamp energy saving ballast, 18-cell parabolic lens fixture.</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DOORS</w:t>
      </w:r>
    </w:p>
    <w:p>
      <w:pPr>
        <w:spacing w:after="0" w:line="27" w:lineRule="exact"/>
        <w:rPr>
          <w:sz w:val="20"/>
          <w:szCs w:val="20"/>
          <w:color w:val="auto"/>
        </w:rPr>
      </w:pPr>
    </w:p>
    <w:p>
      <w:pPr>
        <w:jc w:val="both"/>
        <w:ind w:left="2820" w:right="20"/>
        <w:spacing w:after="0" w:line="260" w:lineRule="auto"/>
        <w:rPr>
          <w:sz w:val="20"/>
          <w:szCs w:val="20"/>
          <w:color w:val="auto"/>
        </w:rPr>
      </w:pPr>
      <w:r>
        <w:rPr>
          <w:rFonts w:ascii="Arial" w:cs="Arial" w:eastAsia="Arial" w:hAnsi="Arial"/>
          <w:sz w:val="18"/>
          <w:szCs w:val="18"/>
          <w:color w:val="auto"/>
        </w:rPr>
        <w:t>1-3/4” solid core, 3”-0” x 8-10”, plain sliced white oak, Western Integrated clear anodized aluminum frames, Schlage “D” series “Sparta” latchset hardware, dull chrome finish.</w:t>
      </w:r>
    </w:p>
    <w:p>
      <w:pPr>
        <w:spacing w:after="0" w:line="18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OFFICE SIDELITES</w:t>
      </w:r>
    </w:p>
    <w:p>
      <w:pPr>
        <w:spacing w:after="0" w:line="27" w:lineRule="exact"/>
        <w:rPr>
          <w:sz w:val="20"/>
          <w:szCs w:val="20"/>
          <w:color w:val="auto"/>
        </w:rPr>
      </w:pPr>
    </w:p>
    <w:p>
      <w:pPr>
        <w:jc w:val="both"/>
        <w:ind w:left="2820"/>
        <w:spacing w:after="0" w:line="260" w:lineRule="auto"/>
        <w:rPr>
          <w:sz w:val="20"/>
          <w:szCs w:val="20"/>
          <w:color w:val="auto"/>
        </w:rPr>
      </w:pPr>
      <w:r>
        <w:rPr>
          <w:rFonts w:ascii="Arial" w:cs="Arial" w:eastAsia="Arial" w:hAnsi="Arial"/>
          <w:sz w:val="18"/>
          <w:szCs w:val="18"/>
          <w:color w:val="auto"/>
        </w:rPr>
        <w:t>All interior offices to have sidelite glazing adjacent to office entry door. 2’ wide x door height, Western Integrated clear anodized aluminum frame Integral to door frame with clear tempered glass.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0" w:name="page381"/>
    <w:bookmarkEnd w:id="380"/>
    <w:p>
      <w:pPr>
        <w:spacing w:after="0"/>
        <w:rPr>
          <w:sz w:val="20"/>
          <w:szCs w:val="20"/>
          <w:color w:val="auto"/>
        </w:rPr>
      </w:pPr>
      <w:r>
        <w:rPr>
          <w:rFonts w:ascii="Arial" w:cs="Arial" w:eastAsia="Arial" w:hAnsi="Arial"/>
          <w:sz w:val="22"/>
          <w:szCs w:val="22"/>
          <w:b w:val="1"/>
          <w:bCs w:val="1"/>
          <w:i w:val="1"/>
          <w:iCs w:val="1"/>
          <w:color w:val="auto"/>
        </w:rPr>
        <w:t>Tenant Improvement / Interior Construction Outline Specifications</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tc>
        <w:tc>
          <w:tcPr>
            <w:tcW w:w="918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w:t>
            </w:r>
          </w:p>
        </w:tc>
        <w:tc>
          <w:tcPr>
            <w:tcW w:w="9180" w:type="dxa"/>
            <w:vAlign w:val="bottom"/>
          </w:tcPr>
          <w:p>
            <w:pPr>
              <w:spacing w:after="0"/>
              <w:rPr>
                <w:sz w:val="18"/>
                <w:szCs w:val="18"/>
                <w:color w:val="auto"/>
              </w:rPr>
            </w:pPr>
          </w:p>
        </w:tc>
      </w:tr>
      <w:tr>
        <w:trPr>
          <w:trHeight w:val="220"/>
        </w:trPr>
        <w:tc>
          <w:tcPr>
            <w:tcW w:w="20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CONTINUED</w:t>
            </w:r>
            <w:r>
              <w:rPr>
                <w:rFonts w:ascii="Arial" w:cs="Arial" w:eastAsia="Arial" w:hAnsi="Arial"/>
                <w:sz w:val="18"/>
                <w:szCs w:val="18"/>
                <w:b w:val="1"/>
                <w:bCs w:val="1"/>
                <w:color w:val="auto"/>
              </w:rPr>
              <w:t>):</w:t>
            </w:r>
          </w:p>
        </w:tc>
        <w:tc>
          <w:tcPr>
            <w:tcW w:w="9180" w:type="dxa"/>
            <w:vAlign w:val="bottom"/>
          </w:tcPr>
          <w:p>
            <w:pPr>
              <w:ind w:left="760"/>
              <w:spacing w:after="0"/>
              <w:rPr>
                <w:sz w:val="20"/>
                <w:szCs w:val="20"/>
                <w:color w:val="auto"/>
              </w:rPr>
            </w:pPr>
            <w:r>
              <w:rPr>
                <w:rFonts w:ascii="Arial" w:cs="Arial" w:eastAsia="Arial" w:hAnsi="Arial"/>
                <w:sz w:val="18"/>
                <w:szCs w:val="18"/>
                <w:b w:val="1"/>
                <w:bCs w:val="1"/>
                <w:color w:val="auto"/>
              </w:rPr>
              <w:t>WINDOW COVERINGS</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6"/>
              </w:rPr>
              <w:t>Vertical blinds: Mariak Industries PVC blinds at building perimeter windows, Model M-3000, Color: Light Grey.</w:t>
            </w:r>
          </w:p>
        </w:tc>
      </w:tr>
      <w:tr>
        <w:trPr>
          <w:trHeight w:val="414"/>
        </w:trPr>
        <w:tc>
          <w:tcPr>
            <w:tcW w:w="206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tc>
        <w:tc>
          <w:tcPr>
            <w:tcW w:w="9180" w:type="dxa"/>
            <w:vAlign w:val="bottom"/>
          </w:tcPr>
          <w:p>
            <w:pPr>
              <w:spacing w:after="0"/>
              <w:rPr>
                <w:sz w:val="24"/>
                <w:szCs w:val="24"/>
                <w:color w:val="auto"/>
              </w:rPr>
            </w:pPr>
          </w:p>
        </w:tc>
      </w:tr>
      <w:tr>
        <w:trPr>
          <w:trHeight w:val="220"/>
        </w:trPr>
        <w:tc>
          <w:tcPr>
            <w:tcW w:w="206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ECHANICAL</w:t>
            </w:r>
            <w:r>
              <w:rPr>
                <w:rFonts w:ascii="Arial" w:cs="Arial" w:eastAsia="Arial" w:hAnsi="Arial"/>
                <w:sz w:val="18"/>
                <w:szCs w:val="18"/>
                <w:b w:val="1"/>
                <w:bCs w:val="1"/>
                <w:color w:val="auto"/>
              </w:rPr>
              <w:t>:</w:t>
            </w:r>
          </w:p>
        </w:tc>
        <w:tc>
          <w:tcPr>
            <w:tcW w:w="9180" w:type="dxa"/>
            <w:vAlign w:val="bottom"/>
          </w:tcPr>
          <w:p>
            <w:pPr>
              <w:ind w:left="760"/>
              <w:spacing w:after="0"/>
              <w:rPr>
                <w:sz w:val="20"/>
                <w:szCs w:val="20"/>
                <w:color w:val="auto"/>
              </w:rPr>
            </w:pPr>
            <w:r>
              <w:rPr>
                <w:rFonts w:ascii="Arial" w:cs="Arial" w:eastAsia="Arial" w:hAnsi="Arial"/>
                <w:sz w:val="18"/>
                <w:szCs w:val="18"/>
                <w:b w:val="1"/>
                <w:bCs w:val="1"/>
                <w:color w:val="auto"/>
              </w:rPr>
              <w:t>HVAC</w:t>
            </w:r>
          </w:p>
        </w:tc>
      </w:tr>
      <w:tr>
        <w:trPr>
          <w:trHeight w:val="216"/>
        </w:trPr>
        <w:tc>
          <w:tcPr>
            <w:tcW w:w="2060" w:type="dxa"/>
            <w:vAlign w:val="bottom"/>
          </w:tcPr>
          <w:p>
            <w:pPr>
              <w:spacing w:after="0"/>
              <w:rPr>
                <w:sz w:val="18"/>
                <w:szCs w:val="18"/>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1"/>
              </w:rPr>
              <w:t>Interior and Exterior zone VAV boxes shall be connected to the main supply air loop. Exterior zone VAV boxes shall</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be provided with single-row hot water reheat coil.</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4"/>
              </w:rPr>
              <w:t>Air distribution downstream of VAV boxes shall be provided complete with ductwork, 2’x2’ perforated face ceiling</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diffusers, 2’x2’ perforated return air grilles and air balance.</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0"/>
              </w:rPr>
              <w:t>Pneumatic thermostats with blank white cover shall be provided for each zone Thermostats shall be located adjacent</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to light switch at 48” above finished floor.</w:t>
            </w:r>
          </w:p>
        </w:tc>
      </w:tr>
      <w:tr>
        <w:trPr>
          <w:trHeight w:val="432"/>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Exterior corner spaces with more than one exposure shall be provided with a separate zone.</w:t>
            </w:r>
          </w:p>
        </w:tc>
      </w:tr>
      <w:tr>
        <w:trPr>
          <w:trHeight w:val="432"/>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Conference Room (or Training Room) 20’x13’ or larger shall be provided with a separate zone.</w:t>
            </w:r>
          </w:p>
        </w:tc>
      </w:tr>
      <w:tr>
        <w:trPr>
          <w:trHeight w:val="432"/>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Exterior zone shall be limited to a single exposure and a maximum of 750 to 1000 square feet.</w:t>
            </w:r>
          </w:p>
        </w:tc>
      </w:tr>
      <w:tr>
        <w:trPr>
          <w:trHeight w:val="432"/>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Interior zone shall be limited to a maximum of 2000 square feet.</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b w:val="1"/>
                <w:bCs w:val="1"/>
                <w:color w:val="auto"/>
              </w:rPr>
              <w:t>FIRE PROTECTION</w:t>
            </w:r>
          </w:p>
        </w:tc>
      </w:tr>
      <w:tr>
        <w:trPr>
          <w:trHeight w:val="216"/>
        </w:trPr>
        <w:tc>
          <w:tcPr>
            <w:tcW w:w="2060" w:type="dxa"/>
            <w:vAlign w:val="bottom"/>
          </w:tcPr>
          <w:p>
            <w:pPr>
              <w:spacing w:after="0"/>
              <w:rPr>
                <w:sz w:val="18"/>
                <w:szCs w:val="18"/>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89"/>
              </w:rPr>
              <w:t>Pendant satin chrome plated, recessed heads, adjustable canopies, minimum K factor to be 5.62, located at center of</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scored ceiling tile. Ceiling drops from shell supply loop.</w:t>
            </w:r>
          </w:p>
        </w:tc>
      </w:tr>
      <w:tr>
        <w:trPr>
          <w:trHeight w:val="414"/>
        </w:trPr>
        <w:tc>
          <w:tcPr>
            <w:tcW w:w="206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tc>
        <w:tc>
          <w:tcPr>
            <w:tcW w:w="9180" w:type="dxa"/>
            <w:vAlign w:val="bottom"/>
          </w:tcPr>
          <w:p>
            <w:pPr>
              <w:spacing w:after="0"/>
              <w:rPr>
                <w:sz w:val="24"/>
                <w:szCs w:val="24"/>
                <w:color w:val="auto"/>
              </w:rPr>
            </w:pPr>
          </w:p>
        </w:tc>
      </w:tr>
      <w:tr>
        <w:trPr>
          <w:trHeight w:val="220"/>
        </w:trPr>
        <w:tc>
          <w:tcPr>
            <w:tcW w:w="206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LECTRICAL</w:t>
            </w:r>
            <w:r>
              <w:rPr>
                <w:rFonts w:ascii="Arial" w:cs="Arial" w:eastAsia="Arial" w:hAnsi="Arial"/>
                <w:sz w:val="18"/>
                <w:szCs w:val="18"/>
                <w:b w:val="1"/>
                <w:bCs w:val="1"/>
                <w:color w:val="auto"/>
              </w:rPr>
              <w:t>:</w:t>
            </w:r>
          </w:p>
        </w:tc>
        <w:tc>
          <w:tcPr>
            <w:tcW w:w="9180" w:type="dxa"/>
            <w:vAlign w:val="bottom"/>
          </w:tcPr>
          <w:p>
            <w:pPr>
              <w:ind w:left="760"/>
              <w:spacing w:after="0"/>
              <w:rPr>
                <w:sz w:val="20"/>
                <w:szCs w:val="20"/>
                <w:color w:val="auto"/>
              </w:rPr>
            </w:pPr>
            <w:r>
              <w:rPr>
                <w:rFonts w:ascii="Arial" w:cs="Arial" w:eastAsia="Arial" w:hAnsi="Arial"/>
                <w:sz w:val="18"/>
                <w:szCs w:val="18"/>
                <w:b w:val="1"/>
                <w:bCs w:val="1"/>
                <w:color w:val="auto"/>
              </w:rPr>
              <w:t>ELECTRICAL SYSTEM</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4"/>
              </w:rPr>
              <w:t>277/480 volt, three phase, four wire metered distribution section added to main service at Main Electrical Room.</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1"/>
              </w:rPr>
              <w:t>Electrical tenant distribution capacity suitable for 22 watts per s.f. to accommodate HVAC, lighting, data processing,</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computer loads and convenience outlets.</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Tenant Electrical Room, located within the lease space, to include 270/480 volt and 120/208 volt panels,</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transformer. lighting control panel, as required.</w:t>
            </w:r>
          </w:p>
        </w:tc>
      </w:tr>
      <w:tr>
        <w:trPr>
          <w:trHeight w:val="418"/>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b w:val="1"/>
                <w:bCs w:val="1"/>
                <w:color w:val="auto"/>
              </w:rPr>
              <w:t>LIGHTING</w:t>
            </w:r>
          </w:p>
        </w:tc>
      </w:tr>
      <w:tr>
        <w:trPr>
          <w:trHeight w:val="216"/>
        </w:trPr>
        <w:tc>
          <w:tcPr>
            <w:tcW w:w="2060" w:type="dxa"/>
            <w:vAlign w:val="bottom"/>
          </w:tcPr>
          <w:p>
            <w:pPr>
              <w:spacing w:after="0"/>
              <w:rPr>
                <w:sz w:val="18"/>
                <w:szCs w:val="18"/>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8"/>
              </w:rPr>
              <w:t>Double switch per Title 24, paired in double gang box, Leviton “Decors” white plastic coverplate, 42” AFF to</w:t>
            </w:r>
          </w:p>
        </w:tc>
      </w:tr>
      <w:tr>
        <w:trPr>
          <w:trHeight w:val="216"/>
        </w:trPr>
        <w:tc>
          <w:tcPr>
            <w:tcW w:w="2060" w:type="dxa"/>
            <w:vAlign w:val="bottom"/>
          </w:tcPr>
          <w:p>
            <w:pPr>
              <w:spacing w:after="0"/>
              <w:rPr>
                <w:sz w:val="18"/>
                <w:szCs w:val="18"/>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w w:val="94"/>
              </w:rPr>
              <w:t>switch centerline. Provide occupancy sensors as required by code. 2x4 fluorescent light fixtures, 3-lamp energy</w:t>
            </w:r>
          </w:p>
        </w:tc>
      </w:tr>
      <w:tr>
        <w:trPr>
          <w:trHeight w:val="230"/>
        </w:trPr>
        <w:tc>
          <w:tcPr>
            <w:tcW w:w="2060" w:type="dxa"/>
            <w:vAlign w:val="bottom"/>
          </w:tcPr>
          <w:p>
            <w:pPr>
              <w:spacing w:after="0"/>
              <w:rPr>
                <w:sz w:val="20"/>
                <w:szCs w:val="20"/>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saving ballast, 18-cell parabolic lens fixture based upon one (1) fixture per 80 square feet.</w:t>
            </w:r>
          </w:p>
        </w:tc>
      </w:tr>
      <w:tr>
        <w:trPr>
          <w:trHeight w:val="432"/>
        </w:trPr>
        <w:tc>
          <w:tcPr>
            <w:tcW w:w="2060" w:type="dxa"/>
            <w:vAlign w:val="bottom"/>
          </w:tcPr>
          <w:p>
            <w:pPr>
              <w:spacing w:after="0"/>
              <w:rPr>
                <w:sz w:val="24"/>
                <w:szCs w:val="24"/>
                <w:color w:val="auto"/>
              </w:rPr>
            </w:pPr>
          </w:p>
        </w:tc>
        <w:tc>
          <w:tcPr>
            <w:tcW w:w="9180" w:type="dxa"/>
            <w:vAlign w:val="bottom"/>
          </w:tcPr>
          <w:p>
            <w:pPr>
              <w:ind w:left="760"/>
              <w:spacing w:after="0"/>
              <w:rPr>
                <w:sz w:val="20"/>
                <w:szCs w:val="20"/>
                <w:color w:val="auto"/>
              </w:rPr>
            </w:pPr>
            <w:r>
              <w:rPr>
                <w:rFonts w:ascii="Arial" w:cs="Arial" w:eastAsia="Arial" w:hAnsi="Arial"/>
                <w:sz w:val="18"/>
                <w:szCs w:val="18"/>
                <w:color w:val="auto"/>
              </w:rPr>
              <w:t>Exit signs Internally illuminated, white sign face with green text.</w:t>
            </w:r>
          </w:p>
        </w:tc>
      </w:tr>
      <w:tr>
        <w:trPr>
          <w:trHeight w:val="582"/>
        </w:trPr>
        <w:tc>
          <w:tcPr>
            <w:tcW w:w="206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Arial" w:cs="Arial" w:eastAsia="Arial" w:hAnsi="Arial"/>
                <w:sz w:val="14"/>
                <w:szCs w:val="14"/>
                <w:color w:val="auto"/>
              </w:rPr>
              <w:t>2</w:t>
            </w:r>
          </w:p>
        </w:tc>
      </w:tr>
      <w:tr>
        <w:trPr>
          <w:trHeight w:val="46"/>
        </w:trPr>
        <w:tc>
          <w:tcPr>
            <w:tcW w:w="20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381" w:name="page382"/>
    <w:bookmarkEnd w:id="381"/>
    <w:p>
      <w:pPr>
        <w:spacing w:after="0"/>
        <w:rPr>
          <w:sz w:val="20"/>
          <w:szCs w:val="20"/>
          <w:color w:val="auto"/>
        </w:rPr>
      </w:pPr>
      <w:r>
        <w:rPr>
          <w:rFonts w:ascii="Arial" w:cs="Arial" w:eastAsia="Arial" w:hAnsi="Arial"/>
          <w:sz w:val="22"/>
          <w:szCs w:val="22"/>
          <w:b w:val="1"/>
          <w:bCs w:val="1"/>
          <w:i w:val="1"/>
          <w:iCs w:val="1"/>
          <w:color w:val="auto"/>
        </w:rPr>
        <w:t>Tenant Improvement / Interior Construction Outline Specifications</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(Continued)</w:t>
      </w:r>
    </w:p>
    <w:p>
      <w:pPr>
        <w:sectPr>
          <w:pgSz w:w="11900" w:h="16838" w:orient="portrait"/>
          <w:cols w:equalWidth="0" w:num="1">
            <w:col w:w="11240"/>
          </w:cols>
          <w:pgMar w:left="320" w:top="118" w:right="3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LECTRICAL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CONTINUED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OUTLETS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Power: 15-amp 125-volt specification grade duplex receptacle mounted vertically, 18” AFF to centerline, white plastic coverplate. Feeds to systems furniture by Tenant to be via walls, furred columns or ceiling J-box. Power poles and furniture by Tenant Ratio of one (1) feed per eight (8) workstations. Assumes four (4) circuits, eight (8) wire configuration of systems furniture.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Telephone/Data: Single gang box with mud ring and pull string, mounted vertically, 18” AFF to centerline, Cover plate by telephone and/or cabling company. Teflon cable by tenant.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(1) empty 2” conduit to be routed from Tenant’s Server Room, 4x8 backboard to building main telephone backboard.</w:t>
      </w:r>
    </w:p>
    <w:p>
      <w:pPr>
        <w:spacing w:after="0" w:line="166" w:lineRule="exact"/>
        <w:rPr>
          <w:sz w:val="20"/>
          <w:szCs w:val="20"/>
          <w:color w:val="auto"/>
        </w:rPr>
      </w:pPr>
    </w:p>
    <w:p>
      <w:pPr>
        <w:sectPr>
          <w:pgSz w:w="11900" w:h="16838" w:orient="portrait"/>
          <w:cols w:equalWidth="0" w:num="2">
            <w:col w:w="2100" w:space="720"/>
            <w:col w:w="84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w:t>
            </w:r>
          </w:p>
        </w:tc>
        <w:tc>
          <w:tcPr>
            <w:tcW w:w="906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AREHOUSE</w:t>
            </w:r>
            <w:r>
              <w:rPr>
                <w:rFonts w:ascii="Arial" w:cs="Arial" w:eastAsia="Arial" w:hAnsi="Arial"/>
                <w:sz w:val="18"/>
                <w:szCs w:val="18"/>
                <w:b w:val="1"/>
                <w:bCs w:val="1"/>
                <w:color w:val="auto"/>
              </w:rPr>
              <w:t>/S</w:t>
            </w:r>
            <w:r>
              <w:rPr>
                <w:rFonts w:ascii="Arial" w:cs="Arial" w:eastAsia="Arial" w:hAnsi="Arial"/>
                <w:sz w:val="12"/>
                <w:szCs w:val="12"/>
                <w:b w:val="1"/>
                <w:bCs w:val="1"/>
                <w:color w:val="auto"/>
              </w:rPr>
              <w:t>HIPPING</w:t>
            </w:r>
          </w:p>
        </w:tc>
        <w:tc>
          <w:tcPr>
            <w:tcW w:w="9060" w:type="dxa"/>
            <w:vAlign w:val="bottom"/>
          </w:tcPr>
          <w:p>
            <w:pPr>
              <w:spacing w:after="0"/>
              <w:rPr>
                <w:sz w:val="18"/>
                <w:szCs w:val="18"/>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2"/>
                <w:szCs w:val="12"/>
                <w:b w:val="1"/>
                <w:bCs w:val="1"/>
                <w:color w:val="auto"/>
              </w:rPr>
              <w:t xml:space="preserve">AND </w:t>
            </w:r>
            <w:r>
              <w:rPr>
                <w:rFonts w:ascii="Arial" w:cs="Arial" w:eastAsia="Arial" w:hAnsi="Arial"/>
                <w:sz w:val="17"/>
                <w:szCs w:val="17"/>
                <w:b w:val="1"/>
                <w:bCs w:val="1"/>
                <w:color w:val="auto"/>
              </w:rPr>
              <w:t>R</w:t>
            </w:r>
            <w:r>
              <w:rPr>
                <w:rFonts w:ascii="Arial" w:cs="Arial" w:eastAsia="Arial" w:hAnsi="Arial"/>
                <w:sz w:val="12"/>
                <w:szCs w:val="12"/>
                <w:b w:val="1"/>
                <w:bCs w:val="1"/>
                <w:color w:val="auto"/>
              </w:rPr>
              <w:t>ECEIVING</w:t>
            </w:r>
            <w:r>
              <w:rPr>
                <w:rFonts w:ascii="Arial" w:cs="Arial" w:eastAsia="Arial" w:hAnsi="Arial"/>
                <w:sz w:val="17"/>
                <w:szCs w:val="17"/>
                <w:b w:val="1"/>
                <w:bCs w:val="1"/>
                <w:color w:val="auto"/>
              </w:rPr>
              <w:t>:</w:t>
            </w: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FLOORS</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Sealed concrete.</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WALLS</w:t>
            </w:r>
          </w:p>
        </w:tc>
      </w:tr>
      <w:tr>
        <w:trPr>
          <w:trHeight w:val="216"/>
        </w:trPr>
        <w:tc>
          <w:tcPr>
            <w:tcW w:w="2180" w:type="dxa"/>
            <w:vAlign w:val="bottom"/>
          </w:tcPr>
          <w:p>
            <w:pPr>
              <w:spacing w:after="0"/>
              <w:rPr>
                <w:sz w:val="18"/>
                <w:szCs w:val="18"/>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w w:val="93"/>
              </w:rPr>
              <w:t>5/8” gypsum wallboard standard partition. Paint to match Benjamin Moore AC-40 Glacier White; rated partition at</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occupancy separation as required by code.</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CEILING</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Exposed structure, non-painted.</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WINDOWS</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None</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ACCESS</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7”-6” H x 7”-6” W glazed service doors. Glazing is bronze reflective glass.</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HVAC</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None</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PLUMBING</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Single accommodation restroom, if required.</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w w:val="97"/>
              </w:rPr>
              <w:t>Sheet vinyl flooring to be Armstrong Classic Carlon “Seagate” #86526 Oyster, with Smooth White FRP panel</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w w:val="97"/>
              </w:rPr>
              <w:t>wainscot to 48” high. Painted walls and ceiling to be Benjamin Moore AC-40 Glacier White, semi-gloss finish.</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LIGHTING</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Chain hung florescent strip fixtures.</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OTHER ELECTRICAL</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Convenience outlets; surface mounted at exposed concrete walls.</w:t>
            </w:r>
          </w:p>
        </w:tc>
      </w:tr>
      <w:tr>
        <w:trPr>
          <w:trHeight w:val="418"/>
        </w:trPr>
        <w:tc>
          <w:tcPr>
            <w:tcW w:w="2180" w:type="dxa"/>
            <w:vAlign w:val="bottom"/>
          </w:tcPr>
          <w:p>
            <w:pPr>
              <w:spacing w:after="0"/>
              <w:rPr>
                <w:sz w:val="24"/>
                <w:szCs w:val="24"/>
                <w:color w:val="auto"/>
              </w:rPr>
            </w:pPr>
          </w:p>
        </w:tc>
        <w:tc>
          <w:tcPr>
            <w:tcW w:w="9060" w:type="dxa"/>
            <w:vAlign w:val="bottom"/>
          </w:tcPr>
          <w:p>
            <w:pPr>
              <w:ind w:left="640"/>
              <w:spacing w:after="0"/>
              <w:rPr>
                <w:sz w:val="20"/>
                <w:szCs w:val="20"/>
                <w:color w:val="auto"/>
              </w:rPr>
            </w:pPr>
            <w:r>
              <w:rPr>
                <w:rFonts w:ascii="Arial" w:cs="Arial" w:eastAsia="Arial" w:hAnsi="Arial"/>
                <w:sz w:val="18"/>
                <w:szCs w:val="18"/>
                <w:b w:val="1"/>
                <w:bCs w:val="1"/>
                <w:color w:val="auto"/>
              </w:rPr>
              <w:t>SECURITY</w:t>
            </w:r>
          </w:p>
        </w:tc>
      </w:tr>
      <w:tr>
        <w:trPr>
          <w:trHeight w:val="230"/>
        </w:trPr>
        <w:tc>
          <w:tcPr>
            <w:tcW w:w="2180" w:type="dxa"/>
            <w:vAlign w:val="bottom"/>
          </w:tcPr>
          <w:p>
            <w:pPr>
              <w:spacing w:after="0"/>
              <w:rPr>
                <w:sz w:val="20"/>
                <w:szCs w:val="20"/>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Lockable doors.</w:t>
            </w:r>
          </w:p>
        </w:tc>
      </w:tr>
      <w:tr>
        <w:trPr>
          <w:trHeight w:val="582"/>
        </w:trPr>
        <w:tc>
          <w:tcPr>
            <w:tcW w:w="218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Arial" w:cs="Arial" w:eastAsia="Arial" w:hAnsi="Arial"/>
                <w:sz w:val="14"/>
                <w:szCs w:val="14"/>
                <w:color w:val="auto"/>
              </w:rPr>
              <w:t>3</w:t>
            </w:r>
          </w:p>
        </w:tc>
      </w:tr>
      <w:tr>
        <w:trPr>
          <w:trHeight w:val="46"/>
        </w:trPr>
        <w:tc>
          <w:tcPr>
            <w:tcW w:w="21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type w:val="continuous"/>
        </w:sectPr>
      </w:pPr>
    </w:p>
    <w:bookmarkStart w:id="382" w:name="page383"/>
    <w:bookmarkEnd w:id="382"/>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DISCOVERY BUSINESS CENTER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3" w:name="page384"/>
    <w:bookmarkEnd w:id="38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CONSENT TO ASSIGNMENT</w:t>
      </w:r>
    </w:p>
    <w:p>
      <w:pPr>
        <w:spacing w:after="0" w:line="218"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p>
    <w:p>
      <w:pPr>
        <w:spacing w:after="0" w:line="24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This First Amendment to Lease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dated January 27, 2016, is by and between </w:t>
      </w:r>
      <w:r>
        <w:rPr>
          <w:rFonts w:ascii="Arial" w:cs="Arial" w:eastAsia="Arial" w:hAnsi="Arial"/>
          <w:sz w:val="22"/>
          <w:szCs w:val="22"/>
          <w:b w:val="1"/>
          <w:bCs w:val="1"/>
          <w:color w:val="auto"/>
        </w:rPr>
        <w:t>DISCOVERY</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CENTER LLC</w:t>
      </w:r>
      <w:r>
        <w:rPr>
          <w:rFonts w:ascii="Arial" w:cs="Arial" w:eastAsia="Arial" w:hAnsi="Arial"/>
          <w:sz w:val="22"/>
          <w:szCs w:val="22"/>
          <w:color w:val="auto"/>
        </w:rPr>
        <w:t>, a Delaware limited liability company, as successor-in-interest to The Irvine Company LLC,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limited liability company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GHOST MANAGEMENT GROUP, LLC</w:t>
      </w:r>
      <w:r>
        <w:rPr>
          <w:rFonts w:ascii="Arial" w:cs="Arial" w:eastAsia="Arial" w:hAnsi="Arial"/>
          <w:sz w:val="22"/>
          <w:szCs w:val="22"/>
          <w:color w:val="auto"/>
        </w:rPr>
        <w:t>, a Delaware limited liability company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 as successor-in-interest to Ghost Media Group, LLC, a Nevada limited liability company (“</w:t>
      </w:r>
      <w:r>
        <w:rPr>
          <w:rFonts w:ascii="Arial" w:cs="Arial" w:eastAsia="Arial" w:hAnsi="Arial"/>
          <w:sz w:val="22"/>
          <w:szCs w:val="22"/>
          <w:b w:val="1"/>
          <w:bCs w:val="1"/>
          <w:i w:val="1"/>
          <w:i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218"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November 11, 2013, Landlord and Original Tenant entered into a lease (“</w:t>
      </w:r>
      <w:r>
        <w:rPr>
          <w:rFonts w:ascii="Arial" w:cs="Arial" w:eastAsia="Arial" w:hAnsi="Arial"/>
          <w:sz w:val="22"/>
          <w:szCs w:val="22"/>
          <w:b w:val="1"/>
          <w:bCs w:val="1"/>
          <w:i w:val="1"/>
          <w:iCs w:val="1"/>
          <w:color w:val="auto"/>
        </w:rPr>
        <w:t>Lease</w:t>
      </w:r>
      <w:r>
        <w:rPr>
          <w:rFonts w:ascii="Arial" w:cs="Arial" w:eastAsia="Arial" w:hAnsi="Arial"/>
          <w:sz w:val="22"/>
          <w:szCs w:val="22"/>
          <w:color w:val="auto"/>
        </w:rPr>
        <w:t>”) for space in a building located at 41 Discovery, Irvine, California (“</w:t>
      </w:r>
      <w:r>
        <w:rPr>
          <w:rFonts w:ascii="Arial" w:cs="Arial" w:eastAsia="Arial" w:hAnsi="Arial"/>
          <w:sz w:val="22"/>
          <w:szCs w:val="22"/>
          <w:b w:val="1"/>
          <w:bCs w:val="1"/>
          <w:i w:val="1"/>
          <w:iCs w:val="1"/>
          <w:color w:val="auto"/>
        </w:rPr>
        <w:t>Discovery Premises</w:t>
      </w:r>
      <w:r>
        <w:rPr>
          <w:rFonts w:ascii="Arial" w:cs="Arial" w:eastAsia="Arial" w:hAnsi="Arial"/>
          <w:sz w:val="22"/>
          <w:szCs w:val="22"/>
          <w:color w:val="auto"/>
        </w:rPr>
        <w:t>” and “</w:t>
      </w:r>
      <w:r>
        <w:rPr>
          <w:rFonts w:ascii="Arial" w:cs="Arial" w:eastAsia="Arial" w:hAnsi="Arial"/>
          <w:sz w:val="22"/>
          <w:szCs w:val="22"/>
          <w:b w:val="1"/>
          <w:bCs w:val="1"/>
          <w:i w:val="1"/>
          <w:iCs w:val="1"/>
          <w:color w:val="auto"/>
        </w:rPr>
        <w:t>Discovery Building</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or prior to the date of this Amendment, Original Tenant has assigned all of its right, title and interest under the Lease to Tenant. In connection with such assignment, Tenant desires to assume all of the obligations of Original Tenant under this Lease, and Landlord desires to confirm that such assignment and assumption constitutes a “</w:t>
      </w:r>
      <w:r>
        <w:rPr>
          <w:rFonts w:ascii="Arial" w:cs="Arial" w:eastAsia="Arial" w:hAnsi="Arial"/>
          <w:sz w:val="21"/>
          <w:szCs w:val="21"/>
          <w:b w:val="1"/>
          <w:bCs w:val="1"/>
          <w:i w:val="1"/>
          <w:iCs w:val="1"/>
          <w:color w:val="auto"/>
        </w:rPr>
        <w:t>Permitted Transfer</w:t>
      </w:r>
      <w:r>
        <w:rPr>
          <w:rFonts w:ascii="Arial" w:cs="Arial" w:eastAsia="Arial" w:hAnsi="Arial"/>
          <w:sz w:val="21"/>
          <w:szCs w:val="21"/>
          <w:color w:val="auto"/>
        </w:rPr>
        <w:t>” under the Lease. as more particularly provided in “</w:t>
      </w:r>
      <w:r>
        <w:rPr>
          <w:rFonts w:ascii="Arial" w:cs="Arial" w:eastAsia="Arial" w:hAnsi="Arial"/>
          <w:sz w:val="21"/>
          <w:szCs w:val="21"/>
          <w:b w:val="1"/>
          <w:bCs w:val="1"/>
          <w:color w:val="auto"/>
        </w:rPr>
        <w:t>IV. ASSIGNMENT AND ASSUMPTION</w:t>
      </w:r>
      <w:r>
        <w:rPr>
          <w:rFonts w:ascii="Arial" w:cs="Arial" w:eastAsia="Arial" w:hAnsi="Arial"/>
          <w:sz w:val="21"/>
          <w:szCs w:val="21"/>
          <w:color w:val="auto"/>
        </w:rPr>
        <w:t>” below.</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Landlord and Tenant each desire to modify the Lease to add approximately 4,182 rentable square feet of space in a building located at 15420 Laguna Canyon Road, Suite 260, Irvine, California, more particularly described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to this Amendment and herein referred to as the “</w:t>
      </w:r>
      <w:r>
        <w:rPr>
          <w:rFonts w:ascii="Arial" w:cs="Arial" w:eastAsia="Arial" w:hAnsi="Arial"/>
          <w:sz w:val="22"/>
          <w:szCs w:val="22"/>
          <w:b w:val="1"/>
          <w:bCs w:val="1"/>
          <w:i w:val="1"/>
          <w:iCs w:val="1"/>
          <w:color w:val="auto"/>
        </w:rPr>
        <w:t>Laguna Canyon Premises</w:t>
      </w:r>
      <w:r>
        <w:rPr>
          <w:rFonts w:ascii="Arial" w:cs="Arial" w:eastAsia="Arial" w:hAnsi="Arial"/>
          <w:sz w:val="22"/>
          <w:szCs w:val="22"/>
          <w:color w:val="auto"/>
        </w:rPr>
        <w:t>”, to adjust the Basic Rent and to make such other modifications as are set forth in “</w:t>
      </w:r>
      <w:r>
        <w:rPr>
          <w:rFonts w:ascii="Arial" w:cs="Arial" w:eastAsia="Arial" w:hAnsi="Arial"/>
          <w:sz w:val="22"/>
          <w:szCs w:val="22"/>
          <w:b w:val="1"/>
          <w:bCs w:val="1"/>
          <w:color w:val="auto"/>
        </w:rPr>
        <w:t>Ill. MODIFICATIONS</w:t>
      </w:r>
      <w:r>
        <w:rPr>
          <w:rFonts w:ascii="Arial" w:cs="Arial" w:eastAsia="Arial" w:hAnsi="Arial"/>
          <w:sz w:val="22"/>
          <w:szCs w:val="22"/>
          <w:color w:val="auto"/>
        </w:rPr>
        <w:t>” next below.</w:t>
      </w:r>
    </w:p>
    <w:p>
      <w:pPr>
        <w:spacing w:after="0" w:line="215"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42" w:lineRule="exact"/>
        <w:rPr>
          <w:rFonts w:ascii="Arial" w:cs="Arial" w:eastAsia="Arial" w:hAnsi="Arial"/>
          <w:sz w:val="18"/>
          <w:szCs w:val="18"/>
          <w:b w:val="1"/>
          <w:bCs w:val="1"/>
          <w:color w:val="auto"/>
        </w:rPr>
      </w:pPr>
    </w:p>
    <w:p>
      <w:pPr>
        <w:jc w:val="both"/>
        <w:ind w:firstLine="656"/>
        <w:spacing w:after="0" w:line="245" w:lineRule="auto"/>
        <w:tabs>
          <w:tab w:leader="none" w:pos="1398" w:val="left"/>
        </w:tabs>
        <w:numPr>
          <w:ilvl w:val="1"/>
          <w:numId w:val="340"/>
        </w:numPr>
        <w:rPr>
          <w:rFonts w:ascii="Arial" w:cs="Arial" w:eastAsia="Arial" w:hAnsi="Arial"/>
          <w:sz w:val="21"/>
          <w:szCs w:val="21"/>
          <w:b w:val="1"/>
          <w:bCs w:val="1"/>
          <w:color w:val="auto"/>
        </w:rPr>
      </w:pPr>
      <w:r>
        <w:rPr>
          <w:rFonts w:ascii="Arial" w:cs="Arial" w:eastAsia="Arial" w:hAnsi="Arial"/>
          <w:sz w:val="21"/>
          <w:szCs w:val="21"/>
          <w:b w:val="1"/>
          <w:bCs w:val="1"/>
          <w:color w:val="auto"/>
        </w:rPr>
        <w:t>Premises/Building</w:t>
      </w:r>
      <w:r>
        <w:rPr>
          <w:rFonts w:ascii="Arial" w:cs="Arial" w:eastAsia="Arial" w:hAnsi="Arial"/>
          <w:sz w:val="21"/>
          <w:szCs w:val="21"/>
          <w:color w:val="auto"/>
        </w:rPr>
        <w:t>. Effective as of the “</w:t>
      </w:r>
      <w:r>
        <w:rPr>
          <w:rFonts w:ascii="Arial" w:cs="Arial" w:eastAsia="Arial" w:hAnsi="Arial"/>
          <w:sz w:val="21"/>
          <w:szCs w:val="21"/>
          <w:b w:val="1"/>
          <w:bCs w:val="1"/>
          <w:i w:val="1"/>
          <w:iCs w:val="1"/>
          <w:color w:val="auto"/>
        </w:rPr>
        <w:t>Commencement Date for the Laguna Canyon Premises</w:t>
      </w:r>
      <w:r>
        <w:rPr>
          <w:rFonts w:ascii="Arial" w:cs="Arial" w:eastAsia="Arial" w:hAnsi="Arial"/>
          <w:sz w:val="21"/>
          <w:szCs w:val="21"/>
          <w:color w:val="auto"/>
        </w:rPr>
        <w:t>” (as hereinafter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defined), the “Premises” under the Lease shall consist of the Discovery Premises and the Laguna Canyon Premises (and references to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to the Lease shall also include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attached to this Amendment), and all references to the “Building” in the Lease shall be amended to refer to the two (2) buildings located at 41 Discovery, Irvine. California, and 15420 Laguna Canyon Road, Irvine, California (“</w:t>
      </w:r>
      <w:r>
        <w:rPr>
          <w:rFonts w:ascii="Arial" w:cs="Arial" w:eastAsia="Arial" w:hAnsi="Arial"/>
          <w:sz w:val="21"/>
          <w:szCs w:val="21"/>
          <w:b w:val="1"/>
          <w:bCs w:val="1"/>
          <w:i w:val="1"/>
          <w:iCs w:val="1"/>
          <w:color w:val="auto"/>
        </w:rPr>
        <w:t>Laguna Canyon Building</w:t>
      </w:r>
      <w:r>
        <w:rPr>
          <w:rFonts w:ascii="Arial" w:cs="Arial" w:eastAsia="Arial" w:hAnsi="Arial"/>
          <w:sz w:val="21"/>
          <w:szCs w:val="21"/>
          <w:color w:val="auto"/>
        </w:rPr>
        <w:t>”), either collectively or individually as the context may reasonably require; provided, that, for the avoidance of doubt, Tenant’s obligations under the Lease and this Amendment with respect to the Laguna Canyon Building shall only extend to Suite 260 located in the Laguna Canyon Building and Tenant shall not have any obligations with respect to any of the other office space or areas located in or around the Laguna Canyon Building (unless such areas constitute Common Areas as defined under the Lease, then Tenant’s obligations with respect to such Common Areas shall be a set forth in the Lease).</w:t>
      </w:r>
    </w:p>
    <w:p>
      <w:pPr>
        <w:spacing w:after="0" w:line="207" w:lineRule="exact"/>
        <w:rPr>
          <w:rFonts w:ascii="Arial" w:cs="Arial" w:eastAsia="Arial" w:hAnsi="Arial"/>
          <w:sz w:val="21"/>
          <w:szCs w:val="21"/>
          <w:b w:val="1"/>
          <w:bCs w:val="1"/>
          <w:color w:val="auto"/>
        </w:rPr>
      </w:pPr>
    </w:p>
    <w:p>
      <w:pPr>
        <w:ind w:left="1400" w:hanging="744"/>
        <w:spacing w:after="0"/>
        <w:tabs>
          <w:tab w:leader="none" w:pos="1400" w:val="left"/>
        </w:tabs>
        <w:numPr>
          <w:ilvl w:val="1"/>
          <w:numId w:val="340"/>
        </w:numPr>
        <w:rPr>
          <w:rFonts w:ascii="Arial" w:cs="Arial" w:eastAsia="Arial" w:hAnsi="Arial"/>
          <w:sz w:val="22"/>
          <w:szCs w:val="22"/>
          <w:b w:val="1"/>
          <w:bCs w:val="1"/>
          <w:color w:val="auto"/>
        </w:rPr>
      </w:pPr>
      <w:r>
        <w:rPr>
          <w:rFonts w:ascii="Arial" w:cs="Arial" w:eastAsia="Arial" w:hAnsi="Arial"/>
          <w:sz w:val="22"/>
          <w:szCs w:val="22"/>
          <w:b w:val="1"/>
          <w:bCs w:val="1"/>
          <w:color w:val="auto"/>
        </w:rPr>
        <w:t>Basic Lease Provisions</w:t>
      </w:r>
      <w:r>
        <w:rPr>
          <w:rFonts w:ascii="Arial" w:cs="Arial" w:eastAsia="Arial" w:hAnsi="Arial"/>
          <w:sz w:val="22"/>
          <w:szCs w:val="22"/>
          <w:color w:val="auto"/>
        </w:rPr>
        <w:t>. The Basic Lease Provisions are hereby amended as follows:</w:t>
      </w:r>
    </w:p>
    <w:p>
      <w:pPr>
        <w:spacing w:after="0" w:line="239" w:lineRule="exact"/>
        <w:rPr>
          <w:rFonts w:ascii="Arial" w:cs="Arial" w:eastAsia="Arial" w:hAnsi="Arial"/>
          <w:sz w:val="22"/>
          <w:szCs w:val="22"/>
          <w:b w:val="1"/>
          <w:bCs w:val="1"/>
          <w:color w:val="auto"/>
        </w:rPr>
      </w:pPr>
    </w:p>
    <w:p>
      <w:pPr>
        <w:ind w:firstLine="1304"/>
        <w:spacing w:after="0" w:line="250" w:lineRule="auto"/>
        <w:tabs>
          <w:tab w:leader="none" w:pos="2106" w:val="left"/>
        </w:tabs>
        <w:numPr>
          <w:ilvl w:val="2"/>
          <w:numId w:val="340"/>
        </w:numPr>
        <w:rPr>
          <w:rFonts w:ascii="Arial" w:cs="Arial" w:eastAsia="Arial" w:hAnsi="Arial"/>
          <w:sz w:val="22"/>
          <w:szCs w:val="22"/>
          <w:b w:val="1"/>
          <w:bCs w:val="1"/>
          <w:color w:val="auto"/>
        </w:rPr>
      </w:pPr>
      <w:r>
        <w:rPr>
          <w:rFonts w:ascii="Arial" w:cs="Arial" w:eastAsia="Arial" w:hAnsi="Arial"/>
          <w:sz w:val="22"/>
          <w:szCs w:val="22"/>
          <w:color w:val="auto"/>
        </w:rPr>
        <w:t>Effective as of the Commencement Date for the Laguna Canyon Premises, Item 2 shall be deleted in its entirety and substituted therefore shall be the following:</w:t>
      </w:r>
    </w:p>
    <w:p>
      <w:pPr>
        <w:spacing w:after="0" w:line="202"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Premises: The Premises are more particularly described in Section 2.1.</w:t>
      </w:r>
    </w:p>
    <w:p>
      <w:pPr>
        <w:sectPr>
          <w:pgSz w:w="11900" w:h="16838" w:orient="portrait"/>
          <w:cols w:equalWidth="0" w:num="1">
            <w:col w:w="11240"/>
          </w:cols>
          <w:pgMar w:left="320" w:top="274" w:right="339" w:bottom="1440" w:gutter="0" w:footer="0" w:header="0"/>
        </w:sectPr>
      </w:pPr>
    </w:p>
    <w:p>
      <w:pPr>
        <w:spacing w:after="0" w:line="24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Address of Buildings: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41 Discovery, Irvine, CA 92618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15420 Laguna Canyon Road, Suite 260,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200" w:lineRule="exact"/>
        <w:rPr>
          <w:sz w:val="20"/>
          <w:szCs w:val="20"/>
          <w:color w:val="auto"/>
        </w:rPr>
      </w:pPr>
    </w:p>
    <w:p>
      <w:pPr>
        <w:sectPr>
          <w:pgSz w:w="11900" w:h="16838" w:orient="portrait"/>
          <w:cols w:equalWidth="0" w:num="2">
            <w:col w:w="3820" w:space="720"/>
            <w:col w:w="6700"/>
          </w:cols>
          <w:pgMar w:left="320" w:top="274" w:right="339" w:bottom="1440" w:gutter="0" w:footer="0" w:header="0"/>
          <w:type w:val="continuous"/>
        </w:sectPr>
      </w:pPr>
    </w:p>
    <w:p>
      <w:pPr>
        <w:spacing w:after="0" w:line="31"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Project Description: Discovery Business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84" w:name="page385"/>
    <w:bookmarkEnd w:id="384"/>
    <w:p>
      <w:pPr>
        <w:ind w:left="2000" w:hanging="696"/>
        <w:spacing w:after="0"/>
        <w:tabs>
          <w:tab w:leader="none" w:pos="2000" w:val="left"/>
        </w:tabs>
        <w:numPr>
          <w:ilvl w:val="0"/>
          <w:numId w:val="341"/>
        </w:numPr>
        <w:rPr>
          <w:rFonts w:ascii="Arial" w:cs="Arial" w:eastAsia="Arial" w:hAnsi="Arial"/>
          <w:sz w:val="22"/>
          <w:szCs w:val="22"/>
          <w:b w:val="1"/>
          <w:bCs w:val="1"/>
          <w:color w:val="auto"/>
        </w:rPr>
      </w:pPr>
      <w:r>
        <w:rPr>
          <w:rFonts w:ascii="Arial" w:cs="Arial" w:eastAsia="Arial" w:hAnsi="Arial"/>
          <w:sz w:val="22"/>
          <w:szCs w:val="22"/>
          <w:color w:val="auto"/>
        </w:rPr>
        <w:t>Item 4 is hereby amended by adding the following:</w:t>
      </w:r>
    </w:p>
    <w:p>
      <w:pPr>
        <w:spacing w:after="0" w:line="234" w:lineRule="exact"/>
        <w:rPr>
          <w:sz w:val="20"/>
          <w:szCs w:val="20"/>
          <w:color w:val="auto"/>
        </w:rPr>
      </w:pPr>
    </w:p>
    <w:p>
      <w:pPr>
        <w:ind w:left="19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Commencement Date for the Laguna Canyon Premises</w:t>
      </w:r>
      <w:r>
        <w:rPr>
          <w:rFonts w:ascii="Arial" w:cs="Arial" w:eastAsia="Arial" w:hAnsi="Arial"/>
          <w:sz w:val="22"/>
          <w:szCs w:val="22"/>
          <w:color w:val="auto"/>
        </w:rPr>
        <w:t>” shall mean the earlier of (a) the date Tenant commences regular business activities in the Premises, or (b) March 1, 2016.”</w:t>
      </w:r>
    </w:p>
    <w:p>
      <w:pPr>
        <w:spacing w:after="0" w:line="202" w:lineRule="exact"/>
        <w:rPr>
          <w:sz w:val="20"/>
          <w:szCs w:val="20"/>
          <w:color w:val="auto"/>
        </w:rPr>
      </w:pPr>
    </w:p>
    <w:p>
      <w:pPr>
        <w:ind w:left="2000" w:hanging="696"/>
        <w:spacing w:after="0"/>
        <w:tabs>
          <w:tab w:leader="none" w:pos="2000" w:val="left"/>
        </w:tabs>
        <w:numPr>
          <w:ilvl w:val="0"/>
          <w:numId w:val="342"/>
        </w:numPr>
        <w:rPr>
          <w:rFonts w:ascii="Arial" w:cs="Arial" w:eastAsia="Arial" w:hAnsi="Arial"/>
          <w:sz w:val="22"/>
          <w:szCs w:val="22"/>
          <w:b w:val="1"/>
          <w:bCs w:val="1"/>
          <w:color w:val="auto"/>
        </w:rPr>
      </w:pPr>
      <w:r>
        <w:rPr>
          <w:rFonts w:ascii="Arial" w:cs="Arial" w:eastAsia="Arial" w:hAnsi="Arial"/>
          <w:sz w:val="22"/>
          <w:szCs w:val="22"/>
          <w:color w:val="auto"/>
        </w:rPr>
        <w:t>Item 5 is hereby amended by adding the following:</w:t>
      </w:r>
    </w:p>
    <w:p>
      <w:pPr>
        <w:spacing w:after="0" w:line="233" w:lineRule="exact"/>
        <w:rPr>
          <w:sz w:val="20"/>
          <w:szCs w:val="20"/>
          <w:color w:val="auto"/>
        </w:rPr>
      </w:pPr>
    </w:p>
    <w:p>
      <w:pPr>
        <w:jc w:val="both"/>
        <w:ind w:left="1960"/>
        <w:spacing w:after="0"/>
        <w:rPr>
          <w:sz w:val="20"/>
          <w:szCs w:val="20"/>
          <w:color w:val="auto"/>
        </w:rPr>
      </w:pPr>
      <w:r>
        <w:rPr>
          <w:rFonts w:ascii="Arial" w:cs="Arial" w:eastAsia="Arial" w:hAnsi="Arial"/>
          <w:sz w:val="22"/>
          <w:szCs w:val="22"/>
          <w:color w:val="auto"/>
        </w:rPr>
        <w:t>“5. Lease Term as to the Laguna Canyon Premises: The Term of this Lease as to the Laguna Canyon Premises shall expire conterminously with the Term of the Lease, that is at midnight on February 28, 2019.”</w:t>
      </w:r>
    </w:p>
    <w:p>
      <w:pPr>
        <w:spacing w:after="0" w:line="213" w:lineRule="exact"/>
        <w:rPr>
          <w:sz w:val="20"/>
          <w:szCs w:val="20"/>
          <w:color w:val="auto"/>
        </w:rPr>
      </w:pPr>
    </w:p>
    <w:p>
      <w:pPr>
        <w:ind w:left="1960" w:right="4820" w:hanging="656"/>
        <w:spacing w:after="0" w:line="545" w:lineRule="auto"/>
        <w:tabs>
          <w:tab w:leader="none" w:pos="2014" w:val="left"/>
        </w:tabs>
        <w:numPr>
          <w:ilvl w:val="0"/>
          <w:numId w:val="343"/>
        </w:numPr>
        <w:rPr>
          <w:rFonts w:ascii="Arial" w:cs="Arial" w:eastAsia="Arial" w:hAnsi="Arial"/>
          <w:sz w:val="19"/>
          <w:szCs w:val="19"/>
          <w:b w:val="1"/>
          <w:bCs w:val="1"/>
          <w:color w:val="auto"/>
        </w:rPr>
      </w:pPr>
      <w:r>
        <w:rPr>
          <w:rFonts w:ascii="Arial" w:cs="Arial" w:eastAsia="Arial" w:hAnsi="Arial"/>
          <w:sz w:val="19"/>
          <w:szCs w:val="19"/>
          <w:color w:val="auto"/>
        </w:rPr>
        <w:t>Item 6 is hereby amended by adding the following: “Basic Rent for the Laguna Canyon Premises:</w:t>
      </w:r>
    </w:p>
    <w:tbl>
      <w:tblPr>
        <w:tblLayout w:type="fixed"/>
        <w:tblInd w:w="1970" w:type="dxa"/>
        <w:tblCellMar>
          <w:top w:w="0" w:type="dxa"/>
          <w:left w:w="0" w:type="dxa"/>
          <w:bottom w:w="0" w:type="dxa"/>
          <w:right w:w="0" w:type="dxa"/>
        </w:tblCellMar>
      </w:tblPr>
      <w:tr>
        <w:trPr>
          <w:trHeight w:val="233"/>
        </w:trPr>
        <w:tc>
          <w:tcPr>
            <w:tcW w:w="3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 of Term</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Monthly Rate Per Rentable Square</w:t>
            </w:r>
          </w:p>
        </w:tc>
        <w:tc>
          <w:tcPr>
            <w:tcW w:w="3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Monthly Basic Rent (rounded to the</w:t>
            </w:r>
          </w:p>
        </w:tc>
      </w:tr>
      <w:tr>
        <w:trPr>
          <w:trHeight w:val="216"/>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Period for the Laguna Canyon</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Foot for</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nearest dollar) for</w:t>
            </w:r>
          </w:p>
        </w:tc>
      </w:tr>
      <w:tr>
        <w:trPr>
          <w:trHeight w:val="216"/>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Premises</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Laguna</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Laguna</w:t>
            </w:r>
          </w:p>
        </w:tc>
      </w:tr>
      <w:tr>
        <w:trPr>
          <w:trHeight w:val="234"/>
        </w:trPr>
        <w:tc>
          <w:tcPr>
            <w:tcW w:w="3120" w:type="dxa"/>
            <w:vAlign w:val="bottom"/>
            <w:tcBorders>
              <w:left w:val="single" w:sz="8" w:color="auto"/>
              <w:right w:val="single" w:sz="8" w:color="auto"/>
            </w:tcBorders>
          </w:tcPr>
          <w:p>
            <w:pPr>
              <w:spacing w:after="0"/>
              <w:rPr>
                <w:sz w:val="20"/>
                <w:szCs w:val="20"/>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Canyon Premises</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Canyon Premises</w:t>
            </w:r>
          </w:p>
        </w:tc>
      </w:tr>
      <w:tr>
        <w:trPr>
          <w:trHeight w:val="34"/>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29"/>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Commencement Date for the Laguna</w:t>
            </w:r>
          </w:p>
        </w:tc>
        <w:tc>
          <w:tcPr>
            <w:tcW w:w="314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230"/>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Canyon Premises to January 31. 2017</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$2.06</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$8,615.00</w:t>
            </w:r>
          </w:p>
        </w:tc>
      </w:tr>
      <w:tr>
        <w:trPr>
          <w:trHeight w:val="34"/>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29"/>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February 1, 2017 to</w:t>
            </w:r>
          </w:p>
        </w:tc>
        <w:tc>
          <w:tcPr>
            <w:tcW w:w="314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230"/>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31, 2018</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$2.15</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$8,991.00</w:t>
            </w:r>
          </w:p>
        </w:tc>
      </w:tr>
      <w:tr>
        <w:trPr>
          <w:trHeight w:val="34"/>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29"/>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February 1, 2018 to</w:t>
            </w:r>
          </w:p>
        </w:tc>
        <w:tc>
          <w:tcPr>
            <w:tcW w:w="314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230"/>
        </w:trPr>
        <w:tc>
          <w:tcPr>
            <w:tcW w:w="3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February 28, 2019</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$9,410.00</w:t>
            </w:r>
          </w:p>
        </w:tc>
      </w:tr>
      <w:tr>
        <w:trPr>
          <w:trHeight w:val="34"/>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bl>
    <w:p>
      <w:pPr>
        <w:spacing w:after="0" w:line="222" w:lineRule="exact"/>
        <w:rPr>
          <w:sz w:val="20"/>
          <w:szCs w:val="20"/>
          <w:color w:val="auto"/>
        </w:rPr>
      </w:pPr>
    </w:p>
    <w:p>
      <w:pPr>
        <w:ind w:firstLine="1304"/>
        <w:spacing w:after="0" w:line="250" w:lineRule="auto"/>
        <w:tabs>
          <w:tab w:leader="none" w:pos="2106" w:val="left"/>
        </w:tabs>
        <w:numPr>
          <w:ilvl w:val="0"/>
          <w:numId w:val="344"/>
        </w:numPr>
        <w:rPr>
          <w:rFonts w:ascii="Arial" w:cs="Arial" w:eastAsia="Arial" w:hAnsi="Arial"/>
          <w:sz w:val="22"/>
          <w:szCs w:val="22"/>
          <w:b w:val="1"/>
          <w:bCs w:val="1"/>
          <w:color w:val="auto"/>
        </w:rPr>
      </w:pPr>
      <w:r>
        <w:rPr>
          <w:rFonts w:ascii="Arial" w:cs="Arial" w:eastAsia="Arial" w:hAnsi="Arial"/>
          <w:sz w:val="22"/>
          <w:szCs w:val="22"/>
          <w:color w:val="auto"/>
        </w:rPr>
        <w:t>Effective as of the Commencement Date for the Laguna Canyon Premises, Item 8 shall be deleted in its entirety and substituted therefor shall be the following:</w:t>
      </w:r>
    </w:p>
    <w:p>
      <w:pPr>
        <w:spacing w:after="0" w:line="202"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9"/>
          <w:szCs w:val="19"/>
          <w:color w:val="auto"/>
        </w:rPr>
        <w:t>Floor Area of Premises: Approximately 49,002 rentable square feet, comprised of the following:</w:t>
      </w:r>
    </w:p>
    <w:p>
      <w:pPr>
        <w:spacing w:after="0" w:line="268"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Floor Area of Laguna Canyon Premises: Approximately 4,182 rentable square feet</w:t>
      </w:r>
    </w:p>
    <w:p>
      <w:pPr>
        <w:spacing w:after="0" w:line="23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Floor Area of Discovery Premises: Approximately 44,820 rentable square feet</w:t>
      </w:r>
    </w:p>
    <w:p>
      <w:pPr>
        <w:spacing w:after="0" w:line="23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Floor Area of the Laguna Canyon Building: Approximately 50,562 rentable square feet</w:t>
      </w:r>
    </w:p>
    <w:p>
      <w:pPr>
        <w:spacing w:after="0" w:line="23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Floor Area of the Discovery Building: Approximately 44,820 rentable square feet”</w:t>
      </w:r>
    </w:p>
    <w:p>
      <w:pPr>
        <w:spacing w:after="0" w:line="233" w:lineRule="exact"/>
        <w:rPr>
          <w:sz w:val="20"/>
          <w:szCs w:val="20"/>
          <w:color w:val="auto"/>
        </w:rPr>
      </w:pPr>
    </w:p>
    <w:p>
      <w:pPr>
        <w:ind w:left="2000" w:hanging="696"/>
        <w:spacing w:after="0"/>
        <w:tabs>
          <w:tab w:leader="none" w:pos="2000" w:val="left"/>
        </w:tabs>
        <w:numPr>
          <w:ilvl w:val="0"/>
          <w:numId w:val="345"/>
        </w:numPr>
        <w:rPr>
          <w:rFonts w:ascii="Arial" w:cs="Arial" w:eastAsia="Arial" w:hAnsi="Arial"/>
          <w:sz w:val="22"/>
          <w:szCs w:val="22"/>
          <w:b w:val="1"/>
          <w:bCs w:val="1"/>
          <w:color w:val="auto"/>
        </w:rPr>
      </w:pPr>
      <w:r>
        <w:rPr>
          <w:rFonts w:ascii="Arial" w:cs="Arial" w:eastAsia="Arial" w:hAnsi="Arial"/>
          <w:sz w:val="22"/>
          <w:szCs w:val="22"/>
          <w:color w:val="auto"/>
        </w:rPr>
        <w:t>Item 9 is hereby deleted in its entirety and substituted therefore shall be the following:</w:t>
      </w:r>
    </w:p>
    <w:p>
      <w:pPr>
        <w:spacing w:after="0" w:line="233" w:lineRule="exact"/>
        <w:rPr>
          <w:rFonts w:ascii="Arial" w:cs="Arial" w:eastAsia="Arial" w:hAnsi="Arial"/>
          <w:sz w:val="22"/>
          <w:szCs w:val="22"/>
          <w:b w:val="1"/>
          <w:bCs w:val="1"/>
          <w:color w:val="auto"/>
        </w:rPr>
      </w:pPr>
    </w:p>
    <w:p>
      <w:pPr>
        <w:ind w:left="1960"/>
        <w:spacing w:after="0"/>
        <w:rPr>
          <w:rFonts w:ascii="Arial" w:cs="Arial" w:eastAsia="Arial" w:hAnsi="Arial"/>
          <w:sz w:val="22"/>
          <w:szCs w:val="22"/>
          <w:b w:val="1"/>
          <w:bCs w:val="1"/>
          <w:color w:val="auto"/>
        </w:rPr>
      </w:pPr>
      <w:r>
        <w:rPr>
          <w:rFonts w:ascii="Arial" w:cs="Arial" w:eastAsia="Arial" w:hAnsi="Arial"/>
          <w:sz w:val="22"/>
          <w:szCs w:val="22"/>
          <w:color w:val="auto"/>
        </w:rPr>
        <w:t>“9.</w:t>
      </w:r>
      <w:r>
        <w:rPr>
          <w:rFonts w:ascii="Arial" w:cs="Arial" w:eastAsia="Arial" w:hAnsi="Arial"/>
          <w:sz w:val="19"/>
          <w:szCs w:val="19"/>
          <w:color w:val="auto"/>
        </w:rPr>
        <w:t>Security Deposit $185,350.00”</w:t>
      </w:r>
    </w:p>
    <w:p>
      <w:pPr>
        <w:spacing w:after="0" w:line="233" w:lineRule="exact"/>
        <w:rPr>
          <w:rFonts w:ascii="Arial" w:cs="Arial" w:eastAsia="Arial" w:hAnsi="Arial"/>
          <w:sz w:val="22"/>
          <w:szCs w:val="22"/>
          <w:b w:val="1"/>
          <w:bCs w:val="1"/>
          <w:color w:val="auto"/>
        </w:rPr>
      </w:pPr>
    </w:p>
    <w:p>
      <w:pPr>
        <w:ind w:right="20" w:firstLine="1304"/>
        <w:spacing w:after="0" w:line="250" w:lineRule="auto"/>
        <w:tabs>
          <w:tab w:leader="none" w:pos="2065" w:val="left"/>
        </w:tabs>
        <w:numPr>
          <w:ilvl w:val="0"/>
          <w:numId w:val="345"/>
        </w:numPr>
        <w:rPr>
          <w:rFonts w:ascii="Arial" w:cs="Arial" w:eastAsia="Arial" w:hAnsi="Arial"/>
          <w:sz w:val="22"/>
          <w:szCs w:val="22"/>
          <w:b w:val="1"/>
          <w:bCs w:val="1"/>
          <w:color w:val="auto"/>
        </w:rPr>
      </w:pPr>
      <w:r>
        <w:rPr>
          <w:rFonts w:ascii="Arial" w:cs="Arial" w:eastAsia="Arial" w:hAnsi="Arial"/>
          <w:sz w:val="22"/>
          <w:szCs w:val="22"/>
          <w:color w:val="auto"/>
        </w:rPr>
        <w:t>Effective as of the Commencement Date for the Laguna Canyon Premises, Item 11 shall be deleted in its entirety and substituted therefor shall be the following:</w:t>
      </w:r>
    </w:p>
    <w:p>
      <w:pPr>
        <w:spacing w:after="0" w:line="202" w:lineRule="exact"/>
        <w:rPr>
          <w:sz w:val="20"/>
          <w:szCs w:val="20"/>
          <w:color w:val="auto"/>
        </w:rPr>
      </w:pPr>
    </w:p>
    <w:p>
      <w:pPr>
        <w:ind w:left="1960" w:right="20"/>
        <w:spacing w:after="0" w:line="250" w:lineRule="auto"/>
        <w:rPr>
          <w:sz w:val="20"/>
          <w:szCs w:val="20"/>
          <w:color w:val="auto"/>
        </w:rPr>
      </w:pPr>
      <w:r>
        <w:rPr>
          <w:rFonts w:ascii="Arial" w:cs="Arial" w:eastAsia="Arial" w:hAnsi="Arial"/>
          <w:sz w:val="22"/>
          <w:szCs w:val="22"/>
          <w:color w:val="auto"/>
        </w:rPr>
        <w:t xml:space="preserve">“11. Parking: 216 parking spaces, together with the Additional Parking” in accordance with the provisions set forth in </w:t>
      </w:r>
      <w:r>
        <w:rPr>
          <w:rFonts w:ascii="Arial" w:cs="Arial" w:eastAsia="Arial" w:hAnsi="Arial"/>
          <w:sz w:val="22"/>
          <w:szCs w:val="22"/>
          <w:b w:val="1"/>
          <w:bCs w:val="1"/>
          <w:color w:val="auto"/>
        </w:rPr>
        <w:t>Exhibit F</w:t>
      </w:r>
      <w:r>
        <w:rPr>
          <w:rFonts w:ascii="Arial" w:cs="Arial" w:eastAsia="Arial" w:hAnsi="Arial"/>
          <w:sz w:val="22"/>
          <w:szCs w:val="22"/>
          <w:color w:val="auto"/>
        </w:rPr>
        <w:t xml:space="preserve"> attached to this Lease”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5" w:name="page386"/>
    <w:bookmarkEnd w:id="385"/>
    <w:p>
      <w:pPr>
        <w:jc w:val="both"/>
        <w:ind w:firstLine="656"/>
        <w:spacing w:after="0" w:line="239" w:lineRule="auto"/>
        <w:tabs>
          <w:tab w:leader="none" w:pos="1506" w:val="left"/>
        </w:tabs>
        <w:numPr>
          <w:ilvl w:val="0"/>
          <w:numId w:val="346"/>
        </w:numPr>
        <w:rPr>
          <w:rFonts w:ascii="Arial" w:cs="Arial" w:eastAsia="Arial" w:hAnsi="Arial"/>
          <w:sz w:val="22"/>
          <w:szCs w:val="22"/>
          <w:b w:val="1"/>
          <w:bCs w:val="1"/>
          <w:color w:val="auto"/>
        </w:rPr>
      </w:pPr>
      <w:r>
        <w:rPr>
          <w:rFonts w:ascii="Arial" w:cs="Arial" w:eastAsia="Arial" w:hAnsi="Arial"/>
          <w:sz w:val="22"/>
          <w:szCs w:val="22"/>
          <w:b w:val="1"/>
          <w:bCs w:val="1"/>
          <w:color w:val="auto"/>
        </w:rPr>
        <w:t>HVAC After Hours</w:t>
      </w:r>
      <w:r>
        <w:rPr>
          <w:rFonts w:ascii="Arial" w:cs="Arial" w:eastAsia="Arial" w:hAnsi="Arial"/>
          <w:sz w:val="22"/>
          <w:szCs w:val="22"/>
          <w:color w:val="auto"/>
        </w:rPr>
        <w:t>.</w:t>
      </w:r>
      <w:r>
        <w:rPr>
          <w:rFonts w:ascii="Arial" w:cs="Arial" w:eastAsia="Arial" w:hAnsi="Arial"/>
          <w:sz w:val="22"/>
          <w:szCs w:val="22"/>
          <w:b w:val="1"/>
          <w:bCs w:val="1"/>
          <w:color w:val="auto"/>
        </w:rPr>
        <w:t xml:space="preserve"> Exhibit C </w:t>
      </w:r>
      <w:r>
        <w:rPr>
          <w:rFonts w:ascii="Arial" w:cs="Arial" w:eastAsia="Arial" w:hAnsi="Arial"/>
          <w:sz w:val="22"/>
          <w:szCs w:val="22"/>
          <w:color w:val="auto"/>
        </w:rPr>
        <w:t>attached to the Lease is hereby amended to provide that for the HVAC unit(s)</w:t>
      </w:r>
      <w:r>
        <w:rPr>
          <w:rFonts w:ascii="Arial" w:cs="Arial" w:eastAsia="Arial" w:hAnsi="Arial"/>
          <w:sz w:val="22"/>
          <w:szCs w:val="22"/>
          <w:b w:val="1"/>
          <w:bCs w:val="1"/>
          <w:color w:val="auto"/>
        </w:rPr>
        <w:t xml:space="preserve"> </w:t>
      </w:r>
      <w:r>
        <w:rPr>
          <w:rFonts w:ascii="Arial" w:cs="Arial" w:eastAsia="Arial" w:hAnsi="Arial"/>
          <w:sz w:val="22"/>
          <w:szCs w:val="22"/>
          <w:color w:val="auto"/>
        </w:rPr>
        <w:t>servicing the Laguna Canyon Premises “</w:t>
      </w:r>
      <w:r>
        <w:rPr>
          <w:rFonts w:ascii="Arial" w:cs="Arial" w:eastAsia="Arial" w:hAnsi="Arial"/>
          <w:sz w:val="22"/>
          <w:szCs w:val="22"/>
          <w:b w:val="1"/>
          <w:bCs w:val="1"/>
          <w:i w:val="1"/>
          <w:iCs w:val="1"/>
          <w:color w:val="auto"/>
        </w:rPr>
        <w:t>after hours</w:t>
      </w:r>
      <w:r>
        <w:rPr>
          <w:rFonts w:ascii="Arial" w:cs="Arial" w:eastAsia="Arial" w:hAnsi="Arial"/>
          <w:sz w:val="22"/>
          <w:szCs w:val="22"/>
          <w:color w:val="auto"/>
        </w:rPr>
        <w:t>” shall mean usage of said unit(s) before 8:00 A.M. or after 6:00 P.M. on Mondays through Fridays, before 9:00 A.M. or after 1:00 P.M. on Saturdays, and all day on Sundays and nationally-recognized holidays, subject to reasonable adjustment of said hours by Landlord.</w:t>
      </w:r>
    </w:p>
    <w:p>
      <w:pPr>
        <w:spacing w:after="0" w:line="207" w:lineRule="exact"/>
        <w:rPr>
          <w:rFonts w:ascii="Arial" w:cs="Arial" w:eastAsia="Arial" w:hAnsi="Arial"/>
          <w:sz w:val="22"/>
          <w:szCs w:val="22"/>
          <w:b w:val="1"/>
          <w:bCs w:val="1"/>
          <w:color w:val="auto"/>
        </w:rPr>
      </w:pPr>
    </w:p>
    <w:p>
      <w:pPr>
        <w:ind w:firstLine="656"/>
        <w:spacing w:after="0" w:line="334" w:lineRule="auto"/>
        <w:tabs>
          <w:tab w:leader="none" w:pos="1533" w:val="left"/>
        </w:tabs>
        <w:numPr>
          <w:ilvl w:val="0"/>
          <w:numId w:val="346"/>
        </w:numPr>
        <w:rPr>
          <w:rFonts w:ascii="Arial" w:cs="Arial" w:eastAsia="Arial" w:hAnsi="Arial"/>
          <w:sz w:val="19"/>
          <w:szCs w:val="19"/>
          <w:b w:val="1"/>
          <w:bCs w:val="1"/>
          <w:color w:val="auto"/>
        </w:rPr>
      </w:pPr>
      <w:r>
        <w:rPr>
          <w:rFonts w:ascii="Arial" w:cs="Arial" w:eastAsia="Arial" w:hAnsi="Arial"/>
          <w:sz w:val="19"/>
          <w:szCs w:val="19"/>
          <w:b w:val="1"/>
          <w:bCs w:val="1"/>
          <w:color w:val="auto"/>
        </w:rPr>
        <w:t>Right to Extend the Lease</w:t>
      </w:r>
      <w:r>
        <w:rPr>
          <w:rFonts w:ascii="Arial" w:cs="Arial" w:eastAsia="Arial" w:hAnsi="Arial"/>
          <w:sz w:val="19"/>
          <w:szCs w:val="19"/>
          <w:color w:val="auto"/>
        </w:rPr>
        <w:t>. The provisions of Section 1 of Exhibit G attached to the Lease entitled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Extend this Lease” shall remain in full force and effect and exercisable by Tenant in accordance with the terms of the Lease.</w:t>
      </w:r>
    </w:p>
    <w:p>
      <w:pPr>
        <w:spacing w:after="0" w:line="120" w:lineRule="exact"/>
        <w:rPr>
          <w:rFonts w:ascii="Arial" w:cs="Arial" w:eastAsia="Arial" w:hAnsi="Arial"/>
          <w:sz w:val="19"/>
          <w:szCs w:val="19"/>
          <w:b w:val="1"/>
          <w:bCs w:val="1"/>
          <w:color w:val="auto"/>
        </w:rPr>
      </w:pPr>
    </w:p>
    <w:p>
      <w:pPr>
        <w:jc w:val="both"/>
        <w:ind w:firstLine="656"/>
        <w:spacing w:after="0" w:line="243" w:lineRule="auto"/>
        <w:tabs>
          <w:tab w:leader="none" w:pos="1629" w:val="left"/>
        </w:tabs>
        <w:numPr>
          <w:ilvl w:val="0"/>
          <w:numId w:val="346"/>
        </w:numPr>
        <w:rPr>
          <w:rFonts w:ascii="Arial" w:cs="Arial" w:eastAsia="Arial" w:hAnsi="Arial"/>
          <w:sz w:val="22"/>
          <w:szCs w:val="22"/>
          <w:b w:val="1"/>
          <w:bCs w:val="1"/>
          <w:color w:val="auto"/>
        </w:rPr>
      </w:pPr>
      <w:r>
        <w:rPr>
          <w:rFonts w:ascii="Arial" w:cs="Arial" w:eastAsia="Arial" w:hAnsi="Arial"/>
          <w:sz w:val="22"/>
          <w:szCs w:val="22"/>
          <w:b w:val="1"/>
          <w:bCs w:val="1"/>
          <w:color w:val="auto"/>
        </w:rPr>
        <w:t>Security Deposit</w:t>
      </w:r>
      <w:r>
        <w:rPr>
          <w:rFonts w:ascii="Arial" w:cs="Arial" w:eastAsia="Arial" w:hAnsi="Arial"/>
          <w:sz w:val="22"/>
          <w:szCs w:val="22"/>
          <w:color w:val="auto"/>
        </w:rPr>
        <w:t>. Concurrently with Tenant’s delivery of this Amendment, Tenant shall deliver the sum of</w:t>
      </w:r>
      <w:r>
        <w:rPr>
          <w:rFonts w:ascii="Arial" w:cs="Arial" w:eastAsia="Arial" w:hAnsi="Arial"/>
          <w:sz w:val="22"/>
          <w:szCs w:val="22"/>
          <w:b w:val="1"/>
          <w:bCs w:val="1"/>
          <w:color w:val="auto"/>
        </w:rPr>
        <w:t xml:space="preserve"> </w:t>
      </w:r>
      <w:r>
        <w:rPr>
          <w:rFonts w:ascii="Arial" w:cs="Arial" w:eastAsia="Arial" w:hAnsi="Arial"/>
          <w:sz w:val="22"/>
          <w:szCs w:val="22"/>
          <w:color w:val="auto"/>
        </w:rPr>
        <w:t>$10,350.00 to Landlord, which sum shall be added to the Security Deposit presently being held by Landlord in accordance with Section 4.3 of the Lease.</w:t>
      </w:r>
    </w:p>
    <w:p>
      <w:pPr>
        <w:spacing w:after="0" w:line="203" w:lineRule="exact"/>
        <w:rPr>
          <w:rFonts w:ascii="Arial" w:cs="Arial" w:eastAsia="Arial" w:hAnsi="Arial"/>
          <w:sz w:val="22"/>
          <w:szCs w:val="22"/>
          <w:b w:val="1"/>
          <w:bCs w:val="1"/>
          <w:color w:val="auto"/>
        </w:rPr>
      </w:pPr>
    </w:p>
    <w:p>
      <w:pPr>
        <w:jc w:val="both"/>
        <w:ind w:firstLine="656"/>
        <w:spacing w:after="0" w:line="273" w:lineRule="auto"/>
        <w:tabs>
          <w:tab w:leader="none" w:pos="1516" w:val="left"/>
        </w:tabs>
        <w:numPr>
          <w:ilvl w:val="0"/>
          <w:numId w:val="346"/>
        </w:numPr>
        <w:rPr>
          <w:rFonts w:ascii="Arial" w:cs="Arial" w:eastAsia="Arial" w:hAnsi="Arial"/>
          <w:sz w:val="19"/>
          <w:szCs w:val="19"/>
          <w:b w:val="1"/>
          <w:bCs w:val="1"/>
          <w:color w:val="auto"/>
        </w:rPr>
      </w:pPr>
      <w:r>
        <w:rPr>
          <w:rFonts w:ascii="Arial" w:cs="Arial" w:eastAsia="Arial" w:hAnsi="Arial"/>
          <w:sz w:val="19"/>
          <w:szCs w:val="19"/>
          <w:b w:val="1"/>
          <w:bCs w:val="1"/>
          <w:color w:val="auto"/>
        </w:rPr>
        <w:t>Brokers</w:t>
      </w:r>
      <w:r>
        <w:rPr>
          <w:rFonts w:ascii="Arial" w:cs="Arial" w:eastAsia="Arial" w:hAnsi="Arial"/>
          <w:sz w:val="19"/>
          <w:szCs w:val="19"/>
          <w:color w:val="auto"/>
        </w:rPr>
        <w:t>. Article 18 of the Lease is amended to provide that the parties recognize the following parties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brokers who negotiated this Amendment, and agree that Landlord shall be responsible for payment of brokerage commissions to such brokers pursuant to its separate agreements with such brokers: Irvine Realty Company (“</w:t>
      </w:r>
      <w:r>
        <w:rPr>
          <w:rFonts w:ascii="Arial" w:cs="Arial" w:eastAsia="Arial" w:hAnsi="Arial"/>
          <w:sz w:val="19"/>
          <w:szCs w:val="19"/>
          <w:b w:val="1"/>
          <w:bCs w:val="1"/>
          <w:i w:val="1"/>
          <w:iCs w:val="1"/>
          <w:color w:val="auto"/>
        </w:rPr>
        <w:t>Landlord’s Broker</w:t>
      </w:r>
      <w:r>
        <w:rPr>
          <w:rFonts w:ascii="Arial" w:cs="Arial" w:eastAsia="Arial" w:hAnsi="Arial"/>
          <w:sz w:val="19"/>
          <w:szCs w:val="19"/>
          <w:color w:val="auto"/>
        </w:rPr>
        <w:t>”) is the agent of Landlord exclusively and Newmark Grubb Knight Frank (“</w:t>
      </w:r>
      <w:r>
        <w:rPr>
          <w:rFonts w:ascii="Arial" w:cs="Arial" w:eastAsia="Arial" w:hAnsi="Arial"/>
          <w:sz w:val="19"/>
          <w:szCs w:val="19"/>
          <w:b w:val="1"/>
          <w:bCs w:val="1"/>
          <w:i w:val="1"/>
          <w:iCs w:val="1"/>
          <w:color w:val="auto"/>
        </w:rPr>
        <w:t>Tenant’s Broker</w:t>
      </w:r>
      <w:r>
        <w:rPr>
          <w:rFonts w:ascii="Arial" w:cs="Arial" w:eastAsia="Arial" w:hAnsi="Arial"/>
          <w:sz w:val="19"/>
          <w:szCs w:val="19"/>
          <w:color w:val="auto"/>
        </w:rPr>
        <w:t>”) is the agent of Tenant exclusively. By the execution of this Amendment, each of Landlord and Tenant hereby acknowledge and confirm (a) receipt of a copy of a Disclosure Regarding Real Estate Agency Relationship conforming to the requirements of California Civil Code 2079.16, and (b) the agency relationships specified herein, which acknowledgement and confirmation is expressly made for the benefit of Tenant’s Broker. If there is no Tenant’s Broker so identified herein, then such acknowledgement and confirmation is expressly made for the benefit of Landlord’s Broker. By the execution of this Amendment, Landlord and Tenant are executing the confirmation of the agency relationships set forth herein. The warranty and indemnity provisions of Article 18 of the Lease, as amended hereby, shall be binding and enforceable in connection with the negotiation of this Amendment.</w:t>
      </w:r>
    </w:p>
    <w:p>
      <w:pPr>
        <w:spacing w:after="0" w:line="182" w:lineRule="exact"/>
        <w:rPr>
          <w:rFonts w:ascii="Arial" w:cs="Arial" w:eastAsia="Arial" w:hAnsi="Arial"/>
          <w:sz w:val="19"/>
          <w:szCs w:val="19"/>
          <w:b w:val="1"/>
          <w:bCs w:val="1"/>
          <w:color w:val="auto"/>
        </w:rPr>
      </w:pPr>
    </w:p>
    <w:p>
      <w:pPr>
        <w:jc w:val="both"/>
        <w:ind w:firstLine="656"/>
        <w:spacing w:after="0" w:line="260" w:lineRule="auto"/>
        <w:tabs>
          <w:tab w:leader="none" w:pos="1666" w:val="left"/>
        </w:tabs>
        <w:numPr>
          <w:ilvl w:val="0"/>
          <w:numId w:val="346"/>
        </w:numPr>
        <w:rPr>
          <w:rFonts w:ascii="Arial" w:cs="Arial" w:eastAsia="Arial" w:hAnsi="Arial"/>
          <w:sz w:val="21"/>
          <w:szCs w:val="21"/>
          <w:b w:val="1"/>
          <w:bCs w:val="1"/>
          <w:color w:val="auto"/>
        </w:rPr>
      </w:pPr>
      <w:r>
        <w:rPr>
          <w:rFonts w:ascii="Arial" w:cs="Arial" w:eastAsia="Arial" w:hAnsi="Arial"/>
          <w:sz w:val="21"/>
          <w:szCs w:val="21"/>
          <w:b w:val="1"/>
          <w:bCs w:val="1"/>
          <w:color w:val="auto"/>
        </w:rPr>
        <w:t>Acceptance of the Laguna Canyon Premises</w:t>
      </w:r>
      <w:r>
        <w:rPr>
          <w:rFonts w:ascii="Arial" w:cs="Arial" w:eastAsia="Arial" w:hAnsi="Arial"/>
          <w:sz w:val="21"/>
          <w:szCs w:val="21"/>
          <w:color w:val="auto"/>
        </w:rPr>
        <w:t>. Tenant acknowledges that the lease of the Laguna Canyon</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pursuant to this Amendment shall be subject to the acknowledgement set forth in Section 2.2 of the Lease and shall be on an “</w:t>
      </w:r>
      <w:r>
        <w:rPr>
          <w:rFonts w:ascii="Arial" w:cs="Arial" w:eastAsia="Arial" w:hAnsi="Arial"/>
          <w:sz w:val="21"/>
          <w:szCs w:val="21"/>
          <w:b w:val="1"/>
          <w:bCs w:val="1"/>
          <w:i w:val="1"/>
          <w:iCs w:val="1"/>
          <w:color w:val="auto"/>
        </w:rPr>
        <w:t>as-is</w:t>
      </w:r>
      <w:r>
        <w:rPr>
          <w:rFonts w:ascii="Arial" w:cs="Arial" w:eastAsia="Arial" w:hAnsi="Arial"/>
          <w:sz w:val="21"/>
          <w:szCs w:val="21"/>
          <w:color w:val="auto"/>
        </w:rPr>
        <w:t>” basis without further obligation on Landlord’s part as to improvements whatsoever.</w:t>
      </w:r>
    </w:p>
    <w:p>
      <w:pPr>
        <w:spacing w:after="0" w:line="187" w:lineRule="exact"/>
        <w:rPr>
          <w:rFonts w:ascii="Arial" w:cs="Arial" w:eastAsia="Arial" w:hAnsi="Arial"/>
          <w:sz w:val="21"/>
          <w:szCs w:val="21"/>
          <w:b w:val="1"/>
          <w:bCs w:val="1"/>
          <w:color w:val="auto"/>
        </w:rPr>
      </w:pPr>
    </w:p>
    <w:p>
      <w:pPr>
        <w:jc w:val="both"/>
        <w:ind w:firstLine="656"/>
        <w:spacing w:after="0" w:line="271" w:lineRule="auto"/>
        <w:tabs>
          <w:tab w:leader="none" w:pos="1423" w:val="left"/>
        </w:tabs>
        <w:numPr>
          <w:ilvl w:val="0"/>
          <w:numId w:val="346"/>
        </w:numPr>
        <w:rPr>
          <w:rFonts w:ascii="Arial" w:cs="Arial" w:eastAsia="Arial" w:hAnsi="Arial"/>
          <w:sz w:val="19"/>
          <w:szCs w:val="19"/>
          <w:b w:val="1"/>
          <w:bCs w:val="1"/>
          <w:color w:val="auto"/>
        </w:rPr>
      </w:pPr>
      <w:r>
        <w:rPr>
          <w:rFonts w:ascii="Arial" w:cs="Arial" w:eastAsia="Arial" w:hAnsi="Arial"/>
          <w:sz w:val="19"/>
          <w:szCs w:val="19"/>
          <w:b w:val="1"/>
          <w:bCs w:val="1"/>
          <w:color w:val="auto"/>
        </w:rPr>
        <w:t>Inter-Building Conduit</w:t>
      </w:r>
      <w:r>
        <w:rPr>
          <w:rFonts w:ascii="Arial" w:cs="Arial" w:eastAsia="Arial" w:hAnsi="Arial"/>
          <w:sz w:val="19"/>
          <w:szCs w:val="19"/>
          <w:color w:val="auto"/>
        </w:rPr>
        <w:t>. Tenant shall have the right to install data and/or telecommunications cabling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existing underground conduit at the Project (the “</w:t>
      </w:r>
      <w:r>
        <w:rPr>
          <w:rFonts w:ascii="Arial" w:cs="Arial" w:eastAsia="Arial" w:hAnsi="Arial"/>
          <w:sz w:val="19"/>
          <w:szCs w:val="19"/>
          <w:b w:val="1"/>
          <w:bCs w:val="1"/>
          <w:i w:val="1"/>
          <w:iCs w:val="1"/>
          <w:color w:val="auto"/>
        </w:rPr>
        <w:t>Conduit</w:t>
      </w:r>
      <w:r>
        <w:rPr>
          <w:rFonts w:ascii="Arial" w:cs="Arial" w:eastAsia="Arial" w:hAnsi="Arial"/>
          <w:sz w:val="19"/>
          <w:szCs w:val="19"/>
          <w:color w:val="auto"/>
        </w:rPr>
        <w:t>”) facilitating Tenant’s between the Discovery Building and the Laguna Canyon Building for the purpose of facilitating Tenant’s data and telecommunications networking, subject to and upon the following conditions: (i) Tenant’s right to use and/or, install cabling within the Conduit shall be subject to the availability, from time to time, of sufficient space therein, (ii) the installation by or for Tenant of any cabling within the Conduit shall be at Tenant’s sole risk and cost, and Landlord shall not be liable for any injury, loss, damage, cost, expense or liability that may occur or result in connection therewith, (iii) Tenant shall utilize a contractor either designated by, or otherwise reasonably acceptable to, Landlord to install any cabling within the Conduit, which contractor shall comply with Landlord’s construction rules for the Project, including without limitation Landlord’s standard insurance requirements, (iv) should Landlord determine in good faith at any time that any cabling installed within the Conduit by or for Tenant interferes with or other poses a risk to the normal functioning of Landlord’s cabling, systems, or other equipment, Landlord may require Tenant to make arrangements satisfactory to Landlord to remove or mitigate such risk or interference or, if Tenant either fails or is unable to make such satisfactory arrangements, to remove its cabling, (v) any cabling installed by Tenant within the Conduit shall be considered an “</w:t>
      </w:r>
      <w:r>
        <w:rPr>
          <w:rFonts w:ascii="Arial" w:cs="Arial" w:eastAsia="Arial" w:hAnsi="Arial"/>
          <w:sz w:val="19"/>
          <w:szCs w:val="19"/>
          <w:b w:val="1"/>
          <w:bCs w:val="1"/>
          <w:i w:val="1"/>
          <w:iCs w:val="1"/>
          <w:color w:val="auto"/>
        </w:rPr>
        <w:t>Alteration</w:t>
      </w:r>
      <w:r>
        <w:rPr>
          <w:rFonts w:ascii="Arial" w:cs="Arial" w:eastAsia="Arial" w:hAnsi="Arial"/>
          <w:sz w:val="19"/>
          <w:szCs w:val="19"/>
          <w:color w:val="auto"/>
        </w:rPr>
        <w:t>” pursuant to Section 7.3 of the Lease, and (vi) upon the expiration or sooner termination of the Lease, Tenant shall remove any cabling installed within the Conduit and all related equipment and facilities, and shall repair any damage caused thereby, all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6" w:name="page387"/>
    <w:bookmarkEnd w:id="386"/>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ASSIGNMENT AND ASSUMPTION.</w:t>
      </w:r>
    </w:p>
    <w:p>
      <w:pPr>
        <w:spacing w:after="0" w:line="2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Tenant has assumed all of the obligations and liabilities of “Tenant” under the Lease, as amended by this Amendment, as if Tenant were the original signatory of the Lease, and Landlord hereby confirms that the assignment of the Lease, as amended by this Amendment, to Tenant, constitutes a “</w:t>
      </w:r>
      <w:r>
        <w:rPr>
          <w:rFonts w:ascii="Arial" w:cs="Arial" w:eastAsia="Arial" w:hAnsi="Arial"/>
          <w:sz w:val="21"/>
          <w:szCs w:val="21"/>
          <w:b w:val="1"/>
          <w:bCs w:val="1"/>
          <w:i w:val="1"/>
          <w:iCs w:val="1"/>
          <w:color w:val="auto"/>
        </w:rPr>
        <w:t>Permitted Transfer</w:t>
      </w:r>
      <w:r>
        <w:rPr>
          <w:rFonts w:ascii="Arial" w:cs="Arial" w:eastAsia="Arial" w:hAnsi="Arial"/>
          <w:sz w:val="21"/>
          <w:szCs w:val="21"/>
          <w:color w:val="auto"/>
        </w:rPr>
        <w:t>” pursuant to Section 9.1(e) of the Lease and that all of Tenant’s and Original Tenant’s obligations with respect thereto have been satisfied.</w:t>
      </w:r>
    </w:p>
    <w:p>
      <w:pPr>
        <w:spacing w:after="0" w:line="204"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42" w:lineRule="exact"/>
        <w:rPr>
          <w:rFonts w:ascii="Arial" w:cs="Arial" w:eastAsia="Arial" w:hAnsi="Arial"/>
          <w:sz w:val="18"/>
          <w:szCs w:val="18"/>
          <w:b w:val="1"/>
          <w:bCs w:val="1"/>
          <w:color w:val="auto"/>
        </w:rPr>
      </w:pPr>
    </w:p>
    <w:p>
      <w:pPr>
        <w:ind w:firstLine="656"/>
        <w:spacing w:after="0" w:line="256" w:lineRule="auto"/>
        <w:tabs>
          <w:tab w:leader="none" w:pos="1438" w:val="left"/>
        </w:tabs>
        <w:numPr>
          <w:ilvl w:val="1"/>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Amendments</w:t>
      </w:r>
      <w:r>
        <w:rPr>
          <w:rFonts w:ascii="Arial" w:cs="Arial" w:eastAsia="Arial" w:hAnsi="Arial"/>
          <w:sz w:val="22"/>
          <w:szCs w:val="22"/>
          <w:color w:val="auto"/>
        </w:rPr>
        <w:t>. The Lease shall remain in full force and effect and unmodified except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it is modified by this Amendment.</w:t>
      </w:r>
    </w:p>
    <w:p>
      <w:pPr>
        <w:spacing w:after="0" w:line="189" w:lineRule="exact"/>
        <w:rPr>
          <w:rFonts w:ascii="Arial" w:cs="Arial" w:eastAsia="Arial" w:hAnsi="Arial"/>
          <w:sz w:val="22"/>
          <w:szCs w:val="22"/>
          <w:b w:val="1"/>
          <w:bCs w:val="1"/>
          <w:color w:val="auto"/>
        </w:rPr>
      </w:pPr>
    </w:p>
    <w:p>
      <w:pPr>
        <w:jc w:val="both"/>
        <w:ind w:firstLine="656"/>
        <w:spacing w:after="0" w:line="243" w:lineRule="auto"/>
        <w:tabs>
          <w:tab w:leader="none" w:pos="1602" w:val="left"/>
        </w:tabs>
        <w:numPr>
          <w:ilvl w:val="1"/>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Amendment embodies the entire understanding between Landlord and Tenant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modifications set forth in “</w:t>
      </w:r>
      <w:r>
        <w:rPr>
          <w:rFonts w:ascii="Arial" w:cs="Arial" w:eastAsia="Arial" w:hAnsi="Arial"/>
          <w:sz w:val="22"/>
          <w:szCs w:val="22"/>
          <w:b w:val="1"/>
          <w:bCs w:val="1"/>
          <w:color w:val="auto"/>
        </w:rPr>
        <w:t>III. MODIFICATIONS</w:t>
      </w:r>
      <w:r>
        <w:rPr>
          <w:rFonts w:ascii="Arial" w:cs="Arial" w:eastAsia="Arial" w:hAnsi="Arial"/>
          <w:sz w:val="22"/>
          <w:szCs w:val="22"/>
          <w:color w:val="auto"/>
        </w:rPr>
        <w:t>” above and can be changed only by a writing signed by Landlord and Tenant.</w:t>
      </w:r>
    </w:p>
    <w:p>
      <w:pPr>
        <w:spacing w:after="0" w:line="203" w:lineRule="exact"/>
        <w:rPr>
          <w:rFonts w:ascii="Arial" w:cs="Arial" w:eastAsia="Arial" w:hAnsi="Arial"/>
          <w:sz w:val="22"/>
          <w:szCs w:val="22"/>
          <w:b w:val="1"/>
          <w:bCs w:val="1"/>
          <w:color w:val="auto"/>
        </w:rPr>
      </w:pPr>
    </w:p>
    <w:p>
      <w:pPr>
        <w:ind w:firstLine="656"/>
        <w:spacing w:after="0" w:line="334" w:lineRule="auto"/>
        <w:tabs>
          <w:tab w:leader="none" w:pos="1492" w:val="left"/>
        </w:tabs>
        <w:numPr>
          <w:ilvl w:val="1"/>
          <w:numId w:val="347"/>
        </w:numPr>
        <w:rPr>
          <w:rFonts w:ascii="Arial" w:cs="Arial" w:eastAsia="Arial" w:hAnsi="Arial"/>
          <w:sz w:val="19"/>
          <w:szCs w:val="19"/>
          <w:b w:val="1"/>
          <w:bCs w:val="1"/>
          <w:color w:val="auto"/>
        </w:rPr>
      </w:pPr>
      <w:r>
        <w:rPr>
          <w:rFonts w:ascii="Arial" w:cs="Arial" w:eastAsia="Arial" w:hAnsi="Arial"/>
          <w:sz w:val="19"/>
          <w:szCs w:val="19"/>
          <w:b w:val="1"/>
          <w:bCs w:val="1"/>
          <w:color w:val="auto"/>
        </w:rPr>
        <w:t>Defined Terms</w:t>
      </w:r>
      <w:r>
        <w:rPr>
          <w:rFonts w:ascii="Arial" w:cs="Arial" w:eastAsia="Arial" w:hAnsi="Arial"/>
          <w:sz w:val="19"/>
          <w:szCs w:val="19"/>
          <w:color w:val="auto"/>
        </w:rPr>
        <w:t>. All words commencing with initial capital letters in this Amendment and defined in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same meaning in this Amendment as in the Lease, unless they are otherwise defined in this Amendment.</w:t>
      </w:r>
    </w:p>
    <w:p>
      <w:pPr>
        <w:spacing w:after="0" w:line="120" w:lineRule="exact"/>
        <w:rPr>
          <w:rFonts w:ascii="Arial" w:cs="Arial" w:eastAsia="Arial" w:hAnsi="Arial"/>
          <w:sz w:val="19"/>
          <w:szCs w:val="19"/>
          <w:b w:val="1"/>
          <w:bCs w:val="1"/>
          <w:color w:val="auto"/>
        </w:rPr>
      </w:pPr>
    </w:p>
    <w:p>
      <w:pPr>
        <w:jc w:val="both"/>
        <w:ind w:firstLine="656"/>
        <w:spacing w:after="0" w:line="239" w:lineRule="auto"/>
        <w:tabs>
          <w:tab w:leader="none" w:pos="1519" w:val="left"/>
        </w:tabs>
        <w:numPr>
          <w:ilvl w:val="1"/>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and Partnership Authority</w:t>
      </w:r>
      <w:r>
        <w:rPr>
          <w:rFonts w:ascii="Arial" w:cs="Arial" w:eastAsia="Arial" w:hAnsi="Arial"/>
          <w:sz w:val="22"/>
          <w:szCs w:val="22"/>
          <w:color w:val="auto"/>
        </w:rPr>
        <w:t>. If Tenant is a corporation or partnership, or is comprised of either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them, each individual executing this Amendment for the corporation or partnership represents that he or she is duly authorized to execute and deliver this Amendment on behalf of the corporation or partnership and that this Amendment is binding upon the corporation or partnership in accordance with its terms.</w:t>
      </w:r>
    </w:p>
    <w:p>
      <w:pPr>
        <w:spacing w:after="0" w:line="207" w:lineRule="exact"/>
        <w:rPr>
          <w:rFonts w:ascii="Arial" w:cs="Arial" w:eastAsia="Arial" w:hAnsi="Arial"/>
          <w:sz w:val="22"/>
          <w:szCs w:val="22"/>
          <w:b w:val="1"/>
          <w:bCs w:val="1"/>
          <w:color w:val="auto"/>
        </w:rPr>
      </w:pPr>
    </w:p>
    <w:p>
      <w:pPr>
        <w:jc w:val="both"/>
        <w:ind w:firstLine="656"/>
        <w:spacing w:after="0" w:line="283" w:lineRule="auto"/>
        <w:tabs>
          <w:tab w:leader="none" w:pos="1427" w:val="left"/>
        </w:tabs>
        <w:numPr>
          <w:ilvl w:val="1"/>
          <w:numId w:val="347"/>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 Digital Signatures</w:t>
      </w:r>
      <w:r>
        <w:rPr>
          <w:rFonts w:ascii="Arial" w:cs="Arial" w:eastAsia="Arial" w:hAnsi="Arial"/>
          <w:sz w:val="19"/>
          <w:szCs w:val="19"/>
          <w:color w:val="auto"/>
        </w:rPr>
        <w:t>. If this Amendment is executed in counterparts, each is hereby declared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an original; all, however, shall constitute but one and the same amendment. In any action or proceeding, any photographic, photostatic, or other copy of this Amendment may be introduced into evidence without foundation. The parties agree to accept a digital image (including but not limited to an image in the form of a PDF, JPEG, GIF file, or other e-signature) of this Amendment, if applicable, reflecting the execution of one or both of the parties, as a true and correct original.</w:t>
      </w:r>
    </w:p>
    <w:p>
      <w:pPr>
        <w:spacing w:after="0" w:line="169" w:lineRule="exact"/>
        <w:rPr>
          <w:rFonts w:ascii="Arial" w:cs="Arial" w:eastAsia="Arial" w:hAnsi="Arial"/>
          <w:sz w:val="19"/>
          <w:szCs w:val="19"/>
          <w:b w:val="1"/>
          <w:bCs w:val="1"/>
          <w:color w:val="auto"/>
        </w:rPr>
      </w:pPr>
    </w:p>
    <w:p>
      <w:pPr>
        <w:ind w:firstLine="656"/>
        <w:spacing w:after="0" w:line="256" w:lineRule="auto"/>
        <w:tabs>
          <w:tab w:leader="none" w:pos="1395" w:val="left"/>
        </w:tabs>
        <w:numPr>
          <w:ilvl w:val="1"/>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Certified Access Specialist</w:t>
      </w:r>
      <w:r>
        <w:rPr>
          <w:rFonts w:ascii="Arial" w:cs="Arial" w:eastAsia="Arial" w:hAnsi="Arial"/>
          <w:sz w:val="22"/>
          <w:szCs w:val="22"/>
          <w:color w:val="auto"/>
        </w:rPr>
        <w:t>. As of the dale of this Amendment, there has been no inspection of the Building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Project by a Certified Access Specialist as referenced in Section 1938 of the California Civil Code.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7" w:name="page388"/>
    <w:bookmarkEnd w:id="387"/>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EXECUTION.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DISCOVERY BUSINESS CENTER LLC, a Delaware limited liability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Steven M. Case</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Steven M. Case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EVP Office Properties</w:t>
            </w:r>
          </w:p>
        </w:tc>
      </w:tr>
      <w:tr>
        <w:trPr>
          <w:trHeight w:val="65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Holly McManus</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Holly McManus</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VP, Operations Office Properties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840" w:right="360"/>
        <w:spacing w:after="0" w:line="277" w:lineRule="auto"/>
        <w:rPr>
          <w:sz w:val="20"/>
          <w:szCs w:val="20"/>
          <w:color w:val="auto"/>
        </w:rPr>
      </w:pPr>
      <w:r>
        <w:rPr>
          <w:rFonts w:ascii="Arial" w:cs="Arial" w:eastAsia="Arial" w:hAnsi="Arial"/>
          <w:sz w:val="18"/>
          <w:szCs w:val="18"/>
          <w:color w:val="auto"/>
        </w:rPr>
        <w:t>GHOST MANAGEMENT GROUP, LLC, a Delaware limited liability company</w:t>
      </w:r>
    </w:p>
    <w:p>
      <w:pPr>
        <w:spacing w:after="0" w:line="386" w:lineRule="exact"/>
        <w:rPr>
          <w:sz w:val="20"/>
          <w:szCs w:val="20"/>
          <w:color w:val="auto"/>
        </w:rPr>
      </w:pPr>
    </w:p>
    <w:tbl>
      <w:tblPr>
        <w:tblLayout w:type="fixed"/>
        <w:tblInd w:w="84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Francis</w:t>
            </w:r>
          </w:p>
        </w:tc>
      </w:tr>
      <w:tr>
        <w:trPr>
          <w:trHeight w:val="202"/>
        </w:trPr>
        <w:tc>
          <w:tcPr>
            <w:tcW w:w="7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Doug Francis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President</w:t>
            </w:r>
          </w:p>
        </w:tc>
      </w:tr>
      <w:tr>
        <w:trPr>
          <w:trHeight w:val="655"/>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Chris Beals</w:t>
            </w:r>
          </w:p>
        </w:tc>
      </w:tr>
      <w:tr>
        <w:trPr>
          <w:trHeight w:val="202"/>
        </w:trPr>
        <w:tc>
          <w:tcPr>
            <w:tcW w:w="7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Christopher Beals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38100</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60"/>
          </w:cols>
          <w:pgMar w:left="320" w:top="121" w:right="3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15420 Laguna Canyon Road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260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9" w:name="page390"/>
    <w:bookmarkEnd w:id="38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LEASE</w:t>
      </w:r>
    </w:p>
    <w:p>
      <w:pPr>
        <w:spacing w:after="0" w:line="242"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This Second Amendment to Lease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dated April 7, 2017, is by and between </w:t>
      </w:r>
      <w:r>
        <w:rPr>
          <w:rFonts w:ascii="Arial" w:cs="Arial" w:eastAsia="Arial" w:hAnsi="Arial"/>
          <w:sz w:val="22"/>
          <w:szCs w:val="22"/>
          <w:b w:val="1"/>
          <w:bCs w:val="1"/>
          <w:color w:val="auto"/>
        </w:rPr>
        <w:t>DISCOVERY</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CENTER LLC</w:t>
      </w:r>
      <w:r>
        <w:rPr>
          <w:rFonts w:ascii="Arial" w:cs="Arial" w:eastAsia="Arial" w:hAnsi="Arial"/>
          <w:sz w:val="22"/>
          <w:szCs w:val="22"/>
          <w:color w:val="auto"/>
        </w:rPr>
        <w:t>,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GHOST MANAGEMENT GROUP, LLC</w:t>
      </w:r>
      <w:r>
        <w:rPr>
          <w:rFonts w:ascii="Arial" w:cs="Arial" w:eastAsia="Arial" w:hAnsi="Arial"/>
          <w:sz w:val="22"/>
          <w:szCs w:val="22"/>
          <w:color w:val="auto"/>
        </w:rPr>
        <w:t>, a Delaware limited liability company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13" w:lineRule="exact"/>
        <w:rPr>
          <w:sz w:val="20"/>
          <w:szCs w:val="20"/>
          <w:color w:val="auto"/>
        </w:rPr>
      </w:pPr>
    </w:p>
    <w:p>
      <w:pPr>
        <w:ind w:left="660" w:hanging="652"/>
        <w:spacing w:after="0"/>
        <w:tabs>
          <w:tab w:leader="none" w:pos="6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24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On November 11, 2013, Landlord and Tenant entered into a lease for space in a building located at 41 Discovery, Irvine, California (“</w:t>
      </w:r>
      <w:r>
        <w:rPr>
          <w:rFonts w:ascii="Arial" w:cs="Arial" w:eastAsia="Arial" w:hAnsi="Arial"/>
          <w:sz w:val="19"/>
          <w:szCs w:val="19"/>
          <w:b w:val="1"/>
          <w:bCs w:val="1"/>
          <w:color w:val="auto"/>
        </w:rPr>
        <w:t>41 Discovery Premises</w:t>
      </w:r>
      <w:r>
        <w:rPr>
          <w:rFonts w:ascii="Arial" w:cs="Arial" w:eastAsia="Arial" w:hAnsi="Arial"/>
          <w:sz w:val="19"/>
          <w:szCs w:val="19"/>
          <w:color w:val="auto"/>
        </w:rPr>
        <w:t>” and “</w:t>
      </w:r>
      <w:r>
        <w:rPr>
          <w:rFonts w:ascii="Arial" w:cs="Arial" w:eastAsia="Arial" w:hAnsi="Arial"/>
          <w:sz w:val="19"/>
          <w:szCs w:val="19"/>
          <w:b w:val="1"/>
          <w:bCs w:val="1"/>
          <w:color w:val="auto"/>
        </w:rPr>
        <w:t>41 Discovery Building</w:t>
      </w:r>
      <w:r>
        <w:rPr>
          <w:rFonts w:ascii="Arial" w:cs="Arial" w:eastAsia="Arial" w:hAnsi="Arial"/>
          <w:sz w:val="19"/>
          <w:szCs w:val="19"/>
          <w:color w:val="auto"/>
        </w:rPr>
        <w:t>”), which lease was amended by a First Amendment to Lease dated January 27, 2016 (“</w:t>
      </w:r>
      <w:r>
        <w:rPr>
          <w:rFonts w:ascii="Arial" w:cs="Arial" w:eastAsia="Arial" w:hAnsi="Arial"/>
          <w:sz w:val="19"/>
          <w:szCs w:val="19"/>
          <w:b w:val="1"/>
          <w:bCs w:val="1"/>
          <w:color w:val="auto"/>
        </w:rPr>
        <w:t>First Amendment</w:t>
      </w:r>
      <w:r>
        <w:rPr>
          <w:rFonts w:ascii="Arial" w:cs="Arial" w:eastAsia="Arial" w:hAnsi="Arial"/>
          <w:sz w:val="19"/>
          <w:szCs w:val="19"/>
          <w:color w:val="auto"/>
        </w:rPr>
        <w:t>”), wherein Tenant added approximately 4,182 rentable square feet of space in a building located at 15420 Laguna Canyon Road, Suite 260, Irvine, California (“</w:t>
      </w:r>
      <w:r>
        <w:rPr>
          <w:rFonts w:ascii="Arial" w:cs="Arial" w:eastAsia="Arial" w:hAnsi="Arial"/>
          <w:sz w:val="19"/>
          <w:szCs w:val="19"/>
          <w:b w:val="1"/>
          <w:bCs w:val="1"/>
          <w:color w:val="auto"/>
        </w:rPr>
        <w:t>Laguna Canyon Premises</w:t>
      </w:r>
      <w:r>
        <w:rPr>
          <w:rFonts w:ascii="Arial" w:cs="Arial" w:eastAsia="Arial" w:hAnsi="Arial"/>
          <w:sz w:val="19"/>
          <w:szCs w:val="19"/>
          <w:color w:val="auto"/>
        </w:rPr>
        <w:t>” and “</w:t>
      </w:r>
      <w:r>
        <w:rPr>
          <w:rFonts w:ascii="Arial" w:cs="Arial" w:eastAsia="Arial" w:hAnsi="Arial"/>
          <w:sz w:val="19"/>
          <w:szCs w:val="19"/>
          <w:b w:val="1"/>
          <w:bCs w:val="1"/>
          <w:color w:val="auto"/>
        </w:rPr>
        <w:t>Laguna</w:t>
      </w:r>
      <w:r>
        <w:rPr>
          <w:rFonts w:ascii="Arial" w:cs="Arial" w:eastAsia="Arial" w:hAnsi="Arial"/>
          <w:sz w:val="19"/>
          <w:szCs w:val="19"/>
          <w:color w:val="auto"/>
        </w:rPr>
        <w:t xml:space="preserve"> </w:t>
      </w:r>
      <w:r>
        <w:rPr>
          <w:rFonts w:ascii="Arial" w:cs="Arial" w:eastAsia="Arial" w:hAnsi="Arial"/>
          <w:sz w:val="19"/>
          <w:szCs w:val="19"/>
          <w:b w:val="1"/>
          <w:bCs w:val="1"/>
          <w:color w:val="auto"/>
        </w:rPr>
        <w:t>Canyon Building</w:t>
      </w:r>
      <w:r>
        <w:rPr>
          <w:rFonts w:ascii="Arial" w:cs="Arial" w:eastAsia="Arial" w:hAnsi="Arial"/>
          <w:sz w:val="19"/>
          <w:szCs w:val="19"/>
          <w:color w:val="auto"/>
        </w:rPr>
        <w:t>”). The foregoing lease, as so amended, is hereinafter referred to as the “</w:t>
      </w:r>
      <w:r>
        <w:rPr>
          <w:rFonts w:ascii="Arial" w:cs="Arial" w:eastAsia="Arial" w:hAnsi="Arial"/>
          <w:sz w:val="19"/>
          <w:szCs w:val="19"/>
          <w:b w:val="1"/>
          <w:bCs w:val="1"/>
          <w:color w:val="auto"/>
        </w:rPr>
        <w:t>Lease</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Landlord and Tenant each desire to modify the Lease to add approximately 7,000 rentable square feet of space in a building located at 49 Discovery, Suite 200, Irvine, California, more particularly described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to this Amendment and herein referred to as the “</w:t>
      </w:r>
      <w:r>
        <w:rPr>
          <w:rFonts w:ascii="Arial" w:cs="Arial" w:eastAsia="Arial" w:hAnsi="Arial"/>
          <w:sz w:val="22"/>
          <w:szCs w:val="22"/>
          <w:b w:val="1"/>
          <w:bCs w:val="1"/>
          <w:color w:val="auto"/>
        </w:rPr>
        <w:t>49 Discovery Premises</w:t>
      </w:r>
      <w:r>
        <w:rPr>
          <w:rFonts w:ascii="Arial" w:cs="Arial" w:eastAsia="Arial" w:hAnsi="Arial"/>
          <w:sz w:val="22"/>
          <w:szCs w:val="22"/>
          <w:color w:val="auto"/>
        </w:rPr>
        <w:t>”, to adjust the Basic Rent and to make such other modifications as are set forth in “</w:t>
      </w:r>
      <w:r>
        <w:rPr>
          <w:rFonts w:ascii="Arial" w:cs="Arial" w:eastAsia="Arial" w:hAnsi="Arial"/>
          <w:sz w:val="22"/>
          <w:szCs w:val="22"/>
          <w:b w:val="1"/>
          <w:bCs w:val="1"/>
          <w:color w:val="auto"/>
        </w:rPr>
        <w:t>III. MODIFICATIONS</w:t>
      </w:r>
      <w:r>
        <w:rPr>
          <w:rFonts w:ascii="Arial" w:cs="Arial" w:eastAsia="Arial" w:hAnsi="Arial"/>
          <w:sz w:val="22"/>
          <w:szCs w:val="22"/>
          <w:color w:val="auto"/>
        </w:rPr>
        <w:t>” next below.</w:t>
      </w:r>
    </w:p>
    <w:p>
      <w:pPr>
        <w:spacing w:after="0" w:line="215" w:lineRule="exact"/>
        <w:rPr>
          <w:sz w:val="20"/>
          <w:szCs w:val="20"/>
          <w:color w:val="auto"/>
        </w:rPr>
      </w:pPr>
    </w:p>
    <w:p>
      <w:pPr>
        <w:ind w:left="660" w:hanging="652"/>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jc w:val="both"/>
        <w:ind w:firstLine="656"/>
        <w:spacing w:after="0" w:line="273" w:lineRule="auto"/>
        <w:tabs>
          <w:tab w:leader="none" w:pos="1411" w:val="left"/>
        </w:tabs>
        <w:numPr>
          <w:ilvl w:val="1"/>
          <w:numId w:val="350"/>
        </w:numPr>
        <w:rPr>
          <w:rFonts w:ascii="Arial" w:cs="Arial" w:eastAsia="Arial" w:hAnsi="Arial"/>
          <w:sz w:val="19"/>
          <w:szCs w:val="19"/>
          <w:color w:val="auto"/>
        </w:rPr>
      </w:pPr>
      <w:r>
        <w:rPr>
          <w:rFonts w:ascii="Arial" w:cs="Arial" w:eastAsia="Arial" w:hAnsi="Arial"/>
          <w:sz w:val="19"/>
          <w:szCs w:val="19"/>
          <w:u w:val="single" w:color="auto"/>
          <w:color w:val="auto"/>
        </w:rPr>
        <w:t>Premises/Building</w:t>
      </w:r>
      <w:r>
        <w:rPr>
          <w:rFonts w:ascii="Arial" w:cs="Arial" w:eastAsia="Arial" w:hAnsi="Arial"/>
          <w:sz w:val="19"/>
          <w:szCs w:val="19"/>
          <w:color w:val="auto"/>
        </w:rPr>
        <w:t>. Effective as of the “</w:t>
      </w:r>
      <w:r>
        <w:rPr>
          <w:rFonts w:ascii="Arial" w:cs="Arial" w:eastAsia="Arial" w:hAnsi="Arial"/>
          <w:sz w:val="19"/>
          <w:szCs w:val="19"/>
          <w:b w:val="1"/>
          <w:bCs w:val="1"/>
          <w:color w:val="auto"/>
        </w:rPr>
        <w:t>Commencement Date for the 49 Discovery Premises</w:t>
      </w:r>
      <w:r>
        <w:rPr>
          <w:rFonts w:ascii="Arial" w:cs="Arial" w:eastAsia="Arial" w:hAnsi="Arial"/>
          <w:sz w:val="19"/>
          <w:szCs w:val="19"/>
          <w:color w:val="auto"/>
        </w:rPr>
        <w:t>” (as hereinafter defined),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under the Lease shall consist of the 41 Discovery Premises, the Laguna Canyon Premises and the 49 Discovery Premises (and references to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to the Lease shall also include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to the First Amendment and </w:t>
      </w:r>
      <w:r>
        <w:rPr>
          <w:rFonts w:ascii="Arial" w:cs="Arial" w:eastAsia="Arial" w:hAnsi="Arial"/>
          <w:sz w:val="19"/>
          <w:szCs w:val="19"/>
          <w:b w:val="1"/>
          <w:bCs w:val="1"/>
          <w:color w:val="auto"/>
        </w:rPr>
        <w:t xml:space="preserve">Exhibit A </w:t>
      </w:r>
      <w:r>
        <w:rPr>
          <w:rFonts w:ascii="Arial" w:cs="Arial" w:eastAsia="Arial" w:hAnsi="Arial"/>
          <w:sz w:val="19"/>
          <w:szCs w:val="19"/>
          <w:color w:val="auto"/>
        </w:rPr>
        <w:t>attached to this Amendment), and all references to the “</w:t>
      </w:r>
      <w:r>
        <w:rPr>
          <w:rFonts w:ascii="Arial" w:cs="Arial" w:eastAsia="Arial" w:hAnsi="Arial"/>
          <w:sz w:val="19"/>
          <w:szCs w:val="19"/>
          <w:b w:val="1"/>
          <w:bCs w:val="1"/>
          <w:color w:val="auto"/>
        </w:rPr>
        <w:t>Building</w:t>
      </w:r>
      <w:r>
        <w:rPr>
          <w:rFonts w:ascii="Arial" w:cs="Arial" w:eastAsia="Arial" w:hAnsi="Arial"/>
          <w:sz w:val="19"/>
          <w:szCs w:val="19"/>
          <w:color w:val="auto"/>
        </w:rPr>
        <w:t>” in the Lease shall be amended to refer to the three</w:t>
      </w:r>
    </w:p>
    <w:p>
      <w:pPr>
        <w:spacing w:after="0" w:line="1"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color w:val="auto"/>
        </w:rPr>
        <w:t>(3) buildings located at 41 Discovery, Irvine, California, 15420 Laguna Canyon Road, Irvine, California, and 49 Discovery, Irvine, California (“</w:t>
      </w:r>
      <w:r>
        <w:rPr>
          <w:rFonts w:ascii="Arial" w:cs="Arial" w:eastAsia="Arial" w:hAnsi="Arial"/>
          <w:sz w:val="22"/>
          <w:szCs w:val="22"/>
          <w:b w:val="1"/>
          <w:bCs w:val="1"/>
          <w:color w:val="auto"/>
        </w:rPr>
        <w:t>49 Discovery Building</w:t>
      </w:r>
      <w:r>
        <w:rPr>
          <w:rFonts w:ascii="Arial" w:cs="Arial" w:eastAsia="Arial" w:hAnsi="Arial"/>
          <w:sz w:val="22"/>
          <w:szCs w:val="22"/>
          <w:color w:val="auto"/>
        </w:rPr>
        <w:t>”), either collectively or individually as the context may reasonably require; provided, that, for the avoidance of doubt, Tenant’s obligations under the Lease and this Amendment with respect to the 49 Discovery Building shall only extend to Suite 200 located in the 49 Discovery Building and Tenant shall not have any obligations with respect to any of the other office space or areas located in or around the 49 Discovery Building (unless such areas constitute Common Areas as defined under the Lease, then Tenant’s obligations with respect to such Common Areas shall be as set forth in the Lease).</w:t>
      </w:r>
    </w:p>
    <w:p>
      <w:pPr>
        <w:spacing w:after="0" w:line="214" w:lineRule="exact"/>
        <w:rPr>
          <w:rFonts w:ascii="Arial" w:cs="Arial" w:eastAsia="Arial" w:hAnsi="Arial"/>
          <w:sz w:val="19"/>
          <w:szCs w:val="19"/>
          <w:color w:val="auto"/>
        </w:rPr>
      </w:pPr>
    </w:p>
    <w:p>
      <w:pPr>
        <w:ind w:left="1400" w:hanging="744"/>
        <w:spacing w:after="0"/>
        <w:tabs>
          <w:tab w:leader="none" w:pos="1400" w:val="left"/>
        </w:tabs>
        <w:numPr>
          <w:ilvl w:val="1"/>
          <w:numId w:val="350"/>
        </w:numPr>
        <w:rPr>
          <w:rFonts w:ascii="Arial" w:cs="Arial" w:eastAsia="Arial" w:hAnsi="Arial"/>
          <w:sz w:val="22"/>
          <w:szCs w:val="22"/>
          <w:color w:val="auto"/>
        </w:rPr>
      </w:pPr>
      <w:r>
        <w:rPr>
          <w:rFonts w:ascii="Arial" w:cs="Arial" w:eastAsia="Arial" w:hAnsi="Arial"/>
          <w:sz w:val="22"/>
          <w:szCs w:val="22"/>
          <w:u w:val="single" w:color="auto"/>
          <w:color w:val="auto"/>
        </w:rPr>
        <w:t>Basic Lease Provisions</w:t>
      </w:r>
      <w:r>
        <w:rPr>
          <w:rFonts w:ascii="Arial" w:cs="Arial" w:eastAsia="Arial" w:hAnsi="Arial"/>
          <w:sz w:val="22"/>
          <w:szCs w:val="22"/>
          <w:color w:val="auto"/>
        </w:rPr>
        <w:t>. The Basic Lease Provisions are hereby amended as follows:</w:t>
      </w:r>
    </w:p>
    <w:p>
      <w:pPr>
        <w:spacing w:after="0" w:line="233" w:lineRule="exact"/>
        <w:rPr>
          <w:rFonts w:ascii="Arial" w:cs="Arial" w:eastAsia="Arial" w:hAnsi="Arial"/>
          <w:sz w:val="22"/>
          <w:szCs w:val="22"/>
          <w:color w:val="auto"/>
        </w:rPr>
      </w:pPr>
    </w:p>
    <w:p>
      <w:pPr>
        <w:ind w:left="1300" w:firstLine="4"/>
        <w:spacing w:after="0" w:line="250" w:lineRule="auto"/>
        <w:tabs>
          <w:tab w:leader="none" w:pos="2192" w:val="left"/>
        </w:tabs>
        <w:numPr>
          <w:ilvl w:val="2"/>
          <w:numId w:val="350"/>
        </w:numPr>
        <w:rPr>
          <w:rFonts w:ascii="Arial" w:cs="Arial" w:eastAsia="Arial" w:hAnsi="Arial"/>
          <w:sz w:val="22"/>
          <w:szCs w:val="22"/>
          <w:color w:val="auto"/>
        </w:rPr>
      </w:pPr>
      <w:r>
        <w:rPr>
          <w:rFonts w:ascii="Arial" w:cs="Arial" w:eastAsia="Arial" w:hAnsi="Arial"/>
          <w:sz w:val="22"/>
          <w:szCs w:val="22"/>
          <w:color w:val="auto"/>
        </w:rPr>
        <w:t>Effective as of the Commencement Date for the 49 Discovery Premises, Item 2 shall be deleted in its entirety and substituted therefore shall be the following:</w:t>
      </w:r>
    </w:p>
    <w:p>
      <w:pPr>
        <w:spacing w:after="0" w:line="196"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b w:val="1"/>
          <w:bCs w:val="1"/>
          <w:color w:val="auto"/>
        </w:rPr>
        <w:t>Premises</w:t>
      </w:r>
      <w:r>
        <w:rPr>
          <w:rFonts w:ascii="Arial" w:cs="Arial" w:eastAsia="Arial" w:hAnsi="Arial"/>
          <w:sz w:val="22"/>
          <w:szCs w:val="22"/>
          <w:color w:val="auto"/>
        </w:rPr>
        <w:t>: The Premises are more particularly described in Section 2.1.</w:t>
      </w:r>
    </w:p>
    <w:p>
      <w:pPr>
        <w:spacing w:after="0" w:line="242" w:lineRule="exact"/>
        <w:rPr>
          <w:sz w:val="20"/>
          <w:szCs w:val="20"/>
          <w:color w:val="auto"/>
        </w:rPr>
      </w:pPr>
    </w:p>
    <w:p>
      <w:pPr>
        <w:ind w:left="1960"/>
        <w:spacing w:after="0"/>
        <w:tabs>
          <w:tab w:leader="none" w:pos="3800" w:val="left"/>
        </w:tabs>
        <w:rPr>
          <w:sz w:val="20"/>
          <w:szCs w:val="20"/>
          <w:color w:val="auto"/>
        </w:rPr>
      </w:pPr>
      <w:r>
        <w:rPr>
          <w:rFonts w:ascii="Arial" w:cs="Arial" w:eastAsia="Arial" w:hAnsi="Arial"/>
          <w:sz w:val="18"/>
          <w:szCs w:val="18"/>
          <w:b w:val="1"/>
          <w:bCs w:val="1"/>
          <w:color w:val="auto"/>
        </w:rPr>
        <w:t>Address of Buildings:</w:t>
      </w:r>
      <w:r>
        <w:rPr>
          <w:sz w:val="20"/>
          <w:szCs w:val="20"/>
          <w:color w:val="auto"/>
        </w:rPr>
        <w:tab/>
      </w:r>
      <w:r>
        <w:rPr>
          <w:rFonts w:ascii="Arial" w:cs="Arial" w:eastAsia="Arial" w:hAnsi="Arial"/>
          <w:sz w:val="16"/>
          <w:szCs w:val="16"/>
          <w:color w:val="auto"/>
        </w:rPr>
        <w:t>41 Discovery, Irvine, CA 92618</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15420 Laguna Canyon Road, Suite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260, Irvine, CA 92618</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49 Discovery, Suite 200, Irvine, CA</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92618</w:t>
      </w:r>
    </w:p>
    <w:p>
      <w:pPr>
        <w:spacing w:after="0" w:line="207" w:lineRule="exact"/>
        <w:rPr>
          <w:sz w:val="20"/>
          <w:szCs w:val="20"/>
          <w:color w:val="auto"/>
        </w:rPr>
      </w:pPr>
    </w:p>
    <w:p>
      <w:pPr>
        <w:ind w:left="1960"/>
        <w:spacing w:after="0"/>
        <w:tabs>
          <w:tab w:leader="none" w:pos="3800" w:val="left"/>
        </w:tabs>
        <w:rPr>
          <w:sz w:val="20"/>
          <w:szCs w:val="20"/>
          <w:color w:val="auto"/>
        </w:rPr>
      </w:pPr>
      <w:r>
        <w:rPr>
          <w:rFonts w:ascii="Arial" w:cs="Arial" w:eastAsia="Arial" w:hAnsi="Arial"/>
          <w:sz w:val="18"/>
          <w:szCs w:val="18"/>
          <w:b w:val="1"/>
          <w:bCs w:val="1"/>
          <w:color w:val="auto"/>
        </w:rPr>
        <w:t>Project Description:</w:t>
      </w:r>
      <w:r>
        <w:rPr>
          <w:sz w:val="20"/>
          <w:szCs w:val="20"/>
          <w:color w:val="auto"/>
        </w:rPr>
        <w:tab/>
      </w:r>
      <w:r>
        <w:rPr>
          <w:rFonts w:ascii="Arial" w:cs="Arial" w:eastAsia="Arial" w:hAnsi="Arial"/>
          <w:sz w:val="16"/>
          <w:szCs w:val="16"/>
          <w:color w:val="auto"/>
        </w:rPr>
        <w:t>Discovery Business Center</w:t>
      </w:r>
    </w:p>
    <w:p>
      <w:pPr>
        <w:spacing w:after="0" w:line="249" w:lineRule="exact"/>
        <w:rPr>
          <w:sz w:val="20"/>
          <w:szCs w:val="20"/>
          <w:color w:val="auto"/>
        </w:rPr>
      </w:pPr>
    </w:p>
    <w:p>
      <w:pPr>
        <w:ind w:left="2000" w:hanging="696"/>
        <w:spacing w:after="0"/>
        <w:tabs>
          <w:tab w:leader="none" w:pos="200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Item 4 is hereby amended by adding the following:</w:t>
      </w:r>
    </w:p>
    <w:p>
      <w:pPr>
        <w:spacing w:after="0" w:line="227" w:lineRule="exact"/>
        <w:rPr>
          <w:sz w:val="20"/>
          <w:szCs w:val="20"/>
          <w:color w:val="auto"/>
        </w:rPr>
      </w:pPr>
    </w:p>
    <w:p>
      <w:pPr>
        <w:jc w:val="both"/>
        <w:ind w:left="196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Commencement Date for the 49 Discovery Premises</w:t>
      </w:r>
      <w:r>
        <w:rPr>
          <w:rFonts w:ascii="Arial" w:cs="Arial" w:eastAsia="Arial" w:hAnsi="Arial"/>
          <w:sz w:val="19"/>
          <w:szCs w:val="19"/>
          <w:color w:val="auto"/>
        </w:rPr>
        <w:t xml:space="preserve">” shall mean the </w:t>
      </w:r>
      <w:r>
        <w:rPr>
          <w:rFonts w:ascii="Arial" w:cs="Arial" w:eastAsia="Arial" w:hAnsi="Arial"/>
          <w:sz w:val="19"/>
          <w:szCs w:val="19"/>
          <w:u w:val="single" w:color="auto"/>
          <w:color w:val="auto"/>
        </w:rPr>
        <w:t>earlier</w:t>
      </w:r>
      <w:r>
        <w:rPr>
          <w:rFonts w:ascii="Arial" w:cs="Arial" w:eastAsia="Arial" w:hAnsi="Arial"/>
          <w:sz w:val="19"/>
          <w:szCs w:val="19"/>
          <w:color w:val="auto"/>
        </w:rPr>
        <w:t xml:space="preserve"> of (a) the date Tenant commences its regular business activities in the 49 Discovery Premises, </w:t>
      </w:r>
      <w:r>
        <w:rPr>
          <w:rFonts w:ascii="Arial" w:cs="Arial" w:eastAsia="Arial" w:hAnsi="Arial"/>
          <w:sz w:val="19"/>
          <w:szCs w:val="19"/>
          <w:u w:val="single" w:color="auto"/>
          <w:color w:val="auto"/>
        </w:rPr>
        <w:t>or</w:t>
      </w:r>
      <w:r>
        <w:rPr>
          <w:rFonts w:ascii="Arial" w:cs="Arial" w:eastAsia="Arial" w:hAnsi="Arial"/>
          <w:sz w:val="19"/>
          <w:szCs w:val="19"/>
          <w:color w:val="auto"/>
        </w:rPr>
        <w:t xml:space="preserve"> (b) June 1, 2017. Prior to Tenant’s taking possession of the 49 Discovery Premises, the parties shall memorialize on a form provided by Landlord the actual Commencement Date for the 49 Discovery Premises, provided that Tenant’s failure to execute that form shall not affect the validity of Landlord’s determination of said date.”</w:t>
      </w:r>
    </w:p>
    <w:p>
      <w:pPr>
        <w:sectPr>
          <w:pgSz w:w="11900" w:h="16838" w:orient="portrait"/>
          <w:cols w:equalWidth="0" w:num="1">
            <w:col w:w="11240"/>
          </w:cols>
          <w:pgMar w:left="320" w:top="274" w:right="3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390" w:name="page391"/>
    <w:bookmarkEnd w:id="390"/>
    <w:p>
      <w:pPr>
        <w:ind w:left="1900" w:hanging="696"/>
        <w:spacing w:after="0"/>
        <w:tabs>
          <w:tab w:leader="none" w:pos="190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Item 5 is hereby amended by adding the following:</w:t>
      </w:r>
    </w:p>
    <w:p>
      <w:pPr>
        <w:spacing w:after="0" w:line="228" w:lineRule="exact"/>
        <w:rPr>
          <w:sz w:val="20"/>
          <w:szCs w:val="20"/>
          <w:color w:val="auto"/>
        </w:rPr>
      </w:pPr>
    </w:p>
    <w:p>
      <w:pPr>
        <w:jc w:val="both"/>
        <w:ind w:left="1860"/>
        <w:spacing w:after="0" w:line="260" w:lineRule="auto"/>
        <w:rPr>
          <w:sz w:val="20"/>
          <w:szCs w:val="20"/>
          <w:color w:val="auto"/>
        </w:rPr>
      </w:pPr>
      <w:r>
        <w:rPr>
          <w:rFonts w:ascii="Arial" w:cs="Arial" w:eastAsia="Arial" w:hAnsi="Arial"/>
          <w:sz w:val="21"/>
          <w:szCs w:val="21"/>
          <w:color w:val="auto"/>
        </w:rPr>
        <w:t xml:space="preserve">“5. </w:t>
      </w:r>
      <w:r>
        <w:rPr>
          <w:rFonts w:ascii="Arial" w:cs="Arial" w:eastAsia="Arial" w:hAnsi="Arial"/>
          <w:sz w:val="21"/>
          <w:szCs w:val="21"/>
          <w:b w:val="1"/>
          <w:bCs w:val="1"/>
          <w:color w:val="auto"/>
        </w:rPr>
        <w:t>Lease Term as to the 49 Discovery Premises</w:t>
      </w:r>
      <w:r>
        <w:rPr>
          <w:rFonts w:ascii="Arial" w:cs="Arial" w:eastAsia="Arial" w:hAnsi="Arial"/>
          <w:sz w:val="21"/>
          <w:szCs w:val="21"/>
          <w:color w:val="auto"/>
        </w:rPr>
        <w:t>: The Term of this Lease as to the 49 Discovery Premises shall expire coterminously with the Term of the Lease as to the 41 Discovery Premises and the Laguna Canyon Premises, that is at midnight on February 28, 2019.”</w:t>
      </w:r>
    </w:p>
    <w:p>
      <w:pPr>
        <w:spacing w:after="0" w:line="193" w:lineRule="exact"/>
        <w:rPr>
          <w:sz w:val="20"/>
          <w:szCs w:val="20"/>
          <w:color w:val="auto"/>
        </w:rPr>
      </w:pPr>
    </w:p>
    <w:p>
      <w:pPr>
        <w:ind w:left="1860" w:right="4820" w:hanging="656"/>
        <w:spacing w:after="0" w:line="545" w:lineRule="auto"/>
        <w:tabs>
          <w:tab w:leader="none" w:pos="1914" w:val="left"/>
        </w:tabs>
        <w:numPr>
          <w:ilvl w:val="0"/>
          <w:numId w:val="353"/>
        </w:numPr>
        <w:rPr>
          <w:rFonts w:ascii="Arial" w:cs="Arial" w:eastAsia="Arial" w:hAnsi="Arial"/>
          <w:sz w:val="19"/>
          <w:szCs w:val="19"/>
          <w:color w:val="auto"/>
        </w:rPr>
      </w:pPr>
      <w:r>
        <w:rPr>
          <w:rFonts w:ascii="Arial" w:cs="Arial" w:eastAsia="Arial" w:hAnsi="Arial"/>
          <w:sz w:val="19"/>
          <w:szCs w:val="19"/>
          <w:color w:val="auto"/>
        </w:rPr>
        <w:t>Item 6 is hereby amended by adding the following: “Basic Rent for the 49 Discovery Premises:</w:t>
      </w:r>
    </w:p>
    <w:tbl>
      <w:tblPr>
        <w:tblLayout w:type="fixed"/>
        <w:tblInd w:w="1870" w:type="dxa"/>
        <w:tblCellMar>
          <w:top w:w="0" w:type="dxa"/>
          <w:left w:w="0" w:type="dxa"/>
          <w:bottom w:w="0" w:type="dxa"/>
          <w:right w:w="0" w:type="dxa"/>
        </w:tblCellMar>
      </w:tblPr>
      <w:tr>
        <w:trPr>
          <w:trHeight w:val="206"/>
        </w:trPr>
        <w:tc>
          <w:tcPr>
            <w:tcW w:w="194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2"/>
              </w:rPr>
              <w:t>Months of Term or</w:t>
            </w:r>
          </w:p>
        </w:tc>
        <w:tc>
          <w:tcPr>
            <w:tcW w:w="18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3"/>
              </w:rPr>
              <w:t>Monthly Rate Per</w:t>
            </w:r>
          </w:p>
        </w:tc>
        <w:tc>
          <w:tcPr>
            <w:tcW w:w="182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0"/>
              </w:rPr>
              <w:t>Monthly Basic Rent</w:t>
            </w: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Rentable Square Foot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(rounded to the</w:t>
            </w: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 the 49 Discovery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for the 49 Discovery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nearest</w:t>
            </w: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Premises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Premises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dollar) for the 49</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Discovery Premises</w:t>
            </w:r>
          </w:p>
        </w:tc>
      </w:tr>
      <w:tr>
        <w:trPr>
          <w:trHeight w:val="202"/>
        </w:trPr>
        <w:tc>
          <w:tcPr>
            <w:tcW w:w="19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Commencement Date for</w:t>
            </w:r>
          </w:p>
        </w:tc>
        <w:tc>
          <w:tcPr>
            <w:tcW w:w="18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49 Discovery</w:t>
            </w: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Premises to April 30,</w:t>
            </w: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37"/>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$15,750.00</w:t>
            </w:r>
          </w:p>
        </w:tc>
      </w:tr>
      <w:tr>
        <w:trPr>
          <w:trHeight w:val="202"/>
        </w:trPr>
        <w:tc>
          <w:tcPr>
            <w:tcW w:w="19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May 1, 2018 to</w:t>
            </w:r>
          </w:p>
        </w:tc>
        <w:tc>
          <w:tcPr>
            <w:tcW w:w="18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37"/>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$16,450.00</w:t>
            </w:r>
          </w:p>
        </w:tc>
      </w:tr>
    </w:tbl>
    <w:p>
      <w:pPr>
        <w:spacing w:after="0" w:line="222" w:lineRule="exact"/>
        <w:rPr>
          <w:sz w:val="20"/>
          <w:szCs w:val="20"/>
          <w:color w:val="auto"/>
        </w:rPr>
      </w:pPr>
    </w:p>
    <w:p>
      <w:pPr>
        <w:ind w:left="1200" w:firstLine="4"/>
        <w:spacing w:after="0" w:line="250" w:lineRule="auto"/>
        <w:tabs>
          <w:tab w:leader="none" w:pos="2092" w:val="left"/>
        </w:tabs>
        <w:numPr>
          <w:ilvl w:val="0"/>
          <w:numId w:val="354"/>
        </w:numPr>
        <w:rPr>
          <w:rFonts w:ascii="Arial" w:cs="Arial" w:eastAsia="Arial" w:hAnsi="Arial"/>
          <w:sz w:val="22"/>
          <w:szCs w:val="22"/>
          <w:color w:val="auto"/>
        </w:rPr>
      </w:pPr>
      <w:r>
        <w:rPr>
          <w:rFonts w:ascii="Arial" w:cs="Arial" w:eastAsia="Arial" w:hAnsi="Arial"/>
          <w:sz w:val="22"/>
          <w:szCs w:val="22"/>
          <w:color w:val="auto"/>
        </w:rPr>
        <w:t>Effective as of the Commencement Date for the 49 Discovery Premises, Item 8 shall be deleted in its entirety and substituted therefor shall be the following:</w:t>
      </w:r>
    </w:p>
    <w:p>
      <w:pPr>
        <w:spacing w:after="0" w:line="20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“8. Floor Area of Premises: Approximately 56,002 rentable square feet, comprised of the following:</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Laguna Canyon Premises: Approximately 4,182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41 Discovery Premises: Approximately 44,820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49 Discovery Premises: Approximately 7,000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the Laguna Canyon Building: Approximately 50,562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the 41 Discovery Building: Approximately 44,820 rentable square feet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Floor Area of the 49 Discovery Building: Approximately 54,720 rentable square feet”</w:t>
      </w:r>
    </w:p>
    <w:p>
      <w:pPr>
        <w:spacing w:after="0" w:line="233" w:lineRule="exact"/>
        <w:rPr>
          <w:sz w:val="20"/>
          <w:szCs w:val="20"/>
          <w:color w:val="auto"/>
        </w:rPr>
      </w:pPr>
    </w:p>
    <w:p>
      <w:pPr>
        <w:ind w:left="1520" w:right="1780" w:hanging="316"/>
        <w:spacing w:after="0" w:line="461" w:lineRule="auto"/>
        <w:tabs>
          <w:tab w:leader="none" w:pos="1898" w:val="left"/>
        </w:tabs>
        <w:numPr>
          <w:ilvl w:val="0"/>
          <w:numId w:val="355"/>
        </w:numPr>
        <w:rPr>
          <w:rFonts w:ascii="Arial" w:cs="Arial" w:eastAsia="Arial" w:hAnsi="Arial"/>
          <w:sz w:val="22"/>
          <w:szCs w:val="22"/>
          <w:color w:val="auto"/>
        </w:rPr>
      </w:pPr>
      <w:r>
        <w:rPr>
          <w:rFonts w:ascii="Arial" w:cs="Arial" w:eastAsia="Arial" w:hAnsi="Arial"/>
          <w:sz w:val="22"/>
          <w:szCs w:val="22"/>
          <w:color w:val="auto"/>
        </w:rPr>
        <w:t xml:space="preserve">Item 9 is hereby deleted in its entirety and substituted therefore shall be the following: “9. </w:t>
      </w:r>
      <w:r>
        <w:rPr>
          <w:rFonts w:ascii="Arial" w:cs="Arial" w:eastAsia="Arial" w:hAnsi="Arial"/>
          <w:sz w:val="22"/>
          <w:szCs w:val="22"/>
          <w:b w:val="1"/>
          <w:bCs w:val="1"/>
          <w:color w:val="auto"/>
        </w:rPr>
        <w:t>Security Deposit</w:t>
      </w:r>
      <w:r>
        <w:rPr>
          <w:rFonts w:ascii="Arial" w:cs="Arial" w:eastAsia="Arial" w:hAnsi="Arial"/>
          <w:sz w:val="22"/>
          <w:szCs w:val="22"/>
          <w:color w:val="auto"/>
        </w:rPr>
        <w:t>: $98,454.00”</w:t>
      </w:r>
    </w:p>
    <w:p>
      <w:pPr>
        <w:ind w:left="1200" w:right="20" w:firstLine="4"/>
        <w:spacing w:after="0" w:line="250" w:lineRule="auto"/>
        <w:tabs>
          <w:tab w:leader="none" w:pos="2052" w:val="left"/>
        </w:tabs>
        <w:numPr>
          <w:ilvl w:val="0"/>
          <w:numId w:val="355"/>
        </w:numPr>
        <w:rPr>
          <w:rFonts w:ascii="Arial" w:cs="Arial" w:eastAsia="Arial" w:hAnsi="Arial"/>
          <w:sz w:val="22"/>
          <w:szCs w:val="22"/>
          <w:color w:val="auto"/>
        </w:rPr>
      </w:pPr>
      <w:r>
        <w:rPr>
          <w:rFonts w:ascii="Arial" w:cs="Arial" w:eastAsia="Arial" w:hAnsi="Arial"/>
          <w:sz w:val="22"/>
          <w:szCs w:val="22"/>
          <w:color w:val="auto"/>
        </w:rPr>
        <w:t>Effective as of the Commencement Date for the 49 Discovery Premises, Item 11 shall be deleted in its entirety and substituted therefor shall be the following:</w:t>
      </w:r>
    </w:p>
    <w:p>
      <w:pPr>
        <w:spacing w:after="0" w:line="196" w:lineRule="exact"/>
        <w:rPr>
          <w:sz w:val="20"/>
          <w:szCs w:val="20"/>
          <w:color w:val="auto"/>
        </w:rPr>
      </w:pPr>
    </w:p>
    <w:p>
      <w:pPr>
        <w:ind w:left="1520"/>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Parking</w:t>
      </w:r>
      <w:r>
        <w:rPr>
          <w:rFonts w:ascii="Arial" w:cs="Arial" w:eastAsia="Arial" w:hAnsi="Arial"/>
          <w:sz w:val="22"/>
          <w:szCs w:val="22"/>
          <w:color w:val="auto"/>
        </w:rPr>
        <w:t xml:space="preserve">: 239 parking spaces, together with the “Additional Parking” in accordance with the provisions set forth in </w:t>
      </w:r>
      <w:r>
        <w:rPr>
          <w:rFonts w:ascii="Arial" w:cs="Arial" w:eastAsia="Arial" w:hAnsi="Arial"/>
          <w:sz w:val="22"/>
          <w:szCs w:val="22"/>
          <w:b w:val="1"/>
          <w:bCs w:val="1"/>
          <w:color w:val="auto"/>
        </w:rPr>
        <w:t>Exhibit F</w:t>
      </w:r>
      <w:r>
        <w:rPr>
          <w:rFonts w:ascii="Arial" w:cs="Arial" w:eastAsia="Arial" w:hAnsi="Arial"/>
          <w:sz w:val="22"/>
          <w:szCs w:val="22"/>
          <w:color w:val="auto"/>
        </w:rPr>
        <w:t xml:space="preserve"> attached to this Lease”</w:t>
      </w:r>
    </w:p>
    <w:p>
      <w:pPr>
        <w:spacing w:after="0" w:line="195" w:lineRule="exact"/>
        <w:rPr>
          <w:sz w:val="20"/>
          <w:szCs w:val="20"/>
          <w:color w:val="auto"/>
        </w:rPr>
      </w:pPr>
    </w:p>
    <w:p>
      <w:pPr>
        <w:ind w:left="-100" w:firstLine="656"/>
        <w:spacing w:after="0" w:line="250" w:lineRule="auto"/>
        <w:tabs>
          <w:tab w:leader="none" w:pos="1354" w:val="left"/>
        </w:tabs>
        <w:numPr>
          <w:ilvl w:val="0"/>
          <w:numId w:val="356"/>
        </w:numPr>
        <w:rPr>
          <w:rFonts w:ascii="Arial" w:cs="Arial" w:eastAsia="Arial" w:hAnsi="Arial"/>
          <w:sz w:val="22"/>
          <w:szCs w:val="22"/>
          <w:color w:val="auto"/>
        </w:rPr>
      </w:pPr>
      <w:r>
        <w:rPr>
          <w:rFonts w:ascii="Arial" w:cs="Arial" w:eastAsia="Arial" w:hAnsi="Arial"/>
          <w:sz w:val="22"/>
          <w:szCs w:val="22"/>
          <w:u w:val="single" w:color="auto"/>
          <w:color w:val="auto"/>
        </w:rPr>
        <w:t>Signs</w:t>
      </w:r>
      <w:r>
        <w:rPr>
          <w:rFonts w:ascii="Arial" w:cs="Arial" w:eastAsia="Arial" w:hAnsi="Arial"/>
          <w:sz w:val="22"/>
          <w:szCs w:val="22"/>
          <w:color w:val="auto"/>
        </w:rPr>
        <w:t>. Effective as of the Commencement Date for the 49 Discovery Premises, Section 5.2 of the Lease entitled “Signs”, shall be amended by adding the following:</w:t>
      </w:r>
    </w:p>
    <w:p>
      <w:pPr>
        <w:spacing w:after="0" w:line="202" w:lineRule="exact"/>
        <w:rPr>
          <w:sz w:val="20"/>
          <w:szCs w:val="20"/>
          <w:color w:val="auto"/>
        </w:rPr>
      </w:pPr>
    </w:p>
    <w:p>
      <w:pPr>
        <w:jc w:val="both"/>
        <w:ind w:left="1200"/>
        <w:spacing w:after="0" w:line="236" w:lineRule="auto"/>
        <w:rPr>
          <w:sz w:val="20"/>
          <w:szCs w:val="20"/>
          <w:color w:val="auto"/>
        </w:rPr>
      </w:pPr>
      <w:r>
        <w:rPr>
          <w:rFonts w:ascii="Arial" w:cs="Arial" w:eastAsia="Arial" w:hAnsi="Arial"/>
          <w:sz w:val="22"/>
          <w:szCs w:val="22"/>
          <w:color w:val="auto"/>
        </w:rPr>
        <w:t>“Landlord shall affix and maintain a sign (restricted solely to Tenant’s name as set forth herein or such other name as Landlord may consent to in writing) adjacent to the entry door of the 49 Discovery Premises, together with a directory strip listing Tenant’s name as set forth herein in the lobby directory of the 49 Discovery Building. Tenant shall not place or allow to be placed any other sign, decoration or advertising matter of any kind that is visible from the exterior of the 49 Discovery Premises.”</w:t>
      </w:r>
    </w:p>
    <w:p>
      <w:pPr>
        <w:sectPr>
          <w:pgSz w:w="11900" w:h="16838" w:orient="portrait"/>
          <w:cols w:equalWidth="0" w:num="1">
            <w:col w:w="11140"/>
          </w:cols>
          <w:pgMar w:left="420" w:top="118" w:right="339" w:bottom="1440" w:gutter="0" w:footer="0" w:header="0"/>
        </w:sect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type w:val="continuous"/>
        </w:sectPr>
      </w:pPr>
    </w:p>
    <w:bookmarkStart w:id="391" w:name="page392"/>
    <w:bookmarkEnd w:id="391"/>
    <w:p>
      <w:pPr>
        <w:jc w:val="both"/>
        <w:ind w:left="-656" w:firstLine="656"/>
        <w:spacing w:after="0" w:line="243" w:lineRule="auto"/>
        <w:tabs>
          <w:tab w:leader="none" w:pos="1012" w:val="left"/>
        </w:tabs>
        <w:numPr>
          <w:ilvl w:val="0"/>
          <w:numId w:val="357"/>
        </w:numPr>
        <w:rPr>
          <w:rFonts w:ascii="Arial" w:cs="Arial" w:eastAsia="Arial" w:hAnsi="Arial"/>
          <w:sz w:val="22"/>
          <w:szCs w:val="22"/>
          <w:color w:val="auto"/>
        </w:rPr>
      </w:pPr>
      <w:r>
        <w:rPr>
          <w:rFonts w:ascii="Arial" w:cs="Arial" w:eastAsia="Arial" w:hAnsi="Arial"/>
          <w:sz w:val="22"/>
          <w:szCs w:val="22"/>
          <w:u w:val="single" w:color="auto"/>
          <w:color w:val="auto"/>
        </w:rPr>
        <w:t>Utilities and Services</w:t>
      </w:r>
      <w:r>
        <w:rPr>
          <w:rFonts w:ascii="Arial" w:cs="Arial" w:eastAsia="Arial" w:hAnsi="Arial"/>
          <w:sz w:val="22"/>
          <w:szCs w:val="22"/>
          <w:color w:val="auto"/>
        </w:rPr>
        <w:t xml:space="preserve">. Effective as of the Commencement Date for the 49 Discovery Premises,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attached to the Lease, entitled “Utilities and Services”, as amended by Section III.C of the First Amendment, shall be further amended by adding the following:</w:t>
      </w:r>
    </w:p>
    <w:p>
      <w:pPr>
        <w:spacing w:after="0" w:line="210" w:lineRule="exact"/>
        <w:rPr>
          <w:sz w:val="20"/>
          <w:szCs w:val="20"/>
          <w:color w:val="auto"/>
        </w:rPr>
      </w:pPr>
    </w:p>
    <w:p>
      <w:pPr>
        <w:jc w:val="both"/>
        <w:ind w:left="644"/>
        <w:spacing w:after="0" w:line="270" w:lineRule="auto"/>
        <w:rPr>
          <w:sz w:val="20"/>
          <w:szCs w:val="20"/>
          <w:color w:val="auto"/>
        </w:rPr>
      </w:pPr>
      <w:r>
        <w:rPr>
          <w:rFonts w:ascii="Arial" w:cs="Arial" w:eastAsia="Arial" w:hAnsi="Arial"/>
          <w:sz w:val="19"/>
          <w:szCs w:val="19"/>
          <w:color w:val="auto"/>
        </w:rPr>
        <w:t>“Tenant shall contract for and shall pay promptly, directly to the appropriate supplier, all charges for telephone, telecommunications service, and all other utilities, materials and services furnished at the request of Tenant for the 49 Discovery Premises during the Term of the Lease as to the 49 Discovery Premises, together with any taxes thereon. Landlord shall contract for and shall make a reasonable determination of Tenant’s proportionate share of the cost of water, gas, sewer, refuse pickup, electricity, interior janitorial services, HVAC services (other than “after hours” HVAC services described below), and any other utilities and services that are not separately metered to the 49 Discovery Premises, and Tenant shall pay such amount to Landlord, as an item of additional rent, within 10 days after delivery of Landlord’s statement or invoice therefor. Alternatively, Landlord may elect to include such cost in the definition of Project Costs in which event Tenant shall pay Tenant’s proportionate share of such costs in the manner set forth in Section 4.2. Tenant shall also pay to Landlord as an item of additional rent, within 10 days after delivery of Landlord’s statement or invoice therefor, Landlord’s “standard charges” (as hereinafter defined, which shall be in addition to the electricity charge paid to the utility provider) for “after hours” usage by Tenant of each HVAC unit servicing the 49 Discovery Premises. “</w:t>
      </w:r>
      <w:r>
        <w:rPr>
          <w:rFonts w:ascii="Arial" w:cs="Arial" w:eastAsia="Arial" w:hAnsi="Arial"/>
          <w:sz w:val="19"/>
          <w:szCs w:val="19"/>
          <w:b w:val="1"/>
          <w:bCs w:val="1"/>
          <w:color w:val="auto"/>
        </w:rPr>
        <w:t>After hours</w:t>
      </w:r>
      <w:r>
        <w:rPr>
          <w:rFonts w:ascii="Arial" w:cs="Arial" w:eastAsia="Arial" w:hAnsi="Arial"/>
          <w:sz w:val="19"/>
          <w:szCs w:val="19"/>
          <w:color w:val="auto"/>
        </w:rPr>
        <w:t>” shall mean usage of said unit(s) servicing the 49 Discovery Premises before 8:00 A.M. or after 6:00 P.M. on Mondays through Fridays, before 9:00 A.M. or after 1:00 P.M. on Saturdays, and all day on Sundays and nationally-recognized holidays, subject to reasonable adjustment of said hours by Landlord. “After hours” usage shall be determined based upon the operation of the applicable HVAC unit during each of the foregoing periods on a “non-cumulative” basis (that is, without regard to Tenant’s usage or nonusage of other unit(s) serving the 49 Discovery Premises, or of the applicable unit during other periods of the Term of the Lease as to the 49 Discovery Premises). As used herein, “</w:t>
      </w:r>
      <w:r>
        <w:rPr>
          <w:rFonts w:ascii="Arial" w:cs="Arial" w:eastAsia="Arial" w:hAnsi="Arial"/>
          <w:sz w:val="19"/>
          <w:szCs w:val="19"/>
          <w:b w:val="1"/>
          <w:bCs w:val="1"/>
          <w:color w:val="auto"/>
        </w:rPr>
        <w:t>standard charges</w:t>
      </w:r>
      <w:r>
        <w:rPr>
          <w:rFonts w:ascii="Arial" w:cs="Arial" w:eastAsia="Arial" w:hAnsi="Arial"/>
          <w:sz w:val="19"/>
          <w:szCs w:val="19"/>
          <w:color w:val="auto"/>
        </w:rPr>
        <w:t>” shall mean $25.25 for each hour of “after hours” use (inclusive of the applicable electricity charges paid to the utility provider).”</w:t>
      </w:r>
    </w:p>
    <w:p>
      <w:pPr>
        <w:spacing w:after="0" w:line="200" w:lineRule="exact"/>
        <w:rPr>
          <w:sz w:val="20"/>
          <w:szCs w:val="20"/>
          <w:color w:val="auto"/>
        </w:rPr>
      </w:pPr>
    </w:p>
    <w:p>
      <w:pPr>
        <w:spacing w:after="0" w:line="224" w:lineRule="exact"/>
        <w:rPr>
          <w:sz w:val="20"/>
          <w:szCs w:val="20"/>
          <w:color w:val="auto"/>
        </w:rPr>
      </w:pPr>
    </w:p>
    <w:p>
      <w:pPr>
        <w:jc w:val="both"/>
        <w:ind w:left="-656" w:firstLine="656"/>
        <w:spacing w:after="0" w:line="243" w:lineRule="auto"/>
        <w:tabs>
          <w:tab w:leader="none" w:pos="880" w:val="left"/>
        </w:tabs>
        <w:numPr>
          <w:ilvl w:val="0"/>
          <w:numId w:val="358"/>
        </w:numPr>
        <w:rPr>
          <w:rFonts w:ascii="Arial" w:cs="Arial" w:eastAsia="Arial" w:hAnsi="Arial"/>
          <w:sz w:val="22"/>
          <w:szCs w:val="22"/>
          <w:color w:val="auto"/>
        </w:rPr>
      </w:pPr>
      <w:r>
        <w:rPr>
          <w:rFonts w:ascii="Arial" w:cs="Arial" w:eastAsia="Arial" w:hAnsi="Arial"/>
          <w:sz w:val="22"/>
          <w:szCs w:val="22"/>
          <w:u w:val="single" w:color="auto"/>
          <w:color w:val="auto"/>
        </w:rPr>
        <w:t>Right to Extend the Lease</w:t>
      </w:r>
      <w:r>
        <w:rPr>
          <w:rFonts w:ascii="Arial" w:cs="Arial" w:eastAsia="Arial" w:hAnsi="Arial"/>
          <w:sz w:val="22"/>
          <w:szCs w:val="22"/>
          <w:color w:val="auto"/>
        </w:rPr>
        <w:t xml:space="preserve">. The provisions of Section 1 of </w:t>
      </w:r>
      <w:r>
        <w:rPr>
          <w:rFonts w:ascii="Arial" w:cs="Arial" w:eastAsia="Arial" w:hAnsi="Arial"/>
          <w:sz w:val="22"/>
          <w:szCs w:val="22"/>
          <w:b w:val="1"/>
          <w:bCs w:val="1"/>
          <w:color w:val="auto"/>
        </w:rPr>
        <w:t>Exhibit G</w:t>
      </w:r>
      <w:r>
        <w:rPr>
          <w:rFonts w:ascii="Arial" w:cs="Arial" w:eastAsia="Arial" w:hAnsi="Arial"/>
          <w:sz w:val="22"/>
          <w:szCs w:val="22"/>
          <w:color w:val="auto"/>
        </w:rPr>
        <w:t xml:space="preserve"> attached to the Lease entitled “Right to Extend this Lease”, as amended by Section III.D of the First Amendment, shall remain in full force and effect and exercisable by Tenant in accordance with the terms of the Lease, as to the entire Premises.</w:t>
      </w:r>
    </w:p>
    <w:p>
      <w:pPr>
        <w:spacing w:after="0" w:line="209" w:lineRule="exact"/>
        <w:rPr>
          <w:rFonts w:ascii="Arial" w:cs="Arial" w:eastAsia="Arial" w:hAnsi="Arial"/>
          <w:sz w:val="22"/>
          <w:szCs w:val="22"/>
          <w:color w:val="auto"/>
        </w:rPr>
      </w:pPr>
    </w:p>
    <w:p>
      <w:pPr>
        <w:jc w:val="both"/>
        <w:ind w:left="-656" w:firstLine="656"/>
        <w:spacing w:after="0" w:line="282" w:lineRule="auto"/>
        <w:tabs>
          <w:tab w:leader="none" w:pos="932"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Security Deposit; First Month’s Rent</w:t>
      </w:r>
      <w:r>
        <w:rPr>
          <w:rFonts w:ascii="Arial" w:cs="Arial" w:eastAsia="Arial" w:hAnsi="Arial"/>
          <w:sz w:val="19"/>
          <w:szCs w:val="19"/>
          <w:color w:val="auto"/>
        </w:rPr>
        <w:t>. Concurrently with Tenant’s delivery of this Amendment, Tenant shall deliver (i) the sum of $18,095.00 to Landlord, which sum shall be added to the Security Deposit presently being held by Landlord in accordance with Section 4.3 of the Lease, and (ii) an installment in the amount of 1 full month’s Basic Rent, at the initial rate specified in Section III.B.4 of this Amendment, and one month’s estimated Tenant’s Share of Operating Expenses, which shall be applied against the Basic Rent and Operating Expenses first due hereunder as to the 49 Discovery Premises.</w:t>
      </w:r>
    </w:p>
    <w:p>
      <w:pPr>
        <w:spacing w:after="0" w:line="174" w:lineRule="exact"/>
        <w:rPr>
          <w:rFonts w:ascii="Arial" w:cs="Arial" w:eastAsia="Arial" w:hAnsi="Arial"/>
          <w:sz w:val="19"/>
          <w:szCs w:val="19"/>
          <w:color w:val="auto"/>
        </w:rPr>
      </w:pPr>
    </w:p>
    <w:p>
      <w:pPr>
        <w:jc w:val="both"/>
        <w:ind w:left="-656" w:firstLine="656"/>
        <w:spacing w:after="0" w:line="277" w:lineRule="auto"/>
        <w:tabs>
          <w:tab w:leader="none" w:pos="782"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Exterior Visibility</w:t>
      </w:r>
      <w:r>
        <w:rPr>
          <w:rFonts w:ascii="Arial" w:cs="Arial" w:eastAsia="Arial" w:hAnsi="Arial"/>
          <w:sz w:val="19"/>
          <w:szCs w:val="19"/>
          <w:color w:val="auto"/>
        </w:rPr>
        <w:t>. Other than Tenant’s permitted signs, Tenant shall not place or allow to be placed any other sign, decoration or advertising matter of any kind that is visible from the exterior of the 49 Discovery Premises. Any violating sign or decoration may be immediately removed by Landlord at Tenant’s expense without notice and without the removal constituting a breach of the Lease by Landlord or entitling Tenant to claim damages. The interior of the 49 Discovery Premises visible from the exterior must be maintained in a visually professional manner and consistent with a first class office building. Tenant shall not place any unsightly items (as determined by Landlord in its reasonable discretion) along the exterior glass line of the 49 Discovery Premises including, but not limited to, boxes and electrical and data cords.</w:t>
      </w:r>
    </w:p>
    <w:p>
      <w:pPr>
        <w:spacing w:after="0" w:line="178" w:lineRule="exact"/>
        <w:rPr>
          <w:rFonts w:ascii="Arial" w:cs="Arial" w:eastAsia="Arial" w:hAnsi="Arial"/>
          <w:sz w:val="19"/>
          <w:szCs w:val="19"/>
          <w:color w:val="auto"/>
        </w:rPr>
      </w:pPr>
    </w:p>
    <w:p>
      <w:pPr>
        <w:jc w:val="both"/>
        <w:ind w:left="-656" w:firstLine="656"/>
        <w:spacing w:after="0" w:line="271" w:lineRule="auto"/>
        <w:tabs>
          <w:tab w:leader="none" w:pos="755"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Rules and Regulations</w:t>
      </w:r>
      <w:r>
        <w:rPr>
          <w:rFonts w:ascii="Arial" w:cs="Arial" w:eastAsia="Arial" w:hAnsi="Arial"/>
          <w:sz w:val="19"/>
          <w:szCs w:val="19"/>
          <w:color w:val="auto"/>
        </w:rPr>
        <w:t xml:space="preserve">. Tenant acknowledges that Tenant’s covenant to comply with the Rules and Regulations attached to the Lease as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as the same may be amended from time to time by Landlord in accordance with the terms thereof, constitutes material consideration for Landlord’s agreement to enter into this Amendment for the lease by Tenant of the 49 Discovery Premises, and that repeated or persistent violations of the Rules and Regulations by Tenant or its employees, agents, or contractors, whether or not such violations are subsequently cured, will deprive Landlord of the benefits to which it is entitled under this Amendment and the Lease. Accordingly, should Tenant or any of its employees, agents, or contractors violate any of the Rules and Regulations promulgated by Landlord (including, without limitation, any Rules and Regulations pertaining to the smoking or vaping of marijuana or marijuana derivatives in or about the Premises, Building or Project) on 3 or more occasions in any 12-month period (with each such occasion described in a written notice delivered by Landlord to Tenant), whether or not such violations are subsequently cured by Tenant, Landlord shall have the right (i) to terminate Tenant’s lease of the 49 Discovery Premises upon 60 days’ prior written notice to Tenant, and/or (ii) to declare Tenant to be in Default under the Lease as it pertains to the provisions of Section 1 of </w:t>
      </w:r>
      <w:r>
        <w:rPr>
          <w:rFonts w:ascii="Arial" w:cs="Arial" w:eastAsia="Arial" w:hAnsi="Arial"/>
          <w:sz w:val="19"/>
          <w:szCs w:val="19"/>
          <w:b w:val="1"/>
          <w:bCs w:val="1"/>
          <w:color w:val="auto"/>
        </w:rPr>
        <w:t>Exhibit G</w:t>
      </w:r>
      <w:r>
        <w:rPr>
          <w:rFonts w:ascii="Arial" w:cs="Arial" w:eastAsia="Arial" w:hAnsi="Arial"/>
          <w:sz w:val="19"/>
          <w:szCs w:val="19"/>
          <w:color w:val="auto"/>
        </w:rPr>
        <w:t xml:space="preserve"> to the Lease only, but not with respect to Section 14.2 of the Lease unless such violation is not timely and fully cured as provided in Section 14.1(d) of the Lease. Any such termination pursuant to the immediately preceding sentence shall not be in derogation of, or otherwise limit, any of Landlord’s remedies under the Lease or at law or in equity.</w:t>
      </w:r>
    </w:p>
    <w:p>
      <w:pPr>
        <w:sectPr>
          <w:pgSz w:w="11900" w:h="16838" w:orient="portrait"/>
          <w:cols w:equalWidth="0" w:num="1">
            <w:col w:w="10584"/>
          </w:cols>
          <w:pgMar w:left="976"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56"/>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type w:val="continuous"/>
        </w:sectPr>
      </w:pPr>
    </w:p>
    <w:bookmarkStart w:id="392" w:name="page393"/>
    <w:bookmarkEnd w:id="392"/>
    <w:p>
      <w:pPr>
        <w:jc w:val="both"/>
        <w:ind w:left="-656" w:firstLine="656"/>
        <w:spacing w:after="0" w:line="269" w:lineRule="auto"/>
        <w:tabs>
          <w:tab w:leader="none" w:pos="1009"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Fitness Center</w:t>
      </w:r>
      <w:r>
        <w:rPr>
          <w:rFonts w:ascii="Arial" w:cs="Arial" w:eastAsia="Arial" w:hAnsi="Arial"/>
          <w:sz w:val="19"/>
          <w:szCs w:val="19"/>
          <w:color w:val="auto"/>
        </w:rPr>
        <w:t>. Landlord currently provides a fitness center in a building located at 47 Discovery, Irvine, California, and provided: (a) Tenant is not in Default under any provision of the Lease, and (b) Tenant’s employees execute Landlord’s standard waiver of liability form, then Tenant’s employees (the “</w:t>
      </w:r>
      <w:r>
        <w:rPr>
          <w:rFonts w:ascii="Arial" w:cs="Arial" w:eastAsia="Arial" w:hAnsi="Arial"/>
          <w:sz w:val="19"/>
          <w:szCs w:val="19"/>
          <w:b w:val="1"/>
          <w:bCs w:val="1"/>
          <w:color w:val="auto"/>
        </w:rPr>
        <w:t>Fitness Center Users</w:t>
      </w:r>
      <w:r>
        <w:rPr>
          <w:rFonts w:ascii="Arial" w:cs="Arial" w:eastAsia="Arial" w:hAnsi="Arial"/>
          <w:sz w:val="19"/>
          <w:szCs w:val="19"/>
          <w:color w:val="auto"/>
        </w:rPr>
        <w:t>”) shall be entitled to use said fitness center (the “</w:t>
      </w:r>
      <w:r>
        <w:rPr>
          <w:rFonts w:ascii="Arial" w:cs="Arial" w:eastAsia="Arial" w:hAnsi="Arial"/>
          <w:sz w:val="19"/>
          <w:szCs w:val="19"/>
          <w:b w:val="1"/>
          <w:bCs w:val="1"/>
          <w:color w:val="auto"/>
        </w:rPr>
        <w:t>Fitness Center</w:t>
      </w:r>
      <w:r>
        <w:rPr>
          <w:rFonts w:ascii="Arial" w:cs="Arial" w:eastAsia="Arial" w:hAnsi="Arial"/>
          <w:sz w:val="19"/>
          <w:szCs w:val="19"/>
          <w:color w:val="auto"/>
        </w:rPr>
        <w:t>”). The use of the Fitness Center shall be free of charge (with the exception of towel/laundry fees) during the initial Term of the Lease, and shall be subject to the reasonable rules and regulations (including rules regarding hours of use) established from time to time by Landlord. Landlord and Tenant acknowledge that the use of the Fitness Center by the Fitness Center Users shall be at their own risk and that the terms and provisions of Section 10.3 of the Lease and shall apply to Tenant and the Fitness Center User’s use of the Fitness Center. The costs of operating, maintaining and repairing the Fitness Center may be included as part of Operating Expenses. Tenant acknowledges that the provisions of this Section shall not be deemed to be a representation by Landlord that Landlord shall continuously maintain the Fitness Center (or any other fitness facility) throughout the Term of the Lease, and Landlord shall have the right, at Landlord’s sole discretion, to expand, contract, eliminate or otherwise modify the Fitness Center. No expansion, contraction, elimination or modification of the Fitness Center, and no termination of Tenant’s or the Fitness Center Users’ rights to the Fitness Center shall entitle Tenant to an abatement or reduction in Basic Rent constitute a constructive eviction, or result in an event of default by Landlord under the Lease. Tenant hereby voluntarily releases, discharges, waives and relinquishes any and all actions or causes of action for personal injury or property damage occurring to Tenant or its employees or agents arising as a result of the use of the Fitness Center, or any activities incidental thereto, wherever or however the same may occur, and further agrees that Tenant will not prosecute any claim for personal injury or property damage against Landlord or any of its officers, agents, servants or employees for any said causes of action, except, in each case, arising out of or relating to any gross negligence or willful misconduct of Landlord or any of its employees, contractors or agents. It is the intention of Tenant with respect to the Fitness Center to exempt and relieve Landlord from liability for personal injury or property damage caused by negligence (but not gross negligence or willful misconduct). Tenant’s rights under this Section shall belong solely to Ghost Management Group, LLC, and any attempted assignment or transfer of such rights shall be void and of no force and effect.</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both"/>
        <w:ind w:left="-656" w:firstLine="656"/>
        <w:spacing w:after="0" w:line="271" w:lineRule="auto"/>
        <w:tabs>
          <w:tab w:leader="none" w:pos="670"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Conference Room</w:t>
      </w:r>
      <w:r>
        <w:rPr>
          <w:rFonts w:ascii="Arial" w:cs="Arial" w:eastAsia="Arial" w:hAnsi="Arial"/>
          <w:sz w:val="19"/>
          <w:szCs w:val="19"/>
          <w:color w:val="auto"/>
        </w:rPr>
        <w:t>. Landlord currently provides a conference room (the “</w:t>
      </w:r>
      <w:r>
        <w:rPr>
          <w:rFonts w:ascii="Arial" w:cs="Arial" w:eastAsia="Arial" w:hAnsi="Arial"/>
          <w:sz w:val="19"/>
          <w:szCs w:val="19"/>
          <w:b w:val="1"/>
          <w:bCs w:val="1"/>
          <w:color w:val="auto"/>
        </w:rPr>
        <w:t>Conference Room</w:t>
      </w:r>
      <w:r>
        <w:rPr>
          <w:rFonts w:ascii="Arial" w:cs="Arial" w:eastAsia="Arial" w:hAnsi="Arial"/>
          <w:sz w:val="19"/>
          <w:szCs w:val="19"/>
          <w:color w:val="auto"/>
        </w:rPr>
        <w:t>”) in the 49 Discovery Building, which is capable of accommodating groups of people for use by Building tenants (including Tenant) on a reserved basis. Tenant shall, subject to availability, have the use of the Conference Room subject to Landlord’s procedures and charges. The use of the Common Area Conference Room shall be subject to the reasonable rules and regulations (including rules regarding hours of use and priorities for the tenants of the particular building in which a Common Area Conference Room is located, set up and clean up charges, etc.) established from time to time by Landlord for the Common Area Conference Room. Landlord and Tenant acknowledge that the terms and provisions of Section 10.3 of the Lease shall apply to Tenant’s use of the Conference Room. Further, Landlord shall have no liability whatsoever with respect to the existence, condition (except, in each case, arising out of or relating to any gross negligence or willful misconduct of Landlord or any of its employees, contractors or agents) or availability of any Common Area Conference Room(s) nor shall Landlord have any obligation or availability of any Common Area Conference Room(s) nor shall Landlord have any obligation whatsoever to enforce or make reservations thereof, and Tenant hereby expressly waives all claims against Landlord with respect to the same. No expansion, contraction, elimination, unavailability or modification of the Common Area Conference Room(s), and no termination of or interference with Tenant’s rights to the Common Area Conference Room(s), shall entitle Tenant to an abatement or reduction in rent or constitute a constructive eviction or an event of default by Landlord under the Lease. Tenant’s rights under this Section shall belong solely to Ghost Management Group, LLC, and any attempted assignment or transfer of such rights shall be void and of no force and effect.</w:t>
      </w:r>
    </w:p>
    <w:p>
      <w:pPr>
        <w:spacing w:after="0" w:line="183" w:lineRule="exact"/>
        <w:rPr>
          <w:rFonts w:ascii="Arial" w:cs="Arial" w:eastAsia="Arial" w:hAnsi="Arial"/>
          <w:sz w:val="19"/>
          <w:szCs w:val="19"/>
          <w:color w:val="auto"/>
        </w:rPr>
      </w:pPr>
    </w:p>
    <w:p>
      <w:pPr>
        <w:jc w:val="both"/>
        <w:ind w:left="-656" w:firstLine="656"/>
        <w:spacing w:after="0" w:line="272" w:lineRule="auto"/>
        <w:tabs>
          <w:tab w:leader="none" w:pos="836"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Game Room</w:t>
      </w:r>
      <w:r>
        <w:rPr>
          <w:rFonts w:ascii="Arial" w:cs="Arial" w:eastAsia="Arial" w:hAnsi="Arial"/>
          <w:sz w:val="19"/>
          <w:szCs w:val="19"/>
          <w:color w:val="auto"/>
        </w:rPr>
        <w:t>. Landlord currently provides a game room (the “</w:t>
      </w:r>
      <w:r>
        <w:rPr>
          <w:rFonts w:ascii="Arial" w:cs="Arial" w:eastAsia="Arial" w:hAnsi="Arial"/>
          <w:sz w:val="19"/>
          <w:szCs w:val="19"/>
          <w:b w:val="1"/>
          <w:bCs w:val="1"/>
          <w:color w:val="auto"/>
        </w:rPr>
        <w:t>Game Room</w:t>
      </w:r>
      <w:r>
        <w:rPr>
          <w:rFonts w:ascii="Arial" w:cs="Arial" w:eastAsia="Arial" w:hAnsi="Arial"/>
          <w:sz w:val="19"/>
          <w:szCs w:val="19"/>
          <w:color w:val="auto"/>
        </w:rPr>
        <w:t>”) in a building located at 15440 Laguna Canyon Road, Irvine, California, for use by Building tenants (including Tenant). Tenant shall, subject to availability, have the use of the Game Room subject to Landlord’s procedures. The use of the Game Room shall be subject to the reasonable rules and regulations (including rules regarding hours of use and priorities for tenants who may reserve the Game Room for tenant functions (if Landlord agrees to allow the same), etc.) established from time to time by Landlord for the Game Room. Landlord and Tenant acknowledge that the terms and provisions of Section 10.3 of the Lease shall apply to Tenant’s use of the Game Room. Further, Landlord shall have no liability whatsoever with respect to the existence, condition (except, in each case, arising out of or relating to any gross negligence or willful misconduct of Landlord or any of its employees, contractors or agents) or availability of the Game Room, and Tenant hereby expressly waives all claims against Landlord with respect to the same. No expansion, contraction, elimination, unavailability or modification of the Game Room, and no termination of or interference with Tenant’s rights to the Game Room, shall entitle Tenant to an abatement or reduction in rent or constitute a constructive eviction or an event of default by Landlord under the Lease. Tenant’s rights under this Section shall belong solely to Ghost Management Group, LLC, and any attempted assignment or transfer of such rights shall be void and of no force and effect.</w:t>
      </w:r>
    </w:p>
    <w:p>
      <w:pPr>
        <w:sectPr>
          <w:pgSz w:w="11900" w:h="16838" w:orient="portrait"/>
          <w:cols w:equalWidth="0" w:num="1">
            <w:col w:w="10584"/>
          </w:cols>
          <w:pgMar w:left="976" w:top="118" w:right="339" w:bottom="1440" w:gutter="0" w:footer="0" w:header="0"/>
        </w:sectPr>
      </w:pPr>
    </w:p>
    <w:p>
      <w:pPr>
        <w:spacing w:after="0" w:line="367" w:lineRule="exact"/>
        <w:rPr>
          <w:sz w:val="20"/>
          <w:szCs w:val="20"/>
          <w:color w:val="auto"/>
        </w:rPr>
      </w:pPr>
    </w:p>
    <w:p>
      <w:pPr>
        <w:jc w:val="center"/>
        <w:ind w:right="656"/>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393" w:name="page394"/>
    <w:bookmarkEnd w:id="393"/>
    <w:p>
      <w:pPr>
        <w:jc w:val="both"/>
        <w:ind w:firstLine="656"/>
        <w:spacing w:after="0" w:line="271" w:lineRule="auto"/>
        <w:tabs>
          <w:tab w:leader="none" w:pos="1468"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Inter-Building Conduit</w:t>
      </w:r>
      <w:r>
        <w:rPr>
          <w:rFonts w:ascii="Arial" w:cs="Arial" w:eastAsia="Arial" w:hAnsi="Arial"/>
          <w:sz w:val="19"/>
          <w:szCs w:val="19"/>
          <w:color w:val="auto"/>
        </w:rPr>
        <w:t>. Tenant shall have the right to install data and/or telecommunications cabling within the existing underground conduit at the Project (the “</w:t>
      </w:r>
      <w:r>
        <w:rPr>
          <w:rFonts w:ascii="Arial" w:cs="Arial" w:eastAsia="Arial" w:hAnsi="Arial"/>
          <w:sz w:val="19"/>
          <w:szCs w:val="19"/>
          <w:b w:val="1"/>
          <w:bCs w:val="1"/>
          <w:color w:val="auto"/>
        </w:rPr>
        <w:t>Conduit</w:t>
      </w:r>
      <w:r>
        <w:rPr>
          <w:rFonts w:ascii="Arial" w:cs="Arial" w:eastAsia="Arial" w:hAnsi="Arial"/>
          <w:sz w:val="19"/>
          <w:szCs w:val="19"/>
          <w:color w:val="auto"/>
        </w:rPr>
        <w:t>”) between and among the 41 Discovery Building, the Laguna Canyon Building and the 49 Discovery Building for the purpose of facilitating Tenant’s data and telecommunications networking, subject to and upon the following conditions: (i) Tenant’s right to use and/or install cabling within the Conduit shall be subject to the availability, from time to time, of sufficient space therein, (ii) the installation by or for Tenant of any cabling within the Conduit shall be at Tenant’s sole risk and cost, and Landlord shall not be liable for any injury, loss, damage, cost, expense or liability that may occur or result in connection therewith, (iii) Tenant shall utilize a contractor either designated by, or otherwise reasonably acceptable to, Landlord to install any cabling within the Conduit, which contractor shall comply with Landlord’s construction rules for the Project, including without limitation Landlord’s standard insurance requirements, (iv) should Landlord determine in good faith at any time that any cabling installed within the Conduit by or for Tenant interferes with or other poses a risk to the normal functioning of Landlord’s cabling, systems, or other equipment, Landlord may require Tenant to make arrangements satisfactory to Landlord to remove or mitigate such risk or interference or, if Tenant either fails or is unable to make such satisfactory arrangements, to remove its cabling, (v) any cabling installed by Tenant within the Conduit shall be considered an “Alteration” pursuant to Section 7.3 of the Lease, and (vi) upon the expiration or sooner termination of the Lease, Tenant shall remove any cabling installed within the Conduit and all related equipment and facilities, and shall repair any damage caused thereby, all at Tenant’s sole cost and expense.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656"/>
        <w:spacing w:after="0" w:line="275" w:lineRule="auto"/>
        <w:tabs>
          <w:tab w:leader="none" w:pos="1461"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Early Access</w:t>
      </w:r>
      <w:r>
        <w:rPr>
          <w:rFonts w:ascii="Arial" w:cs="Arial" w:eastAsia="Arial" w:hAnsi="Arial"/>
          <w:sz w:val="19"/>
          <w:szCs w:val="19"/>
          <w:color w:val="auto"/>
        </w:rPr>
        <w:t>. Landlord agrees that Tenant shall be permitted to enter the 49 Discovery Premises from and after the mutual execution of this Amendment and continuing until the Commencement Date for the 49 Discovery Premises in order that Tenant may install fixtures, furniture and cabling through Tenant’s own contractors subject to the following terms and conditions: (a) concurrently with the execution and delivery of this Amendment, and prior to any such early access by Tenant, Tenant shall deliver to Landlord the required certificate(s) of insurance and payments required hereunder; and (b) Tenant’s early access of the 49 Discovery Premises prior to the Commencement Date for the 49 Discovery Premises pursuant to this Section shall be subject to all of the covenants and conditions on Tenant’s part contained in the Lease (including, without limitation, the covenants contained in Sections 5.3, 6.1, 7.1, 7.3, 7.4, 10.1 and 10.3 of the Lease).</w:t>
      </w:r>
    </w:p>
    <w:p>
      <w:pPr>
        <w:spacing w:after="0" w:line="184" w:lineRule="exact"/>
        <w:rPr>
          <w:rFonts w:ascii="Arial" w:cs="Arial" w:eastAsia="Arial" w:hAnsi="Arial"/>
          <w:sz w:val="19"/>
          <w:szCs w:val="19"/>
          <w:color w:val="auto"/>
        </w:rPr>
      </w:pPr>
    </w:p>
    <w:p>
      <w:pPr>
        <w:jc w:val="both"/>
        <w:ind w:firstLine="656"/>
        <w:spacing w:after="0" w:line="257" w:lineRule="auto"/>
        <w:tabs>
          <w:tab w:leader="none" w:pos="1492" w:val="left"/>
        </w:tabs>
        <w:numPr>
          <w:ilvl w:val="0"/>
          <w:numId w:val="360"/>
        </w:numPr>
        <w:rPr>
          <w:rFonts w:ascii="Arial" w:cs="Arial" w:eastAsia="Arial" w:hAnsi="Arial"/>
          <w:sz w:val="21"/>
          <w:szCs w:val="21"/>
          <w:color w:val="auto"/>
        </w:rPr>
      </w:pPr>
      <w:r>
        <w:rPr>
          <w:rFonts w:ascii="Arial" w:cs="Arial" w:eastAsia="Arial" w:hAnsi="Arial"/>
          <w:sz w:val="21"/>
          <w:szCs w:val="21"/>
          <w:u w:val="single" w:color="auto"/>
          <w:color w:val="auto"/>
        </w:rPr>
        <w:t>Acceptance of the 49 Discovery Premises</w:t>
      </w:r>
      <w:r>
        <w:rPr>
          <w:rFonts w:ascii="Arial" w:cs="Arial" w:eastAsia="Arial" w:hAnsi="Arial"/>
          <w:sz w:val="21"/>
          <w:szCs w:val="21"/>
          <w:color w:val="auto"/>
        </w:rPr>
        <w:t>. Tenant acknowledges that the lease of the 49 Discovery Premises pursuant to this Amendment shall be subject to the acknowledgements set forth in Section 2.2 of the Lease, and shall be on an “as-is” basis without further obligation on Landlord’s part as to improvements whatsoever.</w:t>
      </w:r>
    </w:p>
    <w:p>
      <w:pPr>
        <w:spacing w:after="0" w:line="196" w:lineRule="exact"/>
        <w:rPr>
          <w:rFonts w:ascii="Arial" w:cs="Arial" w:eastAsia="Arial" w:hAnsi="Arial"/>
          <w:sz w:val="21"/>
          <w:szCs w:val="21"/>
          <w:color w:val="auto"/>
        </w:rPr>
      </w:pPr>
    </w:p>
    <w:p>
      <w:pPr>
        <w:jc w:val="both"/>
        <w:ind w:firstLine="656"/>
        <w:spacing w:after="0" w:line="273" w:lineRule="auto"/>
        <w:tabs>
          <w:tab w:leader="none" w:pos="1465"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Article 18 of the Lease is amended to provide that the parties recognize the following parties as the brokers who negotiated this Amendment, and agree that Landlord shall be responsible for payment of brokerage commissions to such brokers pursuant to its separate agreements with such brokers: Irvine Realty Company (“</w:t>
      </w:r>
      <w:r>
        <w:rPr>
          <w:rFonts w:ascii="Arial" w:cs="Arial" w:eastAsia="Arial" w:hAnsi="Arial"/>
          <w:sz w:val="19"/>
          <w:szCs w:val="19"/>
          <w:b w:val="1"/>
          <w:bCs w:val="1"/>
          <w:color w:val="auto"/>
        </w:rPr>
        <w:t>Landlord’s Broker</w:t>
      </w:r>
      <w:r>
        <w:rPr>
          <w:rFonts w:ascii="Arial" w:cs="Arial" w:eastAsia="Arial" w:hAnsi="Arial"/>
          <w:sz w:val="19"/>
          <w:szCs w:val="19"/>
          <w:color w:val="auto"/>
        </w:rPr>
        <w:t>”) is the agent of Landlord exclusively and Newmark Grubb Knight Frank (“</w:t>
      </w:r>
      <w:r>
        <w:rPr>
          <w:rFonts w:ascii="Arial" w:cs="Arial" w:eastAsia="Arial" w:hAnsi="Arial"/>
          <w:sz w:val="19"/>
          <w:szCs w:val="19"/>
          <w:b w:val="1"/>
          <w:bCs w:val="1"/>
          <w:color w:val="auto"/>
        </w:rPr>
        <w:t>Tenant’s Broker</w:t>
      </w:r>
      <w:r>
        <w:rPr>
          <w:rFonts w:ascii="Arial" w:cs="Arial" w:eastAsia="Arial" w:hAnsi="Arial"/>
          <w:sz w:val="19"/>
          <w:szCs w:val="19"/>
          <w:color w:val="auto"/>
        </w:rPr>
        <w:t>”) is the agent of Tenant exclusively. By the execution of this Amendment, each of Landlord and Tenant hereby acknowledge and confirm (a) receipt of a copy of a Disclosure Regarding Real Estate Agency Relationship conforming to the requirements of California Civil Code 2079.16, and (b) the agency relationships specified herein, which acknowledgement and confirmation is expressly made for the benefit of Tenant’s Broker. If there is no Tenant’s Broker so identified herein, then such acknowledgement and confirmation is expressly made for the benefit of Landlord’s Broker. By the execution of this Amendment, Landlord and Tenant are executing the confirmation of the agency relationships set forth herein. The warranty and indemnity provisions of Article 18 of the Lease, as amended hereby, shall be binding and enforceable in connection with the negotiation of this Amendment.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49" w:lineRule="exact"/>
        <w:rPr>
          <w:sz w:val="20"/>
          <w:szCs w:val="20"/>
          <w:color w:val="auto"/>
        </w:rPr>
      </w:pPr>
    </w:p>
    <w:p>
      <w:pPr>
        <w:ind w:right="20" w:firstLine="656"/>
        <w:spacing w:after="0" w:line="250" w:lineRule="auto"/>
        <w:tabs>
          <w:tab w:leader="none" w:pos="1411" w:val="left"/>
        </w:tabs>
        <w:numPr>
          <w:ilvl w:val="0"/>
          <w:numId w:val="361"/>
        </w:numPr>
        <w:rPr>
          <w:rFonts w:ascii="Arial" w:cs="Arial" w:eastAsia="Arial" w:hAnsi="Arial"/>
          <w:sz w:val="22"/>
          <w:szCs w:val="22"/>
          <w:color w:val="auto"/>
        </w:rPr>
      </w:pPr>
      <w:r>
        <w:rPr>
          <w:rFonts w:ascii="Arial" w:cs="Arial" w:eastAsia="Arial" w:hAnsi="Arial"/>
          <w:sz w:val="22"/>
          <w:szCs w:val="22"/>
          <w:u w:val="single" w:color="auto"/>
          <w:color w:val="auto"/>
        </w:rPr>
        <w:t>Effect of Amendments</w:t>
      </w:r>
      <w:r>
        <w:rPr>
          <w:rFonts w:ascii="Arial" w:cs="Arial" w:eastAsia="Arial" w:hAnsi="Arial"/>
          <w:sz w:val="22"/>
          <w:szCs w:val="22"/>
          <w:color w:val="auto"/>
        </w:rPr>
        <w:t>. The Lease shall remain in full force and effect and unmodified except to the extent that it is modified by this Amendment.</w:t>
      </w:r>
    </w:p>
    <w:p>
      <w:pPr>
        <w:spacing w:after="0" w:line="201" w:lineRule="exact"/>
        <w:rPr>
          <w:rFonts w:ascii="Arial" w:cs="Arial" w:eastAsia="Arial" w:hAnsi="Arial"/>
          <w:sz w:val="22"/>
          <w:szCs w:val="22"/>
          <w:color w:val="auto"/>
        </w:rPr>
      </w:pPr>
    </w:p>
    <w:p>
      <w:pPr>
        <w:jc w:val="both"/>
        <w:ind w:firstLine="656"/>
        <w:spacing w:after="0"/>
        <w:tabs>
          <w:tab w:leader="none" w:pos="1656" w:val="left"/>
        </w:tabs>
        <w:numPr>
          <w:ilvl w:val="0"/>
          <w:numId w:val="36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embodies the entire understanding between Landlord and Tenant with respect to the modifications set forth in “III. MODIFICATIONS” above and can be changed only by a writing signed by Landlord and Tenant.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4" w:name="page395"/>
    <w:bookmarkEnd w:id="394"/>
    <w:p>
      <w:pPr>
        <w:ind w:firstLine="656"/>
        <w:spacing w:after="0" w:line="328" w:lineRule="auto"/>
        <w:tabs>
          <w:tab w:leader="none" w:pos="1508"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All words commencing with initial capital letters in this Amendment and defined in the Lease shall have the same meaning in this Amendment as in the Lease, unless they are otherwise defined in this Amendment.</w:t>
      </w:r>
    </w:p>
    <w:p>
      <w:pPr>
        <w:spacing w:after="0" w:line="132" w:lineRule="exact"/>
        <w:rPr>
          <w:rFonts w:ascii="Arial" w:cs="Arial" w:eastAsia="Arial" w:hAnsi="Arial"/>
          <w:sz w:val="19"/>
          <w:szCs w:val="19"/>
          <w:color w:val="auto"/>
        </w:rPr>
      </w:pPr>
    </w:p>
    <w:p>
      <w:pPr>
        <w:jc w:val="both"/>
        <w:ind w:firstLine="656"/>
        <w:spacing w:after="0" w:line="238" w:lineRule="auto"/>
        <w:tabs>
          <w:tab w:leader="none" w:pos="1357" w:val="left"/>
        </w:tabs>
        <w:numPr>
          <w:ilvl w:val="1"/>
          <w:numId w:val="362"/>
        </w:numPr>
        <w:rPr>
          <w:rFonts w:ascii="Arial" w:cs="Arial" w:eastAsia="Arial" w:hAnsi="Arial"/>
          <w:sz w:val="22"/>
          <w:szCs w:val="22"/>
          <w:color w:val="auto"/>
        </w:rPr>
      </w:pPr>
      <w:r>
        <w:rPr>
          <w:rFonts w:ascii="Arial" w:cs="Arial" w:eastAsia="Arial" w:hAnsi="Arial"/>
          <w:sz w:val="22"/>
          <w:szCs w:val="22"/>
          <w:u w:val="single" w:color="auto"/>
          <w:color w:val="auto"/>
        </w:rPr>
        <w:t>Corporate and Partnership Authority</w:t>
      </w:r>
      <w:r>
        <w:rPr>
          <w:rFonts w:ascii="Arial" w:cs="Arial" w:eastAsia="Arial" w:hAnsi="Arial"/>
          <w:sz w:val="22"/>
          <w:szCs w:val="22"/>
          <w:color w:val="auto"/>
        </w:rPr>
        <w:t>. If Tenant is a corporation or partnership, or is comprised of either or both of them, each individual executing this Amendment for the corporation or partnership represents that he or she is duly authorized to execute and deliver this Amendment on behalf of the corporation or partnership and that this Amendment is binding upon the corporation or partnership in accordance with its terms.</w:t>
      </w:r>
    </w:p>
    <w:p>
      <w:pPr>
        <w:spacing w:after="0" w:line="211" w:lineRule="exact"/>
        <w:rPr>
          <w:rFonts w:ascii="Arial" w:cs="Arial" w:eastAsia="Arial" w:hAnsi="Arial"/>
          <w:sz w:val="22"/>
          <w:szCs w:val="22"/>
          <w:color w:val="auto"/>
        </w:rPr>
      </w:pPr>
    </w:p>
    <w:p>
      <w:pPr>
        <w:jc w:val="both"/>
        <w:ind w:firstLine="656"/>
        <w:spacing w:after="0" w:line="282" w:lineRule="auto"/>
        <w:tabs>
          <w:tab w:leader="none" w:pos="1360"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Counterparts; Digital Signatures</w:t>
      </w:r>
      <w:r>
        <w:rPr>
          <w:rFonts w:ascii="Arial" w:cs="Arial" w:eastAsia="Arial" w:hAnsi="Arial"/>
          <w:sz w:val="19"/>
          <w:szCs w:val="19"/>
          <w:color w:val="auto"/>
        </w:rPr>
        <w:t>. If this Amendment is executed in counterparts, each is hereby declared to be an original; all, however, shall constitute but one and the same amendment. In any action or proceeding, any photographic, photostatic, or other copy of this Amendment may be introduced into evidence without foundation. The parties agree to accept a digital image (including but not limited to an image in the form of a PDF, JPEG, GIF file, or other e-signature) of this Amendment, if applicable, reflecting the execution of one or both of the parties, as a true and correct original.</w:t>
      </w:r>
    </w:p>
    <w:p>
      <w:pPr>
        <w:spacing w:after="0" w:line="174" w:lineRule="exact"/>
        <w:rPr>
          <w:rFonts w:ascii="Arial" w:cs="Arial" w:eastAsia="Arial" w:hAnsi="Arial"/>
          <w:sz w:val="19"/>
          <w:szCs w:val="19"/>
          <w:color w:val="auto"/>
        </w:rPr>
      </w:pPr>
    </w:p>
    <w:p>
      <w:pPr>
        <w:jc w:val="both"/>
        <w:ind w:firstLine="656"/>
        <w:spacing w:after="0" w:line="271" w:lineRule="auto"/>
        <w:tabs>
          <w:tab w:leader="none" w:pos="1412"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Certified Access Specialist</w:t>
      </w:r>
      <w:r>
        <w:rPr>
          <w:rFonts w:ascii="Arial" w:cs="Arial" w:eastAsia="Arial" w:hAnsi="Arial"/>
          <w:sz w:val="19"/>
          <w:szCs w:val="19"/>
          <w:color w:val="auto"/>
        </w:rPr>
        <w:t>.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If Tenant requests to perform a CASp inspection of the Premises, Tenant shall, at its cost, retain a CASp approved by Landlord (provided that Landlord may designate the CASp, at Landlord’s option) to perform the inspection of the Premises at a time agreed upon by the parties. Tenant shall provide Landlord with a copy of any report or certificate issued by the CASp (the “</w:t>
      </w:r>
      <w:r>
        <w:rPr>
          <w:rFonts w:ascii="Arial" w:cs="Arial" w:eastAsia="Arial" w:hAnsi="Arial"/>
          <w:sz w:val="19"/>
          <w:szCs w:val="19"/>
          <w:b w:val="1"/>
          <w:bCs w:val="1"/>
          <w:color w:val="auto"/>
        </w:rPr>
        <w:t>CASp Report</w:t>
      </w:r>
      <w:r>
        <w:rPr>
          <w:rFonts w:ascii="Arial" w:cs="Arial" w:eastAsia="Arial" w:hAnsi="Arial"/>
          <w:sz w:val="19"/>
          <w:szCs w:val="19"/>
          <w:color w:val="auto"/>
        </w:rPr>
        <w:t>”) and Tenant shall, at its cost, promptly complete any modifications necessary to correct violations of construction related accessibility standards identified in the CASp Report, notwithstanding anything to the contrary in this Lease. Tenant agrees to keep the information in the CASp Report confidential except as necessary for the Tenant to complete such modifications or as required by law, subpoena or other legal process.</w:t>
      </w:r>
    </w:p>
    <w:p>
      <w:pPr>
        <w:spacing w:after="0" w:line="186" w:lineRule="exact"/>
        <w:rPr>
          <w:rFonts w:ascii="Arial" w:cs="Arial" w:eastAsia="Arial" w:hAnsi="Arial"/>
          <w:sz w:val="19"/>
          <w:szCs w:val="19"/>
          <w:color w:val="auto"/>
        </w:rPr>
      </w:pPr>
    </w:p>
    <w:p>
      <w:pPr>
        <w:ind w:left="660" w:hanging="652"/>
        <w:spacing w:after="0"/>
        <w:tabs>
          <w:tab w:leader="none" w:pos="6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5620" w:type="dxa"/>
            <w:vAlign w:val="bottom"/>
            <w:gridSpan w:val="2"/>
          </w:tcPr>
          <w:p>
            <w:pPr>
              <w:ind w:left="320"/>
              <w:spacing w:after="0"/>
              <w:rPr>
                <w:sz w:val="20"/>
                <w:szCs w:val="20"/>
                <w:color w:val="auto"/>
              </w:rPr>
            </w:pPr>
            <w:r>
              <w:rPr>
                <w:rFonts w:ascii="Arial" w:cs="Arial" w:eastAsia="Arial" w:hAnsi="Arial"/>
                <w:sz w:val="18"/>
                <w:szCs w:val="18"/>
                <w:b w:val="1"/>
                <w:bCs w:val="1"/>
                <w:color w:val="auto"/>
              </w:rPr>
              <w:t>TENANT:</w:t>
            </w: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DISCOVERY BUSINESS CENTER LLC,</w:t>
            </w:r>
          </w:p>
        </w:tc>
        <w:tc>
          <w:tcPr>
            <w:tcW w:w="5620" w:type="dxa"/>
            <w:vAlign w:val="bottom"/>
            <w:gridSpan w:val="2"/>
          </w:tcPr>
          <w:p>
            <w:pPr>
              <w:ind w:left="320"/>
              <w:spacing w:after="0"/>
              <w:rPr>
                <w:sz w:val="20"/>
                <w:szCs w:val="20"/>
                <w:color w:val="auto"/>
              </w:rPr>
            </w:pPr>
            <w:r>
              <w:rPr>
                <w:rFonts w:ascii="Arial" w:cs="Arial" w:eastAsia="Arial" w:hAnsi="Arial"/>
                <w:sz w:val="18"/>
                <w:szCs w:val="18"/>
                <w:b w:val="1"/>
                <w:bCs w:val="1"/>
                <w:color w:val="auto"/>
              </w:rPr>
              <w:t>GHOST MANAGEMENT GROUP, LLC,</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a Delaware limited liability company</w:t>
            </w:r>
          </w:p>
        </w:tc>
      </w:tr>
      <w:tr>
        <w:trPr>
          <w:trHeight w:val="466"/>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M. Case</w:t>
            </w:r>
          </w:p>
        </w:tc>
        <w:tc>
          <w:tcPr>
            <w:tcW w:w="5620" w:type="dxa"/>
            <w:vAlign w:val="bottom"/>
            <w:gridSpan w:val="2"/>
          </w:tcPr>
          <w:p>
            <w:pPr>
              <w:ind w:left="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 Francis</w:t>
            </w:r>
          </w:p>
        </w:tc>
      </w:tr>
      <w:tr>
        <w:trPr>
          <w:trHeight w:val="34"/>
        </w:trPr>
        <w:tc>
          <w:tcPr>
            <w:tcW w:w="340" w:type="dxa"/>
            <w:vAlign w:val="bottom"/>
          </w:tcPr>
          <w:p>
            <w:pPr>
              <w:spacing w:after="0"/>
              <w:rPr>
                <w:sz w:val="2"/>
                <w:szCs w:val="2"/>
                <w:color w:val="auto"/>
              </w:rPr>
            </w:pPr>
          </w:p>
        </w:tc>
        <w:tc>
          <w:tcPr>
            <w:tcW w:w="52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040" w:type="dxa"/>
            <w:vAlign w:val="bottom"/>
            <w:shd w:val="clear" w:color="auto" w:fill="000000"/>
          </w:tcPr>
          <w:p>
            <w:pPr>
              <w:spacing w:after="0"/>
              <w:rPr>
                <w:sz w:val="2"/>
                <w:szCs w:val="2"/>
                <w:color w:val="auto"/>
              </w:rPr>
            </w:pPr>
          </w:p>
        </w:tc>
      </w:tr>
      <w:tr>
        <w:trPr>
          <w:trHeight w:val="188"/>
        </w:trPr>
        <w:tc>
          <w:tcPr>
            <w:tcW w:w="5620" w:type="dxa"/>
            <w:vAlign w:val="bottom"/>
            <w:gridSpan w:val="2"/>
          </w:tcPr>
          <w:p>
            <w:pPr>
              <w:spacing w:after="0" w:line="189" w:lineRule="exact"/>
              <w:rPr>
                <w:sz w:val="20"/>
                <w:szCs w:val="20"/>
                <w:color w:val="auto"/>
              </w:rPr>
            </w:pPr>
            <w:r>
              <w:rPr>
                <w:rFonts w:ascii="Arial" w:cs="Arial" w:eastAsia="Arial" w:hAnsi="Arial"/>
                <w:sz w:val="18"/>
                <w:szCs w:val="18"/>
                <w:color w:val="auto"/>
              </w:rPr>
              <w:t>Printed Name: Steven M. Case</w:t>
            </w:r>
          </w:p>
        </w:tc>
        <w:tc>
          <w:tcPr>
            <w:tcW w:w="562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Printed Name: Doug Francis</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Title: EVP Office Properties</w:t>
            </w:r>
          </w:p>
        </w:tc>
        <w:tc>
          <w:tcPr>
            <w:tcW w:w="5620" w:type="dxa"/>
            <w:vAlign w:val="bottom"/>
            <w:gridSpan w:val="2"/>
          </w:tcPr>
          <w:p>
            <w:pPr>
              <w:ind w:left="240"/>
              <w:spacing w:after="0"/>
              <w:rPr>
                <w:sz w:val="20"/>
                <w:szCs w:val="20"/>
                <w:color w:val="auto"/>
              </w:rPr>
            </w:pPr>
            <w:r>
              <w:rPr>
                <w:rFonts w:ascii="Arial" w:cs="Arial" w:eastAsia="Arial" w:hAnsi="Arial"/>
                <w:sz w:val="18"/>
                <w:szCs w:val="18"/>
                <w:color w:val="auto"/>
              </w:rPr>
              <w:t>Title:  CEO</w:t>
            </w:r>
          </w:p>
        </w:tc>
      </w:tr>
      <w:tr>
        <w:trPr>
          <w:trHeight w:val="466"/>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Holly McManus</w:t>
            </w:r>
          </w:p>
        </w:tc>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4"/>
        </w:trPr>
        <w:tc>
          <w:tcPr>
            <w:tcW w:w="340" w:type="dxa"/>
            <w:vAlign w:val="bottom"/>
          </w:tcPr>
          <w:p>
            <w:pPr>
              <w:spacing w:after="0"/>
              <w:rPr>
                <w:sz w:val="2"/>
                <w:szCs w:val="2"/>
                <w:color w:val="auto"/>
              </w:rPr>
            </w:pPr>
          </w:p>
        </w:tc>
        <w:tc>
          <w:tcPr>
            <w:tcW w:w="5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188"/>
        </w:trPr>
        <w:tc>
          <w:tcPr>
            <w:tcW w:w="5620" w:type="dxa"/>
            <w:vAlign w:val="bottom"/>
            <w:gridSpan w:val="2"/>
          </w:tcPr>
          <w:p>
            <w:pPr>
              <w:spacing w:after="0" w:line="189" w:lineRule="exact"/>
              <w:rPr>
                <w:sz w:val="20"/>
                <w:szCs w:val="20"/>
                <w:color w:val="auto"/>
              </w:rPr>
            </w:pPr>
            <w:r>
              <w:rPr>
                <w:rFonts w:ascii="Arial" w:cs="Arial" w:eastAsia="Arial" w:hAnsi="Arial"/>
                <w:sz w:val="18"/>
                <w:szCs w:val="18"/>
                <w:color w:val="auto"/>
              </w:rPr>
              <w:t>Printed Name: Holly McManus</w:t>
            </w:r>
          </w:p>
        </w:tc>
        <w:tc>
          <w:tcPr>
            <w:tcW w:w="58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Title: Vice President, Operations</w:t>
            </w: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Office Properties</w:t>
            </w:r>
          </w:p>
        </w:tc>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22"/>
          <w:szCs w:val="22"/>
          <w:b w:val="1"/>
          <w:bCs w:val="1"/>
          <w:color w:val="auto"/>
        </w:rPr>
        <w:t>EXHIBIT A</w:t>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396" w:name="page397"/>
    <w:bookmarkEnd w:id="39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242"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This Third Amendment to Lease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dated December 29, 2017, is by and between </w:t>
      </w:r>
      <w:r>
        <w:rPr>
          <w:rFonts w:ascii="Arial" w:cs="Arial" w:eastAsia="Arial" w:hAnsi="Arial"/>
          <w:sz w:val="22"/>
          <w:szCs w:val="22"/>
          <w:b w:val="1"/>
          <w:bCs w:val="1"/>
          <w:color w:val="auto"/>
        </w:rPr>
        <w:t>DISCOVERY</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CENTER LLC</w:t>
      </w:r>
      <w:r>
        <w:rPr>
          <w:rFonts w:ascii="Arial" w:cs="Arial" w:eastAsia="Arial" w:hAnsi="Arial"/>
          <w:sz w:val="22"/>
          <w:szCs w:val="22"/>
          <w:color w:val="auto"/>
        </w:rPr>
        <w:t>, a Delaware limited liability company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GHOST MANAGEMENT GROUP</w:t>
      </w:r>
      <w:r>
        <w:rPr>
          <w:rFonts w:ascii="Arial" w:cs="Arial" w:eastAsia="Arial" w:hAnsi="Arial"/>
          <w:sz w:val="22"/>
          <w:szCs w:val="22"/>
          <w:color w:val="auto"/>
        </w:rPr>
        <w:t>,</w:t>
      </w:r>
      <w:r>
        <w:rPr>
          <w:rFonts w:ascii="Arial" w:cs="Arial" w:eastAsia="Arial" w:hAnsi="Arial"/>
          <w:sz w:val="22"/>
          <w:szCs w:val="22"/>
          <w:b w:val="1"/>
          <w:bCs w:val="1"/>
          <w:color w:val="auto"/>
        </w:rPr>
        <w:t xml:space="preserve"> LLC</w:t>
      </w:r>
      <w:r>
        <w:rPr>
          <w:rFonts w:ascii="Arial" w:cs="Arial" w:eastAsia="Arial" w:hAnsi="Arial"/>
          <w:sz w:val="22"/>
          <w:szCs w:val="22"/>
          <w:color w:val="auto"/>
        </w:rPr>
        <w:t>, a Delaware limited liability company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213"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November 11, 2013, Landlord and Tenant entered into a lease for space in a building located at 41 Discovery, Irvine, California (“</w:t>
      </w:r>
      <w:r>
        <w:rPr>
          <w:rFonts w:ascii="Arial" w:cs="Arial" w:eastAsia="Arial" w:hAnsi="Arial"/>
          <w:sz w:val="19"/>
          <w:szCs w:val="19"/>
          <w:b w:val="1"/>
          <w:bCs w:val="1"/>
          <w:color w:val="auto"/>
        </w:rPr>
        <w:t>41 Discovery Premises</w:t>
      </w:r>
      <w:r>
        <w:rPr>
          <w:rFonts w:ascii="Arial" w:cs="Arial" w:eastAsia="Arial" w:hAnsi="Arial"/>
          <w:sz w:val="19"/>
          <w:szCs w:val="19"/>
          <w:color w:val="auto"/>
        </w:rPr>
        <w:t>” and “</w:t>
      </w:r>
      <w:r>
        <w:rPr>
          <w:rFonts w:ascii="Arial" w:cs="Arial" w:eastAsia="Arial" w:hAnsi="Arial"/>
          <w:sz w:val="19"/>
          <w:szCs w:val="19"/>
          <w:b w:val="1"/>
          <w:bCs w:val="1"/>
          <w:color w:val="auto"/>
        </w:rPr>
        <w:t>41 Discovery Building</w:t>
      </w:r>
      <w:r>
        <w:rPr>
          <w:rFonts w:ascii="Arial" w:cs="Arial" w:eastAsia="Arial" w:hAnsi="Arial"/>
          <w:sz w:val="19"/>
          <w:szCs w:val="19"/>
          <w:color w:val="auto"/>
        </w:rPr>
        <w:t>”), which lease was amended by a First Amendment to Lease dated January 27, 2016 (“</w:t>
      </w:r>
      <w:r>
        <w:rPr>
          <w:rFonts w:ascii="Arial" w:cs="Arial" w:eastAsia="Arial" w:hAnsi="Arial"/>
          <w:sz w:val="19"/>
          <w:szCs w:val="19"/>
          <w:b w:val="1"/>
          <w:bCs w:val="1"/>
          <w:i w:val="1"/>
          <w:iCs w:val="1"/>
          <w:color w:val="auto"/>
        </w:rPr>
        <w:t>First Amendment</w:t>
      </w:r>
      <w:r>
        <w:rPr>
          <w:rFonts w:ascii="Arial" w:cs="Arial" w:eastAsia="Arial" w:hAnsi="Arial"/>
          <w:sz w:val="19"/>
          <w:szCs w:val="19"/>
          <w:color w:val="auto"/>
        </w:rPr>
        <w:t>”), wherein Tenant added approximately 4,182 rentable square feet of space in a building located at 15420 Laguna Canyon Road, Suite 260, Irvine, California (“</w:t>
      </w:r>
      <w:r>
        <w:rPr>
          <w:rFonts w:ascii="Arial" w:cs="Arial" w:eastAsia="Arial" w:hAnsi="Arial"/>
          <w:sz w:val="19"/>
          <w:szCs w:val="19"/>
          <w:b w:val="1"/>
          <w:bCs w:val="1"/>
          <w:i w:val="1"/>
          <w:iCs w:val="1"/>
          <w:color w:val="auto"/>
        </w:rPr>
        <w:t>Laguna Canyon Premises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Laguna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Canyon Building</w:t>
      </w:r>
      <w:r>
        <w:rPr>
          <w:rFonts w:ascii="Arial" w:cs="Arial" w:eastAsia="Arial" w:hAnsi="Arial"/>
          <w:sz w:val="19"/>
          <w:szCs w:val="19"/>
          <w:color w:val="auto"/>
        </w:rPr>
        <w:t>”) to the Premises, and by a Second Amendment to Lease dated April 7, 2017, wherein Tenant added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7,000 rentable square feet of space in a building located at 49 Discovery, Suite 200, Irvine, California (“</w:t>
      </w:r>
      <w:r>
        <w:rPr>
          <w:rFonts w:ascii="Arial" w:cs="Arial" w:eastAsia="Arial" w:hAnsi="Arial"/>
          <w:sz w:val="19"/>
          <w:szCs w:val="19"/>
          <w:b w:val="1"/>
          <w:bCs w:val="1"/>
          <w:color w:val="auto"/>
        </w:rPr>
        <w:t>49</w:t>
      </w:r>
      <w:r>
        <w:rPr>
          <w:rFonts w:ascii="Arial" w:cs="Arial" w:eastAsia="Arial" w:hAnsi="Arial"/>
          <w:sz w:val="19"/>
          <w:szCs w:val="19"/>
          <w:color w:val="auto"/>
        </w:rPr>
        <w:t xml:space="preserve"> </w:t>
      </w:r>
      <w:r>
        <w:rPr>
          <w:rFonts w:ascii="Arial" w:cs="Arial" w:eastAsia="Arial" w:hAnsi="Arial"/>
          <w:sz w:val="19"/>
          <w:szCs w:val="19"/>
          <w:b w:val="1"/>
          <w:bCs w:val="1"/>
          <w:color w:val="auto"/>
        </w:rPr>
        <w:t>Discovery Premises</w:t>
      </w:r>
      <w:r>
        <w:rPr>
          <w:rFonts w:ascii="Arial" w:cs="Arial" w:eastAsia="Arial" w:hAnsi="Arial"/>
          <w:sz w:val="19"/>
          <w:szCs w:val="19"/>
          <w:color w:val="auto"/>
        </w:rPr>
        <w:t>”) to the Premises. The foregoing lease, as so amended, is hereinafter referred to as the “</w:t>
      </w:r>
      <w:r>
        <w:rPr>
          <w:rFonts w:ascii="Arial" w:cs="Arial" w:eastAsia="Arial" w:hAnsi="Arial"/>
          <w:sz w:val="19"/>
          <w:szCs w:val="19"/>
          <w:b w:val="1"/>
          <w:bCs w:val="1"/>
          <w:i w:val="1"/>
          <w:iCs w:val="1"/>
          <w:color w:val="auto"/>
        </w:rPr>
        <w:t>Lease</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Landlord and Tenant each desire to modify the Lease to terminate Tenant’s leasing of the Laguna Canyon Premises and the 49 Discovery Premises (collectively, the “</w:t>
      </w:r>
      <w:r>
        <w:rPr>
          <w:rFonts w:ascii="Arial" w:cs="Arial" w:eastAsia="Arial" w:hAnsi="Arial"/>
          <w:sz w:val="22"/>
          <w:szCs w:val="22"/>
          <w:b w:val="1"/>
          <w:bCs w:val="1"/>
          <w:i w:val="1"/>
          <w:iCs w:val="1"/>
          <w:color w:val="auto"/>
        </w:rPr>
        <w:t>Excess Space</w:t>
      </w:r>
      <w:r>
        <w:rPr>
          <w:rFonts w:ascii="Arial" w:cs="Arial" w:eastAsia="Arial" w:hAnsi="Arial"/>
          <w:sz w:val="22"/>
          <w:szCs w:val="22"/>
          <w:color w:val="auto"/>
        </w:rPr>
        <w:t xml:space="preserve">”) in exchange for leasing approximately 31,407 rentable square feet of space in a building located at 43 Discovery, Suite 200, Irvine, California, more particularly described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to this Amendment and herein referred to as the “</w:t>
      </w:r>
      <w:r>
        <w:rPr>
          <w:rFonts w:ascii="Arial" w:cs="Arial" w:eastAsia="Arial" w:hAnsi="Arial"/>
          <w:sz w:val="22"/>
          <w:szCs w:val="22"/>
          <w:b w:val="1"/>
          <w:bCs w:val="1"/>
          <w:color w:val="auto"/>
        </w:rPr>
        <w:t>43 Discovery Premises</w:t>
      </w:r>
      <w:r>
        <w:rPr>
          <w:rFonts w:ascii="Arial" w:cs="Arial" w:eastAsia="Arial" w:hAnsi="Arial"/>
          <w:sz w:val="22"/>
          <w:szCs w:val="22"/>
          <w:color w:val="auto"/>
        </w:rPr>
        <w:t>”, to extend the Lease Term as to the remainder of the Premises (i.e., the 41 Discovery Premises), to adjust the Basic Rent and to make such other modifications as are set forth in “</w:t>
      </w:r>
      <w:r>
        <w:rPr>
          <w:rFonts w:ascii="Arial" w:cs="Arial" w:eastAsia="Arial" w:hAnsi="Arial"/>
          <w:sz w:val="22"/>
          <w:szCs w:val="22"/>
          <w:b w:val="1"/>
          <w:bCs w:val="1"/>
          <w:i w:val="1"/>
          <w:iCs w:val="1"/>
          <w:color w:val="auto"/>
        </w:rPr>
        <w:t>III.</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MODIFICATIONS</w:t>
      </w:r>
      <w:r>
        <w:rPr>
          <w:rFonts w:ascii="Arial" w:cs="Arial" w:eastAsia="Arial" w:hAnsi="Arial"/>
          <w:sz w:val="22"/>
          <w:szCs w:val="22"/>
          <w:color w:val="auto"/>
        </w:rPr>
        <w:t>” next below.</w:t>
      </w:r>
    </w:p>
    <w:p>
      <w:pPr>
        <w:spacing w:after="0" w:line="218" w:lineRule="exact"/>
        <w:rPr>
          <w:sz w:val="20"/>
          <w:szCs w:val="20"/>
          <w:color w:val="auto"/>
        </w:rPr>
      </w:pPr>
    </w:p>
    <w:p>
      <w:pPr>
        <w:ind w:left="660" w:hanging="652"/>
        <w:spacing w:after="0"/>
        <w:tabs>
          <w:tab w:leader="none" w:pos="66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42" w:lineRule="exact"/>
        <w:rPr>
          <w:rFonts w:ascii="Arial" w:cs="Arial" w:eastAsia="Arial" w:hAnsi="Arial"/>
          <w:sz w:val="18"/>
          <w:szCs w:val="18"/>
          <w:b w:val="1"/>
          <w:bCs w:val="1"/>
          <w:color w:val="auto"/>
        </w:rPr>
      </w:pPr>
    </w:p>
    <w:p>
      <w:pPr>
        <w:jc w:val="both"/>
        <w:ind w:firstLine="656"/>
        <w:spacing w:after="0" w:line="276" w:lineRule="auto"/>
        <w:tabs>
          <w:tab w:leader="none" w:pos="1411" w:val="left"/>
        </w:tabs>
        <w:numPr>
          <w:ilvl w:val="1"/>
          <w:numId w:val="366"/>
        </w:numPr>
        <w:rPr>
          <w:rFonts w:ascii="Arial" w:cs="Arial" w:eastAsia="Arial" w:hAnsi="Arial"/>
          <w:sz w:val="19"/>
          <w:szCs w:val="19"/>
          <w:color w:val="auto"/>
        </w:rPr>
      </w:pPr>
      <w:r>
        <w:rPr>
          <w:rFonts w:ascii="Arial" w:cs="Arial" w:eastAsia="Arial" w:hAnsi="Arial"/>
          <w:sz w:val="19"/>
          <w:szCs w:val="19"/>
          <w:b w:val="1"/>
          <w:bCs w:val="1"/>
          <w:color w:val="auto"/>
        </w:rPr>
        <w:t>Termination as to the Excess Space</w:t>
      </w:r>
      <w:r>
        <w:rPr>
          <w:rFonts w:ascii="Arial" w:cs="Arial" w:eastAsia="Arial" w:hAnsi="Arial"/>
          <w:sz w:val="19"/>
          <w:szCs w:val="19"/>
          <w:color w:val="auto"/>
        </w:rPr>
        <w:t>. Notwithstanding anything to the contrary set forth in the Lease,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Tenant’s lease as to the Excess Space shall terminate on the day immediately preceding the Commencement Date for the 43 Discovery Premises (the “</w:t>
      </w:r>
      <w:r>
        <w:rPr>
          <w:rFonts w:ascii="Arial" w:cs="Arial" w:eastAsia="Arial" w:hAnsi="Arial"/>
          <w:sz w:val="19"/>
          <w:szCs w:val="19"/>
          <w:b w:val="1"/>
          <w:bCs w:val="1"/>
          <w:i w:val="1"/>
          <w:iCs w:val="1"/>
          <w:color w:val="auto"/>
        </w:rPr>
        <w:t>Termination Date for the Excess Space</w:t>
      </w:r>
      <w:r>
        <w:rPr>
          <w:rFonts w:ascii="Arial" w:cs="Arial" w:eastAsia="Arial" w:hAnsi="Arial"/>
          <w:sz w:val="19"/>
          <w:szCs w:val="19"/>
          <w:color w:val="auto"/>
        </w:rPr>
        <w:t>”), provided that such termination shall not relieve Tenant of (i) any rent or other charges owed by Tenant, or other obligations required of Tenant, as are set forth in the Lease with respect to the Excess Space from and after the date of this Amendment through and including the Termination Date for the Excess Space, (ii) any obligations which are set forth in this Amendment, and (iii) any indemnity or hold harmless obligations set forth in the Lease as to the Excess Space. Tenant shall quit and surrender possession of the Excess Space to Landlord on or before the date that is 7 days after the Termination Date for the Excess Space as required by the provisions of Section 15.2 of the Lease.</w:t>
      </w:r>
    </w:p>
    <w:p>
      <w:pPr>
        <w:spacing w:after="0" w:line="176" w:lineRule="exact"/>
        <w:rPr>
          <w:rFonts w:ascii="Arial" w:cs="Arial" w:eastAsia="Arial" w:hAnsi="Arial"/>
          <w:sz w:val="19"/>
          <w:szCs w:val="19"/>
          <w:color w:val="auto"/>
        </w:rPr>
      </w:pPr>
    </w:p>
    <w:p>
      <w:pPr>
        <w:jc w:val="both"/>
        <w:ind w:firstLine="656"/>
        <w:spacing w:after="0" w:line="245" w:lineRule="auto"/>
        <w:tabs>
          <w:tab w:leader="none" w:pos="1521" w:val="left"/>
        </w:tabs>
        <w:numPr>
          <w:ilvl w:val="1"/>
          <w:numId w:val="366"/>
        </w:numPr>
        <w:rPr>
          <w:rFonts w:ascii="Arial" w:cs="Arial" w:eastAsia="Arial" w:hAnsi="Arial"/>
          <w:sz w:val="21"/>
          <w:szCs w:val="21"/>
          <w:color w:val="auto"/>
        </w:rPr>
      </w:pPr>
      <w:r>
        <w:rPr>
          <w:rFonts w:ascii="Arial" w:cs="Arial" w:eastAsia="Arial" w:hAnsi="Arial"/>
          <w:sz w:val="21"/>
          <w:szCs w:val="21"/>
          <w:b w:val="1"/>
          <w:bCs w:val="1"/>
          <w:color w:val="auto"/>
        </w:rPr>
        <w:t>Premises/Building</w:t>
      </w:r>
      <w:r>
        <w:rPr>
          <w:rFonts w:ascii="Arial" w:cs="Arial" w:eastAsia="Arial" w:hAnsi="Arial"/>
          <w:sz w:val="21"/>
          <w:szCs w:val="21"/>
          <w:color w:val="auto"/>
        </w:rPr>
        <w:t>. Effective as of the “</w:t>
      </w:r>
      <w:r>
        <w:rPr>
          <w:rFonts w:ascii="Arial" w:cs="Arial" w:eastAsia="Arial" w:hAnsi="Arial"/>
          <w:sz w:val="21"/>
          <w:szCs w:val="21"/>
          <w:b w:val="1"/>
          <w:bCs w:val="1"/>
          <w:i w:val="1"/>
          <w:iCs w:val="1"/>
          <w:color w:val="auto"/>
        </w:rPr>
        <w:t>Commencement Date for the 43 Discovery Premises</w:t>
      </w:r>
      <w:r>
        <w:rPr>
          <w:rFonts w:ascii="Arial" w:cs="Arial" w:eastAsia="Arial" w:hAnsi="Arial"/>
          <w:sz w:val="21"/>
          <w:szCs w:val="21"/>
          <w:color w:val="auto"/>
        </w:rPr>
        <w:t>” (as hereinafter</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the “</w:t>
      </w:r>
      <w:r>
        <w:rPr>
          <w:rFonts w:ascii="Arial" w:cs="Arial" w:eastAsia="Arial" w:hAnsi="Arial"/>
          <w:sz w:val="21"/>
          <w:szCs w:val="21"/>
          <w:b w:val="1"/>
          <w:bCs w:val="1"/>
          <w:i w:val="1"/>
          <w:iCs w:val="1"/>
          <w:color w:val="auto"/>
        </w:rPr>
        <w:t>Premises</w:t>
      </w:r>
      <w:r>
        <w:rPr>
          <w:rFonts w:ascii="Arial" w:cs="Arial" w:eastAsia="Arial" w:hAnsi="Arial"/>
          <w:sz w:val="21"/>
          <w:szCs w:val="21"/>
          <w:color w:val="auto"/>
        </w:rPr>
        <w:t xml:space="preserve">” under the Lease shall consist of the 41 Discovery Premises and the 43 Discovery Premises (and references to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to the Lease shall also include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attached to this Amendment), and all references to the “</w:t>
      </w:r>
      <w:r>
        <w:rPr>
          <w:rFonts w:ascii="Arial" w:cs="Arial" w:eastAsia="Arial" w:hAnsi="Arial"/>
          <w:sz w:val="21"/>
          <w:szCs w:val="21"/>
          <w:b w:val="1"/>
          <w:bCs w:val="1"/>
          <w:i w:val="1"/>
          <w:iCs w:val="1"/>
          <w:color w:val="auto"/>
        </w:rPr>
        <w:t>Building</w:t>
      </w:r>
      <w:r>
        <w:rPr>
          <w:rFonts w:ascii="Arial" w:cs="Arial" w:eastAsia="Arial" w:hAnsi="Arial"/>
          <w:sz w:val="21"/>
          <w:szCs w:val="21"/>
          <w:color w:val="auto"/>
        </w:rPr>
        <w:t>” in the Lease shall be amended to refer to the two (2) buildings located at 41 Discovery, Irvine, California and 43 Discovery, Irvine, California (“</w:t>
      </w:r>
      <w:r>
        <w:rPr>
          <w:rFonts w:ascii="Arial" w:cs="Arial" w:eastAsia="Arial" w:hAnsi="Arial"/>
          <w:sz w:val="21"/>
          <w:szCs w:val="21"/>
          <w:b w:val="1"/>
          <w:bCs w:val="1"/>
          <w:color w:val="auto"/>
        </w:rPr>
        <w:t>43 Discovery Building</w:t>
      </w:r>
      <w:r>
        <w:rPr>
          <w:rFonts w:ascii="Arial" w:cs="Arial" w:eastAsia="Arial" w:hAnsi="Arial"/>
          <w:sz w:val="21"/>
          <w:szCs w:val="21"/>
          <w:color w:val="auto"/>
        </w:rPr>
        <w:t>”), either collectively or individually as the context may reasonably require; provided, that, for the avoidance of doubt, Tenant’s obligations under the Lease and this Amendment with respect to the 43 Discovery Building shall only extend to Suite 200 located in the 43 Discovery Building and Tenant shall not have any obligations with respect to any of the other office space or areas located in or around the 43 Discovery Building (unless such areas constitute Common Areas as defined under the Lease, then Tenant’s obligations with respect to such Common Areas shall be as set forth in the Lease).</w:t>
      </w:r>
    </w:p>
    <w:p>
      <w:pPr>
        <w:spacing w:after="0" w:line="207" w:lineRule="exact"/>
        <w:rPr>
          <w:rFonts w:ascii="Arial" w:cs="Arial" w:eastAsia="Arial" w:hAnsi="Arial"/>
          <w:sz w:val="21"/>
          <w:szCs w:val="21"/>
          <w:color w:val="auto"/>
        </w:rPr>
      </w:pPr>
    </w:p>
    <w:p>
      <w:pPr>
        <w:ind w:left="1400" w:hanging="744"/>
        <w:spacing w:after="0"/>
        <w:tabs>
          <w:tab w:leader="none" w:pos="1400" w:val="left"/>
        </w:tabs>
        <w:numPr>
          <w:ilvl w:val="1"/>
          <w:numId w:val="366"/>
        </w:numPr>
        <w:rPr>
          <w:rFonts w:ascii="Arial" w:cs="Arial" w:eastAsia="Arial" w:hAnsi="Arial"/>
          <w:sz w:val="22"/>
          <w:szCs w:val="22"/>
          <w:color w:val="auto"/>
        </w:rPr>
      </w:pPr>
      <w:r>
        <w:rPr>
          <w:rFonts w:ascii="Arial" w:cs="Arial" w:eastAsia="Arial" w:hAnsi="Arial"/>
          <w:sz w:val="22"/>
          <w:szCs w:val="22"/>
          <w:b w:val="1"/>
          <w:bCs w:val="1"/>
          <w:color w:val="auto"/>
        </w:rPr>
        <w:t>Basic Lease Provisions</w:t>
      </w:r>
      <w:r>
        <w:rPr>
          <w:rFonts w:ascii="Arial" w:cs="Arial" w:eastAsia="Arial" w:hAnsi="Arial"/>
          <w:sz w:val="22"/>
          <w:szCs w:val="22"/>
          <w:color w:val="auto"/>
        </w:rPr>
        <w:t>. The Basic Lease Provisions are hereby amended as follows:</w:t>
      </w:r>
    </w:p>
    <w:p>
      <w:pPr>
        <w:spacing w:after="0" w:line="239" w:lineRule="exact"/>
        <w:rPr>
          <w:sz w:val="20"/>
          <w:szCs w:val="20"/>
          <w:color w:val="auto"/>
        </w:rPr>
      </w:pPr>
    </w:p>
    <w:p>
      <w:pPr>
        <w:ind w:left="1300" w:firstLine="4"/>
        <w:spacing w:after="0" w:line="250" w:lineRule="auto"/>
        <w:tabs>
          <w:tab w:leader="none" w:pos="2192" w:val="left"/>
        </w:tabs>
        <w:numPr>
          <w:ilvl w:val="0"/>
          <w:numId w:val="367"/>
        </w:numPr>
        <w:rPr>
          <w:rFonts w:ascii="Arial" w:cs="Arial" w:eastAsia="Arial" w:hAnsi="Arial"/>
          <w:sz w:val="22"/>
          <w:szCs w:val="22"/>
          <w:color w:val="auto"/>
        </w:rPr>
      </w:pPr>
      <w:r>
        <w:rPr>
          <w:rFonts w:ascii="Arial" w:cs="Arial" w:eastAsia="Arial" w:hAnsi="Arial"/>
          <w:sz w:val="22"/>
          <w:szCs w:val="22"/>
          <w:color w:val="auto"/>
        </w:rPr>
        <w:t>Effective as of the Commencement Date for the 43 Discovery Premises, Item 2 shall be deleted in its entirety and substituted therefore shall be the following:</w:t>
      </w:r>
    </w:p>
    <w:p>
      <w:pPr>
        <w:spacing w:after="0" w:line="196"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b w:val="1"/>
          <w:bCs w:val="1"/>
          <w:color w:val="auto"/>
        </w:rPr>
        <w:t>Premises</w:t>
      </w:r>
      <w:r>
        <w:rPr>
          <w:rFonts w:ascii="Arial" w:cs="Arial" w:eastAsia="Arial" w:hAnsi="Arial"/>
          <w:sz w:val="22"/>
          <w:szCs w:val="22"/>
          <w:color w:val="auto"/>
        </w:rPr>
        <w:t>: The Premises are more particularly described in Section 2.1.</w:t>
      </w:r>
    </w:p>
    <w:p>
      <w:pPr>
        <w:spacing w:after="0" w:line="242" w:lineRule="exact"/>
        <w:rPr>
          <w:sz w:val="20"/>
          <w:szCs w:val="20"/>
          <w:color w:val="auto"/>
        </w:rPr>
      </w:pPr>
    </w:p>
    <w:p>
      <w:pPr>
        <w:ind w:left="1960"/>
        <w:spacing w:after="0"/>
        <w:tabs>
          <w:tab w:leader="none" w:pos="3800" w:val="left"/>
        </w:tabs>
        <w:rPr>
          <w:sz w:val="20"/>
          <w:szCs w:val="20"/>
          <w:color w:val="auto"/>
        </w:rPr>
      </w:pPr>
      <w:r>
        <w:rPr>
          <w:rFonts w:ascii="Arial" w:cs="Arial" w:eastAsia="Arial" w:hAnsi="Arial"/>
          <w:sz w:val="18"/>
          <w:szCs w:val="18"/>
          <w:b w:val="1"/>
          <w:bCs w:val="1"/>
          <w:color w:val="auto"/>
        </w:rPr>
        <w:t>Address of Buildings:</w:t>
      </w:r>
      <w:r>
        <w:rPr>
          <w:sz w:val="20"/>
          <w:szCs w:val="20"/>
          <w:color w:val="auto"/>
        </w:rPr>
        <w:tab/>
      </w:r>
      <w:r>
        <w:rPr>
          <w:rFonts w:ascii="Arial" w:cs="Arial" w:eastAsia="Arial" w:hAnsi="Arial"/>
          <w:sz w:val="16"/>
          <w:szCs w:val="16"/>
          <w:color w:val="auto"/>
        </w:rPr>
        <w:t>41 Discovery, Irvine, CA 92618</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43 Discovery, Suite 200, Irvine, CA</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92618</w:t>
      </w:r>
    </w:p>
    <w:p>
      <w:pPr>
        <w:spacing w:after="0" w:line="9" w:lineRule="exact"/>
        <w:rPr>
          <w:sz w:val="20"/>
          <w:szCs w:val="20"/>
          <w:color w:val="auto"/>
        </w:rPr>
      </w:pPr>
    </w:p>
    <w:p>
      <w:pPr>
        <w:ind w:left="1960"/>
        <w:spacing w:after="0"/>
        <w:tabs>
          <w:tab w:leader="none" w:pos="3800" w:val="left"/>
        </w:tabs>
        <w:rPr>
          <w:sz w:val="20"/>
          <w:szCs w:val="20"/>
          <w:color w:val="auto"/>
        </w:rPr>
      </w:pPr>
      <w:r>
        <w:rPr>
          <w:rFonts w:ascii="Arial" w:cs="Arial" w:eastAsia="Arial" w:hAnsi="Arial"/>
          <w:sz w:val="18"/>
          <w:szCs w:val="18"/>
          <w:b w:val="1"/>
          <w:bCs w:val="1"/>
          <w:color w:val="auto"/>
        </w:rPr>
        <w:t>Project Description:</w:t>
      </w:r>
      <w:r>
        <w:rPr>
          <w:sz w:val="20"/>
          <w:szCs w:val="20"/>
          <w:color w:val="auto"/>
        </w:rPr>
        <w:tab/>
      </w:r>
      <w:r>
        <w:rPr>
          <w:rFonts w:ascii="Arial" w:cs="Arial" w:eastAsia="Arial" w:hAnsi="Arial"/>
          <w:sz w:val="16"/>
          <w:szCs w:val="16"/>
          <w:color w:val="auto"/>
        </w:rPr>
        <w:t>Discovery Business Center</w:t>
      </w:r>
    </w:p>
    <w:p>
      <w:pPr>
        <w:sectPr>
          <w:pgSz w:w="11900" w:h="16838" w:orient="portrait"/>
          <w:cols w:equalWidth="0" w:num="1">
            <w:col w:w="11240"/>
          </w:cols>
          <w:pgMar w:left="320" w:top="274" w:right="339" w:bottom="102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020" w:gutter="0" w:footer="0" w:header="0"/>
          <w:type w:val="continuous"/>
        </w:sectPr>
      </w:pPr>
    </w:p>
    <w:bookmarkStart w:id="397" w:name="page398"/>
    <w:bookmarkEnd w:id="397"/>
    <w:p>
      <w:pPr>
        <w:ind w:left="880" w:hanging="696"/>
        <w:spacing w:after="0"/>
        <w:tabs>
          <w:tab w:leader="none" w:pos="88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Item 4 is hereby amended by adding the following:</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Commencement Date for the 43 Discovery Premises: November 1, 2018</w:t>
      </w:r>
      <w:r>
        <w:rPr>
          <w:rFonts w:ascii="Arial" w:cs="Arial" w:eastAsia="Arial" w:hAnsi="Arial"/>
          <w:sz w:val="22"/>
          <w:szCs w:val="22"/>
          <w:color w:val="auto"/>
        </w:rPr>
        <w:t>”</w:t>
      </w:r>
    </w:p>
    <w:p>
      <w:pPr>
        <w:spacing w:after="0" w:line="233" w:lineRule="exact"/>
        <w:rPr>
          <w:sz w:val="20"/>
          <w:szCs w:val="20"/>
          <w:color w:val="auto"/>
        </w:rPr>
      </w:pPr>
    </w:p>
    <w:p>
      <w:pPr>
        <w:jc w:val="both"/>
        <w:ind w:left="84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Commencement Date for the 43 Discovery Premises</w:t>
      </w:r>
      <w:r>
        <w:rPr>
          <w:rFonts w:ascii="Arial" w:cs="Arial" w:eastAsia="Arial" w:hAnsi="Arial"/>
          <w:sz w:val="19"/>
          <w:szCs w:val="19"/>
          <w:color w:val="auto"/>
        </w:rPr>
        <w:t>” shall mean the earlier of (a) Landlord’s tender of possession of the 43 Discovery Premises to Tenant with the “</w:t>
      </w:r>
      <w:r>
        <w:rPr>
          <w:rFonts w:ascii="Arial" w:cs="Arial" w:eastAsia="Arial" w:hAnsi="Arial"/>
          <w:sz w:val="19"/>
          <w:szCs w:val="19"/>
          <w:b w:val="1"/>
          <w:bCs w:val="1"/>
          <w:i w:val="1"/>
          <w:iCs w:val="1"/>
          <w:color w:val="auto"/>
        </w:rPr>
        <w:t>Tenant Improvements</w:t>
      </w:r>
      <w:r>
        <w:rPr>
          <w:rFonts w:ascii="Arial" w:cs="Arial" w:eastAsia="Arial" w:hAnsi="Arial"/>
          <w:sz w:val="19"/>
          <w:szCs w:val="19"/>
          <w:color w:val="auto"/>
        </w:rPr>
        <w:t>” (as hereinafter defined and as defined) for the 43 Discovery Premises substantially completed but for minor punch list items, or (b) the date Tenant commences its business operations in the 43 Discovery Premises. Prior to Tenant’s taking possession of the 43 Discovery Premises, the parties shall memorialize on a form provided by Landlord the actual Commencement Date for the 43 Discovery Premises, provided that Tenant’s failure to execute that form shall not affect the validity of Landlord’s determination of said date. Tenant acknowledges that neither Landlord nor any representative of Landlord has made any representation or warranty with respect to the 43 Discovery Premises, the 43 Discovery Building or the Project or the suitability or fitness of either for any purpose, except as expressly set forth in the Lease. As of the Commencement Date for the 43 Discovery Premises, Tenant shall be conclusively deemed to have accepted that the 43 Discovery Premises is in satisfactory condition and in conformity with the provisions of the Lease, subject only to those defective or incomplete portions of the Tenant Improvements for the 43 Discovery Premises which Tenant shall have itemized on a written punch list and delivered to Landlord within thirty (30) days after the Commencement Date for the 43 Discovery Premises. Landlord shall promptly complete all punch list matters of which it is so notified.”</w:t>
      </w:r>
    </w:p>
    <w:p>
      <w:pPr>
        <w:spacing w:after="0" w:line="184" w:lineRule="exact"/>
        <w:rPr>
          <w:sz w:val="20"/>
          <w:szCs w:val="20"/>
          <w:color w:val="auto"/>
        </w:rPr>
      </w:pPr>
    </w:p>
    <w:p>
      <w:pPr>
        <w:ind w:left="880" w:hanging="696"/>
        <w:spacing w:after="0"/>
        <w:tabs>
          <w:tab w:leader="none" w:pos="88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Item 5 is hereby amended by adding the following:</w:t>
      </w:r>
    </w:p>
    <w:p>
      <w:pPr>
        <w:spacing w:after="0" w:line="227" w:lineRule="exact"/>
        <w:rPr>
          <w:sz w:val="20"/>
          <w:szCs w:val="20"/>
          <w:color w:val="auto"/>
        </w:rPr>
      </w:pPr>
    </w:p>
    <w:p>
      <w:pPr>
        <w:ind w:left="840"/>
        <w:spacing w:after="0" w:line="256" w:lineRule="auto"/>
        <w:rPr>
          <w:sz w:val="20"/>
          <w:szCs w:val="20"/>
          <w:color w:val="auto"/>
        </w:rPr>
      </w:pPr>
      <w:r>
        <w:rPr>
          <w:rFonts w:ascii="Arial" w:cs="Arial" w:eastAsia="Arial" w:hAnsi="Arial"/>
          <w:sz w:val="22"/>
          <w:szCs w:val="22"/>
          <w:color w:val="auto"/>
        </w:rPr>
        <w:t xml:space="preserve">“5. </w:t>
      </w:r>
      <w:r>
        <w:rPr>
          <w:rFonts w:ascii="Arial" w:cs="Arial" w:eastAsia="Arial" w:hAnsi="Arial"/>
          <w:sz w:val="22"/>
          <w:szCs w:val="22"/>
          <w:b w:val="1"/>
          <w:bCs w:val="1"/>
          <w:color w:val="auto"/>
        </w:rPr>
        <w:t>Lease Term as to the Entire Premises</w:t>
      </w:r>
      <w:r>
        <w:rPr>
          <w:rFonts w:ascii="Arial" w:cs="Arial" w:eastAsia="Arial" w:hAnsi="Arial"/>
          <w:sz w:val="22"/>
          <w:szCs w:val="22"/>
          <w:color w:val="auto"/>
        </w:rPr>
        <w:t>: The Term of this Lease as to the entire Premises shall expire on February 28, 2025.”</w:t>
      </w:r>
    </w:p>
    <w:p>
      <w:pPr>
        <w:spacing w:after="0" w:line="195" w:lineRule="exact"/>
        <w:rPr>
          <w:sz w:val="20"/>
          <w:szCs w:val="20"/>
          <w:color w:val="auto"/>
        </w:rPr>
      </w:pPr>
    </w:p>
    <w:p>
      <w:pPr>
        <w:ind w:left="840" w:right="4820" w:hanging="656"/>
        <w:spacing w:after="0" w:line="545" w:lineRule="auto"/>
        <w:tabs>
          <w:tab w:leader="none" w:pos="894" w:val="left"/>
        </w:tabs>
        <w:numPr>
          <w:ilvl w:val="0"/>
          <w:numId w:val="370"/>
        </w:numPr>
        <w:rPr>
          <w:rFonts w:ascii="Arial" w:cs="Arial" w:eastAsia="Arial" w:hAnsi="Arial"/>
          <w:sz w:val="19"/>
          <w:szCs w:val="19"/>
          <w:color w:val="auto"/>
        </w:rPr>
      </w:pPr>
      <w:r>
        <w:rPr>
          <w:rFonts w:ascii="Arial" w:cs="Arial" w:eastAsia="Arial" w:hAnsi="Arial"/>
          <w:sz w:val="19"/>
          <w:szCs w:val="19"/>
          <w:color w:val="auto"/>
        </w:rPr>
        <w:t>Item 6 is hereby amended by adding the following: “</w:t>
      </w:r>
      <w:r>
        <w:rPr>
          <w:rFonts w:ascii="Arial" w:cs="Arial" w:eastAsia="Arial" w:hAnsi="Arial"/>
          <w:sz w:val="19"/>
          <w:szCs w:val="19"/>
          <w:b w:val="1"/>
          <w:bCs w:val="1"/>
          <w:color w:val="auto"/>
        </w:rPr>
        <w:t>Basic Rent for the 43 Discovery Premises</w:t>
      </w:r>
      <w:r>
        <w:rPr>
          <w:rFonts w:ascii="Arial" w:cs="Arial" w:eastAsia="Arial" w:hAnsi="Arial"/>
          <w:sz w:val="19"/>
          <w:szCs w:val="19"/>
          <w:color w:val="auto"/>
        </w:rPr>
        <w:t>:</w:t>
      </w:r>
    </w:p>
    <w:tbl>
      <w:tblPr>
        <w:tblLayout w:type="fixed"/>
        <w:tblInd w:w="850" w:type="dxa"/>
        <w:tblCellMar>
          <w:top w:w="0" w:type="dxa"/>
          <w:left w:w="0" w:type="dxa"/>
          <w:bottom w:w="0" w:type="dxa"/>
          <w:right w:w="0" w:type="dxa"/>
        </w:tblCellMar>
      </w:tblPr>
      <w:tr>
        <w:trPr>
          <w:trHeight w:val="206"/>
        </w:trPr>
        <w:tc>
          <w:tcPr>
            <w:tcW w:w="194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2"/>
              </w:rPr>
              <w:t>Months of Term or</w:t>
            </w:r>
          </w:p>
        </w:tc>
        <w:tc>
          <w:tcPr>
            <w:tcW w:w="18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3"/>
              </w:rPr>
              <w:t>Monthly Rate Per</w:t>
            </w:r>
          </w:p>
        </w:tc>
        <w:tc>
          <w:tcPr>
            <w:tcW w:w="182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0"/>
              </w:rPr>
              <w:t>Monthly Basic Rent</w:t>
            </w: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Rentable Square Foot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(rounded to the</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nearest dollar)</w:t>
            </w:r>
          </w:p>
        </w:tc>
      </w:tr>
      <w:tr>
        <w:trPr>
          <w:trHeight w:val="202"/>
        </w:trPr>
        <w:tc>
          <w:tcPr>
            <w:tcW w:w="19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Commencement Date for</w:t>
            </w:r>
          </w:p>
        </w:tc>
        <w:tc>
          <w:tcPr>
            <w:tcW w:w="180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43 Discovery</w:t>
            </w: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Premises to February 28,</w:t>
            </w: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37"/>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$66,897.00</w:t>
            </w:r>
          </w:p>
        </w:tc>
      </w:tr>
    </w:tbl>
    <w:p>
      <w:pPr>
        <w:spacing w:after="0" w:line="222" w:lineRule="exact"/>
        <w:rPr>
          <w:sz w:val="20"/>
          <w:szCs w:val="20"/>
          <w:color w:val="auto"/>
        </w:rPr>
      </w:pPr>
    </w:p>
    <w:p>
      <w:pPr>
        <w:jc w:val="both"/>
        <w:ind w:left="840"/>
        <w:spacing w:after="0" w:line="271" w:lineRule="auto"/>
        <w:rPr>
          <w:sz w:val="20"/>
          <w:szCs w:val="20"/>
          <w:color w:val="auto"/>
        </w:rPr>
      </w:pPr>
      <w:r>
        <w:rPr>
          <w:rFonts w:ascii="Arial" w:cs="Arial" w:eastAsia="Arial" w:hAnsi="Arial"/>
          <w:sz w:val="19"/>
          <w:szCs w:val="19"/>
          <w:color w:val="auto"/>
        </w:rPr>
        <w:t>Notwithstanding the above schedule of Basic Rent to the contrary (or the schedule of Basic Rent set forth below, if the Commencement Date for the 43 Discovery Premises occurs after November 1, 2018), as long as Tenant is not in Default (as defined in Section 14.1) under this Lease, Tenant shall be entitled to an abatement of 4 full calendar months of Basic Rent for the 43 Discovery Premises in the aggregate amount of $267,588.00 (i.e. $66,897.00 per month) (the “</w:t>
      </w:r>
      <w:r>
        <w:rPr>
          <w:rFonts w:ascii="Arial" w:cs="Arial" w:eastAsia="Arial" w:hAnsi="Arial"/>
          <w:sz w:val="19"/>
          <w:szCs w:val="19"/>
          <w:b w:val="1"/>
          <w:bCs w:val="1"/>
          <w:i w:val="1"/>
          <w:iCs w:val="1"/>
          <w:color w:val="auto"/>
        </w:rPr>
        <w:t>Abated Basic Rent</w:t>
      </w:r>
      <w:r>
        <w:rPr>
          <w:rFonts w:ascii="Arial" w:cs="Arial" w:eastAsia="Arial" w:hAnsi="Arial"/>
          <w:sz w:val="19"/>
          <w:szCs w:val="19"/>
          <w:color w:val="auto"/>
        </w:rPr>
        <w:t>”) for the initial four full calendar months of the Term as to the 43 Discovery Premises (the “</w:t>
      </w:r>
      <w:r>
        <w:rPr>
          <w:rFonts w:ascii="Arial" w:cs="Arial" w:eastAsia="Arial" w:hAnsi="Arial"/>
          <w:sz w:val="19"/>
          <w:szCs w:val="19"/>
          <w:b w:val="1"/>
          <w:bCs w:val="1"/>
          <w:i w:val="1"/>
          <w:iCs w:val="1"/>
          <w:color w:val="auto"/>
        </w:rPr>
        <w:t>Abatement Period</w:t>
      </w:r>
      <w:r>
        <w:rPr>
          <w:rFonts w:ascii="Arial" w:cs="Arial" w:eastAsia="Arial" w:hAnsi="Arial"/>
          <w:sz w:val="19"/>
          <w:szCs w:val="19"/>
          <w:color w:val="auto"/>
        </w:rPr>
        <w:t>”). In the event Tenant Defaults at any time during the Term beyond any applicable “</w:t>
      </w:r>
      <w:r>
        <w:rPr>
          <w:rFonts w:ascii="Arial" w:cs="Arial" w:eastAsia="Arial" w:hAnsi="Arial"/>
          <w:sz w:val="19"/>
          <w:szCs w:val="19"/>
          <w:b w:val="1"/>
          <w:bCs w:val="1"/>
          <w:color w:val="auto"/>
        </w:rPr>
        <w:t>cure</w:t>
      </w:r>
      <w:r>
        <w:rPr>
          <w:rFonts w:ascii="Arial" w:cs="Arial" w:eastAsia="Arial" w:hAnsi="Arial"/>
          <w:sz w:val="19"/>
          <w:szCs w:val="19"/>
          <w:color w:val="auto"/>
        </w:rPr>
        <w:t>” period with the result that Tenant’s right to possession of the Premises is terminated, then unamortized Abated Basic Rent to the date of such termination (amortized over the initial 76 months of the Term as to the 43 Discovery Premises) shall immediately become due and payable. The payment by Tenant of the unamortized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as due and payable pursuant to the provisions of this Lease.</w:t>
      </w:r>
    </w:p>
    <w:p>
      <w:pPr>
        <w:spacing w:after="0" w:line="200" w:lineRule="exact"/>
        <w:rPr>
          <w:sz w:val="20"/>
          <w:szCs w:val="20"/>
          <w:color w:val="auto"/>
        </w:rPr>
      </w:pPr>
    </w:p>
    <w:p>
      <w:pPr>
        <w:spacing w:after="0" w:line="23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Basic Rent for the entire Premises</w:t>
      </w:r>
      <w:r>
        <w:rPr>
          <w:rFonts w:ascii="Arial" w:cs="Arial" w:eastAsia="Arial" w:hAnsi="Arial"/>
          <w:sz w:val="22"/>
          <w:szCs w:val="22"/>
          <w:color w:val="auto"/>
        </w:rPr>
        <w:t>:</w:t>
      </w:r>
    </w:p>
    <w:p>
      <w:pPr>
        <w:sectPr>
          <w:pgSz w:w="11900" w:h="16838" w:orient="portrait"/>
          <w:cols w:equalWidth="0" w:num="1">
            <w:col w:w="10120"/>
          </w:cols>
          <w:pgMar w:left="1440" w:top="11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type w:val="continuous"/>
        </w:sectPr>
      </w:pPr>
    </w:p>
    <w:bookmarkStart w:id="398" w:name="page399"/>
    <w:bookmarkEnd w:id="398"/>
    <w:tbl>
      <w:tblPr>
        <w:tblLayout w:type="fixed"/>
        <w:tblInd w:w="1870" w:type="dxa"/>
        <w:tblCellMar>
          <w:top w:w="0" w:type="dxa"/>
          <w:left w:w="0" w:type="dxa"/>
          <w:bottom w:w="0" w:type="dxa"/>
          <w:right w:w="0" w:type="dxa"/>
        </w:tblCellMar>
      </w:tblPr>
      <w:tr>
        <w:trPr>
          <w:trHeight w:val="225"/>
        </w:trPr>
        <w:tc>
          <w:tcPr>
            <w:tcW w:w="1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Months of Term or</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Monthly Rate Per</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Monthly Basic Rent</w:t>
            </w: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Rentable Square Foot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(rounded to the nearest</w:t>
            </w:r>
          </w:p>
        </w:tc>
      </w:tr>
      <w:tr>
        <w:trPr>
          <w:trHeight w:val="241"/>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dollar)</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2019</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toFebruary 29, 2020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$162,364.00</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2020</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toFebruary 29, 2021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$169,987.00</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2021</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toFebruary 29, 2022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$177,609.00</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2022</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toFebruary 29, 2023</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$185,232.00</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2023</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toFebruary 29, 2024</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$2.54</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$193,617.00</w:t>
            </w:r>
          </w:p>
        </w:tc>
      </w:tr>
      <w:tr>
        <w:trPr>
          <w:trHeight w:val="202"/>
        </w:trPr>
        <w:tc>
          <w:tcPr>
            <w:tcW w:w="18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March 1, 2024</w:t>
            </w:r>
          </w:p>
        </w:tc>
        <w:tc>
          <w:tcPr>
            <w:tcW w:w="184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7"/>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toExpiration 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$202,002.00</w:t>
            </w:r>
          </w:p>
        </w:tc>
      </w:tr>
    </w:tbl>
    <w:p>
      <w:pPr>
        <w:spacing w:after="0" w:line="222" w:lineRule="exact"/>
        <w:rPr>
          <w:sz w:val="20"/>
          <w:szCs w:val="20"/>
          <w:color w:val="auto"/>
        </w:rPr>
      </w:pPr>
    </w:p>
    <w:p>
      <w:pPr>
        <w:jc w:val="both"/>
        <w:ind w:left="1860"/>
        <w:spacing w:after="0" w:line="257" w:lineRule="auto"/>
        <w:rPr>
          <w:sz w:val="20"/>
          <w:szCs w:val="20"/>
          <w:color w:val="auto"/>
        </w:rPr>
      </w:pPr>
      <w:r>
        <w:rPr>
          <w:rFonts w:ascii="Arial" w:cs="Arial" w:eastAsia="Arial" w:hAnsi="Arial"/>
          <w:sz w:val="21"/>
          <w:szCs w:val="21"/>
          <w:color w:val="auto"/>
        </w:rPr>
        <w:t>For the avoidance of doubt, the Basic Rent for the 41 Discovery Premises for the period commencing on the Commencement Date for the 43 Discovery Premises and ending on February 28, 2019 shall be the amount set forth in the Lease with respect to the 41 Discovery Premises.</w:t>
      </w:r>
    </w:p>
    <w:p>
      <w:pPr>
        <w:spacing w:after="0" w:line="196" w:lineRule="exact"/>
        <w:rPr>
          <w:sz w:val="20"/>
          <w:szCs w:val="20"/>
          <w:color w:val="auto"/>
        </w:rPr>
      </w:pPr>
    </w:p>
    <w:p>
      <w:pPr>
        <w:ind w:left="1200" w:firstLine="4"/>
        <w:spacing w:after="0" w:line="250" w:lineRule="auto"/>
        <w:tabs>
          <w:tab w:leader="none" w:pos="2092" w:val="left"/>
        </w:tabs>
        <w:numPr>
          <w:ilvl w:val="0"/>
          <w:numId w:val="371"/>
        </w:numPr>
        <w:rPr>
          <w:rFonts w:ascii="Arial" w:cs="Arial" w:eastAsia="Arial" w:hAnsi="Arial"/>
          <w:sz w:val="22"/>
          <w:szCs w:val="22"/>
          <w:color w:val="auto"/>
        </w:rPr>
      </w:pPr>
      <w:r>
        <w:rPr>
          <w:rFonts w:ascii="Arial" w:cs="Arial" w:eastAsia="Arial" w:hAnsi="Arial"/>
          <w:sz w:val="22"/>
          <w:szCs w:val="22"/>
          <w:color w:val="auto"/>
        </w:rPr>
        <w:t>Effective as of the Commencement Date for the 43 Discovery Premises, Item 8 shall be deleted in its entirety and substituted therefor shall be the following:</w:t>
      </w:r>
    </w:p>
    <w:p>
      <w:pPr>
        <w:spacing w:after="0" w:line="196"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 xml:space="preserve">“8. </w:t>
      </w:r>
      <w:r>
        <w:rPr>
          <w:rFonts w:ascii="Arial" w:cs="Arial" w:eastAsia="Arial" w:hAnsi="Arial"/>
          <w:sz w:val="21"/>
          <w:szCs w:val="21"/>
          <w:b w:val="1"/>
          <w:bCs w:val="1"/>
          <w:color w:val="auto"/>
        </w:rPr>
        <w:t>Floor Area of Premises</w:t>
      </w:r>
      <w:r>
        <w:rPr>
          <w:rFonts w:ascii="Arial" w:cs="Arial" w:eastAsia="Arial" w:hAnsi="Arial"/>
          <w:sz w:val="21"/>
          <w:szCs w:val="21"/>
          <w:color w:val="auto"/>
        </w:rPr>
        <w:t>: Approximately 76,227 rentable square feet, comprised of the following:</w:t>
      </w:r>
    </w:p>
    <w:p>
      <w:pPr>
        <w:spacing w:after="0" w:line="251"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41 Discovery Premises: Approximately 44,820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43 Discovery Premises: Approximately 31,407 rentable square feet</w:t>
      </w:r>
    </w:p>
    <w:p>
      <w:pPr>
        <w:spacing w:after="0" w:line="23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Floor Area of the 41 Discovery Building: Approximately 44,820 rentable square feet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Floor Area of the 43 Discovery Building: Approximately 62,814 rentable square feet”</w:t>
      </w:r>
    </w:p>
    <w:p>
      <w:pPr>
        <w:spacing w:after="0" w:line="233" w:lineRule="exact"/>
        <w:rPr>
          <w:sz w:val="20"/>
          <w:szCs w:val="20"/>
          <w:color w:val="auto"/>
        </w:rPr>
      </w:pPr>
    </w:p>
    <w:p>
      <w:pPr>
        <w:ind w:left="1520" w:right="1780" w:hanging="316"/>
        <w:spacing w:after="0" w:line="461" w:lineRule="auto"/>
        <w:tabs>
          <w:tab w:leader="none" w:pos="1898" w:val="left"/>
        </w:tabs>
        <w:numPr>
          <w:ilvl w:val="0"/>
          <w:numId w:val="372"/>
        </w:numPr>
        <w:rPr>
          <w:rFonts w:ascii="Arial" w:cs="Arial" w:eastAsia="Arial" w:hAnsi="Arial"/>
          <w:sz w:val="22"/>
          <w:szCs w:val="22"/>
          <w:color w:val="auto"/>
        </w:rPr>
      </w:pPr>
      <w:r>
        <w:rPr>
          <w:rFonts w:ascii="Arial" w:cs="Arial" w:eastAsia="Arial" w:hAnsi="Arial"/>
          <w:sz w:val="22"/>
          <w:szCs w:val="22"/>
          <w:color w:val="auto"/>
        </w:rPr>
        <w:t>Item 9 is hereby deleted in its entirety and substituted therefore shall be the following: “9. Security Deposit: $222,202.00</w:t>
      </w:r>
    </w:p>
    <w:p>
      <w:pPr>
        <w:ind w:left="1200" w:right="20" w:firstLine="4"/>
        <w:spacing w:after="0" w:line="250" w:lineRule="auto"/>
        <w:tabs>
          <w:tab w:leader="none" w:pos="2052" w:val="left"/>
        </w:tabs>
        <w:numPr>
          <w:ilvl w:val="0"/>
          <w:numId w:val="372"/>
        </w:numPr>
        <w:rPr>
          <w:rFonts w:ascii="Arial" w:cs="Arial" w:eastAsia="Arial" w:hAnsi="Arial"/>
          <w:sz w:val="22"/>
          <w:szCs w:val="22"/>
          <w:color w:val="auto"/>
        </w:rPr>
      </w:pPr>
      <w:r>
        <w:rPr>
          <w:rFonts w:ascii="Arial" w:cs="Arial" w:eastAsia="Arial" w:hAnsi="Arial"/>
          <w:sz w:val="22"/>
          <w:szCs w:val="22"/>
          <w:color w:val="auto"/>
        </w:rPr>
        <w:t>Effective as of the Commencement Date for the 43 Discovery Premises, Item 11 shall be deleted in its entirety and substituted therefor shall be the following:</w:t>
      </w:r>
    </w:p>
    <w:p>
      <w:pPr>
        <w:spacing w:after="0" w:line="196" w:lineRule="exact"/>
        <w:rPr>
          <w:sz w:val="20"/>
          <w:szCs w:val="20"/>
          <w:color w:val="auto"/>
        </w:rPr>
      </w:pPr>
    </w:p>
    <w:p>
      <w:pPr>
        <w:ind w:left="1520"/>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Parking</w:t>
      </w:r>
      <w:r>
        <w:rPr>
          <w:rFonts w:ascii="Arial" w:cs="Arial" w:eastAsia="Arial" w:hAnsi="Arial"/>
          <w:sz w:val="22"/>
          <w:szCs w:val="22"/>
          <w:color w:val="auto"/>
        </w:rPr>
        <w:t xml:space="preserve">: 319 parking spaces, together with the “Additional Parking” in accordance with the provisions set forth in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F attached to this Lease”</w:t>
      </w:r>
    </w:p>
    <w:p>
      <w:pPr>
        <w:spacing w:after="0" w:line="189" w:lineRule="exact"/>
        <w:rPr>
          <w:sz w:val="20"/>
          <w:szCs w:val="20"/>
          <w:color w:val="auto"/>
        </w:rPr>
      </w:pPr>
    </w:p>
    <w:p>
      <w:pPr>
        <w:jc w:val="both"/>
        <w:ind w:left="-100" w:firstLine="656"/>
        <w:spacing w:after="0" w:line="243" w:lineRule="auto"/>
        <w:tabs>
          <w:tab w:leader="none" w:pos="1541" w:val="left"/>
        </w:tabs>
        <w:numPr>
          <w:ilvl w:val="0"/>
          <w:numId w:val="373"/>
        </w:numPr>
        <w:rPr>
          <w:rFonts w:ascii="Arial" w:cs="Arial" w:eastAsia="Arial" w:hAnsi="Arial"/>
          <w:sz w:val="22"/>
          <w:szCs w:val="22"/>
          <w:color w:val="auto"/>
        </w:rPr>
      </w:pPr>
      <w:r>
        <w:rPr>
          <w:rFonts w:ascii="Arial" w:cs="Arial" w:eastAsia="Arial" w:hAnsi="Arial"/>
          <w:sz w:val="22"/>
          <w:szCs w:val="22"/>
          <w:b w:val="1"/>
          <w:bCs w:val="1"/>
          <w:color w:val="auto"/>
        </w:rPr>
        <w:t>Security Deposit</w:t>
      </w:r>
      <w:r>
        <w:rPr>
          <w:rFonts w:ascii="Arial" w:cs="Arial" w:eastAsia="Arial" w:hAnsi="Arial"/>
          <w:sz w:val="22"/>
          <w:szCs w:val="22"/>
          <w:color w:val="auto"/>
        </w:rPr>
        <w:t>. Concurrently with Tenant’s delivery of this Amendment, Tenant shall deliver the sum of</w:t>
      </w:r>
      <w:r>
        <w:rPr>
          <w:rFonts w:ascii="Arial" w:cs="Arial" w:eastAsia="Arial" w:hAnsi="Arial"/>
          <w:sz w:val="22"/>
          <w:szCs w:val="22"/>
          <w:b w:val="1"/>
          <w:bCs w:val="1"/>
          <w:color w:val="auto"/>
        </w:rPr>
        <w:t xml:space="preserve"> </w:t>
      </w:r>
      <w:r>
        <w:rPr>
          <w:rFonts w:ascii="Arial" w:cs="Arial" w:eastAsia="Arial" w:hAnsi="Arial"/>
          <w:sz w:val="22"/>
          <w:szCs w:val="22"/>
          <w:color w:val="auto"/>
        </w:rPr>
        <w:t>$123,748.00 to Landlord, which sum shall be added to the Security Deposit presently being held by Landlord in accordance with Section 4.3 of the Lease.</w:t>
      </w:r>
    </w:p>
    <w:p>
      <w:pPr>
        <w:spacing w:after="0" w:line="203" w:lineRule="exact"/>
        <w:rPr>
          <w:rFonts w:ascii="Arial" w:cs="Arial" w:eastAsia="Arial" w:hAnsi="Arial"/>
          <w:sz w:val="22"/>
          <w:szCs w:val="22"/>
          <w:color w:val="auto"/>
        </w:rPr>
      </w:pPr>
    </w:p>
    <w:p>
      <w:pPr>
        <w:ind w:left="1280" w:hanging="724"/>
        <w:spacing w:after="0"/>
        <w:tabs>
          <w:tab w:leader="none" w:pos="1280" w:val="left"/>
        </w:tabs>
        <w:numPr>
          <w:ilvl w:val="0"/>
          <w:numId w:val="373"/>
        </w:numPr>
        <w:rPr>
          <w:rFonts w:ascii="Arial" w:cs="Arial" w:eastAsia="Arial" w:hAnsi="Arial"/>
          <w:sz w:val="22"/>
          <w:szCs w:val="22"/>
          <w:color w:val="auto"/>
        </w:rPr>
      </w:pPr>
      <w:r>
        <w:rPr>
          <w:rFonts w:ascii="Arial" w:cs="Arial" w:eastAsia="Arial" w:hAnsi="Arial"/>
          <w:sz w:val="22"/>
          <w:szCs w:val="22"/>
          <w:b w:val="1"/>
          <w:bCs w:val="1"/>
          <w:color w:val="auto"/>
        </w:rPr>
        <w:t>Signs.</w:t>
      </w:r>
    </w:p>
    <w:p>
      <w:pPr>
        <w:spacing w:after="0" w:line="239" w:lineRule="exact"/>
        <w:rPr>
          <w:sz w:val="20"/>
          <w:szCs w:val="20"/>
          <w:color w:val="auto"/>
        </w:rPr>
      </w:pPr>
    </w:p>
    <w:p>
      <w:pPr>
        <w:ind w:left="-100" w:right="20" w:firstLine="656"/>
        <w:spacing w:after="0" w:line="274" w:lineRule="auto"/>
        <w:tabs>
          <w:tab w:leader="none" w:pos="1388" w:val="left"/>
        </w:tabs>
        <w:numPr>
          <w:ilvl w:val="0"/>
          <w:numId w:val="374"/>
        </w:numPr>
        <w:rPr>
          <w:rFonts w:ascii="Arial" w:cs="Arial" w:eastAsia="Arial" w:hAnsi="Arial"/>
          <w:sz w:val="21"/>
          <w:szCs w:val="21"/>
          <w:color w:val="auto"/>
        </w:rPr>
      </w:pPr>
      <w:r>
        <w:rPr>
          <w:rFonts w:ascii="Arial" w:cs="Arial" w:eastAsia="Arial" w:hAnsi="Arial"/>
          <w:sz w:val="21"/>
          <w:szCs w:val="21"/>
          <w:color w:val="auto"/>
        </w:rPr>
        <w:t>Effective as of the Commencement Date for the 43 Discovery Premises, the first sentence of Section 5.2 of the Lease entitled “</w:t>
      </w:r>
      <w:r>
        <w:rPr>
          <w:rFonts w:ascii="Arial" w:cs="Arial" w:eastAsia="Arial" w:hAnsi="Arial"/>
          <w:sz w:val="21"/>
          <w:szCs w:val="21"/>
          <w:b w:val="1"/>
          <w:bCs w:val="1"/>
          <w:i w:val="1"/>
          <w:iCs w:val="1"/>
          <w:color w:val="auto"/>
        </w:rPr>
        <w:t>Signs</w:t>
      </w:r>
      <w:r>
        <w:rPr>
          <w:rFonts w:ascii="Arial" w:cs="Arial" w:eastAsia="Arial" w:hAnsi="Arial"/>
          <w:sz w:val="21"/>
          <w:szCs w:val="21"/>
          <w:color w:val="auto"/>
        </w:rPr>
        <w:t>”, shall be deleted in its entirety and substituted therefor shall be the following:</w:t>
      </w:r>
    </w:p>
    <w:p>
      <w:pPr>
        <w:spacing w:after="0" w:line="178" w:lineRule="exact"/>
        <w:rPr>
          <w:sz w:val="20"/>
          <w:szCs w:val="20"/>
          <w:color w:val="auto"/>
        </w:rPr>
      </w:pPr>
    </w:p>
    <w:p>
      <w:pPr>
        <w:jc w:val="both"/>
        <w:ind w:left="560"/>
        <w:spacing w:after="0" w:line="275" w:lineRule="auto"/>
        <w:rPr>
          <w:sz w:val="20"/>
          <w:szCs w:val="20"/>
          <w:color w:val="auto"/>
        </w:rPr>
      </w:pPr>
      <w:r>
        <w:rPr>
          <w:rFonts w:ascii="Arial" w:cs="Arial" w:eastAsia="Arial" w:hAnsi="Arial"/>
          <w:sz w:val="19"/>
          <w:szCs w:val="19"/>
          <w:color w:val="auto"/>
        </w:rPr>
        <w:t>“Provided Tenant continues to occupy the entire Premises, Tenant shall have (i) the exclusive right to 2 exterior “building top” signs on the 41 Discovery Building and a location on the building monument signage in front of the 41 Discovery Building, and (ii) the non-exclusive right to 1 exterior “building top” sign on the 43 Discovery Building, for Tenant’s name and graphics in locations designated by Landlord, subject to Landlord’s right of prior approval that such exterior signage is in compliance with the Signage Criteria (defined below). In the event Tenant leases the entire 43 Discovery Building, Tenant shall have the exclusive right to 2 exterior “building top” signs on the 43 Discovery Building, for Tenant’s name and graphics in locations designated by Landlord, subject to Landlord’s right of prior approval that such exterior signage is in compliance with the Signage Criteria (defined below).”</w:t>
      </w:r>
    </w:p>
    <w:p>
      <w:pPr>
        <w:sectPr>
          <w:pgSz w:w="11900" w:h="16838" w:orient="portrait"/>
          <w:cols w:equalWidth="0" w:num="1">
            <w:col w:w="11140"/>
          </w:cols>
          <w:pgMar w:left="420" w:top="120" w:right="339" w:bottom="1440" w:gutter="0" w:footer="0" w:header="0"/>
        </w:sect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20" w:right="339" w:bottom="1440" w:gutter="0" w:footer="0" w:header="0"/>
          <w:type w:val="continuous"/>
        </w:sectPr>
      </w:pPr>
    </w:p>
    <w:bookmarkStart w:id="399" w:name="page400"/>
    <w:bookmarkEnd w:id="399"/>
    <w:p>
      <w:pPr>
        <w:ind w:right="20" w:firstLine="656"/>
        <w:spacing w:after="0" w:line="251" w:lineRule="auto"/>
        <w:tabs>
          <w:tab w:leader="none" w:pos="1722" w:val="left"/>
        </w:tabs>
        <w:numPr>
          <w:ilvl w:val="0"/>
          <w:numId w:val="375"/>
        </w:numPr>
        <w:rPr>
          <w:rFonts w:ascii="Arial" w:cs="Arial" w:eastAsia="Arial" w:hAnsi="Arial"/>
          <w:sz w:val="22"/>
          <w:szCs w:val="22"/>
          <w:color w:val="auto"/>
        </w:rPr>
      </w:pPr>
      <w:r>
        <w:rPr>
          <w:rFonts w:ascii="Arial" w:cs="Arial" w:eastAsia="Arial" w:hAnsi="Arial"/>
          <w:sz w:val="22"/>
          <w:szCs w:val="22"/>
          <w:color w:val="auto"/>
        </w:rPr>
        <w:t>Effective as of the Commencement Date for the 43 Discovery Premises, Section 5.2 of the Lease entitled “</w:t>
      </w:r>
      <w:r>
        <w:rPr>
          <w:rFonts w:ascii="Arial" w:cs="Arial" w:eastAsia="Arial" w:hAnsi="Arial"/>
          <w:sz w:val="22"/>
          <w:szCs w:val="22"/>
          <w:b w:val="1"/>
          <w:bCs w:val="1"/>
          <w:i w:val="1"/>
          <w:iCs w:val="1"/>
          <w:color w:val="auto"/>
        </w:rPr>
        <w:t>Signs</w:t>
      </w:r>
      <w:r>
        <w:rPr>
          <w:rFonts w:ascii="Arial" w:cs="Arial" w:eastAsia="Arial" w:hAnsi="Arial"/>
          <w:sz w:val="22"/>
          <w:szCs w:val="22"/>
          <w:color w:val="auto"/>
        </w:rPr>
        <w:t>”, shall be amended by adding the following:</w:t>
      </w:r>
    </w:p>
    <w:p>
      <w:pPr>
        <w:spacing w:after="0" w:line="200"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“Landlord shall affix and maintain a sign (restricted solely to Tenant’s name as set forth herein or such other name as Landlord may consent to in writing) adjacent to the entry door of the 43 Discovery Premises, together with a directory strip listing Tenant’s name as set forth herein in the lobby directory of the 43 Discovery Building. Tenant shall not place or allow to be placed any other sign, decoration or advertising matter of any kind that is visible from the exterior of the 43 Discovery Premises.”</w:t>
      </w:r>
    </w:p>
    <w:p>
      <w:pPr>
        <w:spacing w:after="0" w:line="208" w:lineRule="exact"/>
        <w:rPr>
          <w:sz w:val="20"/>
          <w:szCs w:val="20"/>
          <w:color w:val="auto"/>
        </w:rPr>
      </w:pPr>
    </w:p>
    <w:p>
      <w:pPr>
        <w:jc w:val="both"/>
        <w:ind w:right="20" w:firstLine="656"/>
        <w:spacing w:after="0" w:line="243" w:lineRule="auto"/>
        <w:tabs>
          <w:tab w:leader="none" w:pos="1345" w:val="left"/>
        </w:tabs>
        <w:numPr>
          <w:ilvl w:val="0"/>
          <w:numId w:val="376"/>
        </w:numPr>
        <w:rPr>
          <w:rFonts w:ascii="Arial" w:cs="Arial" w:eastAsia="Arial" w:hAnsi="Arial"/>
          <w:sz w:val="22"/>
          <w:szCs w:val="22"/>
          <w:color w:val="auto"/>
        </w:rPr>
      </w:pPr>
      <w:r>
        <w:rPr>
          <w:rFonts w:ascii="Arial" w:cs="Arial" w:eastAsia="Arial" w:hAnsi="Arial"/>
          <w:sz w:val="22"/>
          <w:szCs w:val="22"/>
          <w:b w:val="1"/>
          <w:bCs w:val="1"/>
          <w:color w:val="auto"/>
        </w:rPr>
        <w:t>Utilities and Services</w:t>
      </w:r>
      <w:r>
        <w:rPr>
          <w:rFonts w:ascii="Arial" w:cs="Arial" w:eastAsia="Arial" w:hAnsi="Arial"/>
          <w:sz w:val="22"/>
          <w:szCs w:val="22"/>
          <w:color w:val="auto"/>
        </w:rPr>
        <w:t>. Effective as of the Commencement Date for the 43 Discovery Premises, both Section III.C</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First Amendment and Section III.D of the Second Amendment, each entitled “</w:t>
      </w:r>
      <w:r>
        <w:rPr>
          <w:rFonts w:ascii="Arial" w:cs="Arial" w:eastAsia="Arial" w:hAnsi="Arial"/>
          <w:sz w:val="22"/>
          <w:szCs w:val="22"/>
          <w:b w:val="1"/>
          <w:bCs w:val="1"/>
          <w:i w:val="1"/>
          <w:iCs w:val="1"/>
          <w:color w:val="auto"/>
        </w:rPr>
        <w:t>Utilities and Services</w:t>
      </w:r>
      <w:r>
        <w:rPr>
          <w:rFonts w:ascii="Arial" w:cs="Arial" w:eastAsia="Arial" w:hAnsi="Arial"/>
          <w:sz w:val="22"/>
          <w:szCs w:val="22"/>
          <w:color w:val="auto"/>
        </w:rPr>
        <w:t>”, shall be deleted in their entirety and substituted therefor shall be the following:</w:t>
      </w:r>
    </w:p>
    <w:p>
      <w:pPr>
        <w:spacing w:after="0" w:line="210" w:lineRule="exact"/>
        <w:rPr>
          <w:sz w:val="20"/>
          <w:szCs w:val="20"/>
          <w:color w:val="auto"/>
        </w:rPr>
      </w:pPr>
    </w:p>
    <w:p>
      <w:pPr>
        <w:jc w:val="both"/>
        <w:ind w:left="660"/>
        <w:spacing w:after="0" w:line="270" w:lineRule="auto"/>
        <w:rPr>
          <w:sz w:val="20"/>
          <w:szCs w:val="20"/>
          <w:color w:val="auto"/>
        </w:rPr>
      </w:pPr>
      <w:r>
        <w:rPr>
          <w:rFonts w:ascii="Arial" w:cs="Arial" w:eastAsia="Arial" w:hAnsi="Arial"/>
          <w:sz w:val="19"/>
          <w:szCs w:val="19"/>
          <w:color w:val="auto"/>
        </w:rPr>
        <w:t>“Tenant shall contract for and shall pay promptly, directly to the appropriate supplier, all charges for telephone, telecommunications service, and all other utilities, materials and services furnished at the request of Tenant for the 43 Discovery Premises during the Term of the Lease as to the 43 Discovery Premises, together with any taxes thereon. Landlord shall contract for and shall make a reasonable determination of Tenant’s proportionate share of the cost of water, gas, sewer, refuse pickup, electricity, interior janitorial services, HVAC services (other than “after hours” HVAC services described below), and any other utilities and services that are not separately metered to the 43 Discovery Premises, and Tenant shall pay such amount to Landlord, as an item of additional rent, within 10 days after delivery of Landlord’s statement or invoice therefor. Alternatively, Landlord may elect to include such cost in the definition of Project Costs in which event Tenant shall pay Tenant’s proportionate share of such costs in the manner set forth in Section 4.2. Tenant shall also pay to Landlord as an item of additional rent, within 10 days after delivery of Landlord’s statement or invoice therefor, Landlord’s “standard charges” (as hereinafter defined, which shall be in addition to the electricity charge paid to the utility provider) for “after hours” usage by Tenant of each HVAC unit servicing the 43 Discovery Premises. After hours” shall mean more than 66 hours of usage during each week. “</w:t>
      </w:r>
      <w:r>
        <w:rPr>
          <w:rFonts w:ascii="Arial" w:cs="Arial" w:eastAsia="Arial" w:hAnsi="Arial"/>
          <w:sz w:val="19"/>
          <w:szCs w:val="19"/>
          <w:b w:val="1"/>
          <w:bCs w:val="1"/>
          <w:i w:val="1"/>
          <w:iCs w:val="1"/>
          <w:color w:val="auto"/>
        </w:rPr>
        <w:t>After hours</w:t>
      </w:r>
      <w:r>
        <w:rPr>
          <w:rFonts w:ascii="Arial" w:cs="Arial" w:eastAsia="Arial" w:hAnsi="Arial"/>
          <w:sz w:val="19"/>
          <w:szCs w:val="19"/>
          <w:color w:val="auto"/>
        </w:rPr>
        <w:t>” usage shall be determined based upon the operation of the applicable HVAC unit during each calendar year on a “non-cumulative” basis (that is, without regard to Tenant’s usage or nonusage of other unit(s) serving the Premises, or of the applicable unit during other years of the Term). As used herein, “</w:t>
      </w:r>
      <w:r>
        <w:rPr>
          <w:rFonts w:ascii="Arial" w:cs="Arial" w:eastAsia="Arial" w:hAnsi="Arial"/>
          <w:sz w:val="19"/>
          <w:szCs w:val="19"/>
          <w:b w:val="1"/>
          <w:bCs w:val="1"/>
          <w:color w:val="auto"/>
        </w:rPr>
        <w:t>standard charges</w:t>
      </w:r>
      <w:r>
        <w:rPr>
          <w:rFonts w:ascii="Arial" w:cs="Arial" w:eastAsia="Arial" w:hAnsi="Arial"/>
          <w:sz w:val="19"/>
          <w:szCs w:val="19"/>
          <w:color w:val="auto"/>
        </w:rPr>
        <w:t>” shall mean $10.00 per hour for each hour of “after hours” use (in addition to the applicable electricity charges paid to the utility provider).”</w:t>
      </w:r>
    </w:p>
    <w:p>
      <w:pPr>
        <w:spacing w:after="0" w:line="200" w:lineRule="exact"/>
        <w:rPr>
          <w:sz w:val="20"/>
          <w:szCs w:val="20"/>
          <w:color w:val="auto"/>
        </w:rPr>
      </w:pPr>
    </w:p>
    <w:p>
      <w:pPr>
        <w:spacing w:after="0" w:line="235" w:lineRule="exact"/>
        <w:rPr>
          <w:sz w:val="20"/>
          <w:szCs w:val="20"/>
          <w:color w:val="auto"/>
        </w:rPr>
      </w:pPr>
    </w:p>
    <w:p>
      <w:pPr>
        <w:jc w:val="both"/>
        <w:ind w:firstLine="656"/>
        <w:spacing w:after="0" w:line="283" w:lineRule="auto"/>
        <w:tabs>
          <w:tab w:leader="none" w:pos="1519" w:val="left"/>
        </w:tabs>
        <w:numPr>
          <w:ilvl w:val="0"/>
          <w:numId w:val="377"/>
        </w:numPr>
        <w:rPr>
          <w:rFonts w:ascii="Arial" w:cs="Arial" w:eastAsia="Arial" w:hAnsi="Arial"/>
          <w:sz w:val="19"/>
          <w:szCs w:val="19"/>
          <w:color w:val="auto"/>
        </w:rPr>
      </w:pPr>
      <w:r>
        <w:rPr>
          <w:rFonts w:ascii="Arial" w:cs="Arial" w:eastAsia="Arial" w:hAnsi="Arial"/>
          <w:sz w:val="19"/>
          <w:szCs w:val="19"/>
          <w:b w:val="1"/>
          <w:bCs w:val="1"/>
          <w:color w:val="auto"/>
        </w:rPr>
        <w:t>Right to Extend the Lease</w:t>
      </w:r>
      <w:r>
        <w:rPr>
          <w:rFonts w:ascii="Arial" w:cs="Arial" w:eastAsia="Arial" w:hAnsi="Arial"/>
          <w:sz w:val="19"/>
          <w:szCs w:val="19"/>
          <w:color w:val="auto"/>
        </w:rPr>
        <w:t>. The provisions of Section 1 of Exhibit G attached to the Lease entitled “</w:t>
      </w:r>
      <w:r>
        <w:rPr>
          <w:rFonts w:ascii="Arial" w:cs="Arial" w:eastAsia="Arial" w:hAnsi="Arial"/>
          <w:sz w:val="19"/>
          <w:szCs w:val="19"/>
          <w:b w:val="1"/>
          <w:bCs w:val="1"/>
          <w:i w:val="1"/>
          <w:iCs w:val="1"/>
          <w:color w:val="auto"/>
        </w:rPr>
        <w:t>Right to</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Extend this Lease</w:t>
      </w:r>
      <w:r>
        <w:rPr>
          <w:rFonts w:ascii="Arial" w:cs="Arial" w:eastAsia="Arial" w:hAnsi="Arial"/>
          <w:sz w:val="19"/>
          <w:szCs w:val="19"/>
          <w:color w:val="auto"/>
        </w:rPr>
        <w:t>”, as amended by Section III.D of the First Amendment and by Second III.F of the Second Amendment,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remain in full force and effect and exercisable by Tenant during the Term of the Lease as extended by this Amendment and shall apply to Tenant’s leasing of the 43 Discovery Premises pursuant to this Amendment, except that the reference in the second sentence of the first paragraph thereof to </w:t>
      </w:r>
      <w:r>
        <w:rPr>
          <w:rFonts w:ascii="Arial" w:cs="Arial" w:eastAsia="Arial" w:hAnsi="Arial"/>
          <w:sz w:val="19"/>
          <w:szCs w:val="19"/>
          <w:b w:val="1"/>
          <w:bCs w:val="1"/>
          <w:color w:val="auto"/>
        </w:rPr>
        <w:t>“9 months” is hereby amended to “12 months”.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0" w:name="page401"/>
    <w:bookmarkEnd w:id="400"/>
    <w:p>
      <w:pPr>
        <w:spacing w:after="0" w:line="59" w:lineRule="exact"/>
        <w:rPr>
          <w:sz w:val="20"/>
          <w:szCs w:val="20"/>
          <w:color w:val="auto"/>
        </w:rPr>
      </w:pPr>
    </w:p>
    <w:p>
      <w:pPr>
        <w:jc w:val="both"/>
        <w:ind w:left="-656" w:firstLine="656"/>
        <w:spacing w:after="0" w:line="269" w:lineRule="auto"/>
        <w:tabs>
          <w:tab w:leader="none" w:pos="755"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Right of First Refusal</w:t>
      </w:r>
      <w:r>
        <w:rPr>
          <w:rFonts w:ascii="Arial" w:cs="Arial" w:eastAsia="Arial" w:hAnsi="Arial"/>
          <w:sz w:val="19"/>
          <w:szCs w:val="19"/>
          <w:color w:val="auto"/>
        </w:rPr>
        <w:t>. Provided Tenant is not then in Default hereunder beyond any applicable cure period,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further that Tenant is occupying the entire Premises and has not assigned or sublet any of its interest in the Lease (except in connection with a Permitted Transfer of this Lease to an Affiliate as described in Section 9.1(e) of the Lease, Tenant shall have a continuing right (“</w:t>
      </w:r>
      <w:r>
        <w:rPr>
          <w:rFonts w:ascii="Arial" w:cs="Arial" w:eastAsia="Arial" w:hAnsi="Arial"/>
          <w:sz w:val="19"/>
          <w:szCs w:val="19"/>
          <w:b w:val="1"/>
          <w:bCs w:val="1"/>
          <w:i w:val="1"/>
          <w:iCs w:val="1"/>
          <w:color w:val="auto"/>
        </w:rPr>
        <w:t>First Refusal Right</w:t>
      </w:r>
      <w:r>
        <w:rPr>
          <w:rFonts w:ascii="Arial" w:cs="Arial" w:eastAsia="Arial" w:hAnsi="Arial"/>
          <w:sz w:val="19"/>
          <w:szCs w:val="19"/>
          <w:color w:val="auto"/>
        </w:rPr>
        <w:t>”) to lease, during the initial approximately 77 month Term of the Lease as to the 43 Discovery Premises, approximately 31,407 rentable square feet of office space on the first floor of the Building as shown on the attached Exhibit A-1 (“</w:t>
      </w:r>
      <w:r>
        <w:rPr>
          <w:rFonts w:ascii="Arial" w:cs="Arial" w:eastAsia="Arial" w:hAnsi="Arial"/>
          <w:sz w:val="19"/>
          <w:szCs w:val="19"/>
          <w:b w:val="1"/>
          <w:bCs w:val="1"/>
          <w:i w:val="1"/>
          <w:iCs w:val="1"/>
          <w:color w:val="auto"/>
        </w:rPr>
        <w:t>First Right Space</w:t>
      </w:r>
      <w:r>
        <w:rPr>
          <w:rFonts w:ascii="Arial" w:cs="Arial" w:eastAsia="Arial" w:hAnsi="Arial"/>
          <w:sz w:val="19"/>
          <w:szCs w:val="19"/>
          <w:color w:val="auto"/>
        </w:rPr>
        <w:t>”) in accordance with and subject to the provisions of this Section. Following the receipt by Landlord of a bona fide letter of intent, request for proposal or other written expression of interest to lease the First Right Space, then provided Landlord intends to pursue such leasing opportunity, Landlord shall give Tenant written notice (“</w:t>
      </w:r>
      <w:r>
        <w:rPr>
          <w:rFonts w:ascii="Arial" w:cs="Arial" w:eastAsia="Arial" w:hAnsi="Arial"/>
          <w:sz w:val="19"/>
          <w:szCs w:val="19"/>
          <w:b w:val="1"/>
          <w:bCs w:val="1"/>
          <w:i w:val="1"/>
          <w:i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 Notice</w:t>
      </w:r>
      <w:r>
        <w:rPr>
          <w:rFonts w:ascii="Arial" w:cs="Arial" w:eastAsia="Arial" w:hAnsi="Arial"/>
          <w:sz w:val="19"/>
          <w:szCs w:val="19"/>
          <w:color w:val="auto"/>
        </w:rPr>
        <w:t>”) of the basic economic terms, including but not limited to the Basic Rent, term, operating expense base, security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deposit, and tenant improvement allowance (collectively, the “</w:t>
      </w:r>
      <w:r>
        <w:rPr>
          <w:rFonts w:ascii="Arial" w:cs="Arial" w:eastAsia="Arial" w:hAnsi="Arial"/>
          <w:sz w:val="19"/>
          <w:szCs w:val="19"/>
          <w:b w:val="1"/>
          <w:bCs w:val="1"/>
          <w:i w:val="1"/>
          <w:iCs w:val="1"/>
          <w:color w:val="auto"/>
        </w:rPr>
        <w:t>Economic Terms</w:t>
      </w:r>
      <w:r>
        <w:rPr>
          <w:rFonts w:ascii="Arial" w:cs="Arial" w:eastAsia="Arial" w:hAnsi="Arial"/>
          <w:sz w:val="19"/>
          <w:szCs w:val="19"/>
          <w:color w:val="auto"/>
        </w:rPr>
        <w:t>”), upon which Landlord intends to lease such First Right Space to the applicable third party; provided that the Economic Terms shall exclude brokerage commissions and other Landlord payments that do not directly inure to the tenant’s benefit. It is understood that should Landlord intend to lease other office space in addition to the First Right Space as part of a single transaction, then the First Right Notice shall so provide and all such space shall collectively be subject to the following provisions. Within 3 business days after receipt of the First Right Notice, Tenant may, by written notice to Landlord, elect to lease all, but not less than all, of the space specified in the First Right Notice (the “</w:t>
      </w:r>
      <w:r>
        <w:rPr>
          <w:rFonts w:ascii="Arial" w:cs="Arial" w:eastAsia="Arial" w:hAnsi="Arial"/>
          <w:sz w:val="19"/>
          <w:szCs w:val="19"/>
          <w:b w:val="1"/>
          <w:bCs w:val="1"/>
          <w:i w:val="1"/>
          <w:iCs w:val="1"/>
          <w:color w:val="auto"/>
        </w:rPr>
        <w:t>Designated First Right Space</w:t>
      </w:r>
      <w:r>
        <w:rPr>
          <w:rFonts w:ascii="Arial" w:cs="Arial" w:eastAsia="Arial" w:hAnsi="Arial"/>
          <w:sz w:val="19"/>
          <w:szCs w:val="19"/>
          <w:color w:val="auto"/>
        </w:rPr>
        <w:t>”) upon such Economic Terms set forth in the First Right Notice and the same non-Economic Terms as set forth in this Lease. In the event that Tenant does not timely commit in writing to lease the Designated First Right Space on the foregoing terms, then Landlord shall be free to lease same thereafter without any constraint, and Tenant shall have no further rights to any such Designated First Right Space. Should Tenant timely elect to lease the Designated First Right Space, then Landlord shall promptly prepare and deliver to Tenant an amendment to this Lease consistent with the foregoing, and Tenant shall execute and return same to Landlord within 10 days. Tenant’s failure to timely return the amendment shall entitle Landlord to specifically enforce Tenant’s commitment to lease the Designated First Right Space, to lease such space to a third party without any obligation pursuant to this Section, and/or to pursue any other available legal remedy. In the event that Landlord leases the First Right Space, or any portion thereof, to a third party in accordance with the provisions of this Section, and during the effective period of this First Right the First Right Space, or any portion thereof, shall again become available for releasing, then prior to Landlord entering into any such new lease with a third party other than the then-current occupant thereof for the First Right Space, Landlord shall repeat the procedures specified above in this Section. Notwithstanding the foregoing, it is understood that Tenant’s First Refusal Right shall be subject to any extension rights previously granted by Landlord to any third party tenant in the Building, as well as to any such rights which may hereafter be granted by Landlord to any third party tenant occupying the First Right Space or any portion thereof, and Landlord shall in no event be obligated to initiate this First Refusal Right prior to leasing any portion of the First Right Space to the then-current occupant thereof. Tenant’s rights under this Section shall be personal to the original Tenant named in this Lease and may not be assigned or transferred (except in connection with a Permitted Transfer as described in Section 9.1(e) of the Lease). Any other attempted assignment or transfer shall be void and of no force or effect. Time is specifically made of the essence of this Section.</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left="-656" w:firstLine="656"/>
        <w:spacing w:after="0" w:line="239" w:lineRule="auto"/>
        <w:tabs>
          <w:tab w:leader="none" w:pos="847"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Exterior Visibility</w:t>
      </w:r>
      <w:r>
        <w:rPr>
          <w:rFonts w:ascii="Arial" w:cs="Arial" w:eastAsia="Arial" w:hAnsi="Arial"/>
          <w:sz w:val="22"/>
          <w:szCs w:val="22"/>
          <w:color w:val="auto"/>
        </w:rPr>
        <w:t>. The provisions of Section III.G of the Second Amendment shall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during the Term of the Lease as extended by this Amendment and shall apply to Tenant’s leasing of the 43 Discovery Premises pursuant to this Amendment, except that the references in said Section III.G to the 49 Discovery Premises shall be amended to instead mean and refer to the 43 Discovery Premises.</w:t>
      </w:r>
    </w:p>
    <w:p>
      <w:pPr>
        <w:spacing w:after="0" w:line="207" w:lineRule="exact"/>
        <w:rPr>
          <w:rFonts w:ascii="Arial" w:cs="Arial" w:eastAsia="Arial" w:hAnsi="Arial"/>
          <w:sz w:val="22"/>
          <w:szCs w:val="22"/>
          <w:color w:val="auto"/>
        </w:rPr>
      </w:pPr>
    </w:p>
    <w:p>
      <w:pPr>
        <w:jc w:val="both"/>
        <w:ind w:left="-656" w:firstLine="656"/>
        <w:spacing w:after="0" w:line="239" w:lineRule="auto"/>
        <w:tabs>
          <w:tab w:leader="none" w:pos="710"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Rules and Regulations</w:t>
      </w:r>
      <w:r>
        <w:rPr>
          <w:rFonts w:ascii="Arial" w:cs="Arial" w:eastAsia="Arial" w:hAnsi="Arial"/>
          <w:sz w:val="22"/>
          <w:szCs w:val="22"/>
          <w:color w:val="auto"/>
        </w:rPr>
        <w:t>. The provisions of Section III.H of the Second Amendment shall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during the Term of the Lease as extended by this Amendment and shall apply to Tenant’s leasing of the 43 Discovery Premises pursuant to this Amendment, except that the references in said Section III.G to the 49 Discovery Premises shall be amended to instead mean and refer to the 43 Discovery Premises.</w:t>
      </w:r>
    </w:p>
    <w:p>
      <w:pPr>
        <w:spacing w:after="0" w:line="207" w:lineRule="exact"/>
        <w:rPr>
          <w:rFonts w:ascii="Arial" w:cs="Arial" w:eastAsia="Arial" w:hAnsi="Arial"/>
          <w:sz w:val="22"/>
          <w:szCs w:val="22"/>
          <w:color w:val="auto"/>
        </w:rPr>
      </w:pPr>
    </w:p>
    <w:p>
      <w:pPr>
        <w:jc w:val="both"/>
        <w:ind w:left="-656" w:firstLine="656"/>
        <w:spacing w:after="0" w:line="280" w:lineRule="auto"/>
        <w:tabs>
          <w:tab w:leader="none" w:pos="877"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Inter-Building Conduit</w:t>
      </w:r>
      <w:r>
        <w:rPr>
          <w:rFonts w:ascii="Arial" w:cs="Arial" w:eastAsia="Arial" w:hAnsi="Arial"/>
          <w:sz w:val="19"/>
          <w:szCs w:val="19"/>
          <w:color w:val="auto"/>
        </w:rPr>
        <w:t>. The provisions of Section III.L of the Second Amendment shall remain in full force</w:t>
      </w:r>
      <w:r>
        <w:rPr>
          <w:rFonts w:ascii="Arial" w:cs="Arial" w:eastAsia="Arial" w:hAnsi="Arial"/>
          <w:sz w:val="19"/>
          <w:szCs w:val="19"/>
          <w:b w:val="1"/>
          <w:bCs w:val="1"/>
          <w:color w:val="auto"/>
        </w:rPr>
        <w:t xml:space="preserve"> </w:t>
      </w:r>
      <w:r>
        <w:rPr>
          <w:rFonts w:ascii="Arial" w:cs="Arial" w:eastAsia="Arial" w:hAnsi="Arial"/>
          <w:sz w:val="19"/>
          <w:szCs w:val="19"/>
          <w:color w:val="auto"/>
        </w:rPr>
        <w:t>and effect during the Term of the Lease as extended by this Amendment and shall apply to Tenant’s leasing of the 43 Discovery Premises pursuant to this Amendment, except that the references in said Section III.L to the Laguna Canyon Building and the 49 Discovery Building shall be amended to instead mean and refer to the 43 Discovery Building. Not later than the Termination Date for the Excess Space, Tenant shall remove any existing cabling within the Conduit servicing the Laguna Canyon Building and the 49 Discovery Building and all related equipment and facilities at Tenant’s sole cost and expense.</w:t>
      </w:r>
    </w:p>
    <w:p>
      <w:pPr>
        <w:spacing w:after="0" w:line="171" w:lineRule="exact"/>
        <w:rPr>
          <w:rFonts w:ascii="Arial" w:cs="Arial" w:eastAsia="Arial" w:hAnsi="Arial"/>
          <w:sz w:val="19"/>
          <w:szCs w:val="19"/>
          <w:color w:val="auto"/>
        </w:rPr>
      </w:pPr>
    </w:p>
    <w:p>
      <w:pPr>
        <w:jc w:val="both"/>
        <w:ind w:left="-656" w:firstLine="656"/>
        <w:spacing w:after="0" w:line="239" w:lineRule="auto"/>
        <w:tabs>
          <w:tab w:leader="none" w:pos="785"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Acceptance of Premises</w:t>
      </w:r>
      <w:r>
        <w:rPr>
          <w:rFonts w:ascii="Arial" w:cs="Arial" w:eastAsia="Arial" w:hAnsi="Arial"/>
          <w:sz w:val="22"/>
          <w:szCs w:val="22"/>
          <w:color w:val="auto"/>
        </w:rPr>
        <w:t>. Tenant acknowledges that the lease of the Premises pursuant to this Amendment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on an “as-is” basis without further obligation on Landlord’s part as to improvements whatsoever, except that Landlord hereby agrees to complete the Tenant Improvements for the Premises in accordance with the provisions of Exhibit X, Work Letter, attached hereto.</w:t>
      </w:r>
    </w:p>
    <w:p>
      <w:pPr>
        <w:spacing w:after="0" w:line="207" w:lineRule="exact"/>
        <w:rPr>
          <w:rFonts w:ascii="Arial" w:cs="Arial" w:eastAsia="Arial" w:hAnsi="Arial"/>
          <w:sz w:val="22"/>
          <w:szCs w:val="22"/>
          <w:color w:val="auto"/>
        </w:rPr>
      </w:pPr>
    </w:p>
    <w:p>
      <w:pPr>
        <w:jc w:val="both"/>
        <w:ind w:left="-656" w:firstLine="656"/>
        <w:spacing w:after="0" w:line="273" w:lineRule="auto"/>
        <w:tabs>
          <w:tab w:leader="none" w:pos="913"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Brokers</w:t>
      </w:r>
      <w:r>
        <w:rPr>
          <w:rFonts w:ascii="Arial" w:cs="Arial" w:eastAsia="Arial" w:hAnsi="Arial"/>
          <w:sz w:val="19"/>
          <w:szCs w:val="19"/>
          <w:color w:val="auto"/>
        </w:rPr>
        <w:t>. Article 18 of the Lease is amended to provide that the parties recognize the following parties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brokers who negotiated this Amendment, and agree that Landlord shall be responsible for payment of brokerage commissions to such brokers pursuant to its separate agreements with such brokers: Irvine Realty Company (“</w:t>
      </w:r>
      <w:r>
        <w:rPr>
          <w:rFonts w:ascii="Arial" w:cs="Arial" w:eastAsia="Arial" w:hAnsi="Arial"/>
          <w:sz w:val="19"/>
          <w:szCs w:val="19"/>
          <w:b w:val="1"/>
          <w:bCs w:val="1"/>
          <w:i w:val="1"/>
          <w:iCs w:val="1"/>
          <w:color w:val="auto"/>
        </w:rPr>
        <w:t>Landlord’s Broker</w:t>
      </w:r>
      <w:r>
        <w:rPr>
          <w:rFonts w:ascii="Arial" w:cs="Arial" w:eastAsia="Arial" w:hAnsi="Arial"/>
          <w:sz w:val="19"/>
          <w:szCs w:val="19"/>
          <w:color w:val="auto"/>
        </w:rPr>
        <w:t>”) is the agent of Landlord exclusively and Newmark Grubb Knight Frank / Newport Beach (“</w:t>
      </w:r>
      <w:r>
        <w:rPr>
          <w:rFonts w:ascii="Arial" w:cs="Arial" w:eastAsia="Arial" w:hAnsi="Arial"/>
          <w:sz w:val="19"/>
          <w:szCs w:val="19"/>
          <w:b w:val="1"/>
          <w:bCs w:val="1"/>
          <w:i w:val="1"/>
          <w:iCs w:val="1"/>
          <w:color w:val="auto"/>
        </w:rPr>
        <w:t>Tenant’s Broker</w:t>
      </w:r>
      <w:r>
        <w:rPr>
          <w:rFonts w:ascii="Arial" w:cs="Arial" w:eastAsia="Arial" w:hAnsi="Arial"/>
          <w:sz w:val="19"/>
          <w:szCs w:val="19"/>
          <w:color w:val="auto"/>
        </w:rPr>
        <w:t>”) is the agent of Tenant exclusively. By the execution of this Amendment, each of Landlord and Tenant hereby acknowledge and confirm (a) receipt of a copy of a Disclosure Regarding Real Estate Agency Relationship conforming to the requirements of California Civil Code 2079.16, and (b) the agency relationships specified herein, which acknowledgement and confirmation is expressly made for the benefit of Tenant’s Broker. If there is no Tenant’s Broker so identified herein, then such acknowledgement and confirmation is expressly made for the benefit of Landlord’s Broker. By the execution of this Amendment, Landlord and Tenant are executing the confirmation of the agency relationships set forth herein. The warranty and indemnity provisions of Article 18 of the Lease, as amended hereby, shall be binding and enforceable in connection with the negotiation of this Amendment.</w:t>
      </w:r>
    </w:p>
    <w:p>
      <w:pPr>
        <w:sectPr>
          <w:pgSz w:w="11900" w:h="16897" w:orient="portrait"/>
          <w:cols w:equalWidth="0" w:num="1">
            <w:col w:w="10584"/>
          </w:cols>
          <w:pgMar w:left="976" w:top="111" w:right="339" w:bottom="0" w:gutter="0" w:footer="0" w:header="0"/>
        </w:sectPr>
      </w:pPr>
    </w:p>
    <w:bookmarkStart w:id="401" w:name="page402"/>
    <w:bookmarkEnd w:id="401"/>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02" w:name="page403"/>
    <w:bookmarkEnd w:id="402"/>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w:t>
      </w:r>
    </w:p>
    <w:p>
      <w:pPr>
        <w:spacing w:after="0" w:line="243" w:lineRule="exact"/>
        <w:rPr>
          <w:sz w:val="20"/>
          <w:szCs w:val="20"/>
          <w:color w:val="auto"/>
        </w:rPr>
      </w:pPr>
    </w:p>
    <w:p>
      <w:pPr>
        <w:ind w:firstLine="656"/>
        <w:spacing w:after="0" w:line="256" w:lineRule="auto"/>
        <w:tabs>
          <w:tab w:leader="none" w:pos="1411" w:val="left"/>
        </w:tabs>
        <w:numPr>
          <w:ilvl w:val="1"/>
          <w:numId w:val="379"/>
        </w:numPr>
        <w:rPr>
          <w:rFonts w:ascii="Arial" w:cs="Arial" w:eastAsia="Arial" w:hAnsi="Arial"/>
          <w:sz w:val="22"/>
          <w:szCs w:val="22"/>
          <w:color w:val="auto"/>
        </w:rPr>
      </w:pPr>
      <w:r>
        <w:rPr>
          <w:rFonts w:ascii="Arial" w:cs="Arial" w:eastAsia="Arial" w:hAnsi="Arial"/>
          <w:sz w:val="22"/>
          <w:szCs w:val="22"/>
          <w:b w:val="1"/>
          <w:bCs w:val="1"/>
          <w:color w:val="auto"/>
        </w:rPr>
        <w:t>Effect of Amendment</w:t>
      </w:r>
      <w:r>
        <w:rPr>
          <w:rFonts w:ascii="Arial" w:cs="Arial" w:eastAsia="Arial" w:hAnsi="Arial"/>
          <w:sz w:val="22"/>
          <w:szCs w:val="22"/>
          <w:color w:val="auto"/>
        </w:rPr>
        <w:t>. The Lease shall remain in full force and effect and unmodified except to the extent that it</w:t>
      </w:r>
      <w:r>
        <w:rPr>
          <w:rFonts w:ascii="Arial" w:cs="Arial" w:eastAsia="Arial" w:hAnsi="Arial"/>
          <w:sz w:val="22"/>
          <w:szCs w:val="22"/>
          <w:b w:val="1"/>
          <w:bCs w:val="1"/>
          <w:color w:val="auto"/>
        </w:rPr>
        <w:t xml:space="preserve"> </w:t>
      </w:r>
      <w:r>
        <w:rPr>
          <w:rFonts w:ascii="Arial" w:cs="Arial" w:eastAsia="Arial" w:hAnsi="Arial"/>
          <w:sz w:val="22"/>
          <w:szCs w:val="22"/>
          <w:color w:val="auto"/>
        </w:rPr>
        <w:t>is modified by this Amendment.</w:t>
      </w:r>
    </w:p>
    <w:p>
      <w:pPr>
        <w:spacing w:after="0" w:line="189" w:lineRule="exact"/>
        <w:rPr>
          <w:rFonts w:ascii="Arial" w:cs="Arial" w:eastAsia="Arial" w:hAnsi="Arial"/>
          <w:sz w:val="22"/>
          <w:szCs w:val="22"/>
          <w:color w:val="auto"/>
        </w:rPr>
      </w:pPr>
    </w:p>
    <w:p>
      <w:pPr>
        <w:jc w:val="both"/>
        <w:ind w:firstLine="656"/>
        <w:spacing w:after="0" w:line="243" w:lineRule="auto"/>
        <w:tabs>
          <w:tab w:leader="none" w:pos="1184" w:val="left"/>
        </w:tabs>
        <w:numPr>
          <w:ilvl w:val="1"/>
          <w:numId w:val="379"/>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Amendment embodies the entire understanding between Landlord and Tenant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modifications set forth in “</w:t>
      </w:r>
      <w:r>
        <w:rPr>
          <w:rFonts w:ascii="Arial" w:cs="Arial" w:eastAsia="Arial" w:hAnsi="Arial"/>
          <w:sz w:val="22"/>
          <w:szCs w:val="22"/>
          <w:b w:val="1"/>
          <w:bCs w:val="1"/>
          <w:i w:val="1"/>
          <w:iCs w:val="1"/>
          <w:color w:val="auto"/>
        </w:rPr>
        <w:t>III. MODIFICATIONS</w:t>
      </w:r>
      <w:r>
        <w:rPr>
          <w:rFonts w:ascii="Arial" w:cs="Arial" w:eastAsia="Arial" w:hAnsi="Arial"/>
          <w:sz w:val="22"/>
          <w:szCs w:val="22"/>
          <w:color w:val="auto"/>
        </w:rPr>
        <w:t>” above and can be changed only by a writing signed by Landlord and Tenant.</w:t>
      </w:r>
    </w:p>
    <w:p>
      <w:pPr>
        <w:spacing w:after="0" w:line="203" w:lineRule="exact"/>
        <w:rPr>
          <w:rFonts w:ascii="Arial" w:cs="Arial" w:eastAsia="Arial" w:hAnsi="Arial"/>
          <w:sz w:val="22"/>
          <w:szCs w:val="22"/>
          <w:color w:val="auto"/>
        </w:rPr>
      </w:pPr>
    </w:p>
    <w:p>
      <w:pPr>
        <w:ind w:firstLine="656"/>
        <w:spacing w:after="0" w:line="334" w:lineRule="auto"/>
        <w:tabs>
          <w:tab w:leader="none" w:pos="1481" w:val="left"/>
        </w:tabs>
        <w:numPr>
          <w:ilvl w:val="1"/>
          <w:numId w:val="379"/>
        </w:numPr>
        <w:rPr>
          <w:rFonts w:ascii="Arial" w:cs="Arial" w:eastAsia="Arial" w:hAnsi="Arial"/>
          <w:sz w:val="19"/>
          <w:szCs w:val="19"/>
          <w:color w:val="auto"/>
        </w:rPr>
      </w:pPr>
      <w:r>
        <w:rPr>
          <w:rFonts w:ascii="Arial" w:cs="Arial" w:eastAsia="Arial" w:hAnsi="Arial"/>
          <w:sz w:val="19"/>
          <w:szCs w:val="19"/>
          <w:b w:val="1"/>
          <w:bCs w:val="1"/>
          <w:color w:val="auto"/>
        </w:rPr>
        <w:t>Defined Terms</w:t>
      </w:r>
      <w:r>
        <w:rPr>
          <w:rFonts w:ascii="Arial" w:cs="Arial" w:eastAsia="Arial" w:hAnsi="Arial"/>
          <w:sz w:val="19"/>
          <w:szCs w:val="19"/>
          <w:color w:val="auto"/>
        </w:rPr>
        <w:t>. All words commencing with initial capital letters in this Amendment and defined in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same meaning in this Amendment as in the Lease, unless they are otherwise defined in this Amendment.</w:t>
      </w:r>
    </w:p>
    <w:p>
      <w:pPr>
        <w:spacing w:after="0" w:line="120" w:lineRule="exact"/>
        <w:rPr>
          <w:rFonts w:ascii="Arial" w:cs="Arial" w:eastAsia="Arial" w:hAnsi="Arial"/>
          <w:sz w:val="19"/>
          <w:szCs w:val="19"/>
          <w:color w:val="auto"/>
        </w:rPr>
      </w:pPr>
    </w:p>
    <w:p>
      <w:pPr>
        <w:jc w:val="both"/>
        <w:ind w:firstLine="656"/>
        <w:spacing w:after="0" w:line="239" w:lineRule="auto"/>
        <w:tabs>
          <w:tab w:leader="none" w:pos="1519" w:val="left"/>
        </w:tabs>
        <w:numPr>
          <w:ilvl w:val="1"/>
          <w:numId w:val="379"/>
        </w:numPr>
        <w:rPr>
          <w:rFonts w:ascii="Arial" w:cs="Arial" w:eastAsia="Arial" w:hAnsi="Arial"/>
          <w:sz w:val="22"/>
          <w:szCs w:val="22"/>
          <w:color w:val="auto"/>
        </w:rPr>
      </w:pPr>
      <w:r>
        <w:rPr>
          <w:rFonts w:ascii="Arial" w:cs="Arial" w:eastAsia="Arial" w:hAnsi="Arial"/>
          <w:sz w:val="22"/>
          <w:szCs w:val="22"/>
          <w:b w:val="1"/>
          <w:bCs w:val="1"/>
          <w:color w:val="auto"/>
        </w:rPr>
        <w:t>Corporate and Partnership Authority</w:t>
      </w:r>
      <w:r>
        <w:rPr>
          <w:rFonts w:ascii="Arial" w:cs="Arial" w:eastAsia="Arial" w:hAnsi="Arial"/>
          <w:sz w:val="22"/>
          <w:szCs w:val="22"/>
          <w:color w:val="auto"/>
        </w:rPr>
        <w:t>. If Tenant is a corporation or partnership, or is comprised of either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them, each individual executing this Amendment for the corporation or partnership represents that he or she is duly authorized to execute and deliver this Amendment on behalf of the corporation or partnership and that this Amendment is binding upon the corporation or partnership in accordance with its terms.</w:t>
      </w:r>
    </w:p>
    <w:p>
      <w:pPr>
        <w:spacing w:after="0" w:line="207" w:lineRule="exact"/>
        <w:rPr>
          <w:rFonts w:ascii="Arial" w:cs="Arial" w:eastAsia="Arial" w:hAnsi="Arial"/>
          <w:sz w:val="22"/>
          <w:szCs w:val="22"/>
          <w:color w:val="auto"/>
        </w:rPr>
      </w:pPr>
    </w:p>
    <w:p>
      <w:pPr>
        <w:jc w:val="both"/>
        <w:ind w:firstLine="656"/>
        <w:spacing w:after="0" w:line="283" w:lineRule="auto"/>
        <w:tabs>
          <w:tab w:leader="none" w:pos="1414" w:val="left"/>
        </w:tabs>
        <w:numPr>
          <w:ilvl w:val="1"/>
          <w:numId w:val="379"/>
        </w:numPr>
        <w:rPr>
          <w:rFonts w:ascii="Arial" w:cs="Arial" w:eastAsia="Arial" w:hAnsi="Arial"/>
          <w:sz w:val="19"/>
          <w:szCs w:val="19"/>
          <w:color w:val="auto"/>
        </w:rPr>
      </w:pPr>
      <w:r>
        <w:rPr>
          <w:rFonts w:ascii="Arial" w:cs="Arial" w:eastAsia="Arial" w:hAnsi="Arial"/>
          <w:sz w:val="19"/>
          <w:szCs w:val="19"/>
          <w:b w:val="1"/>
          <w:bCs w:val="1"/>
          <w:color w:val="auto"/>
        </w:rPr>
        <w:t>Counterparts; Digital Signatures</w:t>
      </w:r>
      <w:r>
        <w:rPr>
          <w:rFonts w:ascii="Arial" w:cs="Arial" w:eastAsia="Arial" w:hAnsi="Arial"/>
          <w:sz w:val="19"/>
          <w:szCs w:val="19"/>
          <w:color w:val="auto"/>
        </w:rPr>
        <w:t>. If this Amendment is executed in counterparts, each is hereby declared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an original; all, however, shall constitute but one and the same amendment. In any action or proceeding, any photographic, photostatic, or other copy of this Amendment may be introduced into evidence without foundation. The parties agree to accept a digital image (including but not limited to an image in the form of a PDF, JPEG, GIF file, or other e-signature) of this Amendment, if applicable, reflecting the execution of one or both of the parties, as a true and correct original.</w:t>
      </w:r>
    </w:p>
    <w:p>
      <w:pPr>
        <w:spacing w:after="0" w:line="169" w:lineRule="exact"/>
        <w:rPr>
          <w:rFonts w:ascii="Arial" w:cs="Arial" w:eastAsia="Arial" w:hAnsi="Arial"/>
          <w:sz w:val="19"/>
          <w:szCs w:val="19"/>
          <w:color w:val="auto"/>
        </w:rPr>
      </w:pPr>
    </w:p>
    <w:p>
      <w:pPr>
        <w:jc w:val="both"/>
        <w:ind w:firstLine="656"/>
        <w:spacing w:after="0" w:line="280" w:lineRule="auto"/>
        <w:tabs>
          <w:tab w:leader="none" w:pos="1439" w:val="left"/>
        </w:tabs>
        <w:numPr>
          <w:ilvl w:val="1"/>
          <w:numId w:val="379"/>
        </w:numPr>
        <w:rPr>
          <w:rFonts w:ascii="Arial" w:cs="Arial" w:eastAsia="Arial" w:hAnsi="Arial"/>
          <w:sz w:val="19"/>
          <w:szCs w:val="19"/>
          <w:color w:val="auto"/>
        </w:rPr>
      </w:pPr>
      <w:r>
        <w:rPr>
          <w:rFonts w:ascii="Arial" w:cs="Arial" w:eastAsia="Arial" w:hAnsi="Arial"/>
          <w:sz w:val="19"/>
          <w:szCs w:val="19"/>
          <w:b w:val="1"/>
          <w:bCs w:val="1"/>
          <w:color w:val="auto"/>
        </w:rPr>
        <w:t>California Certified Access Specialist Inspection</w:t>
      </w:r>
      <w:r>
        <w:rPr>
          <w:rFonts w:ascii="Arial" w:cs="Arial" w:eastAsia="Arial" w:hAnsi="Arial"/>
          <w:sz w:val="19"/>
          <w:szCs w:val="19"/>
          <w:color w:val="auto"/>
        </w:rPr>
        <w:t>. Pursuant to California Civil Code § 1938, Landlord hereby</w:t>
      </w:r>
      <w:r>
        <w:rPr>
          <w:rFonts w:ascii="Arial" w:cs="Arial" w:eastAsia="Arial" w:hAnsi="Arial"/>
          <w:sz w:val="19"/>
          <w:szCs w:val="19"/>
          <w:b w:val="1"/>
          <w:bCs w:val="1"/>
          <w:color w:val="auto"/>
        </w:rPr>
        <w:t xml:space="preserve"> </w:t>
      </w:r>
      <w:r>
        <w:rPr>
          <w:rFonts w:ascii="Arial" w:cs="Arial" w:eastAsia="Arial" w:hAnsi="Arial"/>
          <w:sz w:val="19"/>
          <w:szCs w:val="19"/>
          <w:color w:val="auto"/>
        </w:rPr>
        <w:t>states that the Premises have not undergone inspection by a Certified Access Specialist (CASp) (defined in California Civil Code</w:t>
      </w:r>
    </w:p>
    <w:p>
      <w:pPr>
        <w:jc w:val="both"/>
        <w:ind w:firstLine="8"/>
        <w:spacing w:after="0" w:line="270" w:lineRule="auto"/>
        <w:tabs>
          <w:tab w:leader="none" w:pos="188" w:val="left"/>
        </w:tabs>
        <w:numPr>
          <w:ilvl w:val="0"/>
          <w:numId w:val="379"/>
        </w:numPr>
        <w:rPr>
          <w:rFonts w:ascii="Arial" w:cs="Arial" w:eastAsia="Arial" w:hAnsi="Arial"/>
          <w:sz w:val="19"/>
          <w:szCs w:val="19"/>
          <w:color w:val="auto"/>
        </w:rPr>
      </w:pPr>
      <w:r>
        <w:rPr>
          <w:rFonts w:ascii="Arial" w:cs="Arial" w:eastAsia="Arial" w:hAnsi="Arial"/>
          <w:sz w:val="19"/>
          <w:szCs w:val="19"/>
          <w:color w:val="auto"/>
        </w:rPr>
        <w:t>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If Tenant requests to perform a CASp inspection of the Premises, Tenant shall, at its cost, retain a CASp approved by Landlord (provided that Landlord may designate the CASp, at Landlord’s option) to perform the inspection of the Premises at a time agreed upon by the parties. Tenant shall provide Landlord with a copy of any report or certificate issued by the CASp (the “</w:t>
      </w:r>
      <w:r>
        <w:rPr>
          <w:rFonts w:ascii="Arial" w:cs="Arial" w:eastAsia="Arial" w:hAnsi="Arial"/>
          <w:sz w:val="19"/>
          <w:szCs w:val="19"/>
          <w:b w:val="1"/>
          <w:bCs w:val="1"/>
          <w:i w:val="1"/>
          <w:iCs w:val="1"/>
          <w:color w:val="auto"/>
        </w:rPr>
        <w:t>CASp Report</w:t>
      </w:r>
      <w:r>
        <w:rPr>
          <w:rFonts w:ascii="Arial" w:cs="Arial" w:eastAsia="Arial" w:hAnsi="Arial"/>
          <w:sz w:val="19"/>
          <w:szCs w:val="19"/>
          <w:color w:val="auto"/>
        </w:rPr>
        <w:t>”) and Tenant shall, at its cost, promptly complete any modifications necessary to correct violations of construction related accessibility standards identified in the CASp Report, notwithstanding anything to the contrary in this Lease. Tenant agrees to keep the information in the CASp Report confidential except as necessary for the Tenant to complete such modifications.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V.</w:t>
            </w:r>
          </w:p>
        </w:tc>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w:t>
            </w:r>
          </w:p>
        </w:tc>
        <w:tc>
          <w:tcPr>
            <w:tcW w:w="6580" w:type="dxa"/>
            <w:vAlign w:val="bottom"/>
          </w:tcPr>
          <w:p>
            <w:pPr>
              <w:spacing w:after="0"/>
              <w:rPr>
                <w:sz w:val="20"/>
                <w:szCs w:val="20"/>
                <w:color w:val="auto"/>
              </w:rPr>
            </w:pPr>
          </w:p>
        </w:tc>
      </w:tr>
      <w:tr>
        <w:trPr>
          <w:trHeight w:val="441"/>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6580" w:type="dxa"/>
            <w:vAlign w:val="bottom"/>
          </w:tcPr>
          <w:p>
            <w:pPr>
              <w:ind w:left="960"/>
              <w:spacing w:after="0"/>
              <w:rPr>
                <w:sz w:val="20"/>
                <w:szCs w:val="20"/>
                <w:color w:val="auto"/>
              </w:rPr>
            </w:pPr>
            <w:r>
              <w:rPr>
                <w:rFonts w:ascii="Arial" w:cs="Arial" w:eastAsia="Arial" w:hAnsi="Arial"/>
                <w:sz w:val="18"/>
                <w:szCs w:val="18"/>
                <w:b w:val="1"/>
                <w:bCs w:val="1"/>
                <w:color w:val="auto"/>
              </w:rPr>
              <w:t>TENANT:</w:t>
            </w: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DISCOVERY BUSINESS CENTER LLC,</w:t>
            </w:r>
          </w:p>
        </w:tc>
        <w:tc>
          <w:tcPr>
            <w:tcW w:w="6580" w:type="dxa"/>
            <w:vAlign w:val="bottom"/>
          </w:tcPr>
          <w:p>
            <w:pPr>
              <w:ind w:left="960"/>
              <w:spacing w:after="0"/>
              <w:rPr>
                <w:sz w:val="20"/>
                <w:szCs w:val="20"/>
                <w:color w:val="auto"/>
              </w:rPr>
            </w:pPr>
            <w:r>
              <w:rPr>
                <w:rFonts w:ascii="Arial" w:cs="Arial" w:eastAsia="Arial" w:hAnsi="Arial"/>
                <w:sz w:val="18"/>
                <w:szCs w:val="18"/>
                <w:b w:val="1"/>
                <w:bCs w:val="1"/>
                <w:color w:val="auto"/>
              </w:rPr>
              <w:t>GHOST MANAGEMENT GROUP, LLC,</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6580" w:type="dxa"/>
            <w:vAlign w:val="bottom"/>
          </w:tcPr>
          <w:p>
            <w:pPr>
              <w:ind w:left="960"/>
              <w:spacing w:after="0"/>
              <w:rPr>
                <w:sz w:val="20"/>
                <w:szCs w:val="20"/>
                <w:color w:val="auto"/>
              </w:rPr>
            </w:pPr>
            <w:r>
              <w:rPr>
                <w:rFonts w:ascii="Arial" w:cs="Arial" w:eastAsia="Arial" w:hAnsi="Arial"/>
                <w:sz w:val="18"/>
                <w:szCs w:val="18"/>
                <w:color w:val="auto"/>
              </w:rPr>
              <w:t>a Delaware limited liability company</w:t>
            </w:r>
          </w:p>
        </w:tc>
      </w:tr>
      <w:tr>
        <w:trPr>
          <w:trHeight w:val="445"/>
        </w:trPr>
        <w:tc>
          <w:tcPr>
            <w:tcW w:w="46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Steven M. Case</w:t>
            </w:r>
          </w:p>
        </w:tc>
        <w:tc>
          <w:tcPr>
            <w:tcW w:w="6580" w:type="dxa"/>
            <w:vAlign w:val="bottom"/>
          </w:tcPr>
          <w:p>
            <w:pPr>
              <w:ind w:left="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Doug Francis</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Printed Name: Steven M. Case</w:t>
            </w:r>
          </w:p>
        </w:tc>
        <w:tc>
          <w:tcPr>
            <w:tcW w:w="6580" w:type="dxa"/>
            <w:vAlign w:val="bottom"/>
          </w:tcPr>
          <w:p>
            <w:pPr>
              <w:ind w:left="960"/>
              <w:spacing w:after="0"/>
              <w:rPr>
                <w:sz w:val="20"/>
                <w:szCs w:val="20"/>
                <w:color w:val="auto"/>
              </w:rPr>
            </w:pPr>
            <w:r>
              <w:rPr>
                <w:rFonts w:ascii="Arial" w:cs="Arial" w:eastAsia="Arial" w:hAnsi="Arial"/>
                <w:sz w:val="18"/>
                <w:szCs w:val="18"/>
                <w:color w:val="auto"/>
              </w:rPr>
              <w:t>Printed Name: Doug Francis</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Title: EVP Office Properties</w:t>
            </w:r>
          </w:p>
        </w:tc>
        <w:tc>
          <w:tcPr>
            <w:tcW w:w="6580" w:type="dxa"/>
            <w:vAlign w:val="bottom"/>
          </w:tcPr>
          <w:p>
            <w:pPr>
              <w:ind w:left="960"/>
              <w:spacing w:after="0"/>
              <w:rPr>
                <w:sz w:val="20"/>
                <w:szCs w:val="20"/>
                <w:color w:val="auto"/>
              </w:rPr>
            </w:pPr>
            <w:r>
              <w:rPr>
                <w:rFonts w:ascii="Arial" w:cs="Arial" w:eastAsia="Arial" w:hAnsi="Arial"/>
                <w:sz w:val="18"/>
                <w:szCs w:val="18"/>
                <w:color w:val="auto"/>
              </w:rPr>
              <w:t>Title:  CEO</w:t>
            </w:r>
          </w:p>
        </w:tc>
      </w:tr>
      <w:tr>
        <w:trPr>
          <w:trHeight w:val="445"/>
        </w:trPr>
        <w:tc>
          <w:tcPr>
            <w:tcW w:w="46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Holly McManus</w:t>
            </w:r>
          </w:p>
        </w:tc>
        <w:tc>
          <w:tcPr>
            <w:tcW w:w="6580" w:type="dxa"/>
            <w:vAlign w:val="bottom"/>
          </w:tcPr>
          <w:p>
            <w:pPr>
              <w:ind w:left="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Chris Beals</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Printed Name: Holly McManus</w:t>
            </w:r>
          </w:p>
        </w:tc>
        <w:tc>
          <w:tcPr>
            <w:tcW w:w="6580" w:type="dxa"/>
            <w:vAlign w:val="bottom"/>
          </w:tcPr>
          <w:p>
            <w:pPr>
              <w:ind w:left="960"/>
              <w:spacing w:after="0"/>
              <w:rPr>
                <w:sz w:val="20"/>
                <w:szCs w:val="20"/>
                <w:color w:val="auto"/>
              </w:rPr>
            </w:pPr>
            <w:r>
              <w:rPr>
                <w:rFonts w:ascii="Arial" w:cs="Arial" w:eastAsia="Arial" w:hAnsi="Arial"/>
                <w:sz w:val="18"/>
                <w:szCs w:val="18"/>
                <w:color w:val="auto"/>
              </w:rPr>
              <w:t>Printed Name: Chris Beals</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100"/>
              <w:spacing w:after="0"/>
              <w:rPr>
                <w:sz w:val="20"/>
                <w:szCs w:val="20"/>
                <w:color w:val="auto"/>
              </w:rPr>
            </w:pPr>
            <w:r>
              <w:rPr>
                <w:rFonts w:ascii="Arial" w:cs="Arial" w:eastAsia="Arial" w:hAnsi="Arial"/>
                <w:sz w:val="18"/>
                <w:szCs w:val="18"/>
                <w:color w:val="auto"/>
              </w:rPr>
              <w:t>Vice President, OperationsOffice Properties</w:t>
            </w:r>
          </w:p>
        </w:tc>
        <w:tc>
          <w:tcPr>
            <w:tcW w:w="6580" w:type="dxa"/>
            <w:vAlign w:val="bottom"/>
          </w:tcPr>
          <w:p>
            <w:pPr>
              <w:ind w:left="960"/>
              <w:spacing w:after="0"/>
              <w:rPr>
                <w:sz w:val="20"/>
                <w:szCs w:val="20"/>
                <w:color w:val="auto"/>
              </w:rPr>
            </w:pPr>
            <w:r>
              <w:rPr>
                <w:rFonts w:ascii="Arial" w:cs="Arial" w:eastAsia="Arial" w:hAnsi="Arial"/>
                <w:sz w:val="18"/>
                <w:szCs w:val="18"/>
                <w:color w:val="auto"/>
              </w:rPr>
              <w:t>Title:  President &amp; General Counsel</w:t>
            </w:r>
          </w:p>
        </w:tc>
      </w:tr>
      <w:tr>
        <w:trPr>
          <w:trHeight w:val="582"/>
        </w:trPr>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580" w:type="dxa"/>
            <w:vAlign w:val="bottom"/>
          </w:tcPr>
          <w:p>
            <w:pPr>
              <w:ind w:left="920"/>
              <w:spacing w:after="0"/>
              <w:rPr>
                <w:sz w:val="20"/>
                <w:szCs w:val="20"/>
                <w:color w:val="auto"/>
              </w:rPr>
            </w:pPr>
            <w:r>
              <w:rPr>
                <w:rFonts w:ascii="Arial" w:cs="Arial" w:eastAsia="Arial" w:hAnsi="Arial"/>
                <w:sz w:val="14"/>
                <w:szCs w:val="14"/>
                <w:color w:val="auto"/>
              </w:rPr>
              <w:t>6</w:t>
            </w:r>
          </w:p>
        </w:tc>
      </w:tr>
      <w:tr>
        <w:trPr>
          <w:trHeight w:val="46"/>
        </w:trPr>
        <w:tc>
          <w:tcPr>
            <w:tcW w:w="48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43 DISCOVERY PREMISES</w:t>
      </w:r>
    </w:p>
    <w:p>
      <w:pPr>
        <w:spacing w:after="0" w:line="245" w:lineRule="exact"/>
        <w:rPr>
          <w:sz w:val="20"/>
          <w:szCs w:val="20"/>
          <w:color w:val="auto"/>
        </w:rPr>
      </w:pPr>
    </w:p>
    <w:p>
      <w:pPr>
        <w:ind w:left="4060" w:right="3919" w:hanging="147"/>
        <w:spacing w:after="0" w:line="648" w:lineRule="auto"/>
        <w:tabs>
          <w:tab w:leader="none" w:pos="4192"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2nd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36195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FIRST RIGHT SPACE</w:t>
      </w:r>
    </w:p>
    <w:p>
      <w:pPr>
        <w:spacing w:after="0" w:line="245" w:lineRule="exact"/>
        <w:rPr>
          <w:sz w:val="20"/>
          <w:szCs w:val="20"/>
          <w:color w:val="auto"/>
        </w:rPr>
      </w:pPr>
    </w:p>
    <w:p>
      <w:pPr>
        <w:ind w:left="4000" w:right="3919" w:hanging="87"/>
        <w:spacing w:after="0" w:line="601" w:lineRule="auto"/>
        <w:tabs>
          <w:tab w:leader="none" w:pos="4180" w:val="left"/>
        </w:tabs>
        <w:numPr>
          <w:ilvl w:val="0"/>
          <w:numId w:val="381"/>
        </w:numPr>
        <w:rPr>
          <w:rFonts w:ascii="Arial" w:cs="Arial" w:eastAsia="Arial" w:hAnsi="Arial"/>
          <w:sz w:val="19"/>
          <w:szCs w:val="19"/>
          <w:b w:val="1"/>
          <w:bCs w:val="1"/>
          <w:color w:val="auto"/>
        </w:rPr>
      </w:pPr>
      <w:r>
        <w:rPr>
          <w:rFonts w:ascii="Arial" w:cs="Arial" w:eastAsia="Arial" w:hAnsi="Arial"/>
          <w:sz w:val="19"/>
          <w:szCs w:val="19"/>
          <w:b w:val="1"/>
          <w:bCs w:val="1"/>
          <w:color w:val="auto"/>
        </w:rPr>
        <w:t>Discovery 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5" w:name="page406"/>
    <w:bookmarkEnd w:id="405"/>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WORK LETTER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 ALLOWANCE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tenant improvement work to be contracted for by Landlord hereunder (“</w:t>
      </w:r>
      <w:r>
        <w:rPr>
          <w:rFonts w:ascii="Arial" w:cs="Arial" w:eastAsia="Arial" w:hAnsi="Arial"/>
          <w:sz w:val="21"/>
          <w:szCs w:val="21"/>
          <w:b w:val="1"/>
          <w:bCs w:val="1"/>
          <w:i w:val="1"/>
          <w:iCs w:val="1"/>
          <w:color w:val="auto"/>
        </w:rPr>
        <w:t>Tenant Improvement Work</w:t>
      </w:r>
      <w:r>
        <w:rPr>
          <w:rFonts w:ascii="Arial" w:cs="Arial" w:eastAsia="Arial" w:hAnsi="Arial"/>
          <w:sz w:val="21"/>
          <w:szCs w:val="21"/>
          <w:color w:val="auto"/>
        </w:rPr>
        <w:t>”) shall consist of the design and construction of all tenant improvements (“</w:t>
      </w:r>
      <w:r>
        <w:rPr>
          <w:rFonts w:ascii="Arial" w:cs="Arial" w:eastAsia="Arial" w:hAnsi="Arial"/>
          <w:sz w:val="21"/>
          <w:szCs w:val="21"/>
          <w:b w:val="1"/>
          <w:bCs w:val="1"/>
          <w:i w:val="1"/>
          <w:iCs w:val="1"/>
          <w:color w:val="auto"/>
        </w:rPr>
        <w:t>Tenant Improvements</w:t>
      </w:r>
      <w:r>
        <w:rPr>
          <w:rFonts w:ascii="Arial" w:cs="Arial" w:eastAsia="Arial" w:hAnsi="Arial"/>
          <w:sz w:val="21"/>
          <w:szCs w:val="21"/>
          <w:color w:val="auto"/>
        </w:rPr>
        <w:t>”), including work in place as of the date hereof, required for the Premises pursuant to the approved final Working Drawings and Specifications (as hereinafter defined). All of the Tenant Improvement Work shall be performed by a contractor selected by Landlord and in accordance with the procedures and requirements set forth below. It is understood that the Tenant Improvement Work may be performed in one or two phases (i.e., one for each of the 41 Discovery Premises and the 43 Discovery Premises), and in such event the provisions of this Work Letter shall apply to each such phase, but there shall be only one Landlord’s Maximum Contribution and Moving Allowance as set forth in Section II.B below.</w:t>
      </w:r>
    </w:p>
    <w:p>
      <w:pPr>
        <w:spacing w:after="0" w:line="210"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ARCHITECTURAL AND CONSTRUCTION PROCEDURES.</w:t>
      </w:r>
    </w:p>
    <w:p>
      <w:pPr>
        <w:spacing w:after="0" w:line="248" w:lineRule="exact"/>
        <w:rPr>
          <w:rFonts w:ascii="Arial" w:cs="Arial" w:eastAsia="Arial" w:hAnsi="Arial"/>
          <w:sz w:val="18"/>
          <w:szCs w:val="18"/>
          <w:b w:val="1"/>
          <w:bCs w:val="1"/>
          <w:color w:val="auto"/>
        </w:rPr>
      </w:pPr>
    </w:p>
    <w:p>
      <w:pPr>
        <w:jc w:val="both"/>
        <w:ind w:firstLine="656"/>
        <w:spacing w:after="0" w:line="270" w:lineRule="auto"/>
        <w:tabs>
          <w:tab w:leader="none" w:pos="1490" w:val="left"/>
        </w:tabs>
        <w:numPr>
          <w:ilvl w:val="1"/>
          <w:numId w:val="382"/>
        </w:numPr>
        <w:rPr>
          <w:rFonts w:ascii="Arial" w:cs="Arial" w:eastAsia="Arial" w:hAnsi="Arial"/>
          <w:sz w:val="19"/>
          <w:szCs w:val="19"/>
          <w:b w:val="1"/>
          <w:bCs w:val="1"/>
          <w:color w:val="auto"/>
        </w:rPr>
      </w:pPr>
      <w:r>
        <w:rPr>
          <w:rFonts w:ascii="Arial" w:cs="Arial" w:eastAsia="Arial" w:hAnsi="Arial"/>
          <w:sz w:val="19"/>
          <w:szCs w:val="19"/>
          <w:color w:val="auto"/>
        </w:rPr>
        <w:t>Tenant and Landlord have approved, or shall approve within the time period set forth below, both (i) a detailed space plan for the Premises, prepared by Landlord’s architect (to be selected by Tenant from among LPA, Inc., Gensler, SAA, or H. Hendy Associates), which includes interior partitions, ceilings, interior finishes, interior doors, suite entrance, floor coverings, window coverings, lighting, electrical and telephone outlets, plumbing connections, heavy floor loads and other special requirements of Tenant (“</w:t>
      </w:r>
      <w:r>
        <w:rPr>
          <w:rFonts w:ascii="Arial" w:cs="Arial" w:eastAsia="Arial" w:hAnsi="Arial"/>
          <w:sz w:val="19"/>
          <w:szCs w:val="19"/>
          <w:b w:val="1"/>
          <w:bCs w:val="1"/>
          <w:i w:val="1"/>
          <w:iCs w:val="1"/>
          <w:color w:val="auto"/>
        </w:rPr>
        <w:t>Preliminary Plan</w:t>
      </w:r>
      <w:r>
        <w:rPr>
          <w:rFonts w:ascii="Arial" w:cs="Arial" w:eastAsia="Arial" w:hAnsi="Arial"/>
          <w:sz w:val="19"/>
          <w:szCs w:val="19"/>
          <w:color w:val="auto"/>
        </w:rPr>
        <w:t>”), and (ii) an estimate of the cost to complete the Tenant Improvements in accordance with the Preliminary Plan (“</w:t>
      </w:r>
      <w:r>
        <w:rPr>
          <w:rFonts w:ascii="Arial" w:cs="Arial" w:eastAsia="Arial" w:hAnsi="Arial"/>
          <w:sz w:val="19"/>
          <w:szCs w:val="19"/>
          <w:b w:val="1"/>
          <w:bCs w:val="1"/>
          <w:i w:val="1"/>
          <w:iCs w:val="1"/>
          <w:color w:val="auto"/>
        </w:rPr>
        <w:t>Preliminary Cost Estimate</w:t>
      </w:r>
      <w:r>
        <w:rPr>
          <w:rFonts w:ascii="Arial" w:cs="Arial" w:eastAsia="Arial" w:hAnsi="Arial"/>
          <w:sz w:val="19"/>
          <w:szCs w:val="19"/>
          <w:color w:val="auto"/>
        </w:rPr>
        <w:t>”), which Preliminary Cost Estimate will be based upon estimated costs provided by Landlord’s contractor. To the extent applicable, the Preliminary Plan shall include Landlord’s building standard tenant improvements, materials and specifications for the Project as set forth in Schedule I attached hereto (“</w:t>
      </w:r>
      <w:r>
        <w:rPr>
          <w:rFonts w:ascii="Arial" w:cs="Arial" w:eastAsia="Arial" w:hAnsi="Arial"/>
          <w:sz w:val="19"/>
          <w:szCs w:val="19"/>
          <w:b w:val="1"/>
          <w:bCs w:val="1"/>
          <w:i w:val="1"/>
          <w:iCs w:val="1"/>
          <w:color w:val="auto"/>
        </w:rPr>
        <w:t>Building Standard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Improvements</w:t>
      </w:r>
      <w:r>
        <w:rPr>
          <w:rFonts w:ascii="Arial" w:cs="Arial" w:eastAsia="Arial" w:hAnsi="Arial"/>
          <w:sz w:val="19"/>
          <w:szCs w:val="19"/>
          <w:color w:val="auto"/>
        </w:rPr>
        <w:t>”), except for changes and additions specifically requested by Tenant and approved by Landlord in writing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addition or variation from the Standard Improvements shall be referred to herein as a (“</w:t>
      </w:r>
      <w:r>
        <w:rPr>
          <w:rFonts w:ascii="Arial" w:cs="Arial" w:eastAsia="Arial" w:hAnsi="Arial"/>
          <w:sz w:val="19"/>
          <w:szCs w:val="19"/>
          <w:b w:val="1"/>
          <w:bCs w:val="1"/>
          <w:i w:val="1"/>
          <w:iCs w:val="1"/>
          <w:color w:val="auto"/>
        </w:rPr>
        <w:t>Non-Standard Improvement</w:t>
      </w:r>
      <w:r>
        <w:rPr>
          <w:rFonts w:ascii="Arial" w:cs="Arial" w:eastAsia="Arial" w:hAnsi="Arial"/>
          <w:sz w:val="19"/>
          <w:szCs w:val="19"/>
          <w:color w:val="auto"/>
        </w:rPr>
        <w:t>”). All Tenant requests for Non-Standard Improvements must be in writing and shall provide sufficient specifications and details for Landlord to reasonably evaluate impacts upon the Preliminary Plan and Preliminary Cost Estimate. Tenant shall approve or provide suggested revisions to the Preliminary Plan and the Preliminary Cost Estimate by signing copies of each or specifying in reasonable detail any suggested revisions thereto as hereinabove provided, and delivering each to Landlord within 5 business days of receipt thereof by Tenant. Landlord shall attempt in good faith to modify the Preliminary Plan and the Preliminary Cost Estimate to incorporate Tenant’s suggested revisions in a mutually satisfactory manner. In all events, Tenant shall approve in all respects a Preliminary Plan and a Preliminary Cost Estimate (as either may have been modified as herein provided to incorporate Tenant’s suggested revisions) for the 43 Discovery Premises not later than May 30, 2018 (“</w:t>
      </w:r>
      <w:r>
        <w:rPr>
          <w:rFonts w:ascii="Arial" w:cs="Arial" w:eastAsia="Arial" w:hAnsi="Arial"/>
          <w:sz w:val="19"/>
          <w:szCs w:val="19"/>
          <w:b w:val="1"/>
          <w:bCs w:val="1"/>
          <w:i w:val="1"/>
          <w:iCs w:val="1"/>
          <w:color w:val="auto"/>
        </w:rPr>
        <w:t>Plan Approval Date</w:t>
      </w:r>
      <w:r>
        <w:rPr>
          <w:rFonts w:ascii="Arial" w:cs="Arial" w:eastAsia="Arial" w:hAnsi="Arial"/>
          <w:sz w:val="19"/>
          <w:szCs w:val="19"/>
          <w:color w:val="auto"/>
        </w:rPr>
        <w:t>”), it being understood that Tenant’s failure to do so shall constitute a “</w:t>
      </w:r>
      <w:r>
        <w:rPr>
          <w:rFonts w:ascii="Arial" w:cs="Arial" w:eastAsia="Arial" w:hAnsi="Arial"/>
          <w:sz w:val="19"/>
          <w:szCs w:val="19"/>
          <w:b w:val="1"/>
          <w:bCs w:val="1"/>
          <w:i w:val="1"/>
          <w:iCs w:val="1"/>
          <w:color w:val="auto"/>
        </w:rPr>
        <w:t>Tenant Delay</w:t>
      </w:r>
      <w:r>
        <w:rPr>
          <w:rFonts w:ascii="Arial" w:cs="Arial" w:eastAsia="Arial" w:hAnsi="Arial"/>
          <w:sz w:val="19"/>
          <w:szCs w:val="19"/>
          <w:color w:val="auto"/>
        </w:rPr>
        <w:t>” (as defined below).</w:t>
      </w:r>
    </w:p>
    <w:p>
      <w:pPr>
        <w:spacing w:after="0" w:line="189" w:lineRule="exact"/>
        <w:rPr>
          <w:rFonts w:ascii="Arial" w:cs="Arial" w:eastAsia="Arial" w:hAnsi="Arial"/>
          <w:sz w:val="19"/>
          <w:szCs w:val="19"/>
          <w:b w:val="1"/>
          <w:bCs w:val="1"/>
          <w:color w:val="auto"/>
        </w:rPr>
      </w:pPr>
    </w:p>
    <w:p>
      <w:pPr>
        <w:jc w:val="both"/>
        <w:ind w:firstLine="656"/>
        <w:spacing w:after="0" w:line="272" w:lineRule="auto"/>
        <w:tabs>
          <w:tab w:leader="none" w:pos="1581" w:val="left"/>
        </w:tabs>
        <w:numPr>
          <w:ilvl w:val="1"/>
          <w:numId w:val="382"/>
        </w:numPr>
        <w:rPr>
          <w:rFonts w:ascii="Arial" w:cs="Arial" w:eastAsia="Arial" w:hAnsi="Arial"/>
          <w:sz w:val="19"/>
          <w:szCs w:val="19"/>
          <w:b w:val="1"/>
          <w:bCs w:val="1"/>
          <w:color w:val="auto"/>
        </w:rPr>
      </w:pPr>
      <w:r>
        <w:rPr>
          <w:rFonts w:ascii="Arial" w:cs="Arial" w:eastAsia="Arial" w:hAnsi="Arial"/>
          <w:sz w:val="19"/>
          <w:szCs w:val="19"/>
          <w:color w:val="auto"/>
        </w:rPr>
        <w:t>On or before the Plan Approval Date, Tenant shall provide in writing to Landlord or Landlord’s architect all specifications and information requested by Landlord for the 43 Discovery Premises for the preparation of final construction documents and costing, including without limitation Tenant’s final selection of paint and floor finishes, complete specifications and locations (including electrical, load and HVAC requirements) of Tenant’s equipment, and details of all Non-Standard Improvements (as defined above) which have been approved by Landlord as part of the Preliminary Plan (collectively, “</w:t>
      </w:r>
      <w:r>
        <w:rPr>
          <w:rFonts w:ascii="Arial" w:cs="Arial" w:eastAsia="Arial" w:hAnsi="Arial"/>
          <w:sz w:val="19"/>
          <w:szCs w:val="19"/>
          <w:b w:val="1"/>
          <w:bCs w:val="1"/>
          <w:i w:val="1"/>
          <w:iCs w:val="1"/>
          <w:color w:val="auto"/>
        </w:rPr>
        <w:t>Programming Information</w:t>
      </w:r>
      <w:r>
        <w:rPr>
          <w:rFonts w:ascii="Arial" w:cs="Arial" w:eastAsia="Arial" w:hAnsi="Arial"/>
          <w:sz w:val="19"/>
          <w:szCs w:val="19"/>
          <w:color w:val="auto"/>
        </w:rPr>
        <w:t>”). Tenant’s failure to provide the Programming Information for the 43 Discovery Premises by the Plan Approval Date shall constitute a Tenant Delay for purposes hereof. Tenant understands that final construction documents for the Tenant Improvements shall be predicated on the Programming Information, and accordingly that such information must be accurate and complete and that any defects or problems due to incomplete or inaccurate Programming Information shall be the responsibility of the Tenant and that the Landlord shall have no obligation or liability for such defects or problems arising from any incomplete or inaccurate Programming Information. Any delays in the completion of the Tenant Improvements due to incomplete or inaccurate Programming Information shall constitute a Tenant Delay.</w:t>
      </w:r>
    </w:p>
    <w:p>
      <w:pPr>
        <w:spacing w:after="0" w:line="187" w:lineRule="exact"/>
        <w:rPr>
          <w:rFonts w:ascii="Arial" w:cs="Arial" w:eastAsia="Arial" w:hAnsi="Arial"/>
          <w:sz w:val="19"/>
          <w:szCs w:val="19"/>
          <w:b w:val="1"/>
          <w:bCs w:val="1"/>
          <w:color w:val="auto"/>
        </w:rPr>
      </w:pPr>
    </w:p>
    <w:p>
      <w:pPr>
        <w:jc w:val="both"/>
        <w:ind w:firstLine="656"/>
        <w:spacing w:after="0" w:line="271" w:lineRule="auto"/>
        <w:tabs>
          <w:tab w:leader="none" w:pos="1587" w:val="left"/>
        </w:tabs>
        <w:numPr>
          <w:ilvl w:val="1"/>
          <w:numId w:val="382"/>
        </w:numPr>
        <w:rPr>
          <w:rFonts w:ascii="Arial" w:cs="Arial" w:eastAsia="Arial" w:hAnsi="Arial"/>
          <w:sz w:val="19"/>
          <w:szCs w:val="19"/>
          <w:b w:val="1"/>
          <w:bCs w:val="1"/>
          <w:color w:val="auto"/>
        </w:rPr>
      </w:pPr>
      <w:r>
        <w:rPr>
          <w:rFonts w:ascii="Arial" w:cs="Arial" w:eastAsia="Arial" w:hAnsi="Arial"/>
          <w:sz w:val="19"/>
          <w:szCs w:val="19"/>
          <w:color w:val="auto"/>
        </w:rPr>
        <w:t>Upon Tenant’s approval of the Preliminary Plan and Preliminary Cost Estimate and delivery of the complete Programming Information, Landlord’s architect and engineers shall prepare and deliver to Tenant working drawings and specifications (“</w:t>
      </w:r>
      <w:r>
        <w:rPr>
          <w:rFonts w:ascii="Arial" w:cs="Arial" w:eastAsia="Arial" w:hAnsi="Arial"/>
          <w:sz w:val="19"/>
          <w:szCs w:val="19"/>
          <w:b w:val="1"/>
          <w:bCs w:val="1"/>
          <w:i w:val="1"/>
          <w:iCs w:val="1"/>
          <w:color w:val="auto"/>
        </w:rPr>
        <w:t>Working Drawings and Specifications</w:t>
      </w:r>
      <w:r>
        <w:rPr>
          <w:rFonts w:ascii="Arial" w:cs="Arial" w:eastAsia="Arial" w:hAnsi="Arial"/>
          <w:sz w:val="19"/>
          <w:szCs w:val="19"/>
          <w:color w:val="auto"/>
        </w:rPr>
        <w:t>”). Landlord shall submit the Working Drawings and Specifications for the Tenant Improvement Work to a competitive bidding process involving at least 3 licensed and reputable general contractors. If requested by Tenant, Landlord shall provide copies of the bid responses to Tenant. After adjustments for any inconsistent assumptions to reflect an “apples to apples” comparison, Landlord shall select the lowest qualified bidder for construction of the Tenant Improvements. In the event Landlord selects other than the lowest bidder, it shall do so based on commercially reasonable factors which it shall demonstrate to Tenant. Upon selection of the bidder, Landlord shall enter into a construction contract with the contractor so selected in the bid amount for construction of the Tenant Improvements (which bid amount shall serve as the “</w:t>
      </w:r>
      <w:r>
        <w:rPr>
          <w:rFonts w:ascii="Arial" w:cs="Arial" w:eastAsia="Arial" w:hAnsi="Arial"/>
          <w:sz w:val="19"/>
          <w:szCs w:val="19"/>
          <w:b w:val="1"/>
          <w:bCs w:val="1"/>
          <w:i w:val="1"/>
          <w:iCs w:val="1"/>
          <w:color w:val="auto"/>
        </w:rPr>
        <w:t>Final Cost Estimate</w:t>
      </w:r>
      <w:r>
        <w:rPr>
          <w:rFonts w:ascii="Arial" w:cs="Arial" w:eastAsia="Arial" w:hAnsi="Arial"/>
          <w:sz w:val="19"/>
          <w:szCs w:val="19"/>
          <w:color w:val="auto"/>
        </w:rPr>
        <w:t>”). Tenant shall have 5 business days from the receipt thereof to approve or disapprove the Working Drawings and Specifications. Tenant shall not unreasonably withhold or delay its approval, and any disapproval or requested modification shall be limited to items not consistent with the approved Preliminary Plan or Preliminary Cost Estimate. Should Tenant disapprove the Working Drawings and Specifications, such disapproval shall be accompanied by specific reasons for disapproval and a detailed list of requested revisions. Any revision requested by Tenant and accepted by Landlord, shall be incorporated into a revised set of Working Drawings and Specifications and the Final Cost Estimate, and Tenant shall approve same in writing within 5 business days of receipt without further revision.</w:t>
      </w:r>
    </w:p>
    <w:p>
      <w:pPr>
        <w:sectPr>
          <w:pgSz w:w="11900" w:h="16838" w:orient="portrait"/>
          <w:cols w:equalWidth="0" w:num="1">
            <w:col w:w="11240"/>
          </w:cols>
          <w:pgMar w:left="320" w:top="111" w:right="339" w:bottom="85" w:gutter="0" w:footer="0" w:header="0"/>
        </w:sectPr>
      </w:pPr>
    </w:p>
    <w:bookmarkStart w:id="406" w:name="page407"/>
    <w:bookmarkEnd w:id="406"/>
    <w:p>
      <w:pPr>
        <w:jc w:val="center"/>
        <w:spacing w:after="0"/>
        <w:rPr>
          <w:sz w:val="20"/>
          <w:szCs w:val="20"/>
          <w:color w:val="auto"/>
        </w:rPr>
      </w:pPr>
      <w:r>
        <w:rPr>
          <w:rFonts w:ascii="Arial" w:cs="Arial" w:eastAsia="Arial" w:hAnsi="Arial"/>
          <w:sz w:val="14"/>
          <w:szCs w:val="14"/>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7" w:name="page408"/>
    <w:bookmarkEnd w:id="407"/>
    <w:p>
      <w:pPr>
        <w:jc w:val="both"/>
        <w:ind w:firstLine="656"/>
        <w:spacing w:after="0" w:line="272" w:lineRule="auto"/>
        <w:tabs>
          <w:tab w:leader="none" w:pos="1476" w:val="left"/>
        </w:tabs>
        <w:numPr>
          <w:ilvl w:val="0"/>
          <w:numId w:val="383"/>
        </w:numPr>
        <w:rPr>
          <w:rFonts w:ascii="Arial" w:cs="Arial" w:eastAsia="Arial" w:hAnsi="Arial"/>
          <w:sz w:val="19"/>
          <w:szCs w:val="19"/>
          <w:b w:val="1"/>
          <w:bCs w:val="1"/>
          <w:color w:val="auto"/>
        </w:rPr>
      </w:pPr>
      <w:r>
        <w:rPr>
          <w:rFonts w:ascii="Arial" w:cs="Arial" w:eastAsia="Arial" w:hAnsi="Arial"/>
          <w:sz w:val="19"/>
          <w:szCs w:val="19"/>
          <w:color w:val="auto"/>
        </w:rPr>
        <w:t>In the event that Tenant requests in writing a revision to the Working Drawings and Specifications (“</w:t>
      </w:r>
      <w:r>
        <w:rPr>
          <w:rFonts w:ascii="Arial" w:cs="Arial" w:eastAsia="Arial" w:hAnsi="Arial"/>
          <w:sz w:val="19"/>
          <w:szCs w:val="19"/>
          <w:b w:val="1"/>
          <w:bCs w:val="1"/>
          <w:i w:val="1"/>
          <w:iCs w:val="1"/>
          <w:color w:val="auto"/>
        </w:rPr>
        <w:t>Change</w:t>
      </w:r>
      <w:r>
        <w:rPr>
          <w:rFonts w:ascii="Arial" w:cs="Arial" w:eastAsia="Arial" w:hAnsi="Arial"/>
          <w:sz w:val="19"/>
          <w:szCs w:val="19"/>
          <w:color w:val="auto"/>
        </w:rPr>
        <w:t>”), and Landlord so approves such Change as provided in the Section next below, Landlord shall advise Tenant by written change order as soon as is practical of any increase in the Completion Cost such Change would cause. Tenant shall approve or disapprove such change order, if any, in writing within 2 business days following Tenant’s receipt of such change order. If Tenant approves any such change order, and such change order causes Final Cost Estimate to exceed (or further exceed) the Landlord’s Maximum Contribution, Landlord, at its election, may either (i) require as a condition to the effectiveness of such change order that Tenant pay the increase in the Completion Cost attributable to such change order concurrently with delivery of Tenant’s approval of the change order, or (ii) defer Tenant’s payment of such increase until the date 10 business days after delivery of invoices for same. If Tenant disapproves any such change order, Tenant shall nonetheless be responsible for the reasonable architectural and/or planning fees incurred in preparing such change order. Landlord shall have no obligation to interrupt or modify the Tenant Improvement Work pending Tenant’s approval of a change order, but if Tenant fails to timely approve a change order, Landlord may (but shall not be required to) suspend the applicable Tenant Improvement Work, in which event any related critical path delays because of such suspension shall constitute Tenant Delays hereunder.</w:t>
      </w:r>
    </w:p>
    <w:p>
      <w:pPr>
        <w:spacing w:after="0" w:line="183" w:lineRule="exact"/>
        <w:rPr>
          <w:rFonts w:ascii="Arial" w:cs="Arial" w:eastAsia="Arial" w:hAnsi="Arial"/>
          <w:sz w:val="19"/>
          <w:szCs w:val="19"/>
          <w:b w:val="1"/>
          <w:bCs w:val="1"/>
          <w:color w:val="auto"/>
        </w:rPr>
      </w:pPr>
    </w:p>
    <w:p>
      <w:pPr>
        <w:jc w:val="both"/>
        <w:ind w:firstLine="656"/>
        <w:spacing w:after="0" w:line="246" w:lineRule="auto"/>
        <w:tabs>
          <w:tab w:leader="none" w:pos="1451" w:val="left"/>
        </w:tabs>
        <w:numPr>
          <w:ilvl w:val="0"/>
          <w:numId w:val="383"/>
        </w:numPr>
        <w:rPr>
          <w:rFonts w:ascii="Arial" w:cs="Arial" w:eastAsia="Arial" w:hAnsi="Arial"/>
          <w:sz w:val="21"/>
          <w:szCs w:val="21"/>
          <w:b w:val="1"/>
          <w:bCs w:val="1"/>
          <w:color w:val="auto"/>
        </w:rPr>
      </w:pPr>
      <w:r>
        <w:rPr>
          <w:rFonts w:ascii="Arial" w:cs="Arial" w:eastAsia="Arial" w:hAnsi="Arial"/>
          <w:sz w:val="21"/>
          <w:szCs w:val="21"/>
          <w:color w:val="auto"/>
        </w:rPr>
        <w:t>Landlord agrees that it shall not unreasonably withhold its consent to Tenant’s requested Changes, provided that such consent may be withheld in all events if the requested Change (i) is of a lesser quality than the Tenant Improvements previously approved by Landlord, (ii) fails to conform to applicable governmental requirements, (iii) would result in the Premises requiring building services beyond the level Landlord has agreed to provide Tenant under the Lease, (iv) would delay construction of the Tenant Improvements and Tenant declines to accept such delay in writing as a Tenant Delay, (v) interferes in any manner with the proper functioning of, or Landlord’s access to, any mechanical, electrical, plumbing or HVAC systems, facilities or equipment in or serving the Building, or (vi) would have an adverse aesthetic impact to the Premises or would cause additional expenses to Landlord in reletting the Premises.</w:t>
      </w:r>
    </w:p>
    <w:p>
      <w:pPr>
        <w:spacing w:after="0" w:line="206" w:lineRule="exact"/>
        <w:rPr>
          <w:rFonts w:ascii="Arial" w:cs="Arial" w:eastAsia="Arial" w:hAnsi="Arial"/>
          <w:sz w:val="21"/>
          <w:szCs w:val="21"/>
          <w:b w:val="1"/>
          <w:bCs w:val="1"/>
          <w:color w:val="auto"/>
        </w:rPr>
      </w:pPr>
    </w:p>
    <w:p>
      <w:pPr>
        <w:jc w:val="both"/>
        <w:ind w:firstLine="656"/>
        <w:spacing w:after="0" w:line="270" w:lineRule="auto"/>
        <w:tabs>
          <w:tab w:leader="none" w:pos="1480" w:val="left"/>
        </w:tabs>
        <w:numPr>
          <w:ilvl w:val="0"/>
          <w:numId w:val="383"/>
        </w:numPr>
        <w:rPr>
          <w:rFonts w:ascii="Arial" w:cs="Arial" w:eastAsia="Arial" w:hAnsi="Arial"/>
          <w:sz w:val="19"/>
          <w:szCs w:val="19"/>
          <w:b w:val="1"/>
          <w:bCs w:val="1"/>
          <w:color w:val="auto"/>
        </w:rPr>
      </w:pPr>
      <w:r>
        <w:rPr>
          <w:rFonts w:ascii="Arial" w:cs="Arial" w:eastAsia="Arial" w:hAnsi="Arial"/>
          <w:sz w:val="19"/>
          <w:szCs w:val="19"/>
          <w:color w:val="auto"/>
        </w:rPr>
        <w:t>Notwithstanding any provision in the Lease to the contrary, and not by way of limitation of any other rights or remedies of Landlord, if Tenant fails to comply with any of the time periods specified in this Work Letter, fails otherwise to approve or reasonably disapprove any submittal within the time period specified herein for such response (or if no time period is so specified, within 5 business days following Tenant’s receipt thereof), fails to approve in writing both the Preliminary Plan and Preliminary Cost Estimate for the Tenant Improvements for the 43 Discovery Premises by the Plan Approval Date, fails to provide all of the Programming Information for the 43 Discovery Premises requested by Landlord by the Plan Approval Date, fails to approve in writing the Working Drawings and Specifications or the Final Cost Estimate within the time provided herein, fails to timely deliver the Tenant’s Contribution as required hereunder, requests any Changes, furnishes inaccurate or erroneous Programming Information, specifications or other information, or otherwise delays in any manner the completion of the Tenant Improvements (including without limitation by specifying materials that are not readily available) or the issuance of an occupancy certificate (any of the foregoing being referred to in this Lease as a “</w:t>
      </w:r>
      <w:r>
        <w:rPr>
          <w:rFonts w:ascii="Arial" w:cs="Arial" w:eastAsia="Arial" w:hAnsi="Arial"/>
          <w:sz w:val="19"/>
          <w:szCs w:val="19"/>
          <w:b w:val="1"/>
          <w:bCs w:val="1"/>
          <w:i w:val="1"/>
          <w:iCs w:val="1"/>
          <w:color w:val="auto"/>
        </w:rPr>
        <w:t>Tenant Delay</w:t>
      </w:r>
      <w:r>
        <w:rPr>
          <w:rFonts w:ascii="Arial" w:cs="Arial" w:eastAsia="Arial" w:hAnsi="Arial"/>
          <w:sz w:val="19"/>
          <w:szCs w:val="19"/>
          <w:color w:val="auto"/>
        </w:rPr>
        <w:t>”), then Tenant shall bear any resulting additional construction cost or other expenses, and, to the extent the delay relates to the Tenant Improvements for the 43 Discovery Premises, the Commencement Date for the 43 Discovery Premises shall be deemed to have occurred for all purposes, including without limitation Tenant’s obligation to pay rent for the 43 Discovery Premises, as of the date Landlord reasonably determines that it would have been able to deliver the 43 Discovery Premises to Tenant but for the collective Tenant Delays. Should Landlord determine that the Commencement Date for the 43 Discovery Premises should be advanced in accordance with the foregoing, it shall so notify Tenant in writing. Landlord’s determination shall be conclusive unless Tenant notifies Landlord in writing, within 5 business days thereafter of Tenant’s election to contest same pursuant to Section 14.7 of the Lease. Pending the outcome of such proceedings, Tenant shall make timely payment of all rent due under this Lease based upon the Commencement Date for the 43 Discovery Premises set forth in the aforesaid notice from Landlord.</w:t>
      </w:r>
    </w:p>
    <w:p>
      <w:pPr>
        <w:spacing w:after="0" w:line="187" w:lineRule="exact"/>
        <w:rPr>
          <w:rFonts w:ascii="Arial" w:cs="Arial" w:eastAsia="Arial" w:hAnsi="Arial"/>
          <w:sz w:val="19"/>
          <w:szCs w:val="19"/>
          <w:b w:val="1"/>
          <w:bCs w:val="1"/>
          <w:color w:val="auto"/>
        </w:rPr>
      </w:pPr>
    </w:p>
    <w:p>
      <w:pPr>
        <w:jc w:val="both"/>
        <w:ind w:firstLine="656"/>
        <w:spacing w:after="0" w:line="275" w:lineRule="auto"/>
        <w:tabs>
          <w:tab w:leader="none" w:pos="1694" w:val="left"/>
        </w:tabs>
        <w:numPr>
          <w:ilvl w:val="0"/>
          <w:numId w:val="383"/>
        </w:numPr>
        <w:rPr>
          <w:rFonts w:ascii="Arial" w:cs="Arial" w:eastAsia="Arial" w:hAnsi="Arial"/>
          <w:sz w:val="19"/>
          <w:szCs w:val="19"/>
          <w:b w:val="1"/>
          <w:bCs w:val="1"/>
          <w:color w:val="auto"/>
        </w:rPr>
      </w:pPr>
      <w:r>
        <w:rPr>
          <w:rFonts w:ascii="Arial" w:cs="Arial" w:eastAsia="Arial" w:hAnsi="Arial"/>
          <w:sz w:val="19"/>
          <w:szCs w:val="19"/>
          <w:color w:val="auto"/>
        </w:rPr>
        <w:t>All of the Tenant Improvements shall become the property of Landlord and shall be surrendered with the Premises at the expiration or sooner termination of this Lease, except that Landlord shall have the right, by notice to Tenant given at the time of Landlord’s approval of the Preliminary Plan, the Working Drawings and Specifications and any Change, to require Tenant either to remove all or any of the Tenant Improvements approved in the Preliminary Plan or in the Working Drawings and Specifications or by way of such Change, to repair any damage to the Premises or the Common Areas arising from such removal, and to replace any Non-Standard Improvements so approved with the applicable Standard Improvement, or to reimburse Landlord for the reasonable cost of such removal, repair and replacement upon demand. Any such removals, repairs and replacements by Tenant shall be completed by the Expiration Date or sooner termination of the Lease.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8" w:name="page409"/>
    <w:bookmarkEnd w:id="408"/>
    <w:p>
      <w:pPr>
        <w:jc w:val="both"/>
        <w:ind w:firstLine="656"/>
        <w:spacing w:after="0" w:line="270" w:lineRule="auto"/>
        <w:tabs>
          <w:tab w:leader="none" w:pos="1619" w:val="left"/>
        </w:tabs>
        <w:numPr>
          <w:ilvl w:val="1"/>
          <w:numId w:val="384"/>
        </w:numPr>
        <w:rPr>
          <w:rFonts w:ascii="Arial" w:cs="Arial" w:eastAsia="Arial" w:hAnsi="Arial"/>
          <w:sz w:val="19"/>
          <w:szCs w:val="19"/>
          <w:b w:val="1"/>
          <w:bCs w:val="1"/>
          <w:color w:val="auto"/>
        </w:rPr>
      </w:pPr>
      <w:r>
        <w:rPr>
          <w:rFonts w:ascii="Arial" w:cs="Arial" w:eastAsia="Arial" w:hAnsi="Arial"/>
          <w:sz w:val="19"/>
          <w:szCs w:val="19"/>
          <w:color w:val="auto"/>
        </w:rPr>
        <w:t>Landlord shall permit Tenant and its agents to enter the 43 Discovery Premises at least 30 days prior to the Commencement Date for the 43 Discovery Premises in order that Tenant may install its cabling and related communication equipment through Tenant’s own contractors prior to the Commencement Date for the 43 Discovery Premises. Any such work shall be subject to Landlord’s prior written approval, and shall be performed in a manner and upon terms and conditions and at times satisfactory to Landlord’s representative. The foregoing license to enter the 43 Discovery Premises prior to the Commencement Date for the 43 Discovery Premises is, however, conditioned upon Tenant’s contractors and their subcontractors and employees working in harmony and not interfering with the work being performed by Landlord. If at any time Landlord determines that such entry shall cause disharmony or interfere with the work being performed by Landlord, this license may be withdrawn by Landlord upon 24-hours written notice to Tenant. That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the Lease except as to the covenants to pay rent. Landlord shall not be liable in any way for any injury, loss or damage which may occur to any such work being performed by Tenant, the same being solely at Tenant’s risk. In no event shall the failure of Tenant’s contractors to complete any work in the 43 Discovery Premises extend the Commencement Date for the 43 Discovery Premises.</w:t>
      </w:r>
    </w:p>
    <w:p>
      <w:pPr>
        <w:spacing w:after="0" w:line="200" w:lineRule="exact"/>
        <w:rPr>
          <w:rFonts w:ascii="Arial" w:cs="Arial" w:eastAsia="Arial" w:hAnsi="Arial"/>
          <w:sz w:val="19"/>
          <w:szCs w:val="19"/>
          <w:b w:val="1"/>
          <w:bCs w:val="1"/>
          <w:color w:val="auto"/>
        </w:rPr>
      </w:pPr>
    </w:p>
    <w:p>
      <w:pPr>
        <w:spacing w:after="0" w:line="241" w:lineRule="exact"/>
        <w:rPr>
          <w:rFonts w:ascii="Arial" w:cs="Arial" w:eastAsia="Arial" w:hAnsi="Arial"/>
          <w:sz w:val="19"/>
          <w:szCs w:val="19"/>
          <w:b w:val="1"/>
          <w:bCs w:val="1"/>
          <w:color w:val="auto"/>
        </w:rPr>
      </w:pPr>
    </w:p>
    <w:p>
      <w:pPr>
        <w:ind w:left="1380" w:hanging="724"/>
        <w:spacing w:after="0"/>
        <w:tabs>
          <w:tab w:leader="none" w:pos="1380" w:val="left"/>
        </w:tabs>
        <w:numPr>
          <w:ilvl w:val="1"/>
          <w:numId w:val="384"/>
        </w:numPr>
        <w:rPr>
          <w:rFonts w:ascii="Arial" w:cs="Arial" w:eastAsia="Arial" w:hAnsi="Arial"/>
          <w:sz w:val="19"/>
          <w:szCs w:val="19"/>
          <w:b w:val="1"/>
          <w:bCs w:val="1"/>
          <w:color w:val="auto"/>
        </w:rPr>
      </w:pPr>
      <w:r>
        <w:rPr>
          <w:rFonts w:ascii="Arial" w:cs="Arial" w:eastAsia="Arial" w:hAnsi="Arial"/>
          <w:sz w:val="19"/>
          <w:szCs w:val="19"/>
          <w:color w:val="auto"/>
        </w:rPr>
        <w:t>Tenant hereby designates Dale Foster (“</w:t>
      </w:r>
      <w:r>
        <w:rPr>
          <w:rFonts w:ascii="Arial" w:cs="Arial" w:eastAsia="Arial" w:hAnsi="Arial"/>
          <w:sz w:val="19"/>
          <w:szCs w:val="19"/>
          <w:b w:val="1"/>
          <w:bCs w:val="1"/>
          <w:i w:val="1"/>
          <w:iCs w:val="1"/>
          <w:color w:val="auto"/>
        </w:rPr>
        <w:t>Tenant’s Construction Representative</w:t>
      </w:r>
      <w:r>
        <w:rPr>
          <w:rFonts w:ascii="Arial" w:cs="Arial" w:eastAsia="Arial" w:hAnsi="Arial"/>
          <w:sz w:val="19"/>
          <w:szCs w:val="19"/>
          <w:color w:val="auto"/>
        </w:rPr>
        <w:t>”), Telephone No. (949) 486-7456,</w:t>
      </w:r>
    </w:p>
    <w:p>
      <w:pPr>
        <w:spacing w:after="0" w:line="42" w:lineRule="exact"/>
        <w:rPr>
          <w:rFonts w:ascii="Arial" w:cs="Arial" w:eastAsia="Arial" w:hAnsi="Arial"/>
          <w:sz w:val="19"/>
          <w:szCs w:val="19"/>
          <w:b w:val="1"/>
          <w:bCs w:val="1"/>
          <w:color w:val="auto"/>
        </w:rPr>
      </w:pPr>
    </w:p>
    <w:p>
      <w:pPr>
        <w:jc w:val="both"/>
        <w:spacing w:after="0" w:line="272" w:lineRule="auto"/>
        <w:rPr>
          <w:rFonts w:ascii="Arial" w:cs="Arial" w:eastAsia="Arial" w:hAnsi="Arial"/>
          <w:sz w:val="19"/>
          <w:szCs w:val="19"/>
          <w:b w:val="1"/>
          <w:bCs w:val="1"/>
          <w:color w:val="auto"/>
        </w:rPr>
      </w:pPr>
      <w:r>
        <w:rPr>
          <w:rFonts w:ascii="Arial" w:cs="Arial" w:eastAsia="Arial" w:hAnsi="Arial"/>
          <w:sz w:val="19"/>
          <w:szCs w:val="19"/>
          <w:color w:val="auto"/>
        </w:rPr>
        <w:t>Email: dfoster@weedmaps.com, as its representative, agent and attorney-in-fact for all matters related to the Tenant Improvement Work, including but not by way of limitation, for purposes of receiving notices, approving submittals and issuing requests for Changes, and Landlord shall be entitled to rely upon authorizations and directives of such person(s) as if given directly by Tenant. The foregoing authorization is intended to provide assurance to Landlord that it may rely upon the directives and decision making of the Tenant’s Construction Representative with respect to the Tenant Improvement Work and is not intended to limit or reduce Landlord’s right to reasonably rely upon any decisions or directives given by other officers or representatives of Tenant. Any notices or submittals to, or requests of, Tenant related to this Work Letter and/or the Tenant Improvement Work may be sent to Tenant’s Construction Representative at the email address above provided. Tenant may amend the designation of its Tenant’s Construction Representative(s) at any time upon delivery of written notice to Landlord.</w:t>
      </w:r>
    </w:p>
    <w:p>
      <w:pPr>
        <w:spacing w:after="0" w:line="186" w:lineRule="exact"/>
        <w:rPr>
          <w:rFonts w:ascii="Arial" w:cs="Arial" w:eastAsia="Arial" w:hAnsi="Arial"/>
          <w:sz w:val="19"/>
          <w:szCs w:val="19"/>
          <w:b w:val="1"/>
          <w:bCs w:val="1"/>
          <w:color w:val="auto"/>
        </w:rPr>
      </w:pPr>
    </w:p>
    <w:p>
      <w:pPr>
        <w:ind w:left="660" w:hanging="652"/>
        <w:spacing w:after="0"/>
        <w:tabs>
          <w:tab w:leader="none" w:pos="6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COST OF TENANT IMPROVEMENTS</w:t>
      </w:r>
    </w:p>
    <w:p>
      <w:pPr>
        <w:spacing w:after="0" w:line="248" w:lineRule="exact"/>
        <w:rPr>
          <w:rFonts w:ascii="Arial" w:cs="Arial" w:eastAsia="Arial" w:hAnsi="Arial"/>
          <w:sz w:val="18"/>
          <w:szCs w:val="18"/>
          <w:b w:val="1"/>
          <w:bCs w:val="1"/>
          <w:color w:val="auto"/>
        </w:rPr>
      </w:pPr>
    </w:p>
    <w:p>
      <w:pPr>
        <w:jc w:val="both"/>
        <w:ind w:firstLine="656"/>
        <w:spacing w:after="0" w:line="257" w:lineRule="auto"/>
        <w:tabs>
          <w:tab w:leader="none" w:pos="1481" w:val="left"/>
        </w:tabs>
        <w:numPr>
          <w:ilvl w:val="1"/>
          <w:numId w:val="385"/>
        </w:numPr>
        <w:rPr>
          <w:rFonts w:ascii="Arial" w:cs="Arial" w:eastAsia="Arial" w:hAnsi="Arial"/>
          <w:sz w:val="21"/>
          <w:szCs w:val="21"/>
          <w:b w:val="1"/>
          <w:bCs w:val="1"/>
          <w:color w:val="auto"/>
        </w:rPr>
      </w:pPr>
      <w:r>
        <w:rPr>
          <w:rFonts w:ascii="Arial" w:cs="Arial" w:eastAsia="Arial" w:hAnsi="Arial"/>
          <w:sz w:val="21"/>
          <w:szCs w:val="21"/>
          <w:color w:val="auto"/>
        </w:rPr>
        <w:t>Landlord shall complete, or cause to be completed, the Tenant Improvements, at the construction cost shown in the Final Cost Estimate (subject to increases for Landlord approved Changes and as otherwise provided in this Work Letter), in accordance with final Working Drawings and Specifications approved by both Landlord and Tenant.</w:t>
      </w:r>
    </w:p>
    <w:p>
      <w:pPr>
        <w:spacing w:after="0" w:line="196" w:lineRule="exact"/>
        <w:rPr>
          <w:rFonts w:ascii="Arial" w:cs="Arial" w:eastAsia="Arial" w:hAnsi="Arial"/>
          <w:sz w:val="21"/>
          <w:szCs w:val="21"/>
          <w:b w:val="1"/>
          <w:bCs w:val="1"/>
          <w:color w:val="auto"/>
        </w:rPr>
      </w:pPr>
    </w:p>
    <w:p>
      <w:pPr>
        <w:jc w:val="both"/>
        <w:ind w:firstLine="656"/>
        <w:spacing w:after="0" w:line="271" w:lineRule="auto"/>
        <w:tabs>
          <w:tab w:leader="none" w:pos="1466" w:val="left"/>
        </w:tabs>
        <w:numPr>
          <w:ilvl w:val="1"/>
          <w:numId w:val="385"/>
        </w:numPr>
        <w:rPr>
          <w:rFonts w:ascii="Arial" w:cs="Arial" w:eastAsia="Arial" w:hAnsi="Arial"/>
          <w:sz w:val="19"/>
          <w:szCs w:val="19"/>
          <w:b w:val="1"/>
          <w:bCs w:val="1"/>
          <w:color w:val="auto"/>
        </w:rPr>
      </w:pPr>
      <w:r>
        <w:rPr>
          <w:rFonts w:ascii="Arial" w:cs="Arial" w:eastAsia="Arial" w:hAnsi="Arial"/>
          <w:sz w:val="19"/>
          <w:szCs w:val="19"/>
          <w:color w:val="auto"/>
        </w:rPr>
        <w:t>Landlord shall pay up to $2,493,576.00, based on $48.00 per rentable square foot of the 43 Discovery Premises and $22.00 per rentable square foot of the 41 Discovery Premises (“</w:t>
      </w:r>
      <w:r>
        <w:rPr>
          <w:rFonts w:ascii="Arial" w:cs="Arial" w:eastAsia="Arial" w:hAnsi="Arial"/>
          <w:sz w:val="19"/>
          <w:szCs w:val="19"/>
          <w:b w:val="1"/>
          <w:bCs w:val="1"/>
          <w:i w:val="1"/>
          <w:iCs w:val="1"/>
          <w:color w:val="auto"/>
        </w:rPr>
        <w:t>Landlord’s Maximum Contribution</w:t>
      </w:r>
      <w:r>
        <w:rPr>
          <w:rFonts w:ascii="Arial" w:cs="Arial" w:eastAsia="Arial" w:hAnsi="Arial"/>
          <w:sz w:val="19"/>
          <w:szCs w:val="19"/>
          <w:color w:val="auto"/>
        </w:rPr>
        <w:t>”), of the final “</w:t>
      </w:r>
      <w:r>
        <w:rPr>
          <w:rFonts w:ascii="Arial" w:cs="Arial" w:eastAsia="Arial" w:hAnsi="Arial"/>
          <w:sz w:val="19"/>
          <w:szCs w:val="19"/>
          <w:b w:val="1"/>
          <w:bCs w:val="1"/>
          <w:i w:val="1"/>
          <w:iCs w:val="1"/>
          <w:color w:val="auto"/>
        </w:rPr>
        <w:t>Completion Cost</w:t>
      </w:r>
      <w:r>
        <w:rPr>
          <w:rFonts w:ascii="Arial" w:cs="Arial" w:eastAsia="Arial" w:hAnsi="Arial"/>
          <w:sz w:val="19"/>
          <w:szCs w:val="19"/>
          <w:color w:val="auto"/>
        </w:rPr>
        <w:t>” (as defined below). Tenant acknowledges that the Landlord’s Maximum Contribution is intended only as the maximum amount Landlord will pay toward approved Tenant Improvements, and not by way of limitation, any partitions, modular office stations, fixtures, cabling, furniture and equipment requested by Tenant are in no event subject to payment as part of Landlord’s Contribution except as provided below. In the event the Completion Cost of the Tenant Improvement Work is less than the Landlord’s Maximum Contribution, Landlord’s actual contribution toward the Completion Cost (“</w:t>
      </w:r>
      <w:r>
        <w:rPr>
          <w:rFonts w:ascii="Arial" w:cs="Arial" w:eastAsia="Arial" w:hAnsi="Arial"/>
          <w:sz w:val="19"/>
          <w:szCs w:val="19"/>
          <w:b w:val="1"/>
          <w:bCs w:val="1"/>
          <w:i w:val="1"/>
          <w:iCs w:val="1"/>
          <w:color w:val="auto"/>
        </w:rPr>
        <w:t>Landlord’s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Contribution</w:t>
      </w:r>
      <w:r>
        <w:rPr>
          <w:rFonts w:ascii="Arial" w:cs="Arial" w:eastAsia="Arial" w:hAnsi="Arial"/>
          <w:sz w:val="19"/>
          <w:szCs w:val="19"/>
          <w:color w:val="auto"/>
        </w:rPr>
        <w:t>”) shall equal such lesser amount, and Tenant shall have no right to receive any credit, refund or allowance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kind for any unused portion of the Landlord’s Maximum Contribution. Notwithstanding the foregoing, Tenant may utilize a portion of the Landlord’s Contribution, not to exceed the amount of $228,681.00, based on $3.00 per rentable square foot of the Premises (the “</w:t>
      </w:r>
      <w:r>
        <w:rPr>
          <w:rFonts w:ascii="Arial" w:cs="Arial" w:eastAsia="Arial" w:hAnsi="Arial"/>
          <w:sz w:val="19"/>
          <w:szCs w:val="19"/>
          <w:b w:val="1"/>
          <w:bCs w:val="1"/>
          <w:i w:val="1"/>
          <w:iCs w:val="1"/>
          <w:color w:val="auto"/>
        </w:rPr>
        <w:t>Moving Allowance</w:t>
      </w:r>
      <w:r>
        <w:rPr>
          <w:rFonts w:ascii="Arial" w:cs="Arial" w:eastAsia="Arial" w:hAnsi="Arial"/>
          <w:sz w:val="19"/>
          <w:szCs w:val="19"/>
          <w:color w:val="auto"/>
        </w:rPr>
        <w:t>”), towards Tenant’s cost of cabling, furniture, fixtures and equipment, or related moving expenses for Tenant’s move to the 43 Discovery Premises. It is further understood and agreed that the Tenant Improvements shall be substantially completed not later than June 30, 2019 to be eligible for funding by Landlord, and that Landlord shall not be obligated to fund any portion of the Landlord’s Contribution towards the Tenant Improvements commenced after such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9" w:name="page410"/>
    <w:bookmarkEnd w:id="409"/>
    <w:p>
      <w:pPr>
        <w:jc w:val="both"/>
        <w:ind w:firstLine="656"/>
        <w:spacing w:after="0" w:line="238" w:lineRule="auto"/>
        <w:tabs>
          <w:tab w:leader="none" w:pos="1454" w:val="left"/>
        </w:tabs>
        <w:numPr>
          <w:ilvl w:val="0"/>
          <w:numId w:val="386"/>
        </w:numPr>
        <w:rPr>
          <w:rFonts w:ascii="Arial" w:cs="Arial" w:eastAsia="Arial" w:hAnsi="Arial"/>
          <w:sz w:val="22"/>
          <w:szCs w:val="22"/>
          <w:b w:val="1"/>
          <w:bCs w:val="1"/>
          <w:color w:val="auto"/>
        </w:rPr>
      </w:pPr>
      <w:r>
        <w:rPr>
          <w:rFonts w:ascii="Arial" w:cs="Arial" w:eastAsia="Arial" w:hAnsi="Arial"/>
          <w:sz w:val="22"/>
          <w:szCs w:val="22"/>
          <w:color w:val="auto"/>
        </w:rPr>
        <w:t>Tenant shall pay any costs due to inaccurate or incomplete Programming Information and the amount, if any, by which aggregate Completion Cost for the Tenant Improvement Work exceeds the Landlord’s Maximum Contribution. The amounts to be paid by Tenant for the Tenant Improvements pursuant to this Section II.C are sometimes cumulatively referred to herein as the “</w:t>
      </w:r>
      <w:r>
        <w:rPr>
          <w:rFonts w:ascii="Arial" w:cs="Arial" w:eastAsia="Arial" w:hAnsi="Arial"/>
          <w:sz w:val="22"/>
          <w:szCs w:val="22"/>
          <w:b w:val="1"/>
          <w:bCs w:val="1"/>
          <w:i w:val="1"/>
          <w:iCs w:val="1"/>
          <w:color w:val="auto"/>
        </w:rPr>
        <w:t>Tenant’s Contribution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656"/>
        <w:spacing w:after="0" w:line="273" w:lineRule="auto"/>
        <w:tabs>
          <w:tab w:leader="none" w:pos="1468" w:val="left"/>
        </w:tabs>
        <w:numPr>
          <w:ilvl w:val="0"/>
          <w:numId w:val="386"/>
        </w:numPr>
        <w:rPr>
          <w:rFonts w:ascii="Arial" w:cs="Arial" w:eastAsia="Arial" w:hAnsi="Arial"/>
          <w:sz w:val="19"/>
          <w:szCs w:val="19"/>
          <w:b w:val="1"/>
          <w:bCs w:val="1"/>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Completion Cost</w:t>
      </w:r>
      <w:r>
        <w:rPr>
          <w:rFonts w:ascii="Arial" w:cs="Arial" w:eastAsia="Arial" w:hAnsi="Arial"/>
          <w:sz w:val="19"/>
          <w:szCs w:val="19"/>
          <w:color w:val="auto"/>
        </w:rPr>
        <w:t>” shall mean all costs of Landlord in completing the Tenant Improvements in accordance with the approved Working Drawings and Specifications and with any approved Changes thereto, including but not limited to the following costs: (i) payments made to architects, engineers, contractors, subcontractors and other third party consultants in the performance of the work, (ii) permit fees and other sums paid to governmental agencies, and (iii) costs of all materials incorporated into the work or used in connection with the work. The Completion Cost shall also include a construction management fee to be paid to Landlord or to Landlord’s management agent in the amount of three percent (3%) of the Completion Cost. Unless expressly authorized in writing by Landlord, and except for a fee to be paid to Tenant’s construction manager not to exceed 2% of the Completion Cost, the Completion Cost shall not include (and no portion of the Landlord’s Contribution shall be paid for) any costs incurred by Tenant, including without limitation, any costs for space planners, managers, advisors or consultants retained by Tenant in connection with the Tenant Improvements.</w:t>
      </w:r>
    </w:p>
    <w:p>
      <w:pPr>
        <w:spacing w:after="0" w:line="187" w:lineRule="exact"/>
        <w:rPr>
          <w:rFonts w:ascii="Arial" w:cs="Arial" w:eastAsia="Arial" w:hAnsi="Arial"/>
          <w:sz w:val="19"/>
          <w:szCs w:val="19"/>
          <w:b w:val="1"/>
          <w:bCs w:val="1"/>
          <w:color w:val="auto"/>
        </w:rPr>
      </w:pPr>
    </w:p>
    <w:p>
      <w:pPr>
        <w:jc w:val="both"/>
        <w:ind w:firstLine="656"/>
        <w:spacing w:after="0" w:line="273" w:lineRule="auto"/>
        <w:tabs>
          <w:tab w:leader="none" w:pos="1447" w:val="left"/>
        </w:tabs>
        <w:numPr>
          <w:ilvl w:val="0"/>
          <w:numId w:val="386"/>
        </w:numPr>
        <w:rPr>
          <w:rFonts w:ascii="Arial" w:cs="Arial" w:eastAsia="Arial" w:hAnsi="Arial"/>
          <w:sz w:val="19"/>
          <w:szCs w:val="19"/>
          <w:b w:val="1"/>
          <w:bCs w:val="1"/>
          <w:color w:val="auto"/>
        </w:rPr>
      </w:pPr>
      <w:r>
        <w:rPr>
          <w:rFonts w:ascii="Arial" w:cs="Arial" w:eastAsia="Arial" w:hAnsi="Arial"/>
          <w:sz w:val="19"/>
          <w:szCs w:val="19"/>
          <w:color w:val="auto"/>
        </w:rPr>
        <w:t>Prior to start of construction of the Tenant Improvements, Tenant shall pay to Landlord in full the amount of the Tenant’s Contribution set forth in the approved Preliminary Cost Estimate or in the Final Cost Estimate (once approved by Tenant). If the actual Completion Cost of the Tenant Improvements is greater than the Final Cost Estimate because of Changes, modifications or extras not reflected on the approved Working Drawings and Specifications, or because of Tenant Delays, then Tenant shall pay all such additional costs within 10 business days after written demand for same. The balance of any sums not otherwise paid by Tenant shall be due and payable on or before the Commencement Date for the 43 Discovery Premises. If Tenant defaults in the payment of any sums due under this Work Letter, Landlord shall (in addition to all other remedies) have the same rights as in the case of Tenant’s failure to pay rent under the Lease, including, without limitation, the right to terminate this Lease and recover damages from Tenant and/or to charge a late payment fee and to collect interest on delinquent payments, and Landlord may (but shall not be required to) suspend the Tenant Improvement Work following such default, in which event any delays because of such suspension shall constitute Tenant Delays hereunder.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0" w:name="page411"/>
    <w:bookmarkEnd w:id="410"/>
    <w:p>
      <w:pPr>
        <w:jc w:val="right"/>
        <w:spacing w:after="0"/>
        <w:rPr>
          <w:sz w:val="20"/>
          <w:szCs w:val="20"/>
          <w:color w:val="auto"/>
        </w:rPr>
      </w:pPr>
      <w:r>
        <w:rPr>
          <w:rFonts w:ascii="Arial" w:cs="Arial" w:eastAsia="Arial" w:hAnsi="Arial"/>
          <w:sz w:val="22"/>
          <w:szCs w:val="22"/>
          <w:b w:val="1"/>
          <w:bCs w:val="1"/>
          <w:color w:val="auto"/>
        </w:rPr>
        <w:t>CAMPUS OFFICE GENERIC SPECIFICATION</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IRVINE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TENANT IMPROVEMENT / INTERIOR CONSTRUCTION OUTLINE SPECIFICATIONS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Tenant/Tenant Allowance)</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Note </w:t>
      </w:r>
      <w:r>
        <w:rPr>
          <w:rFonts w:ascii="Arial" w:cs="Arial" w:eastAsia="Arial" w:hAnsi="Arial"/>
          <w:sz w:val="21"/>
          <w:szCs w:val="21"/>
          <w:color w:val="auto"/>
        </w:rPr>
        <w:t>During preliminary walk throughs, construction management is to confirm re-use of existing building components</w:t>
      </w:r>
      <w:r>
        <w:rPr>
          <w:rFonts w:ascii="Arial" w:cs="Arial" w:eastAsia="Arial" w:hAnsi="Arial"/>
          <w:sz w:val="21"/>
          <w:szCs w:val="21"/>
          <w:b w:val="1"/>
          <w:bCs w:val="1"/>
          <w:color w:val="auto"/>
        </w:rPr>
        <w:t xml:space="preserve"> </w:t>
      </w:r>
      <w:r>
        <w:rPr>
          <w:rFonts w:ascii="Arial" w:cs="Arial" w:eastAsia="Arial" w:hAnsi="Arial"/>
          <w:sz w:val="21"/>
          <w:szCs w:val="21"/>
          <w:color w:val="auto"/>
        </w:rPr>
        <w:t>and provide direction to: 1) match existing, or 2) provide new building standard at all remodel conditions; or 3) provide upgrade to building standard based on project team input. Each suite to be reviewed on a case-by-case basis.</w:t>
      </w:r>
    </w:p>
    <w:p>
      <w:pPr>
        <w:spacing w:after="0" w:line="196"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TENANT STANDARD GENERAL</w:t>
      </w:r>
      <w:r>
        <w:rPr>
          <w:sz w:val="20"/>
          <w:szCs w:val="20"/>
          <w:color w:val="auto"/>
        </w:rPr>
        <w:tab/>
      </w:r>
      <w:r>
        <w:rPr>
          <w:rFonts w:ascii="Arial" w:cs="Arial" w:eastAsia="Arial" w:hAnsi="Arial"/>
          <w:sz w:val="18"/>
          <w:szCs w:val="18"/>
          <w:b w:val="1"/>
          <w:bCs w:val="1"/>
          <w:color w:val="auto"/>
        </w:rPr>
        <w:t>CARPET</w:t>
      </w:r>
    </w:p>
    <w:p>
      <w:pPr>
        <w:spacing w:after="0" w:line="2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Direct glue broadloom carpet.</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VINYL COMPOSITION TILE (VCT)</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12” x 12” VCT Armstrong Standard Excelon.</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WALLS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Standard Walls: 5/8” gypsum drywall on 2-1/2” x 25 ga. metal studs 16” o.c., floor to ceiling construction.</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No walls shall penetrate the grid unless required by code. All walls shall be straight, and parallel to building</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exterior walls. All offices and rooms shall be constructed of a standard size and tangent to a building shell or</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core wall.</w:t>
      </w:r>
    </w:p>
    <w:p>
      <w:pPr>
        <w:spacing w:after="0" w:line="207" w:lineRule="exact"/>
        <w:rPr>
          <w:sz w:val="20"/>
          <w:szCs w:val="20"/>
          <w:color w:val="auto"/>
        </w:rPr>
      </w:pPr>
    </w:p>
    <w:p>
      <w:pPr>
        <w:ind w:left="3380"/>
        <w:spacing w:after="0" w:line="282" w:lineRule="auto"/>
        <w:rPr>
          <w:sz w:val="20"/>
          <w:szCs w:val="20"/>
          <w:color w:val="auto"/>
        </w:rPr>
      </w:pPr>
      <w:r>
        <w:rPr>
          <w:rFonts w:ascii="Arial" w:cs="Arial" w:eastAsia="Arial" w:hAnsi="Arial"/>
          <w:sz w:val="18"/>
          <w:szCs w:val="18"/>
          <w:b w:val="1"/>
          <w:bCs w:val="1"/>
          <w:color w:val="auto"/>
        </w:rPr>
        <w:t xml:space="preserve">Exterior Walls (First Generation Only): </w:t>
      </w:r>
      <w:r>
        <w:rPr>
          <w:rFonts w:ascii="Arial" w:cs="Arial" w:eastAsia="Arial" w:hAnsi="Arial"/>
          <w:sz w:val="18"/>
          <w:szCs w:val="18"/>
          <w:color w:val="auto"/>
        </w:rPr>
        <w:t>5/8” gypsum drywall furring on 25 ga. metal studs, with R-13</w:t>
      </w:r>
      <w:r>
        <w:rPr>
          <w:rFonts w:ascii="Arial" w:cs="Arial" w:eastAsia="Arial" w:hAnsi="Arial"/>
          <w:sz w:val="18"/>
          <w:szCs w:val="18"/>
          <w:b w:val="1"/>
          <w:bCs w:val="1"/>
          <w:color w:val="auto"/>
        </w:rPr>
        <w:t xml:space="preserve"> </w:t>
      </w:r>
      <w:r>
        <w:rPr>
          <w:rFonts w:ascii="Arial" w:cs="Arial" w:eastAsia="Arial" w:hAnsi="Arial"/>
          <w:sz w:val="18"/>
          <w:szCs w:val="18"/>
          <w:color w:val="auto"/>
        </w:rPr>
        <w:t>insulation.</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PAINT</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Paint finish, one standard color to be Benjamin Moore AC-40, Glacier White, flat finish. Dark colors subject</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to Landlord approval.</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BASE</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2-1/2” Burke rubber base; straight at cut pile carpet, coved at resilient flooring and loop carpet.</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RUBBER TRANSITION STRIP</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Transition strip between carpet and resilient flooring to be Burke #150, color: to match adjacent V.C.T.</w:t>
      </w: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PLASTIC LAMINATE</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Plastic laminate color at millwork: Nevamar “Smoky White”, Textured #S-7-27T.</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CEILING</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2x4 USG Radar Illusions #2842 scored ceiling tile, installed in building standard 9/16” or 15/16” T-bar grid.</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Continuous grid throughout.</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LIGHTING</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All spaces are to be illuminated with building standard 2 x 4 direct/indirect fixtures, approved by the</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Landlord.</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DOORS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1-3/4” solid core, 3”-0” x 8’-10” plain sliced white oak, Western Integrated clear anodized aluminum</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frames, Schlage “D” series “Sparta” latchset hardware, dull chrome finish.</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OFFICE SIDELITES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All interior offices to have sidelite glazing adjacent to office entry door, 4’ wide x door height, Western</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Integrated clear anodized aluminum frame integral to door frame with clear tempered glass.</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WINDOW COVERINGS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Vertical blinds: Mariak Industries PVC blinds at building perimeter windows, Model M-3000, Color: Light</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Grey.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411" w:name="page412"/>
    <w:bookmarkEnd w:id="411"/>
    <w:p>
      <w:pPr>
        <w:jc w:val="right"/>
        <w:spacing w:after="0"/>
        <w:rPr>
          <w:sz w:val="20"/>
          <w:szCs w:val="20"/>
          <w:color w:val="auto"/>
        </w:rPr>
      </w:pPr>
      <w:r>
        <w:rPr>
          <w:rFonts w:ascii="Arial" w:cs="Arial" w:eastAsia="Arial" w:hAnsi="Arial"/>
          <w:sz w:val="22"/>
          <w:szCs w:val="22"/>
          <w:color w:val="auto"/>
        </w:rPr>
        <w:t>CAMPUS OFFICE GENERIC SPECIFICATION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IRVINE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TENANT IMPROVEMENT / INTERIOR CONSTRUCTION OUTLINE SPECIFICATIONS (Continued)</w:t>
      </w:r>
    </w:p>
    <w:p>
      <w:pPr>
        <w:sectPr>
          <w:pgSz w:w="11900" w:h="16838" w:orient="portrait"/>
          <w:cols w:equalWidth="0" w:num="1">
            <w:col w:w="11240"/>
          </w:cols>
          <w:pgMar w:left="320" w:top="118" w:right="339" w:bottom="1440" w:gutter="0" w:footer="0" w:header="0"/>
        </w:sectPr>
      </w:pPr>
    </w:p>
    <w:p>
      <w:pPr>
        <w:spacing w:after="0" w:line="230" w:lineRule="exact"/>
        <w:rPr>
          <w:sz w:val="20"/>
          <w:szCs w:val="20"/>
          <w:color w:val="auto"/>
        </w:rPr>
      </w:pPr>
    </w:p>
    <w:p>
      <w:pPr>
        <w:ind w:right="880"/>
        <w:spacing w:after="0" w:line="312" w:lineRule="auto"/>
        <w:rPr>
          <w:sz w:val="20"/>
          <w:szCs w:val="20"/>
          <w:color w:val="auto"/>
        </w:rPr>
      </w:pPr>
      <w:r>
        <w:rPr>
          <w:rFonts w:ascii="Arial" w:cs="Arial" w:eastAsia="Arial" w:hAnsi="Arial"/>
          <w:sz w:val="17"/>
          <w:szCs w:val="17"/>
          <w:b w:val="1"/>
          <w:bCs w:val="1"/>
          <w:color w:val="auto"/>
        </w:rPr>
        <w:t>TENANT STANDARD MECHANICAL: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Exterior corner spaces with more than one exposure shall be provided with a separate zone.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Conference Room (or Training Room) 20’ x 13’ or larger shall be provided with a separate zone. Exterior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zone shall be limited to a single exposure and a maximum of 750 to 1000 square feet.</w:t>
      </w:r>
    </w:p>
    <w:p>
      <w:pPr>
        <w:spacing w:after="0" w:line="200" w:lineRule="exact"/>
        <w:rPr>
          <w:sz w:val="20"/>
          <w:szCs w:val="20"/>
          <w:color w:val="auto"/>
        </w:rPr>
      </w:pPr>
    </w:p>
    <w:p>
      <w:pPr>
        <w:sectPr>
          <w:pgSz w:w="11900" w:h="16838" w:orient="portrait"/>
          <w:cols w:equalWidth="0" w:num="2">
            <w:col w:w="2660" w:space="720"/>
            <w:col w:w="7860"/>
          </w:cols>
          <w:pgMar w:left="320" w:top="118" w:right="339" w:bottom="1440" w:gutter="0" w:footer="0" w:header="0"/>
          <w:type w:val="continuous"/>
        </w:sectPr>
      </w:pPr>
    </w:p>
    <w:p>
      <w:pPr>
        <w:spacing w:after="0" w:line="11" w:lineRule="exact"/>
        <w:rPr>
          <w:sz w:val="20"/>
          <w:szCs w:val="20"/>
          <w:color w:val="auto"/>
        </w:rPr>
      </w:pPr>
    </w:p>
    <w:p>
      <w:pPr>
        <w:jc w:val="both"/>
        <w:ind w:left="3380"/>
        <w:spacing w:after="0" w:line="263" w:lineRule="auto"/>
        <w:rPr>
          <w:sz w:val="20"/>
          <w:szCs w:val="20"/>
          <w:color w:val="auto"/>
        </w:rPr>
      </w:pPr>
      <w:r>
        <w:rPr>
          <w:rFonts w:ascii="Arial" w:cs="Arial" w:eastAsia="Arial" w:hAnsi="Arial"/>
          <w:sz w:val="18"/>
          <w:szCs w:val="18"/>
          <w:b w:val="1"/>
          <w:bCs w:val="1"/>
          <w:i w:val="1"/>
          <w:iCs w:val="1"/>
          <w:color w:val="auto"/>
        </w:rPr>
        <w:t>Campus Office Building</w:t>
      </w:r>
      <w:r>
        <w:rPr>
          <w:rFonts w:ascii="Arial" w:cs="Arial" w:eastAsia="Arial" w:hAnsi="Arial"/>
          <w:sz w:val="18"/>
          <w:szCs w:val="18"/>
          <w:color w:val="auto"/>
        </w:rPr>
        <w:t>: Interior and Exterior zone VAV boxes shall be connected to the main supply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loop. Exterior zone VAV boxes shall be provided with two-row hot water reheat coil. Interior zone shall be limited to a maximum of 2000 square feet.</w:t>
      </w:r>
    </w:p>
    <w:p>
      <w:pPr>
        <w:spacing w:after="0" w:line="184" w:lineRule="exact"/>
        <w:rPr>
          <w:sz w:val="20"/>
          <w:szCs w:val="20"/>
          <w:color w:val="auto"/>
        </w:rPr>
      </w:pPr>
    </w:p>
    <w:p>
      <w:pPr>
        <w:jc w:val="both"/>
        <w:ind w:left="3380"/>
        <w:spacing w:after="0" w:line="286" w:lineRule="auto"/>
        <w:rPr>
          <w:sz w:val="20"/>
          <w:szCs w:val="20"/>
          <w:color w:val="auto"/>
        </w:rPr>
      </w:pPr>
      <w:r>
        <w:rPr>
          <w:rFonts w:ascii="Arial" w:cs="Arial" w:eastAsia="Arial" w:hAnsi="Arial"/>
          <w:sz w:val="17"/>
          <w:szCs w:val="17"/>
          <w:color w:val="auto"/>
        </w:rPr>
        <w:t>Air distribution downstream of VAV boxes shall be provided complete with ductwork, 2’x2’ perforated face ceiling diffusers, 2’x2’ perforated return air grilles and air balance. All ductwork shall be sheet metal constructed per SMACNA standards and insulated per the latest Title 24 requirements.</w:t>
      </w:r>
    </w:p>
    <w:p>
      <w:pPr>
        <w:spacing w:after="0" w:line="165" w:lineRule="exact"/>
        <w:rPr>
          <w:sz w:val="20"/>
          <w:szCs w:val="20"/>
          <w:color w:val="auto"/>
        </w:rPr>
      </w:pPr>
    </w:p>
    <w:p>
      <w:pPr>
        <w:jc w:val="both"/>
        <w:ind w:left="3380"/>
        <w:spacing w:after="0" w:line="259" w:lineRule="auto"/>
        <w:rPr>
          <w:sz w:val="20"/>
          <w:szCs w:val="20"/>
          <w:color w:val="auto"/>
        </w:rPr>
      </w:pPr>
      <w:r>
        <w:rPr>
          <w:rFonts w:ascii="Arial" w:cs="Arial" w:eastAsia="Arial" w:hAnsi="Arial"/>
          <w:sz w:val="18"/>
          <w:szCs w:val="18"/>
          <w:color w:val="auto"/>
        </w:rPr>
        <w:t>Pneumatic thermostats with blank white cover shall be provided for each zone. Thermostats shall be located adjacent to light switch at 48” above finished floor. When the building utilizes DDC zone control, DDC system shall be Andover and installed by AAS. DDC system shall be interfaced to the existing Irvine Company network.</w:t>
      </w:r>
    </w:p>
    <w:p>
      <w:pPr>
        <w:spacing w:after="0" w:line="187" w:lineRule="exact"/>
        <w:rPr>
          <w:sz w:val="20"/>
          <w:szCs w:val="20"/>
          <w:color w:val="auto"/>
        </w:rPr>
      </w:pPr>
    </w:p>
    <w:p>
      <w:pPr>
        <w:jc w:val="both"/>
        <w:ind w:left="3380"/>
        <w:spacing w:after="0" w:line="257" w:lineRule="auto"/>
        <w:rPr>
          <w:sz w:val="20"/>
          <w:szCs w:val="20"/>
          <w:color w:val="auto"/>
        </w:rPr>
      </w:pPr>
      <w:r>
        <w:rPr>
          <w:rFonts w:ascii="Arial" w:cs="Arial" w:eastAsia="Arial" w:hAnsi="Arial"/>
          <w:sz w:val="18"/>
          <w:szCs w:val="18"/>
          <w:b w:val="1"/>
          <w:bCs w:val="1"/>
          <w:i w:val="1"/>
          <w:iCs w:val="1"/>
          <w:color w:val="auto"/>
        </w:rPr>
        <w:t>Mid-Tech / Manufacturing Building</w:t>
      </w:r>
      <w:r>
        <w:rPr>
          <w:rFonts w:ascii="Arial" w:cs="Arial" w:eastAsia="Arial" w:hAnsi="Arial"/>
          <w:sz w:val="18"/>
          <w:szCs w:val="18"/>
          <w:color w:val="auto"/>
        </w:rPr>
        <w:t>: Air distribution downstream of packaged rooftop units and/or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fan coil units shall be provided complete with ductwork, 2’x2’ perforated face ceiling diffusers, 2’x2’ perforated return air grilles and air balance. All ductwork shall be sheet metal constructed per SMACNA standards and insulated per the latest Title 24 requirements. Interior zone shall be limited to a maximum of 2500 square feet.</w:t>
      </w:r>
    </w:p>
    <w:p>
      <w:pPr>
        <w:spacing w:after="0" w:line="188" w:lineRule="exact"/>
        <w:rPr>
          <w:sz w:val="20"/>
          <w:szCs w:val="20"/>
          <w:color w:val="auto"/>
        </w:rPr>
      </w:pPr>
    </w:p>
    <w:p>
      <w:pPr>
        <w:jc w:val="both"/>
        <w:ind w:left="3380"/>
        <w:spacing w:after="0" w:line="263" w:lineRule="auto"/>
        <w:rPr>
          <w:sz w:val="20"/>
          <w:szCs w:val="20"/>
          <w:color w:val="auto"/>
        </w:rPr>
      </w:pPr>
      <w:r>
        <w:rPr>
          <w:rFonts w:ascii="Arial" w:cs="Arial" w:eastAsia="Arial" w:hAnsi="Arial"/>
          <w:sz w:val="18"/>
          <w:szCs w:val="18"/>
          <w:color w:val="auto"/>
        </w:rPr>
        <w:t>Packaged rooftop units and/or split system units shall be connected to existing Irvine Company Energy Management System. Thermostats shall be located adjacent to light switch at 48” above finished floor. EMS shall be Andover and installed by AAS.</w:t>
      </w:r>
    </w:p>
    <w:p>
      <w:pPr>
        <w:spacing w:after="0" w:line="184" w:lineRule="exact"/>
        <w:rPr>
          <w:sz w:val="20"/>
          <w:szCs w:val="20"/>
          <w:color w:val="auto"/>
        </w:rPr>
      </w:pPr>
    </w:p>
    <w:p>
      <w:pPr>
        <w:jc w:val="both"/>
        <w:ind w:left="3380"/>
        <w:spacing w:after="0" w:line="263" w:lineRule="auto"/>
        <w:rPr>
          <w:sz w:val="20"/>
          <w:szCs w:val="20"/>
          <w:color w:val="auto"/>
        </w:rPr>
      </w:pPr>
      <w:r>
        <w:rPr>
          <w:rFonts w:ascii="Arial" w:cs="Arial" w:eastAsia="Arial" w:hAnsi="Arial"/>
          <w:sz w:val="18"/>
          <w:szCs w:val="18"/>
          <w:color w:val="auto"/>
        </w:rPr>
        <w:t>New packaged rooftop units larger than 5-ton shall be provided with seismic isolation curb with minimum 1-inch spring deflection. New packaged rooftop units larger than 6.25 ton shall be provided with economizer with barometric relief damper.</w:t>
      </w:r>
    </w:p>
    <w:p>
      <w:pPr>
        <w:sectPr>
          <w:pgSz w:w="11900" w:h="16838" w:orient="portrait"/>
          <w:cols w:equalWidth="0" w:num="1">
            <w:col w:w="11240"/>
          </w:cols>
          <w:pgMar w:left="320" w:top="118" w:right="339" w:bottom="1440" w:gutter="0" w:footer="0" w:header="0"/>
          <w:type w:val="continuous"/>
        </w:sectPr>
      </w:pPr>
    </w:p>
    <w:p>
      <w:pPr>
        <w:spacing w:after="0" w:line="18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TENANT STANDARD FIRE PROTECTION: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Pendant satin chrome plated, recessed heads, adjustable canopies, minimum K factor to be 5.62, located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center of 2’ x 2’ section of scored ceiling tile. Ceiling drops from shell supply loop.</w:t>
      </w:r>
    </w:p>
    <w:p>
      <w:pPr>
        <w:spacing w:after="0" w:line="200" w:lineRule="exact"/>
        <w:rPr>
          <w:sz w:val="20"/>
          <w:szCs w:val="20"/>
          <w:color w:val="auto"/>
        </w:rPr>
      </w:pPr>
    </w:p>
    <w:p>
      <w:pPr>
        <w:sectPr>
          <w:pgSz w:w="11900" w:h="16838" w:orient="portrait"/>
          <w:cols w:equalWidth="0" w:num="2">
            <w:col w:w="2660" w:space="720"/>
            <w:col w:w="7860"/>
          </w:cols>
          <w:pgMar w:left="320" w:top="118" w:right="339" w:bottom="1440" w:gutter="0" w:footer="0" w:header="0"/>
          <w:type w:val="continuous"/>
        </w:sectPr>
      </w:pPr>
    </w:p>
    <w:p>
      <w:pPr>
        <w:spacing w:after="0" w:line="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TENANT STANDARD FIRE SPRINKLER: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FIRE SPRINKLER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Hard pipe to be used. Any substitutions to be submitted for Landlord review and approval prior to install.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Center sprinkler head in 2x2 ceiling tile.</w:t>
      </w:r>
    </w:p>
    <w:p>
      <w:pPr>
        <w:spacing w:after="0" w:line="200" w:lineRule="exact"/>
        <w:rPr>
          <w:sz w:val="20"/>
          <w:szCs w:val="20"/>
          <w:color w:val="auto"/>
        </w:rPr>
      </w:pPr>
    </w:p>
    <w:p>
      <w:pPr>
        <w:sectPr>
          <w:pgSz w:w="11900" w:h="16838" w:orient="portrait"/>
          <w:cols w:equalWidth="0" w:num="2">
            <w:col w:w="2660" w:space="720"/>
            <w:col w:w="7860"/>
          </w:cols>
          <w:pgMar w:left="320" w:top="118" w:right="3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2" w:name="page413"/>
    <w:bookmarkEnd w:id="412"/>
    <w:p>
      <w:pPr>
        <w:jc w:val="right"/>
        <w:spacing w:after="0"/>
        <w:rPr>
          <w:sz w:val="20"/>
          <w:szCs w:val="20"/>
          <w:color w:val="auto"/>
        </w:rPr>
      </w:pPr>
      <w:r>
        <w:rPr>
          <w:rFonts w:ascii="Arial" w:cs="Arial" w:eastAsia="Arial" w:hAnsi="Arial"/>
          <w:sz w:val="22"/>
          <w:szCs w:val="22"/>
          <w:color w:val="auto"/>
        </w:rPr>
        <w:t>CAMPUS OFFICE GENERIC SPECIFICATION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IRVINE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TENANT IMPROVEMENT / INTERIOR CONSTRUCTION OUTLINE SPECIFICATIONS (Continued)</w:t>
      </w:r>
    </w:p>
    <w:p>
      <w:pPr>
        <w:sectPr>
          <w:pgSz w:w="11900" w:h="16838" w:orient="portrait"/>
          <w:cols w:equalWidth="0" w:num="1">
            <w:col w:w="11240"/>
          </w:cols>
          <w:pgMar w:left="320" w:top="118" w:right="339" w:bottom="1440" w:gutter="0" w:footer="0" w:header="0"/>
        </w:sectPr>
      </w:pPr>
    </w:p>
    <w:p>
      <w:pPr>
        <w:spacing w:after="0" w:line="230" w:lineRule="exact"/>
        <w:rPr>
          <w:sz w:val="20"/>
          <w:szCs w:val="20"/>
          <w:color w:val="auto"/>
        </w:rPr>
      </w:pPr>
    </w:p>
    <w:p>
      <w:pPr>
        <w:ind w:right="880"/>
        <w:spacing w:after="0" w:line="312" w:lineRule="auto"/>
        <w:rPr>
          <w:sz w:val="20"/>
          <w:szCs w:val="20"/>
          <w:color w:val="auto"/>
        </w:rPr>
      </w:pPr>
      <w:r>
        <w:rPr>
          <w:rFonts w:ascii="Arial" w:cs="Arial" w:eastAsia="Arial" w:hAnsi="Arial"/>
          <w:sz w:val="17"/>
          <w:szCs w:val="17"/>
          <w:b w:val="1"/>
          <w:bCs w:val="1"/>
          <w:color w:val="auto"/>
        </w:rPr>
        <w:t>TENANT STANDARD ELECTRICAL: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 SYSTEM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277/480 volt, three phase, four wire tenant metered distribution section will be added to main service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Main Electrical Room.</w:t>
      </w:r>
    </w:p>
    <w:p>
      <w:pPr>
        <w:spacing w:after="0" w:line="200" w:lineRule="exact"/>
        <w:rPr>
          <w:sz w:val="20"/>
          <w:szCs w:val="20"/>
          <w:color w:val="auto"/>
        </w:rPr>
      </w:pPr>
    </w:p>
    <w:p>
      <w:pPr>
        <w:sectPr>
          <w:pgSz w:w="11900" w:h="16838" w:orient="portrait"/>
          <w:cols w:equalWidth="0" w:num="2">
            <w:col w:w="2660" w:space="720"/>
            <w:col w:w="7860"/>
          </w:cols>
          <w:pgMar w:left="320" w:top="118" w:right="339" w:bottom="1440" w:gutter="0" w:footer="0" w:header="0"/>
          <w:type w:val="continuous"/>
        </w:sectPr>
      </w:pPr>
    </w:p>
    <w:p>
      <w:pPr>
        <w:spacing w:after="0" w:line="11" w:lineRule="exact"/>
        <w:rPr>
          <w:sz w:val="20"/>
          <w:szCs w:val="20"/>
          <w:color w:val="auto"/>
        </w:rPr>
      </w:pPr>
    </w:p>
    <w:p>
      <w:pPr>
        <w:jc w:val="both"/>
        <w:ind w:left="3380"/>
        <w:spacing w:after="0" w:line="259" w:lineRule="auto"/>
        <w:rPr>
          <w:sz w:val="20"/>
          <w:szCs w:val="20"/>
          <w:color w:val="auto"/>
        </w:rPr>
      </w:pPr>
      <w:r>
        <w:rPr>
          <w:rFonts w:ascii="Arial" w:cs="Arial" w:eastAsia="Arial" w:hAnsi="Arial"/>
          <w:sz w:val="18"/>
          <w:szCs w:val="18"/>
          <w:color w:val="auto"/>
        </w:rPr>
        <w:t>Tenant Electrical Room, located within the lease space, as directed by the Landlord, to include 277/480 volt and 120/208 volt panels, transformer, lighting control panel, as required. All newly installed panels and distribution boards shall have all branch circuit loads appropriately disaggregated per 2013 Title 24 requirements.</w:t>
      </w:r>
    </w:p>
    <w:p>
      <w:pPr>
        <w:sectPr>
          <w:pgSz w:w="11900" w:h="16838" w:orient="portrait"/>
          <w:cols w:equalWidth="0" w:num="1">
            <w:col w:w="11240"/>
          </w:cols>
          <w:pgMar w:left="320" w:top="118" w:right="339" w:bottom="1440" w:gutter="0" w:footer="0" w:header="0"/>
          <w:type w:val="continuous"/>
        </w:sectPr>
      </w:pPr>
    </w:p>
    <w:p>
      <w:pPr>
        <w:spacing w:after="0" w:line="18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Standard tenant electrical capacity will be provided in the following capacity:</w:t>
      </w:r>
    </w:p>
    <w:p>
      <w:pPr>
        <w:spacing w:after="0" w:line="23" w:lineRule="exact"/>
        <w:rPr>
          <w:sz w:val="20"/>
          <w:szCs w:val="20"/>
          <w:color w:val="auto"/>
        </w:rPr>
      </w:pPr>
    </w:p>
    <w:p>
      <w:pPr>
        <w:ind w:left="3480" w:hanging="97"/>
        <w:spacing w:after="0"/>
        <w:tabs>
          <w:tab w:leader="none" w:pos="3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Lighting 277V: Minimum of 1.2 watt watts per s.f.</w:t>
      </w:r>
    </w:p>
    <w:p>
      <w:pPr>
        <w:spacing w:after="0" w:line="9" w:lineRule="exact"/>
        <w:rPr>
          <w:rFonts w:ascii="Arial" w:cs="Arial" w:eastAsia="Arial" w:hAnsi="Arial"/>
          <w:sz w:val="18"/>
          <w:szCs w:val="18"/>
          <w:color w:val="auto"/>
        </w:rPr>
      </w:pPr>
    </w:p>
    <w:p>
      <w:pPr>
        <w:ind w:left="3480" w:hanging="97"/>
        <w:spacing w:after="0"/>
        <w:tabs>
          <w:tab w:leader="none" w:pos="3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General 277V Power: As required to accommodate tenant loads.</w:t>
      </w:r>
    </w:p>
    <w:p>
      <w:pPr>
        <w:spacing w:after="0" w:line="9" w:lineRule="exact"/>
        <w:rPr>
          <w:rFonts w:ascii="Arial" w:cs="Arial" w:eastAsia="Arial" w:hAnsi="Arial"/>
          <w:sz w:val="18"/>
          <w:szCs w:val="18"/>
          <w:color w:val="auto"/>
        </w:rPr>
      </w:pPr>
    </w:p>
    <w:p>
      <w:pPr>
        <w:ind w:left="3480" w:hanging="97"/>
        <w:spacing w:after="0"/>
        <w:tabs>
          <w:tab w:leader="none" w:pos="3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HVAC Power 277/480V: As required to accommodate the HVAC equipment.</w:t>
      </w:r>
    </w:p>
    <w:p>
      <w:pPr>
        <w:spacing w:after="0" w:line="9" w:lineRule="exact"/>
        <w:rPr>
          <w:rFonts w:ascii="Arial" w:cs="Arial" w:eastAsia="Arial" w:hAnsi="Arial"/>
          <w:sz w:val="18"/>
          <w:szCs w:val="18"/>
          <w:color w:val="auto"/>
        </w:rPr>
      </w:pPr>
    </w:p>
    <w:p>
      <w:pPr>
        <w:ind w:left="3480" w:hanging="97"/>
        <w:spacing w:after="0"/>
        <w:tabs>
          <w:tab w:leader="none" w:pos="3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General 120/208V Power: Minimum of 8.0 watts per s.f.</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LIGHTING</w:t>
      </w:r>
    </w:p>
    <w:p>
      <w:pPr>
        <w:spacing w:after="0" w:line="27" w:lineRule="exact"/>
        <w:rPr>
          <w:sz w:val="20"/>
          <w:szCs w:val="20"/>
          <w:color w:val="auto"/>
        </w:rPr>
      </w:pPr>
    </w:p>
    <w:p>
      <w:pPr>
        <w:jc w:val="both"/>
        <w:ind w:left="3380"/>
        <w:spacing w:after="0" w:line="253" w:lineRule="auto"/>
        <w:rPr>
          <w:sz w:val="20"/>
          <w:szCs w:val="20"/>
          <w:color w:val="auto"/>
        </w:rPr>
      </w:pPr>
      <w:r>
        <w:rPr>
          <w:rFonts w:ascii="Arial" w:cs="Arial" w:eastAsia="Arial" w:hAnsi="Arial"/>
          <w:sz w:val="18"/>
          <w:szCs w:val="18"/>
          <w:color w:val="auto"/>
        </w:rPr>
        <w:t>All spaces are to be illuminated with building standard 2’ x 4’, direct/indirect fixtures based on one (1) fixture per 96 square feet. All lighting in newly renovated areas (and associated existing areas with renovations mandated by 2013 Title 24 requirements) are to be illuminated with building standard 2’x4’ direct/indirect LED 0-10V dimmable fixtures based on (1) fixture per 96 square feet.</w:t>
      </w:r>
    </w:p>
    <w:p>
      <w:pPr>
        <w:spacing w:after="0" w:line="193"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Fixture to be Focal Point TICLED-24-4000L-35 (FLUL-24-PS-4000L-35K-1C-VOLT-LD1-GRID TYPE-</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EQ-WH) - All Fixtures should be ordered via Southern California Illumination, contact rep at 949-622-3000.</w:t>
      </w:r>
    </w:p>
    <w:p>
      <w:pPr>
        <w:spacing w:after="0" w:line="23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Any substitutions to these fixtures must be reviewed/approved by the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Landlord.</w:t>
      </w:r>
    </w:p>
    <w:p>
      <w:pPr>
        <w:spacing w:after="0" w:line="211" w:lineRule="exact"/>
        <w:rPr>
          <w:sz w:val="20"/>
          <w:szCs w:val="20"/>
          <w:color w:val="auto"/>
        </w:rPr>
      </w:pPr>
    </w:p>
    <w:p>
      <w:pPr>
        <w:jc w:val="both"/>
        <w:ind w:left="3380"/>
        <w:spacing w:after="0" w:line="271" w:lineRule="auto"/>
        <w:rPr>
          <w:sz w:val="20"/>
          <w:szCs w:val="20"/>
          <w:color w:val="auto"/>
        </w:rPr>
      </w:pPr>
      <w:r>
        <w:rPr>
          <w:rFonts w:ascii="Arial" w:cs="Arial" w:eastAsia="Arial" w:hAnsi="Arial"/>
          <w:sz w:val="17"/>
          <w:szCs w:val="17"/>
          <w:color w:val="auto"/>
        </w:rPr>
        <w:t>All lighting in newly renovated areas (and associated existing areas with renovations mandated by 2013 Title 24 requirements) are to be controlled by 2013 Title 24 compliant digital lighting system, complete with room controller capable of full range 0-10V LED dimming, occupancy sensors, daylight sensors (as required), and low voltage digital switches as required for each respective enclosed space. Locate switches at 48” to switch centerline. Digital control system shall be by Greengate or equal by Wattstopper. Projects in excess of 10,000 square feet shall also have demand responsive controls via input / output interface at each room controller location with applicable low voltage conductors routed to tenant electrical room for future connection to demand response system per 2013 Title 24 requirements.</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Exit signs: Internally illuminated, white sign face with green text.</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OUTLETS</w:t>
      </w:r>
    </w:p>
    <w:p>
      <w:pPr>
        <w:spacing w:after="0" w:line="27" w:lineRule="exact"/>
        <w:rPr>
          <w:sz w:val="20"/>
          <w:szCs w:val="20"/>
          <w:color w:val="auto"/>
        </w:rPr>
      </w:pPr>
    </w:p>
    <w:p>
      <w:pPr>
        <w:jc w:val="both"/>
        <w:ind w:left="3380"/>
        <w:spacing w:after="0" w:line="260" w:lineRule="auto"/>
        <w:rPr>
          <w:sz w:val="20"/>
          <w:szCs w:val="20"/>
          <w:color w:val="auto"/>
        </w:rPr>
      </w:pPr>
      <w:r>
        <w:rPr>
          <w:rFonts w:ascii="Arial" w:cs="Arial" w:eastAsia="Arial" w:hAnsi="Arial"/>
          <w:sz w:val="18"/>
          <w:szCs w:val="18"/>
          <w:color w:val="auto"/>
        </w:rPr>
        <w:t>Power: Leviton “</w:t>
      </w:r>
      <w:r>
        <w:rPr>
          <w:rFonts w:ascii="Arial" w:cs="Arial" w:eastAsia="Arial" w:hAnsi="Arial"/>
          <w:sz w:val="18"/>
          <w:szCs w:val="18"/>
          <w:b w:val="1"/>
          <w:bCs w:val="1"/>
          <w:i w:val="1"/>
          <w:iCs w:val="1"/>
          <w:color w:val="auto"/>
        </w:rPr>
        <w:t>Decora</w:t>
      </w:r>
      <w:r>
        <w:rPr>
          <w:rFonts w:ascii="Arial" w:cs="Arial" w:eastAsia="Arial" w:hAnsi="Arial"/>
          <w:sz w:val="18"/>
          <w:szCs w:val="18"/>
          <w:color w:val="auto"/>
        </w:rPr>
        <w:t>” style 15 / 20 amp 125-volt specification grade white duplex receptacle mounted vertically, 18” AFF to centerline, with a white plastic coverplate.</w:t>
      </w:r>
    </w:p>
    <w:p>
      <w:pPr>
        <w:spacing w:after="0" w:line="185" w:lineRule="exact"/>
        <w:rPr>
          <w:sz w:val="20"/>
          <w:szCs w:val="20"/>
          <w:color w:val="auto"/>
        </w:rPr>
      </w:pPr>
    </w:p>
    <w:p>
      <w:pPr>
        <w:jc w:val="both"/>
        <w:ind w:left="3380"/>
        <w:spacing w:after="0" w:line="286" w:lineRule="auto"/>
        <w:rPr>
          <w:sz w:val="20"/>
          <w:szCs w:val="20"/>
          <w:color w:val="auto"/>
        </w:rPr>
      </w:pPr>
      <w:r>
        <w:rPr>
          <w:rFonts w:ascii="Arial" w:cs="Arial" w:eastAsia="Arial" w:hAnsi="Arial"/>
          <w:sz w:val="17"/>
          <w:szCs w:val="17"/>
          <w:color w:val="auto"/>
        </w:rPr>
        <w:t>2013 Title 24 controlled receptacles are to be plug load controllable decorator receptacle, 15A, half control, white in color Legrand #26252CHW. Receptacle relay shall be wired to room controller in respective vicinity or enclosed space for controlled receptacle to shut off during periods of vacancy.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3" w:name="page414"/>
    <w:bookmarkEnd w:id="413"/>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980" w:type="dxa"/>
            <w:vAlign w:val="bottom"/>
          </w:tcPr>
          <w:p>
            <w:pPr>
              <w:jc w:val="right"/>
              <w:spacing w:after="0"/>
              <w:rPr>
                <w:sz w:val="20"/>
                <w:szCs w:val="20"/>
                <w:color w:val="auto"/>
              </w:rPr>
            </w:pPr>
            <w:r>
              <w:rPr>
                <w:rFonts w:ascii="Arial" w:cs="Arial" w:eastAsia="Arial" w:hAnsi="Arial"/>
                <w:sz w:val="22"/>
                <w:szCs w:val="22"/>
                <w:color w:val="auto"/>
              </w:rPr>
              <w:t>CAMPUS OFFICE GENERIC SPECIFICATION</w:t>
            </w:r>
          </w:p>
        </w:tc>
        <w:tc>
          <w:tcPr>
            <w:tcW w:w="0" w:type="dxa"/>
            <w:vAlign w:val="bottom"/>
          </w:tcPr>
          <w:p>
            <w:pPr>
              <w:spacing w:after="0"/>
              <w:rPr>
                <w:sz w:val="1"/>
                <w:szCs w:val="1"/>
                <w:color w:val="auto"/>
              </w:rPr>
            </w:pPr>
          </w:p>
        </w:tc>
      </w:tr>
      <w:tr>
        <w:trPr>
          <w:trHeight w:val="274"/>
        </w:trPr>
        <w:tc>
          <w:tcPr>
            <w:tcW w:w="30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980" w:type="dxa"/>
            <w:vAlign w:val="bottom"/>
          </w:tcPr>
          <w:p>
            <w:pPr>
              <w:jc w:val="right"/>
              <w:spacing w:after="0"/>
              <w:rPr>
                <w:sz w:val="20"/>
                <w:szCs w:val="20"/>
                <w:color w:val="auto"/>
              </w:rPr>
            </w:pPr>
            <w:r>
              <w:rPr>
                <w:rFonts w:ascii="Arial" w:cs="Arial" w:eastAsia="Arial" w:hAnsi="Arial"/>
                <w:sz w:val="22"/>
                <w:szCs w:val="22"/>
                <w:color w:val="auto"/>
              </w:rPr>
              <w:t>IRVINE COMPANY</w:t>
            </w:r>
          </w:p>
        </w:tc>
        <w:tc>
          <w:tcPr>
            <w:tcW w:w="0" w:type="dxa"/>
            <w:vAlign w:val="bottom"/>
          </w:tcPr>
          <w:p>
            <w:pPr>
              <w:spacing w:after="0"/>
              <w:rPr>
                <w:sz w:val="1"/>
                <w:szCs w:val="1"/>
                <w:color w:val="auto"/>
              </w:rPr>
            </w:pPr>
          </w:p>
        </w:tc>
      </w:tr>
      <w:tr>
        <w:trPr>
          <w:trHeight w:val="430"/>
        </w:trPr>
        <w:tc>
          <w:tcPr>
            <w:tcW w:w="11240" w:type="dxa"/>
            <w:vAlign w:val="bottom"/>
            <w:gridSpan w:val="3"/>
          </w:tcPr>
          <w:p>
            <w:pPr>
              <w:ind w:left="1940"/>
              <w:spacing w:after="0"/>
              <w:rPr>
                <w:sz w:val="20"/>
                <w:szCs w:val="20"/>
                <w:color w:val="auto"/>
              </w:rPr>
            </w:pPr>
            <w:r>
              <w:rPr>
                <w:rFonts w:ascii="Arial" w:cs="Arial" w:eastAsia="Arial" w:hAnsi="Arial"/>
                <w:sz w:val="16"/>
                <w:szCs w:val="16"/>
                <w:b w:val="1"/>
                <w:bCs w:val="1"/>
                <w:color w:val="auto"/>
              </w:rPr>
              <w:t>TENANT IMPROVEMENT / INTERIOR CONSTRUCTION OUTLINE SPECIFICATIONS (Continued)</w:t>
            </w:r>
          </w:p>
        </w:tc>
        <w:tc>
          <w:tcPr>
            <w:tcW w:w="0" w:type="dxa"/>
            <w:vAlign w:val="bottom"/>
          </w:tcPr>
          <w:p>
            <w:pPr>
              <w:spacing w:after="0"/>
              <w:rPr>
                <w:sz w:val="1"/>
                <w:szCs w:val="1"/>
                <w:color w:val="auto"/>
              </w:rPr>
            </w:pPr>
          </w:p>
        </w:tc>
      </w:tr>
      <w:tr>
        <w:trPr>
          <w:trHeight w:val="424"/>
        </w:trPr>
        <w:tc>
          <w:tcPr>
            <w:tcW w:w="3020" w:type="dxa"/>
            <w:vAlign w:val="bottom"/>
          </w:tcPr>
          <w:p>
            <w:pPr>
              <w:spacing w:after="0"/>
              <w:rPr>
                <w:sz w:val="20"/>
                <w:szCs w:val="20"/>
                <w:color w:val="auto"/>
              </w:rPr>
            </w:pPr>
            <w:r>
              <w:rPr>
                <w:rFonts w:ascii="Arial" w:cs="Arial" w:eastAsia="Arial" w:hAnsi="Arial"/>
                <w:sz w:val="18"/>
                <w:szCs w:val="18"/>
                <w:b w:val="1"/>
                <w:bCs w:val="1"/>
                <w:color w:val="auto"/>
              </w:rPr>
              <w:t>TENANT STANDARD</w:t>
            </w:r>
          </w:p>
        </w:tc>
        <w:tc>
          <w:tcPr>
            <w:tcW w:w="3240" w:type="dxa"/>
            <w:vAlign w:val="bottom"/>
          </w:tcPr>
          <w:p>
            <w:pPr>
              <w:ind w:left="360"/>
              <w:spacing w:after="0"/>
              <w:rPr>
                <w:sz w:val="20"/>
                <w:szCs w:val="20"/>
                <w:color w:val="auto"/>
              </w:rPr>
            </w:pPr>
            <w:r>
              <w:rPr>
                <w:rFonts w:ascii="Arial" w:cs="Arial" w:eastAsia="Arial" w:hAnsi="Arial"/>
                <w:sz w:val="18"/>
                <w:szCs w:val="18"/>
                <w:color w:val="auto"/>
              </w:rPr>
              <w:t>ELECTRICAL (CONTINUED):</w:t>
            </w:r>
          </w:p>
        </w:tc>
        <w:tc>
          <w:tcPr>
            <w:tcW w:w="4980" w:type="dxa"/>
            <w:vAlign w:val="bottom"/>
          </w:tcPr>
          <w:p>
            <w:pPr>
              <w:jc w:val="right"/>
              <w:spacing w:after="0"/>
              <w:rPr>
                <w:sz w:val="20"/>
                <w:szCs w:val="20"/>
                <w:color w:val="auto"/>
              </w:rPr>
            </w:pPr>
            <w:r>
              <w:rPr>
                <w:rFonts w:ascii="Arial" w:cs="Arial" w:eastAsia="Arial" w:hAnsi="Arial"/>
                <w:sz w:val="18"/>
                <w:szCs w:val="18"/>
                <w:color w:val="auto"/>
                <w:w w:val="94"/>
              </w:rPr>
              <w:t>All furniture systems will be assumed to be a four (4) circuit / eight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2"/>
              </w:rPr>
              <w:t>(8) wire configuration. All furniture system workstations are assumed to have personal computers only and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4"/>
              </w:rPr>
              <w:t>will be connected at a ratio of eight (8) workstations per four (4) circuit / eight (8) wire homerun. For each</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4"/>
              </w:rPr>
              <w:t>four circuit homerun, the two “general” circuits shall be controlled circuits per 2013 Title 24 requirements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0"/>
              </w:rPr>
              <w:t>and shall be controlled by relays connected to the room controller in respective vicinity or enclosed space for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rPr>
              <w:t>controlled receptacles in partitions to shut off during periods of vacancy.</w:t>
            </w: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5"/>
              </w:rPr>
              <w:t>All wall mounted furniture system communication feeds will be provided with (2) 1 1/2” conduit (non-fire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3"/>
              </w:rPr>
              <w:t>rated / non-insulated walls) OR (2) 1-1/4” conduit (fire rated / insulated walls); a 4S/DP box and a double-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2"/>
              </w:rPr>
              <w:t>gang mud ring in the wall. One (1) furniture system communication feeds will be assumed to be capable of</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rPr>
              <w:t>providing enough cabling capacity for eight (8) workstations.</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4"/>
                <w:szCs w:val="24"/>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3"/>
              </w:rPr>
              <w:t>Power and Telecom Feeds to systems furniture by Tenant to be via walls, furred columns or ceiling J-box.</w:t>
            </w: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2"/>
              </w:rPr>
              <w:t>All wall mounted general communication outlets in non-fire rated / non-insulated walls will be provided a 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9"/>
              </w:rPr>
              <w:t>gang mud ring and a pull string in the wall. All wall mounted communication outlets in fire-rated and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5"/>
              </w:rPr>
              <w:t>insulated walls will be provided with 3/4” conduit (voice and / or data only) OR a 1” conduit (combination</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3"/>
              </w:rPr>
              <w:t>voice / data), stubbed into the accessible ceiling space, 4S/DP box and a single gang mud ring in the wall.</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3240" w:type="dxa"/>
            <w:vAlign w:val="bottom"/>
          </w:tcPr>
          <w:p>
            <w:pPr>
              <w:ind w:left="360"/>
              <w:spacing w:after="0"/>
              <w:rPr>
                <w:sz w:val="20"/>
                <w:szCs w:val="20"/>
                <w:color w:val="auto"/>
              </w:rPr>
            </w:pPr>
            <w:r>
              <w:rPr>
                <w:rFonts w:ascii="Arial" w:cs="Arial" w:eastAsia="Arial" w:hAnsi="Arial"/>
                <w:sz w:val="18"/>
                <w:szCs w:val="18"/>
                <w:color w:val="auto"/>
                <w:w w:val="89"/>
              </w:rPr>
              <w:t>Cover plate, jacks and cables by tenant.</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4"/>
              </w:rPr>
              <w:t>A single tenant telecom room will be provided with a single 4’ x 8’ backboard. An empty 2” conduit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2"/>
              </w:rPr>
              <w:t>routed from this backboard to the building’s main telephone backboard. An empty 4” conduit sleeve will be</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rPr>
              <w:t>stubbed into the accessible ceiling space.</w:t>
            </w:r>
          </w:p>
        </w:tc>
        <w:tc>
          <w:tcPr>
            <w:tcW w:w="0" w:type="dxa"/>
            <w:vAlign w:val="bottom"/>
          </w:tcPr>
          <w:p>
            <w:pPr>
              <w:spacing w:after="0"/>
              <w:rPr>
                <w:sz w:val="1"/>
                <w:szCs w:val="1"/>
                <w:color w:val="auto"/>
              </w:rPr>
            </w:pPr>
          </w:p>
        </w:tc>
      </w:tr>
      <w:tr>
        <w:trPr>
          <w:trHeight w:val="414"/>
        </w:trPr>
        <w:tc>
          <w:tcPr>
            <w:tcW w:w="3020" w:type="dxa"/>
            <w:vAlign w:val="bottom"/>
          </w:tcPr>
          <w:p>
            <w:pPr>
              <w:spacing w:after="0"/>
              <w:rPr>
                <w:sz w:val="20"/>
                <w:szCs w:val="20"/>
                <w:color w:val="auto"/>
              </w:rPr>
            </w:pPr>
            <w:r>
              <w:rPr>
                <w:rFonts w:ascii="Arial" w:cs="Arial" w:eastAsia="Arial" w:hAnsi="Arial"/>
                <w:sz w:val="18"/>
                <w:szCs w:val="18"/>
                <w:b w:val="1"/>
                <w:bCs w:val="1"/>
                <w:color w:val="auto"/>
              </w:rPr>
              <w:t>TENANT STANDARD</w:t>
            </w:r>
          </w:p>
        </w:tc>
        <w:tc>
          <w:tcPr>
            <w:tcW w:w="3240" w:type="dxa"/>
            <w:vAlign w:val="bottom"/>
          </w:tcPr>
          <w:p>
            <w:pPr>
              <w:ind w:left="360"/>
              <w:spacing w:after="0"/>
              <w:rPr>
                <w:sz w:val="20"/>
                <w:szCs w:val="20"/>
                <w:color w:val="auto"/>
              </w:rPr>
            </w:pPr>
            <w:r>
              <w:rPr>
                <w:rFonts w:ascii="Arial" w:cs="Arial" w:eastAsia="Arial" w:hAnsi="Arial"/>
                <w:sz w:val="18"/>
                <w:szCs w:val="18"/>
                <w:b w:val="1"/>
                <w:bCs w:val="1"/>
                <w:color w:val="auto"/>
              </w:rPr>
              <w:t>FLOORS</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WAREHOUSE/SHIPPING AND</w:t>
            </w:r>
          </w:p>
        </w:tc>
        <w:tc>
          <w:tcPr>
            <w:tcW w:w="3240" w:type="dxa"/>
            <w:vAlign w:val="bottom"/>
          </w:tcPr>
          <w:p>
            <w:pPr>
              <w:ind w:left="360"/>
              <w:spacing w:after="0"/>
              <w:rPr>
                <w:sz w:val="20"/>
                <w:szCs w:val="20"/>
                <w:color w:val="auto"/>
              </w:rPr>
            </w:pPr>
            <w:r>
              <w:rPr>
                <w:rFonts w:ascii="Arial" w:cs="Arial" w:eastAsia="Arial" w:hAnsi="Arial"/>
                <w:sz w:val="18"/>
                <w:szCs w:val="18"/>
                <w:color w:val="auto"/>
              </w:rPr>
              <w:t>Sealed concrete.</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RECEIVING (IF APPLICABLE):</w:t>
            </w:r>
          </w:p>
        </w:tc>
        <w:tc>
          <w:tcPr>
            <w:tcW w:w="32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WALLS</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360"/>
              <w:spacing w:after="0"/>
              <w:rPr>
                <w:sz w:val="20"/>
                <w:szCs w:val="20"/>
                <w:color w:val="auto"/>
              </w:rPr>
            </w:pPr>
            <w:r>
              <w:rPr>
                <w:rFonts w:ascii="Arial" w:cs="Arial" w:eastAsia="Arial" w:hAnsi="Arial"/>
                <w:sz w:val="18"/>
                <w:szCs w:val="18"/>
                <w:color w:val="auto"/>
                <w:w w:val="94"/>
              </w:rPr>
              <w:t>5/8” gypsum wallboard standard partition, height and construction subject to Landlord approval. At furred</w:t>
            </w:r>
          </w:p>
        </w:tc>
        <w:tc>
          <w:tcPr>
            <w:tcW w:w="0" w:type="dxa"/>
            <w:vAlign w:val="bottom"/>
          </w:tcPr>
          <w:p>
            <w:pPr>
              <w:spacing w:after="0"/>
              <w:rPr>
                <w:sz w:val="1"/>
                <w:szCs w:val="1"/>
                <w:color w:val="auto"/>
              </w:rPr>
            </w:pPr>
          </w:p>
        </w:tc>
      </w:tr>
    </w:tbl>
    <w:p>
      <w:pPr>
        <w:jc w:val="both"/>
        <w:ind w:left="3380"/>
        <w:spacing w:after="0" w:line="250" w:lineRule="auto"/>
        <w:rPr>
          <w:sz w:val="20"/>
          <w:szCs w:val="20"/>
          <w:color w:val="auto"/>
        </w:rPr>
      </w:pPr>
      <w:r>
        <w:rPr>
          <w:rFonts w:ascii="Arial" w:cs="Arial" w:eastAsia="Arial" w:hAnsi="Arial"/>
          <w:sz w:val="18"/>
          <w:szCs w:val="18"/>
          <w:color w:val="auto"/>
        </w:rPr>
        <w:t>walls, paint to match Benjamin Moore AC-40 Glacier White. Provide rated partition at occupancy separation, as required by code.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CEILING</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Exposed structure, non-painted.</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WINDOWS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ACCESS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7’-6” H x 7’-6” W glazed service doors. Glazing is bronze reflective glass.</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HVAC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PLUMBING</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Single accommodation restroom, if required.</w:t>
      </w:r>
    </w:p>
    <w:p>
      <w:pPr>
        <w:spacing w:after="0" w:line="211" w:lineRule="exact"/>
        <w:rPr>
          <w:sz w:val="20"/>
          <w:szCs w:val="20"/>
          <w:color w:val="auto"/>
        </w:rPr>
      </w:pPr>
    </w:p>
    <w:p>
      <w:pPr>
        <w:jc w:val="both"/>
        <w:ind w:left="3380"/>
        <w:spacing w:after="0" w:line="263" w:lineRule="auto"/>
        <w:rPr>
          <w:sz w:val="20"/>
          <w:szCs w:val="20"/>
          <w:color w:val="auto"/>
        </w:rPr>
      </w:pPr>
      <w:r>
        <w:rPr>
          <w:rFonts w:ascii="Arial" w:cs="Arial" w:eastAsia="Arial" w:hAnsi="Arial"/>
          <w:sz w:val="18"/>
          <w:szCs w:val="18"/>
          <w:color w:val="auto"/>
        </w:rPr>
        <w:t>Sheet vinyl flooring to be Armstrong Classic Corlon “Seagate” #86526 Oyster, with Smooth White FRP panel wainscot to 48” high. Painted walls and ceiling to be Benjamin Moore AC-40 Glacier White, semi-gloss finish.</w:t>
      </w:r>
    </w:p>
    <w:p>
      <w:pPr>
        <w:spacing w:after="0" w:line="1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LIGHTING</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T5 High Bay, 2 x 4 fixtures.</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OTHER ELECTRICAL</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Convenience outlets; surface mounted at exposed concrete walls.</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SECURITY</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Lockable doors.</w:t>
      </w:r>
    </w:p>
    <w:p>
      <w:pPr>
        <w:sectPr>
          <w:pgSz w:w="11900" w:h="16838" w:orient="portrait"/>
          <w:cols w:equalWidth="0" w:num="1">
            <w:col w:w="11240"/>
          </w:cols>
          <w:pgMar w:left="320" w:top="108" w:right="3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4" w:name="page415"/>
    <w:bookmarkEnd w:id="4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LEASE</w:t>
      </w:r>
    </w:p>
    <w:p>
      <w:pPr>
        <w:spacing w:after="0" w:line="242"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Fourth Amendment to Lease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dated May 3, 2018, is by and between DISCOVERY BUSINESS CENTER LLC, a Delaware limited liability company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and GHOST MANAGEMENT GROUP, LLC, a Delaware limited liability company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216"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November 11, 2013, Landlord and Tenant entered into a lease for space in a building located at 41 Discovery, Irvine, California (“</w:t>
      </w:r>
      <w:r>
        <w:rPr>
          <w:rFonts w:ascii="Arial" w:cs="Arial" w:eastAsia="Arial" w:hAnsi="Arial"/>
          <w:sz w:val="19"/>
          <w:szCs w:val="19"/>
          <w:b w:val="1"/>
          <w:bCs w:val="1"/>
          <w:i w:val="1"/>
          <w:iCs w:val="1"/>
          <w:color w:val="auto"/>
        </w:rPr>
        <w:t>41 Discovery Premises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41 Discovery Building</w:t>
      </w:r>
      <w:r>
        <w:rPr>
          <w:rFonts w:ascii="Arial" w:cs="Arial" w:eastAsia="Arial" w:hAnsi="Arial"/>
          <w:sz w:val="19"/>
          <w:szCs w:val="19"/>
          <w:color w:val="auto"/>
        </w:rPr>
        <w:t>”), which lease was amended by a First Amendment to Lease dated January 27, 2016 (“</w:t>
      </w:r>
      <w:r>
        <w:rPr>
          <w:rFonts w:ascii="Arial" w:cs="Arial" w:eastAsia="Arial" w:hAnsi="Arial"/>
          <w:sz w:val="19"/>
          <w:szCs w:val="19"/>
          <w:b w:val="1"/>
          <w:bCs w:val="1"/>
          <w:i w:val="1"/>
          <w:iCs w:val="1"/>
          <w:color w:val="auto"/>
        </w:rPr>
        <w:t>First Amendment</w:t>
      </w:r>
      <w:r>
        <w:rPr>
          <w:rFonts w:ascii="Arial" w:cs="Arial" w:eastAsia="Arial" w:hAnsi="Arial"/>
          <w:sz w:val="19"/>
          <w:szCs w:val="19"/>
          <w:color w:val="auto"/>
        </w:rPr>
        <w:t>”), wherein Tenant added approximately 4,182 rentable square feet of space in a building located at 15420 Laguna Canyon Road, Suite 260, Irvine, California (“</w:t>
      </w:r>
      <w:r>
        <w:rPr>
          <w:rFonts w:ascii="Arial" w:cs="Arial" w:eastAsia="Arial" w:hAnsi="Arial"/>
          <w:sz w:val="19"/>
          <w:szCs w:val="19"/>
          <w:b w:val="1"/>
          <w:bCs w:val="1"/>
          <w:i w:val="1"/>
          <w:iCs w:val="1"/>
          <w:color w:val="auto"/>
        </w:rPr>
        <w:t>Laguna Canyon Premises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Laguna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Canyon Building</w:t>
      </w:r>
      <w:r>
        <w:rPr>
          <w:rFonts w:ascii="Arial" w:cs="Arial" w:eastAsia="Arial" w:hAnsi="Arial"/>
          <w:sz w:val="19"/>
          <w:szCs w:val="19"/>
          <w:color w:val="auto"/>
        </w:rPr>
        <w:t>”) to the Premises, by a Second Amendment to Lease dated April 7, 2017, wherein Tenant added approximately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7,000 rentable square feet of space in a building located at 49 Discovery, Suite 200, Irvine, California {“</w:t>
      </w:r>
      <w:r>
        <w:rPr>
          <w:rFonts w:ascii="Arial" w:cs="Arial" w:eastAsia="Arial" w:hAnsi="Arial"/>
          <w:sz w:val="19"/>
          <w:szCs w:val="19"/>
          <w:b w:val="1"/>
          <w:bCs w:val="1"/>
          <w:i w:val="1"/>
          <w:iCs w:val="1"/>
          <w:color w:val="auto"/>
        </w:rPr>
        <w:t>49 Discovery Premises</w:t>
      </w:r>
      <w:r>
        <w:rPr>
          <w:rFonts w:ascii="Arial" w:cs="Arial" w:eastAsia="Arial" w:hAnsi="Arial"/>
          <w:sz w:val="19"/>
          <w:szCs w:val="19"/>
          <w:color w:val="auto"/>
        </w:rPr>
        <w:t>”) to the Premises, and by a Third Amendment to Lease dated December 29, 2017 (“</w:t>
      </w:r>
      <w:r>
        <w:rPr>
          <w:rFonts w:ascii="Arial" w:cs="Arial" w:eastAsia="Arial" w:hAnsi="Arial"/>
          <w:sz w:val="19"/>
          <w:szCs w:val="19"/>
          <w:b w:val="1"/>
          <w:bCs w:val="1"/>
          <w:i w:val="1"/>
          <w:iCs w:val="1"/>
          <w:color w:val="auto"/>
        </w:rPr>
        <w:t>Third Amendment</w:t>
      </w:r>
      <w:r>
        <w:rPr>
          <w:rFonts w:ascii="Arial" w:cs="Arial" w:eastAsia="Arial" w:hAnsi="Arial"/>
          <w:sz w:val="19"/>
          <w:szCs w:val="19"/>
          <w:color w:val="auto"/>
        </w:rPr>
        <w:t>”), wherein Tenant terminated its leasing of the Laguna Canyon Premises and the 49 Discovery Premises in exchange for leasing approximately 31,407 rentable square feet of space in a building located at 43 Discovery, Suite 200, Irvine, California, and herein referred to as the “</w:t>
      </w:r>
      <w:r>
        <w:rPr>
          <w:rFonts w:ascii="Arial" w:cs="Arial" w:eastAsia="Arial" w:hAnsi="Arial"/>
          <w:sz w:val="19"/>
          <w:szCs w:val="19"/>
          <w:b w:val="1"/>
          <w:bCs w:val="1"/>
          <w:i w:val="1"/>
          <w:iCs w:val="1"/>
          <w:color w:val="auto"/>
        </w:rPr>
        <w:t>43 Discovery Premises</w:t>
      </w:r>
      <w:r>
        <w:rPr>
          <w:rFonts w:ascii="Arial" w:cs="Arial" w:eastAsia="Arial" w:hAnsi="Arial"/>
          <w:sz w:val="19"/>
          <w:szCs w:val="19"/>
          <w:color w:val="auto"/>
        </w:rPr>
        <w:t>”. The foregoing lease, as so amended, is hereinafter referred to as the “</w:t>
      </w:r>
      <w:r>
        <w:rPr>
          <w:rFonts w:ascii="Arial" w:cs="Arial" w:eastAsia="Arial" w:hAnsi="Arial"/>
          <w:sz w:val="19"/>
          <w:szCs w:val="19"/>
          <w:b w:val="1"/>
          <w:bCs w:val="1"/>
          <w:i w:val="1"/>
          <w:iCs w:val="1"/>
          <w:color w:val="auto"/>
        </w:rPr>
        <w:t>Lease</w:t>
      </w:r>
      <w:r>
        <w:rPr>
          <w:rFonts w:ascii="Arial" w:cs="Arial" w:eastAsia="Arial" w:hAnsi="Arial"/>
          <w:sz w:val="19"/>
          <w:szCs w:val="19"/>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Landlord and Tenant each desire to make such modifications as are set forth in “</w:t>
      </w:r>
      <w:r>
        <w:rPr>
          <w:rFonts w:ascii="Arial" w:cs="Arial" w:eastAsia="Arial" w:hAnsi="Arial"/>
          <w:sz w:val="19"/>
          <w:szCs w:val="19"/>
          <w:b w:val="1"/>
          <w:bCs w:val="1"/>
          <w:color w:val="auto"/>
        </w:rPr>
        <w:t>Ill. MODIFICATIONS</w:t>
      </w:r>
      <w:r>
        <w:rPr>
          <w:rFonts w:ascii="Arial" w:cs="Arial" w:eastAsia="Arial" w:hAnsi="Arial"/>
          <w:sz w:val="19"/>
          <w:szCs w:val="19"/>
          <w:color w:val="auto"/>
        </w:rPr>
        <w:t>” next below.</w:t>
      </w:r>
    </w:p>
    <w:p>
      <w:pPr>
        <w:spacing w:after="0" w:line="277"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42" w:lineRule="exact"/>
        <w:rPr>
          <w:rFonts w:ascii="Arial" w:cs="Arial" w:eastAsia="Arial" w:hAnsi="Arial"/>
          <w:sz w:val="18"/>
          <w:szCs w:val="18"/>
          <w:b w:val="1"/>
          <w:bCs w:val="1"/>
          <w:color w:val="auto"/>
        </w:rPr>
      </w:pPr>
    </w:p>
    <w:p>
      <w:pPr>
        <w:jc w:val="both"/>
        <w:ind w:firstLine="656"/>
        <w:spacing w:after="0" w:line="239" w:lineRule="auto"/>
        <w:tabs>
          <w:tab w:leader="none" w:pos="1560" w:val="left"/>
        </w:tabs>
        <w:numPr>
          <w:ilvl w:val="1"/>
          <w:numId w:val="390"/>
        </w:numPr>
        <w:rPr>
          <w:rFonts w:ascii="Arial" w:cs="Arial" w:eastAsia="Arial" w:hAnsi="Arial"/>
          <w:sz w:val="22"/>
          <w:szCs w:val="22"/>
          <w:b w:val="1"/>
          <w:bCs w:val="1"/>
          <w:color w:val="auto"/>
        </w:rPr>
      </w:pPr>
      <w:r>
        <w:rPr>
          <w:rFonts w:ascii="Arial" w:cs="Arial" w:eastAsia="Arial" w:hAnsi="Arial"/>
          <w:sz w:val="22"/>
          <w:szCs w:val="22"/>
          <w:b w:val="1"/>
          <w:bCs w:val="1"/>
          <w:color w:val="auto"/>
        </w:rPr>
        <w:t>Work Letter Modifications</w:t>
      </w:r>
      <w:r>
        <w:rPr>
          <w:rFonts w:ascii="Arial" w:cs="Arial" w:eastAsia="Arial" w:hAnsi="Arial"/>
          <w:sz w:val="22"/>
          <w:szCs w:val="22"/>
          <w:color w:val="auto"/>
        </w:rPr>
        <w:t>. Landlord and Tenant desire that the architectural design services for the Tenant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Improvements for the 43 Discovery Premises be performed by an architect selected and retained by Tenant (not by Landlord). Accordingly, Sections I.A., I.B., and I.C. of the Work Letter attached to the Third Amendment are hereby deleted in their entirety and the following substituted therefor.</w:t>
      </w:r>
    </w:p>
    <w:p>
      <w:pPr>
        <w:spacing w:after="0" w:line="21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ARCHITECTURAL AND CONSTRUCTION PROCEDURES.</w:t>
      </w:r>
    </w:p>
    <w:p>
      <w:pPr>
        <w:spacing w:after="0" w:line="240" w:lineRule="exact"/>
        <w:rPr>
          <w:sz w:val="20"/>
          <w:szCs w:val="20"/>
          <w:color w:val="auto"/>
        </w:rPr>
      </w:pPr>
    </w:p>
    <w:p>
      <w:pPr>
        <w:jc w:val="both"/>
        <w:ind w:left="1300" w:hanging="644"/>
        <w:spacing w:after="0" w:line="287" w:lineRule="auto"/>
        <w:tabs>
          <w:tab w:leader="none" w:pos="130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shall engage Design Blitz for the preparation of a detailed space plan for the Premises which includes interior partitions, ceilings, interior finishes, interior office doors, suite entrance, floor coverings, window coverings, lighting, electrical and telephone outlets, plumbing connections, heavy floor loads and other special requirements (“</w:t>
      </w:r>
      <w:r>
        <w:rPr>
          <w:rFonts w:ascii="Arial" w:cs="Arial" w:eastAsia="Arial" w:hAnsi="Arial"/>
          <w:sz w:val="16"/>
          <w:szCs w:val="16"/>
          <w:b w:val="1"/>
          <w:bCs w:val="1"/>
          <w:i w:val="1"/>
          <w:iCs w:val="1"/>
          <w:color w:val="auto"/>
        </w:rPr>
        <w:t>Preliminary Plan</w:t>
      </w:r>
      <w:r>
        <w:rPr>
          <w:rFonts w:ascii="Arial" w:cs="Arial" w:eastAsia="Arial" w:hAnsi="Arial"/>
          <w:sz w:val="16"/>
          <w:szCs w:val="16"/>
          <w:color w:val="auto"/>
        </w:rPr>
        <w:t>”). Upon completion of the Preliminary Plan, Landlord and Tenant shall approve an estimate of the cost to complete the Tenant Improvements in accordance with the Preliminary Plan (“</w:t>
      </w:r>
      <w:r>
        <w:rPr>
          <w:rFonts w:ascii="Arial" w:cs="Arial" w:eastAsia="Arial" w:hAnsi="Arial"/>
          <w:sz w:val="16"/>
          <w:szCs w:val="16"/>
          <w:b w:val="1"/>
          <w:bCs w:val="1"/>
          <w:i w:val="1"/>
          <w:iCs w:val="1"/>
          <w:color w:val="auto"/>
        </w:rPr>
        <w:t>Preliminary Cost Estimate</w:t>
      </w:r>
      <w:r>
        <w:rPr>
          <w:rFonts w:ascii="Arial" w:cs="Arial" w:eastAsia="Arial" w:hAnsi="Arial"/>
          <w:sz w:val="16"/>
          <w:szCs w:val="16"/>
          <w:color w:val="auto"/>
        </w:rPr>
        <w:t xml:space="preserve">”), which Preliminary Cost Estimate will be based upon estimated costs provided by Landlord’s contractor. To the extent applicable, the Preliminary Plan shall include Landlord’s building standard tenant improvements, materials and specifications for the Project as set forth in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attached hereto (“</w:t>
      </w:r>
      <w:r>
        <w:rPr>
          <w:rFonts w:ascii="Arial" w:cs="Arial" w:eastAsia="Arial" w:hAnsi="Arial"/>
          <w:sz w:val="16"/>
          <w:szCs w:val="16"/>
          <w:b w:val="1"/>
          <w:bCs w:val="1"/>
          <w:i w:val="1"/>
          <w:iCs w:val="1"/>
          <w:color w:val="auto"/>
        </w:rPr>
        <w:t>Standard Improvements</w:t>
      </w:r>
      <w:r>
        <w:rPr>
          <w:rFonts w:ascii="Arial" w:cs="Arial" w:eastAsia="Arial" w:hAnsi="Arial"/>
          <w:sz w:val="16"/>
          <w:szCs w:val="16"/>
          <w:color w:val="auto"/>
        </w:rPr>
        <w:t>”), except for changes and additions specifically requested by Tenant and approved by Landlord in writing (any such addition or variation from the Standard Improvements shall be referred to herein as a “</w:t>
      </w:r>
      <w:r>
        <w:rPr>
          <w:rFonts w:ascii="Arial" w:cs="Arial" w:eastAsia="Arial" w:hAnsi="Arial"/>
          <w:sz w:val="16"/>
          <w:szCs w:val="16"/>
          <w:b w:val="1"/>
          <w:bCs w:val="1"/>
          <w:i w:val="1"/>
          <w:iCs w:val="1"/>
          <w:color w:val="auto"/>
        </w:rPr>
        <w:t>Non-Standard Improvement</w:t>
      </w:r>
      <w:r>
        <w:rPr>
          <w:rFonts w:ascii="Arial" w:cs="Arial" w:eastAsia="Arial" w:hAnsi="Arial"/>
          <w:sz w:val="16"/>
          <w:szCs w:val="16"/>
          <w:color w:val="auto"/>
        </w:rPr>
        <w:t>”). In all events, Tenant shall approve in all respects a Preliminary Plan and a Preliminary Cost Estimate for the 43 Discovery Premises not later than May 31, 2018 (“</w:t>
      </w:r>
      <w:r>
        <w:rPr>
          <w:rFonts w:ascii="Arial" w:cs="Arial" w:eastAsia="Arial" w:hAnsi="Arial"/>
          <w:sz w:val="16"/>
          <w:szCs w:val="16"/>
          <w:b w:val="1"/>
          <w:bCs w:val="1"/>
          <w:i w:val="1"/>
          <w:iCs w:val="1"/>
          <w:color w:val="auto"/>
        </w:rPr>
        <w:t>Plan Approval Date</w:t>
      </w:r>
      <w:r>
        <w:rPr>
          <w:rFonts w:ascii="Arial" w:cs="Arial" w:eastAsia="Arial" w:hAnsi="Arial"/>
          <w:sz w:val="16"/>
          <w:szCs w:val="16"/>
          <w:color w:val="auto"/>
        </w:rPr>
        <w:t>”), it being understood that Tenant’s failure to do so shall constitute a “</w:t>
      </w:r>
      <w:r>
        <w:rPr>
          <w:rFonts w:ascii="Arial" w:cs="Arial" w:eastAsia="Arial" w:hAnsi="Arial"/>
          <w:sz w:val="16"/>
          <w:szCs w:val="16"/>
          <w:b w:val="1"/>
          <w:bCs w:val="1"/>
          <w:i w:val="1"/>
          <w:iCs w:val="1"/>
          <w:color w:val="auto"/>
        </w:rPr>
        <w:t>Tenant Delay</w:t>
      </w:r>
      <w:r>
        <w:rPr>
          <w:rFonts w:ascii="Arial" w:cs="Arial" w:eastAsia="Arial" w:hAnsi="Arial"/>
          <w:sz w:val="16"/>
          <w:szCs w:val="16"/>
          <w:color w:val="auto"/>
        </w:rPr>
        <w:t>” (as defined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5" w:name="page416"/>
    <w:bookmarkEnd w:id="415"/>
    <w:p>
      <w:pPr>
        <w:jc w:val="both"/>
        <w:ind w:left="1300" w:hanging="644"/>
        <w:spacing w:after="0" w:line="268" w:lineRule="auto"/>
        <w:tabs>
          <w:tab w:leader="none" w:pos="130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Not later than July 31, 2018 (the “</w:t>
      </w:r>
      <w:r>
        <w:rPr>
          <w:rFonts w:ascii="Arial" w:cs="Arial" w:eastAsia="Arial" w:hAnsi="Arial"/>
          <w:sz w:val="17"/>
          <w:szCs w:val="17"/>
          <w:b w:val="1"/>
          <w:bCs w:val="1"/>
          <w:i w:val="1"/>
          <w:iCs w:val="1"/>
          <w:color w:val="auto"/>
        </w:rPr>
        <w:t>Working Drawings Delivery Date</w:t>
      </w:r>
      <w:r>
        <w:rPr>
          <w:rFonts w:ascii="Arial" w:cs="Arial" w:eastAsia="Arial" w:hAnsi="Arial"/>
          <w:sz w:val="17"/>
          <w:szCs w:val="17"/>
          <w:color w:val="auto"/>
        </w:rPr>
        <w:t>”), Tenant shall (i) cause its architect to prepare final construction drawings and specifications for the Tenant Improvements (“</w:t>
      </w:r>
      <w:r>
        <w:rPr>
          <w:rFonts w:ascii="Arial" w:cs="Arial" w:eastAsia="Arial" w:hAnsi="Arial"/>
          <w:sz w:val="17"/>
          <w:szCs w:val="17"/>
          <w:b w:val="1"/>
          <w:bCs w:val="1"/>
          <w:i w:val="1"/>
          <w:iCs w:val="1"/>
          <w:color w:val="auto"/>
        </w:rPr>
        <w:t>Working Drawings and Specifications</w:t>
      </w:r>
      <w:r>
        <w:rPr>
          <w:rFonts w:ascii="Arial" w:cs="Arial" w:eastAsia="Arial" w:hAnsi="Arial"/>
          <w:sz w:val="17"/>
          <w:szCs w:val="17"/>
          <w:color w:val="auto"/>
        </w:rPr>
        <w:t>”) and (ii) approve in writing the Working Drawings and Specifications and deliver same to Landlord for review and approval. It is understood that Tenant’s architect shall utilize Landlord’s mechanical, electrical, and plumbing engineer (i.e., TK1SC), and fire/life safety and fire sprinkler engineers for the Project. Tenant shall cause Landlord to be provided with CAD files of the final as-built construction drawings that are compatible with Landlord’s CAD/Revit standards, which standards shall be provided to Tenant or its architect upon request; should Tenant fail to deliver same by the substantial completion of the Tenant Improvement work, then Landlord may cause such CAD files to be prepared by its architect, the cost of which shall be funded by Tenant to Landlord within 10 days after invoice therefor. The cost incurred by Tenant in preparing the Preliminary Plan and the Working Drawings and Specifications (but only to the extent the amount thereof is furnished to Landlord prior to the receipt of the contractors’ bids as described in Section I.C. below), together with the reasonable cost not to exceed $7,500.00 of Landlord’s architect to review same and the accompanying CAD files, shall be funded by Landlord from the “Landlord’s Contribution” set forth below upon delivery of invoices and payment authorization by Tenant. Tenant’s failure to deliver to Landlord the Tenant-approved Working Drawings and Specifications for the 43 Discovery Premises by the Working Drawings Delivery Date shall constitute a Tenant Delay for purposes hereof.</w:t>
      </w:r>
    </w:p>
    <w:p>
      <w:pPr>
        <w:spacing w:after="0" w:line="211"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Upon approval of the Working Drawings and Specifications, Landlord shall submit the Working Drawings and Specifications for the Tenant Improvement Work to a competitive bidding process involving at least 3 licensed and reputable general contractors. If requested by Tenant, Landlord shall provide copies of the bid responses to Tenant. After adjustments for any inconsistent assumptions to reflect an “apples to apples” comparison, Landlord shall select the lowest qualified bidder for construction of the Tenant Improvements. In the event Landlord selects other than the lowest bidder, it shall do so based on commercially reasonable factors which it shall demonstrate to Tenant. Upon selection of the bidder, Landlord shall enter into a construction contract with the contractor so selected in the bid amount for construction of the Tenant Improvements (which bid amount shall serve as the “</w:t>
      </w:r>
      <w:r>
        <w:rPr>
          <w:rFonts w:ascii="Arial" w:cs="Arial" w:eastAsia="Arial" w:hAnsi="Arial"/>
          <w:sz w:val="16"/>
          <w:szCs w:val="16"/>
          <w:b w:val="1"/>
          <w:bCs w:val="1"/>
          <w:i w:val="1"/>
          <w:iCs w:val="1"/>
          <w:color w:val="auto"/>
        </w:rPr>
        <w:t>Final Cost Estimate</w:t>
      </w:r>
      <w:r>
        <w:rPr>
          <w:rFonts w:ascii="Arial" w:cs="Arial" w:eastAsia="Arial" w:hAnsi="Arial"/>
          <w:sz w:val="16"/>
          <w:szCs w:val="16"/>
          <w:color w:val="auto"/>
        </w:rPr>
        <w:t>”).”</w:t>
      </w:r>
    </w:p>
    <w:p>
      <w:pPr>
        <w:spacing w:after="0" w:line="18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addition, Section I.F of the Work Letter attached to the Third Amendment is hereby deleted in its entirety and the following substituted therefor: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“F.</w:t>
            </w:r>
          </w:p>
        </w:tc>
        <w:tc>
          <w:tcPr>
            <w:tcW w:w="10160" w:type="dxa"/>
            <w:vAlign w:val="bottom"/>
          </w:tcPr>
          <w:p>
            <w:pPr>
              <w:ind w:left="220"/>
              <w:spacing w:after="0"/>
              <w:rPr>
                <w:sz w:val="20"/>
                <w:szCs w:val="20"/>
                <w:color w:val="auto"/>
              </w:rPr>
            </w:pPr>
            <w:r>
              <w:rPr>
                <w:rFonts w:ascii="Arial" w:cs="Arial" w:eastAsia="Arial" w:hAnsi="Arial"/>
                <w:sz w:val="18"/>
                <w:szCs w:val="18"/>
                <w:color w:val="auto"/>
                <w:w w:val="94"/>
              </w:rPr>
              <w:t>Notwithstanding any provision in the Lease to the contrary, and not by way of limitation of any other rights or remedies of Landlord, if</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Tenant fails to comply with any of the time periods specified in this Work Letter, fails otherwise to approve or reasonably disapprove any</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2"/>
              </w:rPr>
              <w:t>submittal within the time period specified herein for such response (or if no time period is so specified, within 5 business days following</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Tenant’s receipt thereof), fails to approve in writing both the Preliminary Plan and Preliminary Cost Estimate for the Tenant</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2"/>
              </w:rPr>
              <w:t>Improvements for the 43 Discovery Premises by the Plan Approval Date, fails to deliver to Landlord for Landlord’s approval the Working</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7"/>
              </w:rPr>
              <w:t>Drawings and Specifications by the Working Drawings Delivery Date, fails to timely deliver the Tenant’s Contribution as required</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5"/>
              </w:rPr>
              <w:t>hereunder, requests any Changes, furnishes inaccurate or erroneous specifications or other information, or otherwise delays in any</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2"/>
              </w:rPr>
              <w:t>manner the completion of the Tenant Improvements (including without limitation by specifying materials that are not readily available) or</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0"/>
              </w:rPr>
              <w:t>the issuance of an occupancy certificate (any of the foregoing being referred to in this Lease as a “</w:t>
            </w:r>
            <w:r>
              <w:rPr>
                <w:rFonts w:ascii="Arial" w:cs="Arial" w:eastAsia="Arial" w:hAnsi="Arial"/>
                <w:sz w:val="18"/>
                <w:szCs w:val="18"/>
                <w:b w:val="1"/>
                <w:bCs w:val="1"/>
                <w:i w:val="1"/>
                <w:iCs w:val="1"/>
                <w:color w:val="auto"/>
                <w:w w:val="90"/>
              </w:rPr>
              <w:t>Tenant Delay</w:t>
            </w:r>
            <w:r>
              <w:rPr>
                <w:rFonts w:ascii="Arial" w:cs="Arial" w:eastAsia="Arial" w:hAnsi="Arial"/>
                <w:sz w:val="18"/>
                <w:szCs w:val="18"/>
                <w:color w:val="auto"/>
                <w:w w:val="90"/>
              </w:rPr>
              <w:t>”), then Tenant shall bear</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2"/>
              </w:rPr>
              <w:t>any resulting additional construction cost or other expenses, and, to the extent the delay relates to the Tenant Improvements for the 43</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5"/>
              </w:rPr>
              <w:t>Discovery Premises, the Commencement Date for the 43 Discovery Premises ,shall be deemed to have occurred for all purposes,</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including without limitation Tenant’s obligation to pay rent for the 43 Discovery Premises, as of the date Landlord reasonably determines</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6"/>
              </w:rPr>
              <w:t>that it would have been able to deliver the 43 Discovery Premises to Tenant but for the collective Tenant Delays. Should Landlord</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determine that the Commencement Date for the 43 Discovery Premises should be advanced in accordance with the foregoing, it shall so</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3"/>
              </w:rPr>
              <w:t>notify Tenant in writing. Landlord’s determination shall be conclusive unless Tenant notifies Landlord in writing, within 5 business days</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thereafter of Tenant’s election to contest same pursuant to Section 14.7 of the Lease. Pending the outcome of such proceedings, Tenant</w:t>
            </w:r>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w w:val="91"/>
              </w:rPr>
              <w:t>shall make timely payment of all rent due under this Lease based upon the Commencement Date for the 43 Discovery Premises set forth</w:t>
            </w:r>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in the aforesaid notice from Landlord.”</w:t>
            </w:r>
          </w:p>
        </w:tc>
      </w:tr>
      <w:tr>
        <w:trPr>
          <w:trHeight w:val="582"/>
        </w:trPr>
        <w:tc>
          <w:tcPr>
            <w:tcW w:w="1080" w:type="dxa"/>
            <w:vAlign w:val="bottom"/>
          </w:tcPr>
          <w:p>
            <w:pPr>
              <w:spacing w:after="0"/>
              <w:rPr>
                <w:sz w:val="24"/>
                <w:szCs w:val="24"/>
                <w:color w:val="auto"/>
              </w:rPr>
            </w:pPr>
          </w:p>
        </w:tc>
        <w:tc>
          <w:tcPr>
            <w:tcW w:w="10160" w:type="dxa"/>
            <w:vAlign w:val="bottom"/>
          </w:tcPr>
          <w:p>
            <w:pPr>
              <w:ind w:left="4500"/>
              <w:spacing w:after="0"/>
              <w:rPr>
                <w:sz w:val="20"/>
                <w:szCs w:val="20"/>
                <w:color w:val="auto"/>
              </w:rPr>
            </w:pPr>
            <w:r>
              <w:rPr>
                <w:rFonts w:ascii="Arial" w:cs="Arial" w:eastAsia="Arial" w:hAnsi="Arial"/>
                <w:sz w:val="14"/>
                <w:szCs w:val="14"/>
                <w:color w:val="auto"/>
              </w:rPr>
              <w:t>2</w:t>
            </w:r>
          </w:p>
        </w:tc>
      </w:tr>
      <w:tr>
        <w:trPr>
          <w:trHeight w:val="46"/>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416" w:name="page417"/>
    <w:bookmarkEnd w:id="416"/>
    <w:p>
      <w:pPr>
        <w:ind w:firstLine="648"/>
        <w:spacing w:after="0" w:line="251" w:lineRule="auto"/>
        <w:rPr>
          <w:sz w:val="20"/>
          <w:szCs w:val="20"/>
          <w:color w:val="auto"/>
        </w:rPr>
      </w:pPr>
      <w:r>
        <w:rPr>
          <w:rFonts w:ascii="Arial" w:cs="Arial" w:eastAsia="Arial" w:hAnsi="Arial"/>
          <w:sz w:val="22"/>
          <w:szCs w:val="22"/>
          <w:color w:val="auto"/>
        </w:rPr>
        <w:t>Further in addition, the last sentence of Section II.D of the Work Letter attached to the Third Amendment is hereby deleted in its entirety and the following substituted therefor:</w:t>
      </w:r>
    </w:p>
    <w:p>
      <w:pPr>
        <w:spacing w:after="0" w:line="200"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“Unless expressly authorized in writing by Landlord, and except for (i) a fee to be paid to Tenant’s construction manager not to exceed 2% of the Completion Cost, and (ii) the fees to be paid to Tenant’s architect, the Completion Cost shall not include (and no portion of the Landlord’s Contribution shall be paid for) any costs incurred by Tenant, including without limitation, any costs for managers, advisors or consultants retained by Tenant in connection with the Tenant Improvements.”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w:t>
      </w:r>
    </w:p>
    <w:p>
      <w:pPr>
        <w:spacing w:after="0" w:line="243" w:lineRule="exact"/>
        <w:rPr>
          <w:sz w:val="20"/>
          <w:szCs w:val="20"/>
          <w:color w:val="auto"/>
        </w:rPr>
      </w:pPr>
    </w:p>
    <w:p>
      <w:pPr>
        <w:ind w:firstLine="656"/>
        <w:spacing w:after="0" w:line="256" w:lineRule="auto"/>
        <w:tabs>
          <w:tab w:leader="none" w:pos="1371" w:val="left"/>
        </w:tabs>
        <w:numPr>
          <w:ilvl w:val="1"/>
          <w:numId w:val="393"/>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Amendment</w:t>
      </w:r>
      <w:r>
        <w:rPr>
          <w:rFonts w:ascii="Arial" w:cs="Arial" w:eastAsia="Arial" w:hAnsi="Arial"/>
          <w:sz w:val="22"/>
          <w:szCs w:val="22"/>
          <w:color w:val="auto"/>
        </w:rPr>
        <w:t>. The Lease shall remain in full force and effect and unmodified except to the extent that it</w:t>
      </w:r>
      <w:r>
        <w:rPr>
          <w:rFonts w:ascii="Arial" w:cs="Arial" w:eastAsia="Arial" w:hAnsi="Arial"/>
          <w:sz w:val="22"/>
          <w:szCs w:val="22"/>
          <w:b w:val="1"/>
          <w:bCs w:val="1"/>
          <w:color w:val="auto"/>
        </w:rPr>
        <w:t xml:space="preserve"> </w:t>
      </w:r>
      <w:r>
        <w:rPr>
          <w:rFonts w:ascii="Arial" w:cs="Arial" w:eastAsia="Arial" w:hAnsi="Arial"/>
          <w:sz w:val="22"/>
          <w:szCs w:val="22"/>
          <w:color w:val="auto"/>
        </w:rPr>
        <w:t>is modified by this Amendment.</w:t>
      </w:r>
    </w:p>
    <w:p>
      <w:pPr>
        <w:spacing w:after="0" w:line="189" w:lineRule="exact"/>
        <w:rPr>
          <w:rFonts w:ascii="Arial" w:cs="Arial" w:eastAsia="Arial" w:hAnsi="Arial"/>
          <w:sz w:val="22"/>
          <w:szCs w:val="22"/>
          <w:b w:val="1"/>
          <w:bCs w:val="1"/>
          <w:color w:val="auto"/>
        </w:rPr>
      </w:pPr>
    </w:p>
    <w:p>
      <w:pPr>
        <w:jc w:val="both"/>
        <w:ind w:firstLine="656"/>
        <w:spacing w:after="0" w:line="243" w:lineRule="auto"/>
        <w:tabs>
          <w:tab w:leader="none" w:pos="1602" w:val="left"/>
        </w:tabs>
        <w:numPr>
          <w:ilvl w:val="1"/>
          <w:numId w:val="393"/>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Amendment embodies the entire understanding between Landlord and Tenant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modifications set forth in “</w:t>
      </w:r>
      <w:r>
        <w:rPr>
          <w:rFonts w:ascii="Arial" w:cs="Arial" w:eastAsia="Arial" w:hAnsi="Arial"/>
          <w:sz w:val="22"/>
          <w:szCs w:val="22"/>
          <w:b w:val="1"/>
          <w:bCs w:val="1"/>
          <w:color w:val="auto"/>
        </w:rPr>
        <w:t>Ill. MODIFICATIONS</w:t>
      </w:r>
      <w:r>
        <w:rPr>
          <w:rFonts w:ascii="Arial" w:cs="Arial" w:eastAsia="Arial" w:hAnsi="Arial"/>
          <w:sz w:val="22"/>
          <w:szCs w:val="22"/>
          <w:color w:val="auto"/>
        </w:rPr>
        <w:t>” above and can be changed only by a writing signed by Landlord and Tenant.</w:t>
      </w:r>
    </w:p>
    <w:p>
      <w:pPr>
        <w:spacing w:after="0" w:line="203" w:lineRule="exact"/>
        <w:rPr>
          <w:rFonts w:ascii="Arial" w:cs="Arial" w:eastAsia="Arial" w:hAnsi="Arial"/>
          <w:sz w:val="22"/>
          <w:szCs w:val="22"/>
          <w:b w:val="1"/>
          <w:bCs w:val="1"/>
          <w:color w:val="auto"/>
        </w:rPr>
      </w:pPr>
    </w:p>
    <w:p>
      <w:pPr>
        <w:ind w:firstLine="656"/>
        <w:spacing w:after="0" w:line="334" w:lineRule="auto"/>
        <w:tabs>
          <w:tab w:leader="none" w:pos="1492" w:val="left"/>
        </w:tabs>
        <w:numPr>
          <w:ilvl w:val="1"/>
          <w:numId w:val="393"/>
        </w:numPr>
        <w:rPr>
          <w:rFonts w:ascii="Arial" w:cs="Arial" w:eastAsia="Arial" w:hAnsi="Arial"/>
          <w:sz w:val="19"/>
          <w:szCs w:val="19"/>
          <w:b w:val="1"/>
          <w:bCs w:val="1"/>
          <w:color w:val="auto"/>
        </w:rPr>
      </w:pPr>
      <w:r>
        <w:rPr>
          <w:rFonts w:ascii="Arial" w:cs="Arial" w:eastAsia="Arial" w:hAnsi="Arial"/>
          <w:sz w:val="19"/>
          <w:szCs w:val="19"/>
          <w:b w:val="1"/>
          <w:bCs w:val="1"/>
          <w:color w:val="auto"/>
        </w:rPr>
        <w:t>Defined Terms</w:t>
      </w:r>
      <w:r>
        <w:rPr>
          <w:rFonts w:ascii="Arial" w:cs="Arial" w:eastAsia="Arial" w:hAnsi="Arial"/>
          <w:sz w:val="19"/>
          <w:szCs w:val="19"/>
          <w:color w:val="auto"/>
        </w:rPr>
        <w:t>. All words commencing with initial capital letters in this Amendment and defined in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same meaning in this Amendment as in the Lease, unless they are otherwise defined in this Amendment.</w:t>
      </w:r>
    </w:p>
    <w:p>
      <w:pPr>
        <w:spacing w:after="0" w:line="120" w:lineRule="exact"/>
        <w:rPr>
          <w:rFonts w:ascii="Arial" w:cs="Arial" w:eastAsia="Arial" w:hAnsi="Arial"/>
          <w:sz w:val="19"/>
          <w:szCs w:val="19"/>
          <w:b w:val="1"/>
          <w:bCs w:val="1"/>
          <w:color w:val="auto"/>
        </w:rPr>
      </w:pPr>
    </w:p>
    <w:p>
      <w:pPr>
        <w:jc w:val="both"/>
        <w:ind w:firstLine="656"/>
        <w:spacing w:after="0" w:line="239" w:lineRule="auto"/>
        <w:tabs>
          <w:tab w:leader="none" w:pos="1479" w:val="left"/>
        </w:tabs>
        <w:numPr>
          <w:ilvl w:val="1"/>
          <w:numId w:val="393"/>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and Partnership Authority</w:t>
      </w:r>
      <w:r>
        <w:rPr>
          <w:rFonts w:ascii="Arial" w:cs="Arial" w:eastAsia="Arial" w:hAnsi="Arial"/>
          <w:sz w:val="22"/>
          <w:szCs w:val="22"/>
          <w:color w:val="auto"/>
        </w:rPr>
        <w:t>. If Tenant is a corporation or partnership, or is comprised of either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them, each individual executing this Amendment for the corporation or partnership represents that he or she is duly authorized to execute and deliver this Amendment on behalf of the corporation or partnership and that this Amendment is binding upon the corporation or partnership in accordance with its terms.</w:t>
      </w:r>
    </w:p>
    <w:p>
      <w:pPr>
        <w:spacing w:after="0" w:line="207" w:lineRule="exact"/>
        <w:rPr>
          <w:rFonts w:ascii="Arial" w:cs="Arial" w:eastAsia="Arial" w:hAnsi="Arial"/>
          <w:sz w:val="22"/>
          <w:szCs w:val="22"/>
          <w:b w:val="1"/>
          <w:bCs w:val="1"/>
          <w:color w:val="auto"/>
        </w:rPr>
      </w:pPr>
    </w:p>
    <w:p>
      <w:pPr>
        <w:jc w:val="both"/>
        <w:ind w:firstLine="656"/>
        <w:spacing w:after="0" w:line="283" w:lineRule="auto"/>
        <w:tabs>
          <w:tab w:leader="none" w:pos="1413" w:val="left"/>
        </w:tabs>
        <w:numPr>
          <w:ilvl w:val="1"/>
          <w:numId w:val="393"/>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 Digital Signatures</w:t>
      </w:r>
      <w:r>
        <w:rPr>
          <w:rFonts w:ascii="Arial" w:cs="Arial" w:eastAsia="Arial" w:hAnsi="Arial"/>
          <w:sz w:val="19"/>
          <w:szCs w:val="19"/>
          <w:color w:val="auto"/>
        </w:rPr>
        <w:t>. If this Amendment is executed in counterparts, each is hereby declared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an original; all, however, shall constitute but one and the same amendment. In any action or proceeding, any photographic, photostatic, or other copy of this Amendment may be introduced into evidence without foundation. The parties agree to accept a digital image (including but not limited to an image in the form of a PDF, JPEG, GIF file, or other e-signature) of this Amendment, if applicable, reflecting the execution of one or both of the parties, as a true and correct original.</w:t>
      </w:r>
    </w:p>
    <w:p>
      <w:pPr>
        <w:spacing w:after="0" w:line="169" w:lineRule="exact"/>
        <w:rPr>
          <w:rFonts w:ascii="Arial" w:cs="Arial" w:eastAsia="Arial" w:hAnsi="Arial"/>
          <w:sz w:val="19"/>
          <w:szCs w:val="19"/>
          <w:b w:val="1"/>
          <w:bCs w:val="1"/>
          <w:color w:val="auto"/>
        </w:rPr>
      </w:pPr>
    </w:p>
    <w:p>
      <w:pPr>
        <w:jc w:val="both"/>
        <w:ind w:firstLine="656"/>
        <w:spacing w:after="0" w:line="280" w:lineRule="auto"/>
        <w:tabs>
          <w:tab w:leader="none" w:pos="1449" w:val="left"/>
        </w:tabs>
        <w:numPr>
          <w:ilvl w:val="1"/>
          <w:numId w:val="393"/>
        </w:numPr>
        <w:rPr>
          <w:rFonts w:ascii="Arial" w:cs="Arial" w:eastAsia="Arial" w:hAnsi="Arial"/>
          <w:sz w:val="19"/>
          <w:szCs w:val="19"/>
          <w:b w:val="1"/>
          <w:bCs w:val="1"/>
          <w:color w:val="auto"/>
        </w:rPr>
      </w:pPr>
      <w:r>
        <w:rPr>
          <w:rFonts w:ascii="Arial" w:cs="Arial" w:eastAsia="Arial" w:hAnsi="Arial"/>
          <w:sz w:val="19"/>
          <w:szCs w:val="19"/>
          <w:b w:val="1"/>
          <w:bCs w:val="1"/>
          <w:color w:val="auto"/>
        </w:rPr>
        <w:t>California Certified Access Specialist Inspection</w:t>
      </w:r>
      <w:r>
        <w:rPr>
          <w:rFonts w:ascii="Arial" w:cs="Arial" w:eastAsia="Arial" w:hAnsi="Arial"/>
          <w:sz w:val="19"/>
          <w:szCs w:val="19"/>
          <w:color w:val="auto"/>
        </w:rPr>
        <w:t>. Pursuant to California Civil Code § 1938, Landlord hereby</w:t>
      </w:r>
      <w:r>
        <w:rPr>
          <w:rFonts w:ascii="Arial" w:cs="Arial" w:eastAsia="Arial" w:hAnsi="Arial"/>
          <w:sz w:val="19"/>
          <w:szCs w:val="19"/>
          <w:b w:val="1"/>
          <w:bCs w:val="1"/>
          <w:color w:val="auto"/>
        </w:rPr>
        <w:t xml:space="preserve"> </w:t>
      </w:r>
      <w:r>
        <w:rPr>
          <w:rFonts w:ascii="Arial" w:cs="Arial" w:eastAsia="Arial" w:hAnsi="Arial"/>
          <w:sz w:val="19"/>
          <w:szCs w:val="19"/>
          <w:color w:val="auto"/>
        </w:rPr>
        <w:t>states that the Premises have not undergone inspection by a Certified Access Specialist (CASp) (defined in California Civil Code</w:t>
      </w:r>
    </w:p>
    <w:p>
      <w:pPr>
        <w:jc w:val="both"/>
        <w:ind w:firstLine="8"/>
        <w:spacing w:after="0" w:line="270" w:lineRule="auto"/>
        <w:tabs>
          <w:tab w:leader="none" w:pos="189" w:val="left"/>
        </w:tabs>
        <w:numPr>
          <w:ilvl w:val="0"/>
          <w:numId w:val="393"/>
        </w:numPr>
        <w:rPr>
          <w:rFonts w:ascii="Arial" w:cs="Arial" w:eastAsia="Arial" w:hAnsi="Arial"/>
          <w:sz w:val="19"/>
          <w:szCs w:val="19"/>
          <w:color w:val="auto"/>
        </w:rPr>
      </w:pPr>
      <w:r>
        <w:rPr>
          <w:rFonts w:ascii="Arial" w:cs="Arial" w:eastAsia="Arial" w:hAnsi="Arial"/>
          <w:sz w:val="19"/>
          <w:szCs w:val="19"/>
          <w:color w:val="auto"/>
        </w:rPr>
        <w:t>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If Tenant requests to perform a CASp inspection of the Premises, Tenant shall, at its cost, retain a CASp approved by Landlord (provided that Landlord may designate the CASp, at Landlord’s option) to perform the inspection of the Premises at a time agreed upon by the parties. Tenant shall provide Landlord with a copy of any report or certificate issued by the CASp (the “</w:t>
      </w:r>
      <w:r>
        <w:rPr>
          <w:rFonts w:ascii="Arial" w:cs="Arial" w:eastAsia="Arial" w:hAnsi="Arial"/>
          <w:sz w:val="19"/>
          <w:szCs w:val="19"/>
          <w:b w:val="1"/>
          <w:bCs w:val="1"/>
          <w:i w:val="1"/>
          <w:iCs w:val="1"/>
          <w:color w:val="auto"/>
        </w:rPr>
        <w:t>CASp Report</w:t>
      </w:r>
      <w:r>
        <w:rPr>
          <w:rFonts w:ascii="Arial" w:cs="Arial" w:eastAsia="Arial" w:hAnsi="Arial"/>
          <w:sz w:val="19"/>
          <w:szCs w:val="19"/>
          <w:color w:val="auto"/>
        </w:rPr>
        <w:t>”) and Tenant shall, at its cost, promptly complete any modifications necessary to correct violations of construction related accessibility standards identified in the CASp Report, notwithstanding anything to the contrary in this Lease. Tenant agrees to keep the information in the CASp Report confidential except as necessary for the Tenant to complete such modifications.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7" w:name="page418"/>
    <w:bookmarkEnd w:id="417"/>
    <w:p>
      <w:pPr>
        <w:ind w:left="660" w:hanging="652"/>
        <w:spacing w:after="0"/>
        <w:tabs>
          <w:tab w:leader="none" w:pos="66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Landlord and Tenant executed this Amendment on the date as set forth in “</w:t>
      </w:r>
      <w:r>
        <w:rPr>
          <w:rFonts w:ascii="Arial" w:cs="Arial" w:eastAsia="Arial" w:hAnsi="Arial"/>
          <w:sz w:val="19"/>
          <w:szCs w:val="19"/>
          <w:b w:val="1"/>
          <w:bCs w:val="1"/>
          <w:color w:val="auto"/>
        </w:rPr>
        <w:t>I. PARTIES AND DATE.</w:t>
      </w:r>
      <w:r>
        <w:rPr>
          <w:rFonts w:ascii="Arial" w:cs="Arial" w:eastAsia="Arial" w:hAnsi="Arial"/>
          <w:sz w:val="19"/>
          <w:szCs w:val="19"/>
          <w:color w:val="auto"/>
        </w:rPr>
        <w:t>” above.</w:t>
      </w:r>
    </w:p>
    <w:p>
      <w:pPr>
        <w:sectPr>
          <w:pgSz w:w="11900" w:h="16838" w:orient="portrait"/>
          <w:cols w:equalWidth="0" w:num="1">
            <w:col w:w="10840"/>
          </w:cols>
          <w:pgMar w:left="320" w:top="121" w:right="7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DISCOVERY BUSINESS CENTER LLC</w:t>
      </w:r>
      <w:r>
        <w:rPr>
          <w:rFonts w:ascii="Arial" w:cs="Arial" w:eastAsia="Arial" w:hAnsi="Arial"/>
          <w:sz w:val="18"/>
          <w:szCs w:val="18"/>
          <w:color w:val="auto"/>
        </w:rPr>
        <w:t>,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Steven M.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121729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Steven M. Case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EVP Office Properties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Holly McManus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Holly McManus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121729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VP, Operations Office Properties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GHOST MANAGEMENT GROUP, LLC</w:t>
      </w:r>
      <w:r>
        <w:rPr>
          <w:rFonts w:ascii="Arial" w:cs="Arial" w:eastAsia="Arial" w:hAnsi="Arial"/>
          <w:sz w:val="18"/>
          <w:szCs w:val="18"/>
          <w:color w:val="auto"/>
        </w:rPr>
        <w:t>,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23495</wp:posOffset>
            </wp:positionV>
            <wp:extent cx="120840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Chris Beals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38"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Doug Francis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Doug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-130175</wp:posOffset>
            </wp:positionV>
            <wp:extent cx="127698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ectPr>
          <w:pgSz w:w="11900" w:h="16838" w:orient="portrait"/>
          <w:cols w:equalWidth="0" w:num="2">
            <w:col w:w="5480" w:space="720"/>
            <w:col w:w="4640"/>
          </w:cols>
          <w:pgMar w:left="320" w:top="121" w:right="739" w:bottom="1440" w:gutter="0" w:footer="0" w:header="0"/>
          <w:type w:val="continuous"/>
        </w:sectPr>
      </w:pPr>
    </w:p>
    <w:p>
      <w:pPr>
        <w:spacing w:after="0" w:line="276"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418" w:name="page419"/>
    <w:bookmarkEnd w:id="41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10.17</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CONFIDENTIAL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STRATEGIC ADVISOR AGREEMENT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STRATEGIC ADVISOR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between Ghost Management Group, LLC, a Delaware limited liability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on the one hand, and Steven Jung, an individual (“</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on the other hand. Each of Company and Employee may be referred to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6"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Employee is an at-will employee of the Company;</w:t>
      </w:r>
    </w:p>
    <w:p>
      <w:pPr>
        <w:spacing w:after="0" w:line="252" w:lineRule="exact"/>
        <w:rPr>
          <w:rFonts w:ascii="Arial" w:cs="Arial" w:eastAsia="Arial" w:hAnsi="Arial"/>
          <w:sz w:val="18"/>
          <w:szCs w:val="18"/>
          <w:b w:val="1"/>
          <w:bCs w:val="1"/>
          <w:color w:val="auto"/>
        </w:rPr>
      </w:pPr>
    </w:p>
    <w:p>
      <w:pPr>
        <w:jc w:val="both"/>
        <w:ind w:left="1300" w:hanging="644"/>
        <w:spacing w:after="0" w:line="311" w:lineRule="auto"/>
        <w:tabs>
          <w:tab w:leader="none" w:pos="1300" w:val="left"/>
        </w:tabs>
        <w:numPr>
          <w:ilvl w:val="0"/>
          <w:numId w:val="395"/>
        </w:numPr>
        <w:rPr>
          <w:rFonts w:ascii="Arial" w:cs="Arial" w:eastAsia="Arial" w:hAnsi="Arial"/>
          <w:sz w:val="16"/>
          <w:szCs w:val="16"/>
          <w:b w:val="1"/>
          <w:bCs w:val="1"/>
          <w:color w:val="auto"/>
        </w:rPr>
      </w:pPr>
      <w:r>
        <w:rPr>
          <w:rFonts w:ascii="Arial" w:cs="Arial" w:eastAsia="Arial" w:hAnsi="Arial"/>
          <w:sz w:val="16"/>
          <w:szCs w:val="16"/>
          <w:color w:val="auto"/>
        </w:rPr>
        <w:t>As part of this Agreement, Employee and Company have agreed that June 30, 2021 will be Employee’s last day of active employment in his current role as President and Chief Operating Officer of the Company, WM Holding Company, LLC, and WM Technology, Inc. and he will remain in a paid employee advisory role from July 1, 2021 through July 6, 2022 (the “</w:t>
      </w:r>
      <w:r>
        <w:rPr>
          <w:rFonts w:ascii="Arial" w:cs="Arial" w:eastAsia="Arial" w:hAnsi="Arial"/>
          <w:sz w:val="16"/>
          <w:szCs w:val="16"/>
          <w:b w:val="1"/>
          <w:bCs w:val="1"/>
          <w:i w:val="1"/>
          <w:iCs w:val="1"/>
          <w:color w:val="auto"/>
        </w:rPr>
        <w:t>Advisory Services Period</w:t>
      </w:r>
      <w:r>
        <w:rPr>
          <w:rFonts w:ascii="Arial" w:cs="Arial" w:eastAsia="Arial" w:hAnsi="Arial"/>
          <w:sz w:val="16"/>
          <w:szCs w:val="16"/>
          <w:color w:val="auto"/>
        </w:rPr>
        <w:t>”).</w:t>
      </w:r>
    </w:p>
    <w:p>
      <w:pPr>
        <w:spacing w:after="0" w:line="175" w:lineRule="exact"/>
        <w:rPr>
          <w:rFonts w:ascii="Arial" w:cs="Arial" w:eastAsia="Arial" w:hAnsi="Arial"/>
          <w:sz w:val="16"/>
          <w:szCs w:val="16"/>
          <w:b w:val="1"/>
          <w:bCs w:val="1"/>
          <w:color w:val="auto"/>
        </w:rPr>
      </w:pPr>
    </w:p>
    <w:p>
      <w:pPr>
        <w:ind w:left="1300" w:hanging="644"/>
        <w:spacing w:after="0" w:line="277" w:lineRule="auto"/>
        <w:tabs>
          <w:tab w:leader="none" w:pos="1300"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The Company and Employee wish to effectuate a release of any and all claims that Employee holds against the Company and to resolve all controversies and disputes as hereinafter set forth.</w:t>
      </w:r>
    </w:p>
    <w:p>
      <w:pPr>
        <w:spacing w:after="0" w:line="19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NOW, THEREFORE, in consideration of the Recitals, covenants and representations contained in this Agreement, and for other good and valuable consideration, the receipt and sufficiency of which is acknowledged, the Parties agree as follows:</w:t>
      </w:r>
    </w:p>
    <w:p>
      <w:pPr>
        <w:spacing w:after="0" w:line="126" w:lineRule="exact"/>
        <w:rPr>
          <w:sz w:val="20"/>
          <w:szCs w:val="20"/>
          <w:color w:val="auto"/>
        </w:rPr>
      </w:pPr>
    </w:p>
    <w:p>
      <w:pPr>
        <w:ind w:left="1460" w:hanging="804"/>
        <w:spacing w:after="0"/>
        <w:tabs>
          <w:tab w:leader="none" w:pos="1460" w:val="left"/>
        </w:tabs>
        <w:numPr>
          <w:ilvl w:val="0"/>
          <w:numId w:val="396"/>
        </w:numPr>
        <w:rPr>
          <w:rFonts w:ascii="Arial" w:cs="Arial" w:eastAsia="Arial" w:hAnsi="Arial"/>
          <w:sz w:val="22"/>
          <w:szCs w:val="22"/>
          <w:color w:val="auto"/>
        </w:rPr>
      </w:pPr>
      <w:r>
        <w:rPr>
          <w:rFonts w:ascii="Arial" w:cs="Arial" w:eastAsia="Arial" w:hAnsi="Arial"/>
          <w:sz w:val="22"/>
          <w:szCs w:val="22"/>
          <w:b w:val="1"/>
          <w:bCs w:val="1"/>
          <w:color w:val="auto"/>
        </w:rPr>
        <w:t>Advisory Services Period &amp; Termination of Employment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firstLine="1304"/>
        <w:spacing w:after="0" w:line="269" w:lineRule="auto"/>
        <w:tabs>
          <w:tab w:leader="none" w:pos="2236" w:val="left"/>
        </w:tabs>
        <w:numPr>
          <w:ilvl w:val="1"/>
          <w:numId w:val="396"/>
        </w:numPr>
        <w:rPr>
          <w:rFonts w:ascii="Arial" w:cs="Arial" w:eastAsia="Arial" w:hAnsi="Arial"/>
          <w:sz w:val="19"/>
          <w:szCs w:val="19"/>
          <w:b w:val="1"/>
          <w:bCs w:val="1"/>
          <w:color w:val="auto"/>
        </w:rPr>
      </w:pPr>
      <w:r>
        <w:rPr>
          <w:rFonts w:ascii="Arial" w:cs="Arial" w:eastAsia="Arial" w:hAnsi="Arial"/>
          <w:sz w:val="19"/>
          <w:szCs w:val="19"/>
          <w:u w:val="single" w:color="auto"/>
          <w:color w:val="auto"/>
        </w:rPr>
        <w:t>Advisory Services Period</w:t>
      </w:r>
      <w:r>
        <w:rPr>
          <w:rFonts w:ascii="Arial" w:cs="Arial" w:eastAsia="Arial" w:hAnsi="Arial"/>
          <w:sz w:val="19"/>
          <w:szCs w:val="19"/>
          <w:color w:val="auto"/>
        </w:rPr>
        <w:t>: Beginning on the first day of the Advisory Services Period and extending through last day of the Advisory Services Period (the “</w:t>
      </w:r>
      <w:r>
        <w:rPr>
          <w:rFonts w:ascii="Arial" w:cs="Arial" w:eastAsia="Arial" w:hAnsi="Arial"/>
          <w:sz w:val="19"/>
          <w:szCs w:val="19"/>
          <w:b w:val="1"/>
          <w:bCs w:val="1"/>
          <w:i w:val="1"/>
          <w:iCs w:val="1"/>
          <w:color w:val="auto"/>
        </w:rPr>
        <w:t>Services Completion Date</w:t>
      </w:r>
      <w:r>
        <w:rPr>
          <w:rFonts w:ascii="Arial" w:cs="Arial" w:eastAsia="Arial" w:hAnsi="Arial"/>
          <w:sz w:val="19"/>
          <w:szCs w:val="19"/>
          <w:color w:val="auto"/>
        </w:rPr>
        <w:t xml:space="preserve">”), Employee will be relieved of all of his responsibilities and duties except that he will continue to provide advisory services as an employee to the Company as requested in writing by the Company’s CEO. The Parties acknowledge and agree that during the Advisory Services Period, Employee is free to take on additional outside work or employment, including in a project, consulting or full-time role; </w:t>
      </w:r>
      <w:r>
        <w:rPr>
          <w:rFonts w:ascii="Arial" w:cs="Arial" w:eastAsia="Arial" w:hAnsi="Arial"/>
          <w:sz w:val="19"/>
          <w:szCs w:val="19"/>
          <w:i w:val="1"/>
          <w:iCs w:val="1"/>
          <w:color w:val="auto"/>
        </w:rPr>
        <w:t>provided</w:t>
      </w:r>
      <w:r>
        <w:rPr>
          <w:rFonts w:ascii="Arial" w:cs="Arial" w:eastAsia="Arial" w:hAnsi="Arial"/>
          <w:sz w:val="19"/>
          <w:szCs w:val="19"/>
          <w:color w:val="auto"/>
        </w:rPr>
        <w:t>, that any outside work is accepted and provided (x) in Employee’s individual capacity and not as a representative of the Company, and (y) subject to the Company’s Confidential Information, Non-Solicitation and Inventions Assignment Agreement signed by Employee as a condition of his employment with the Company, as well as Employee’s obligations pursuant to this Agreement, including the confidentiality obligations in Section 9. As consideration for the advisory services provided during the Advisory Services Period and the Release of Claims in Section 3, and subject to the terms of this Agreement, (i) Employee will continue to be paid his regular salary on the Company’s normal payroll dates during the Advisory Services Period ”)(less standard deductions and withholdings)(the “</w:t>
      </w:r>
      <w:r>
        <w:rPr>
          <w:rFonts w:ascii="Arial" w:cs="Arial" w:eastAsia="Arial" w:hAnsi="Arial"/>
          <w:sz w:val="19"/>
          <w:szCs w:val="19"/>
          <w:b w:val="1"/>
          <w:bCs w:val="1"/>
          <w:i w:val="1"/>
          <w:iCs w:val="1"/>
          <w:color w:val="auto"/>
        </w:rPr>
        <w:t>Advisory Services Compensation</w:t>
      </w:r>
      <w:r>
        <w:rPr>
          <w:rFonts w:ascii="Arial" w:cs="Arial" w:eastAsia="Arial" w:hAnsi="Arial"/>
          <w:sz w:val="19"/>
          <w:szCs w:val="19"/>
          <w:color w:val="auto"/>
        </w:rPr>
        <w:t>”), (ii) the Class P Units of WM Holding Company, LLC, a Delaware limited liability company and parent company of the Company (“</w:t>
      </w:r>
      <w:r>
        <w:rPr>
          <w:rFonts w:ascii="Arial" w:cs="Arial" w:eastAsia="Arial" w:hAnsi="Arial"/>
          <w:sz w:val="19"/>
          <w:szCs w:val="19"/>
          <w:b w:val="1"/>
          <w:bCs w:val="1"/>
          <w:i w:val="1"/>
          <w:iCs w:val="1"/>
          <w:color w:val="auto"/>
        </w:rPr>
        <w:t>WM Holding</w:t>
      </w:r>
      <w:r>
        <w:rPr>
          <w:rFonts w:ascii="Arial" w:cs="Arial" w:eastAsia="Arial" w:hAnsi="Arial"/>
          <w:sz w:val="19"/>
          <w:szCs w:val="19"/>
          <w:color w:val="auto"/>
        </w:rPr>
        <w:t>”) held by Employee pursuant to the Equity Award Agreements (defined below) will continue to vest on their normal schedule during the Advisory Services Period (the “</w:t>
      </w:r>
      <w:r>
        <w:rPr>
          <w:rFonts w:ascii="Arial" w:cs="Arial" w:eastAsia="Arial" w:hAnsi="Arial"/>
          <w:sz w:val="19"/>
          <w:szCs w:val="19"/>
          <w:b w:val="1"/>
          <w:bCs w:val="1"/>
          <w:i w:val="1"/>
          <w:iCs w:val="1"/>
          <w:color w:val="auto"/>
        </w:rPr>
        <w:t>Advisory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Services Units</w:t>
      </w:r>
      <w:r>
        <w:rPr>
          <w:rFonts w:ascii="Arial" w:cs="Arial" w:eastAsia="Arial" w:hAnsi="Arial"/>
          <w:sz w:val="19"/>
          <w:szCs w:val="19"/>
          <w:color w:val="auto"/>
        </w:rPr>
        <w:t>”), and (iii) his health insurance and 401k benefits will be maintained by the Company (the “</w:t>
      </w:r>
      <w:r>
        <w:rPr>
          <w:rFonts w:ascii="Arial" w:cs="Arial" w:eastAsia="Arial" w:hAnsi="Arial"/>
          <w:sz w:val="19"/>
          <w:szCs w:val="19"/>
          <w:b w:val="1"/>
          <w:bCs w:val="1"/>
          <w:i w:val="1"/>
          <w:iCs w:val="1"/>
          <w:color w:val="auto"/>
        </w:rPr>
        <w:t>Insurance Benefit</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Except as stated in this Section 1(a), Employee will not be eligible for any other wages, payments, bonuses, incentives, equity vesting, or benefits (including sick leave or accrual of vacation time) during the Advisory Services Period. In the event Employee breaches any provision of this Agreement, the Company will immediately cease providing the payments and benefits stated in this Section 1(a), and process Employee’s separation of employment and Employee will not be entitled to any further payments or benefits under this Agreement. Employee acknowledges and agrees that Employee will promptly notify the Company if he acquires alternative health insurance coverage at any point during the Advisory Services Period, in which case, the Company will cease providing health insurance benefits to Employee. Notwithstanding anything to the contrary contained herein, (i) the Advisory Services Compensation will not exceed an aggregate amount of $609,863 and (ii) a maximum of 278,897 Class P Units will vest as part of the Advisory Services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9" w:name="page420"/>
    <w:bookmarkEnd w:id="419"/>
    <w:p>
      <w:pPr>
        <w:jc w:val="both"/>
        <w:ind w:firstLine="1304"/>
        <w:spacing w:after="0" w:line="248" w:lineRule="auto"/>
        <w:tabs>
          <w:tab w:leader="none" w:pos="2019" w:val="left"/>
        </w:tabs>
        <w:numPr>
          <w:ilvl w:val="1"/>
          <w:numId w:val="397"/>
        </w:numPr>
        <w:rPr>
          <w:rFonts w:ascii="Arial" w:cs="Arial" w:eastAsia="Arial" w:hAnsi="Arial"/>
          <w:sz w:val="21"/>
          <w:szCs w:val="21"/>
          <w:b w:val="1"/>
          <w:bCs w:val="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Employee’s employment with the Company in any and all capacities will be terminated effective as of the Services Completion Date. Employee acknowledges that Employee has received all wages, benefits and other amounts due up to and including the first day of the Advisory Services Period, including without limitation any and all wages, compensation, vacation, sick leave, overtime, commissions, options, bonuses, profit sharing, benefits, insurance, or any other form of payment. Employee acknowledges that payment any portion of Employee’s wages, including vacation pay, was not conditioned on Employee signing this Agreement.</w:t>
      </w:r>
    </w:p>
    <w:p>
      <w:pPr>
        <w:spacing w:after="0" w:line="204" w:lineRule="exact"/>
        <w:rPr>
          <w:rFonts w:ascii="Arial" w:cs="Arial" w:eastAsia="Arial" w:hAnsi="Arial"/>
          <w:sz w:val="21"/>
          <w:szCs w:val="21"/>
          <w:b w:val="1"/>
          <w:bCs w:val="1"/>
          <w:color w:val="auto"/>
        </w:rPr>
      </w:pPr>
    </w:p>
    <w:p>
      <w:pPr>
        <w:jc w:val="both"/>
        <w:ind w:firstLine="1304"/>
        <w:spacing w:after="0" w:line="274" w:lineRule="auto"/>
        <w:tabs>
          <w:tab w:leader="none" w:pos="2184" w:val="left"/>
        </w:tabs>
        <w:numPr>
          <w:ilvl w:val="1"/>
          <w:numId w:val="397"/>
        </w:numPr>
        <w:rPr>
          <w:rFonts w:ascii="Arial" w:cs="Arial" w:eastAsia="Arial" w:hAnsi="Arial"/>
          <w:sz w:val="19"/>
          <w:szCs w:val="19"/>
          <w:b w:val="1"/>
          <w:bCs w:val="1"/>
          <w:color w:val="auto"/>
        </w:rPr>
      </w:pPr>
      <w:r>
        <w:rPr>
          <w:rFonts w:ascii="Arial" w:cs="Arial" w:eastAsia="Arial" w:hAnsi="Arial"/>
          <w:sz w:val="19"/>
          <w:szCs w:val="19"/>
          <w:u w:val="single" w:color="auto"/>
          <w:color w:val="auto"/>
        </w:rPr>
        <w:t>Alternative Insurance Benefit</w:t>
      </w:r>
      <w:r>
        <w:rPr>
          <w:rFonts w:ascii="Arial" w:cs="Arial" w:eastAsia="Arial" w:hAnsi="Arial"/>
          <w:sz w:val="19"/>
          <w:szCs w:val="19"/>
          <w:color w:val="auto"/>
        </w:rPr>
        <w:t>: If the Company determines at any point during the Advisory Services Period that Employee may not remain covered by the Company’s employer-provided health insurance policies then Employee will no longer be entitled to participate in any Company healthcare benefit plan, and the Company shall provide Employee notice regarding Employee’s right to continue Employee’s healthcare coverage pursuant to COBRA. If and for so long as Employee enrolls in COBRA, the Company will pay directly Employee’s COBRA premium for health insurance for the remainder of the Advisory Services Period (the “</w:t>
      </w:r>
      <w:r>
        <w:rPr>
          <w:rFonts w:ascii="Arial" w:cs="Arial" w:eastAsia="Arial" w:hAnsi="Arial"/>
          <w:sz w:val="19"/>
          <w:szCs w:val="19"/>
          <w:b w:val="1"/>
          <w:bCs w:val="1"/>
          <w:i w:val="1"/>
          <w:iCs w:val="1"/>
          <w:color w:val="auto"/>
        </w:rPr>
        <w:t>Alternative Insurance Benefit</w:t>
      </w:r>
      <w:r>
        <w:rPr>
          <w:rFonts w:ascii="Arial" w:cs="Arial" w:eastAsia="Arial" w:hAnsi="Arial"/>
          <w:sz w:val="19"/>
          <w:szCs w:val="19"/>
          <w:color w:val="auto"/>
        </w:rPr>
        <w:t>”). Company will not enroll Employee in COBRA and Employee will be fully responsible for completing any and all paperwork necessary for COBRA enrollment. Employee acknowledges and agrees that Employee will promptly notify the Company if he acquires alternative health insurance coverage at any point during the Advisory Services Period, in which case, the Company will cease providing the Alternative Insurance Benefit to Employee.</w:t>
      </w:r>
    </w:p>
    <w:p>
      <w:pPr>
        <w:spacing w:after="0" w:line="179" w:lineRule="exact"/>
        <w:rPr>
          <w:rFonts w:ascii="Arial" w:cs="Arial" w:eastAsia="Arial" w:hAnsi="Arial"/>
          <w:sz w:val="19"/>
          <w:szCs w:val="19"/>
          <w:b w:val="1"/>
          <w:bCs w:val="1"/>
          <w:color w:val="auto"/>
        </w:rPr>
      </w:pPr>
    </w:p>
    <w:p>
      <w:pPr>
        <w:jc w:val="both"/>
        <w:ind w:firstLine="656"/>
        <w:spacing w:after="0" w:line="276" w:lineRule="auto"/>
        <w:tabs>
          <w:tab w:leader="none" w:pos="1512" w:val="left"/>
        </w:tabs>
        <w:numPr>
          <w:ilvl w:val="0"/>
          <w:numId w:val="398"/>
        </w:numPr>
        <w:rPr>
          <w:rFonts w:ascii="Arial" w:cs="Arial" w:eastAsia="Arial" w:hAnsi="Arial"/>
          <w:sz w:val="19"/>
          <w:szCs w:val="19"/>
          <w:color w:val="auto"/>
        </w:rPr>
      </w:pPr>
      <w:r>
        <w:rPr>
          <w:rFonts w:ascii="Arial" w:cs="Arial" w:eastAsia="Arial" w:hAnsi="Arial"/>
          <w:sz w:val="19"/>
          <w:szCs w:val="19"/>
          <w:b w:val="1"/>
          <w:bCs w:val="1"/>
          <w:color w:val="auto"/>
        </w:rPr>
        <w:t>Return of All Company Materials</w:t>
      </w:r>
      <w:r>
        <w:rPr>
          <w:rFonts w:ascii="Arial" w:cs="Arial" w:eastAsia="Arial" w:hAnsi="Arial"/>
          <w:sz w:val="19"/>
          <w:szCs w:val="19"/>
          <w:color w:val="auto"/>
        </w:rPr>
        <w:t>. Employee hereby certifies that Employee has returned to Company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all</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records, documents, electronically stored information, and tangible embodiments of such, prepared by Employee or coming into Employee’s possession by virtue of Employee’s employment with Company. To the extent Employee is unable to return such materials that are in a digital form, Employee shall remove all copies of such digital material and certify the destruction or deletion of such digital copies. Employee further certifies that Employee has returned to Company all property of Company, including but not limited to pagers, keys, key cards, cellular phones, credit cards, personal and laptop computers, and other electronic equipment. Employee agrees that should Employee at any future time discover additional items of property belonging to Company, Employee will promptly return such property to Company.</w:t>
      </w:r>
    </w:p>
    <w:p>
      <w:pPr>
        <w:spacing w:after="0" w:line="176" w:lineRule="exact"/>
        <w:rPr>
          <w:rFonts w:ascii="Arial" w:cs="Arial" w:eastAsia="Arial" w:hAnsi="Arial"/>
          <w:sz w:val="19"/>
          <w:szCs w:val="19"/>
          <w:color w:val="auto"/>
        </w:rPr>
      </w:pPr>
    </w:p>
    <w:p>
      <w:pPr>
        <w:jc w:val="both"/>
        <w:ind w:firstLine="656"/>
        <w:spacing w:after="0" w:line="269" w:lineRule="auto"/>
        <w:tabs>
          <w:tab w:leader="none" w:pos="1606" w:val="left"/>
        </w:tabs>
        <w:numPr>
          <w:ilvl w:val="0"/>
          <w:numId w:val="398"/>
        </w:numPr>
        <w:rPr>
          <w:rFonts w:ascii="Arial" w:cs="Arial" w:eastAsia="Arial" w:hAnsi="Arial"/>
          <w:sz w:val="19"/>
          <w:szCs w:val="19"/>
          <w:color w:val="auto"/>
        </w:rPr>
      </w:pPr>
      <w:r>
        <w:rPr>
          <w:rFonts w:ascii="Arial" w:cs="Arial" w:eastAsia="Arial" w:hAnsi="Arial"/>
          <w:sz w:val="19"/>
          <w:szCs w:val="19"/>
          <w:b w:val="1"/>
          <w:bCs w:val="1"/>
          <w:color w:val="auto"/>
        </w:rPr>
        <w:t>General Release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22222"/>
        </w:rPr>
        <w:t>Except as to such rights or claims as may be created by this Agreement, Employee and</w:t>
      </w:r>
      <w:r>
        <w:rPr>
          <w:rFonts w:ascii="Arial" w:cs="Arial" w:eastAsia="Arial" w:hAnsi="Arial"/>
          <w:sz w:val="19"/>
          <w:szCs w:val="19"/>
          <w:b w:val="1"/>
          <w:bCs w:val="1"/>
          <w:color w:val="auto"/>
        </w:rPr>
        <w:t xml:space="preserve"> </w:t>
      </w:r>
      <w:r>
        <w:rPr>
          <w:rFonts w:ascii="Arial" w:cs="Arial" w:eastAsia="Arial" w:hAnsi="Arial"/>
          <w:sz w:val="19"/>
          <w:szCs w:val="19"/>
          <w:color w:val="222222"/>
        </w:rPr>
        <w:t>Employee’s respective heirs, administrators, 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 severally (referred to collectively hereafter as the “</w:t>
      </w:r>
      <w:r>
        <w:rPr>
          <w:rFonts w:ascii="Arial" w:cs="Arial" w:eastAsia="Arial" w:hAnsi="Arial"/>
          <w:sz w:val="19"/>
          <w:szCs w:val="19"/>
          <w:b w:val="1"/>
          <w:bCs w:val="1"/>
          <w:i w:val="1"/>
          <w:iCs w:val="1"/>
          <w:color w:val="222222"/>
        </w:rPr>
        <w:t>Releasees</w:t>
      </w:r>
      <w:r>
        <w:rPr>
          <w:rFonts w:ascii="Arial" w:cs="Arial" w:eastAsia="Arial" w:hAnsi="Arial"/>
          <w:sz w:val="19"/>
          <w:szCs w:val="19"/>
          <w:color w:val="222222"/>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Arial" w:cs="Arial" w:eastAsia="Arial" w:hAnsi="Arial"/>
          <w:sz w:val="19"/>
          <w:szCs w:val="19"/>
          <w:b w:val="1"/>
          <w:bCs w:val="1"/>
          <w:i w:val="1"/>
          <w:iCs w:val="1"/>
          <w:color w:val="222222"/>
        </w:rPr>
        <w:t>Claim</w:t>
      </w:r>
      <w:r>
        <w:rPr>
          <w:rFonts w:ascii="Arial" w:cs="Arial" w:eastAsia="Arial" w:hAnsi="Arial"/>
          <w:sz w:val="19"/>
          <w:szCs w:val="19"/>
          <w:color w:val="222222"/>
        </w:rPr>
        <w:t>” or “</w:t>
      </w:r>
      <w:r>
        <w:rPr>
          <w:rFonts w:ascii="Arial" w:cs="Arial" w:eastAsia="Arial" w:hAnsi="Arial"/>
          <w:sz w:val="19"/>
          <w:szCs w:val="19"/>
          <w:b w:val="1"/>
          <w:bCs w:val="1"/>
          <w:i w:val="1"/>
          <w:iCs w:val="1"/>
          <w:color w:val="222222"/>
        </w:rPr>
        <w:t>Claims</w:t>
      </w:r>
      <w:r>
        <w:rPr>
          <w:rFonts w:ascii="Arial" w:cs="Arial" w:eastAsia="Arial" w:hAnsi="Arial"/>
          <w:sz w:val="19"/>
          <w:szCs w:val="19"/>
          <w:color w:val="222222"/>
        </w:rPr>
        <w:t>”), which Employee has at any time owned or held up to and including the date Employee signs this Agreement (including during the Revocation Period (as defined below)), including, and without limiting the generality of the foregoing, any and all Claims arising out of, connected with, or relating to: (1) Employee’s employment with the Company or the termination of that employment; (2) any act or omission by or on the 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 §§ 2699, et seq.; (5) any federal, state or local law regulating compensation, salaries, wages, meal periods, rest periods, itemized wage statements, pay stubs or payroll records, hours, bonuses, commissions, overtime, 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 (7)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 and (8) any Claim for attorneys’ fees, costs or expenses. The foregoing general release does not apply to any Claim that cannot be released as a matter of law. Nothing in this Agreement prohibits or prevents Employee from filing a charge with or participating, testifying, or assisting in any investigation, hearing, or other proceeding before any federal, state, or local government agency. However, to the maximum extent permitted by law, Employee agrees that if such an administrative claim is made, Employee shall not be entitled to recover any individual monetary relief or other individual remedies.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0" w:name="page421"/>
    <w:bookmarkEnd w:id="420"/>
    <w:p>
      <w:pPr>
        <w:jc w:val="both"/>
        <w:ind w:firstLine="648"/>
        <w:spacing w:after="0" w:line="271" w:lineRule="auto"/>
        <w:rPr>
          <w:sz w:val="20"/>
          <w:szCs w:val="20"/>
          <w:color w:val="auto"/>
        </w:rPr>
      </w:pPr>
      <w:r>
        <w:rPr>
          <w:rFonts w:ascii="Arial" w:cs="Arial" w:eastAsia="Arial" w:hAnsi="Arial"/>
          <w:sz w:val="19"/>
          <w:szCs w:val="19"/>
          <w:color w:val="auto"/>
        </w:rPr>
        <w:t>Employee agrees that the release provided by this Agreement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Agreement. With respect to any Claims released by this Agreement,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Agreement, Employee will promptly notify such claims administrator, attorney, law firm, or other person that Employee does not wish to participate in and specifically “opts out” of any class action, representative action or collective action against the Company or any of the Releasees. Finally, by signing this Agreement, Employee acknowledges and agrees that Employee is not an “aggrieved employee,” as that term is defined in the Labor Code Private Attorneys General Act (PAGA), with respect to any Claims released by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Notwithstanding anything to the contrary herein, the foregoing release shall not cover, and Employee does not release, any rights of Employee under this Agreement or the Equity Award Agreements, dated as of June 26, 2017, May 10, 2018 and May 7, 2020, respectively (collectively, as the same may be amended and/or restated from time to time, the “</w:t>
      </w:r>
      <w:r>
        <w:rPr>
          <w:rFonts w:ascii="Arial" w:cs="Arial" w:eastAsia="Arial" w:hAnsi="Arial"/>
          <w:sz w:val="19"/>
          <w:szCs w:val="19"/>
          <w:b w:val="1"/>
          <w:bCs w:val="1"/>
          <w:i w:val="1"/>
          <w:iCs w:val="1"/>
          <w:color w:val="auto"/>
        </w:rPr>
        <w:t>Equity Award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Agreements</w:t>
      </w:r>
      <w:r>
        <w:rPr>
          <w:rFonts w:ascii="Arial" w:cs="Arial" w:eastAsia="Arial" w:hAnsi="Arial"/>
          <w:sz w:val="19"/>
          <w:szCs w:val="19"/>
          <w:color w:val="auto"/>
        </w:rPr>
        <w:t>”), between Employee and WM Holding, or any rights of Employee as a holder of Class P Units of WM Holding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Certificate of Formation or the Fourth Amended and Restated Operating Agreement of WM Holding, dated as of June 16, 2021 (as the same may be amended and/or restated from time to time, the “</w:t>
      </w:r>
      <w:r>
        <w:rPr>
          <w:rFonts w:ascii="Arial" w:cs="Arial" w:eastAsia="Arial" w:hAnsi="Arial"/>
          <w:sz w:val="19"/>
          <w:szCs w:val="19"/>
          <w:b w:val="1"/>
          <w:bCs w:val="1"/>
          <w:i w:val="1"/>
          <w:iCs w:val="1"/>
          <w:color w:val="auto"/>
        </w:rPr>
        <w:t>Amended and Restated LLC Agreement</w:t>
      </w:r>
      <w:r>
        <w:rPr>
          <w:rFonts w:ascii="Arial" w:cs="Arial" w:eastAsia="Arial" w:hAnsi="Arial"/>
          <w:sz w:val="19"/>
          <w:szCs w:val="19"/>
          <w:color w:val="auto"/>
        </w:rPr>
        <w:t>”). Employee acknowledges and agrees that Employee will own an aggregate total of 1,035,514 vested Class P Units of WM Holding as of the first day of the Advisory Services Period, and, if Employee accepts and executes this Agreement, WM Holding will permit continued vesting of the Advisory Services Units during the Advisory Services Period, so that Employee will have vested in an aggregate total of 1,314,411 vested Class P Units as of the Services Completion Date, all 1,314,411 of which shall be retained by Employee following the Services Completion Date pursuant and subject to the Equity Award Agreements, the Amended and Restated LLC Agreement and the WM Holding Third Amended and Restated Equity Incentive Plan, dated as of August 15, 2018 as may be amended, restated, supplemented, or otherwise modified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Except for the Advisory Services Units, Employee acknowledges that Employee forfeits all Class P Units granted to Employee under the Equity Award Agreement and which are unvested as of the Services Completion Date pursuant to the terms of the Equity Award Agreement, the Amended and Restated LLC Agreement and the Plan. Except as set forth in this paragraph, Employee acknowledges that Employee has no right, title or interest to any other equity, options or equivalents of Company or its affiliates.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1" w:name="page422"/>
    <w:bookmarkEnd w:id="421"/>
    <w:p>
      <w:pPr>
        <w:jc w:val="both"/>
        <w:ind w:firstLine="656"/>
        <w:spacing w:after="0" w:line="280" w:lineRule="auto"/>
        <w:tabs>
          <w:tab w:leader="none" w:pos="1350" w:val="left"/>
        </w:tabs>
        <w:numPr>
          <w:ilvl w:val="0"/>
          <w:numId w:val="399"/>
        </w:numPr>
        <w:rPr>
          <w:rFonts w:ascii="Arial" w:cs="Arial" w:eastAsia="Arial" w:hAnsi="Arial"/>
          <w:sz w:val="19"/>
          <w:szCs w:val="19"/>
          <w:color w:val="auto"/>
        </w:rPr>
      </w:pPr>
      <w:r>
        <w:rPr>
          <w:rFonts w:ascii="Arial" w:cs="Arial" w:eastAsia="Arial" w:hAnsi="Arial"/>
          <w:sz w:val="19"/>
          <w:szCs w:val="19"/>
          <w:b w:val="1"/>
          <w:bCs w:val="1"/>
          <w:color w:val="auto"/>
        </w:rPr>
        <w:t xml:space="preserve">Release of All Unknown Claims. </w:t>
      </w:r>
      <w:r>
        <w:rPr>
          <w:rFonts w:ascii="Arial" w:cs="Arial" w:eastAsia="Arial" w:hAnsi="Arial"/>
          <w:sz w:val="19"/>
          <w:szCs w:val="19"/>
          <w:color w:val="auto"/>
        </w:rPr>
        <w:t>The general release above is intended to be a full and final release covering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unsuspected, unknown, undisclosed and unanticipated Claims which may have arisen, or may arise, from any act or omission up to and including the date Employee signs this Agreement, </w:t>
      </w:r>
      <w:r>
        <w:rPr>
          <w:rFonts w:ascii="Arial" w:cs="Arial" w:eastAsia="Arial" w:hAnsi="Arial"/>
          <w:sz w:val="19"/>
          <w:szCs w:val="19"/>
          <w:color w:val="222222"/>
        </w:rPr>
        <w:t>including during the Revocation Period,</w:t>
      </w:r>
      <w:r>
        <w:rPr>
          <w:rFonts w:ascii="Arial" w:cs="Arial" w:eastAsia="Arial" w:hAnsi="Arial"/>
          <w:sz w:val="19"/>
          <w:szCs w:val="19"/>
          <w:color w:val="auto"/>
        </w:rPr>
        <w:t xml:space="preserve"> and which arise out of or are related, directly or indirectly, to the dealings between the Parties or any matters described in this Agreement. Employee, and on behalf of anyone or any entity claiming through Employee, each waive any and all rights or benefits which they may now have, or in the future may have, under the terms of Section 1542 of the California Civil Code, which provides as follows:</w:t>
      </w:r>
    </w:p>
    <w:p>
      <w:pPr>
        <w:spacing w:after="0" w:line="178" w:lineRule="exact"/>
        <w:rPr>
          <w:sz w:val="20"/>
          <w:szCs w:val="20"/>
          <w:color w:val="auto"/>
        </w:rPr>
      </w:pPr>
    </w:p>
    <w:p>
      <w:pPr>
        <w:ind w:left="1300" w:right="1500"/>
        <w:spacing w:after="0" w:line="236"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1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Agreement and that the release in this Agreement expressly contemplates the extinguishment of all such Claims.</w:t>
      </w:r>
    </w:p>
    <w:p>
      <w:pPr>
        <w:spacing w:after="0" w:line="208" w:lineRule="exact"/>
        <w:rPr>
          <w:sz w:val="20"/>
          <w:szCs w:val="20"/>
          <w:color w:val="auto"/>
        </w:rPr>
      </w:pPr>
    </w:p>
    <w:p>
      <w:pPr>
        <w:jc w:val="both"/>
        <w:ind w:firstLine="656"/>
        <w:spacing w:after="0" w:line="243" w:lineRule="auto"/>
        <w:tabs>
          <w:tab w:leader="none" w:pos="1552" w:val="left"/>
        </w:tabs>
        <w:numPr>
          <w:ilvl w:val="0"/>
          <w:numId w:val="400"/>
        </w:numPr>
        <w:rPr>
          <w:rFonts w:ascii="Arial" w:cs="Arial" w:eastAsia="Arial" w:hAnsi="Arial"/>
          <w:sz w:val="22"/>
          <w:szCs w:val="22"/>
          <w:color w:val="auto"/>
        </w:rPr>
      </w:pPr>
      <w:r>
        <w:rPr>
          <w:rFonts w:ascii="Arial" w:cs="Arial" w:eastAsia="Arial" w:hAnsi="Arial"/>
          <w:sz w:val="22"/>
          <w:szCs w:val="22"/>
          <w:b w:val="1"/>
          <w:bCs w:val="1"/>
          <w:color w:val="auto"/>
        </w:rPr>
        <w:t>No Admissions</w:t>
      </w:r>
      <w:r>
        <w:rPr>
          <w:rFonts w:ascii="Arial" w:cs="Arial" w:eastAsia="Arial" w:hAnsi="Arial"/>
          <w:sz w:val="22"/>
          <w:szCs w:val="22"/>
          <w:color w:val="auto"/>
        </w:rPr>
        <w:t>. Neither this Agreement nor the furnishing of the consideration for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or construed as an admission of liability or wrongdoing on the part of either Party, nor shall they be admissible as evidence in any proceeding other than for the enforcement of this Agreement.</w:t>
      </w:r>
    </w:p>
    <w:p>
      <w:pPr>
        <w:spacing w:after="0" w:line="203" w:lineRule="exact"/>
        <w:rPr>
          <w:rFonts w:ascii="Arial" w:cs="Arial" w:eastAsia="Arial" w:hAnsi="Arial"/>
          <w:sz w:val="22"/>
          <w:szCs w:val="22"/>
          <w:color w:val="auto"/>
        </w:rPr>
      </w:pPr>
    </w:p>
    <w:p>
      <w:pPr>
        <w:jc w:val="both"/>
        <w:ind w:firstLine="656"/>
        <w:spacing w:after="0" w:line="260" w:lineRule="auto"/>
        <w:tabs>
          <w:tab w:leader="none" w:pos="1417" w:val="left"/>
        </w:tabs>
        <w:numPr>
          <w:ilvl w:val="0"/>
          <w:numId w:val="400"/>
        </w:numPr>
        <w:rPr>
          <w:rFonts w:ascii="Arial" w:cs="Arial" w:eastAsia="Arial" w:hAnsi="Arial"/>
          <w:sz w:val="21"/>
          <w:szCs w:val="21"/>
          <w:color w:val="auto"/>
        </w:rPr>
      </w:pPr>
      <w:r>
        <w:rPr>
          <w:rFonts w:ascii="Arial" w:cs="Arial" w:eastAsia="Arial" w:hAnsi="Arial"/>
          <w:sz w:val="21"/>
          <w:szCs w:val="21"/>
          <w:b w:val="1"/>
          <w:bCs w:val="1"/>
          <w:color w:val="auto"/>
        </w:rPr>
        <w:t>Covenant Not to Sue</w:t>
      </w:r>
      <w:r>
        <w:rPr>
          <w:rFonts w:ascii="Arial" w:cs="Arial" w:eastAsia="Arial" w:hAnsi="Arial"/>
          <w:sz w:val="21"/>
          <w:szCs w:val="21"/>
          <w:color w:val="auto"/>
        </w:rPr>
        <w:t>. Employee has not and will not directly or indirectly institute any legal action against the</w:t>
      </w:r>
      <w:r>
        <w:rPr>
          <w:rFonts w:ascii="Arial" w:cs="Arial" w:eastAsia="Arial" w:hAnsi="Arial"/>
          <w:sz w:val="21"/>
          <w:szCs w:val="21"/>
          <w:b w:val="1"/>
          <w:bCs w:val="1"/>
          <w:color w:val="auto"/>
        </w:rPr>
        <w:t xml:space="preserve"> </w:t>
      </w:r>
      <w:r>
        <w:rPr>
          <w:rFonts w:ascii="Arial" w:cs="Arial" w:eastAsia="Arial" w:hAnsi="Arial"/>
          <w:sz w:val="21"/>
          <w:szCs w:val="21"/>
          <w:color w:val="auto"/>
        </w:rPr>
        <w:t>Releasees based upon, arising out of, or relating to any Claims released herein. Employee has not and will not directly or indirectly encourage and/or solicit any third party to institute any legal action against the Releasees.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2" w:name="page423"/>
    <w:bookmarkEnd w:id="422"/>
    <w:p>
      <w:pPr>
        <w:jc w:val="both"/>
        <w:ind w:firstLine="656"/>
        <w:spacing w:after="0" w:line="243" w:lineRule="auto"/>
        <w:tabs>
          <w:tab w:leader="none" w:pos="1647" w:val="left"/>
        </w:tabs>
        <w:numPr>
          <w:ilvl w:val="0"/>
          <w:numId w:val="401"/>
        </w:numPr>
        <w:rPr>
          <w:rFonts w:ascii="Arial" w:cs="Arial" w:eastAsia="Arial" w:hAnsi="Arial"/>
          <w:sz w:val="22"/>
          <w:szCs w:val="22"/>
          <w:color w:val="auto"/>
        </w:rPr>
      </w:pPr>
      <w:r>
        <w:rPr>
          <w:rFonts w:ascii="Arial" w:cs="Arial" w:eastAsia="Arial" w:hAnsi="Arial"/>
          <w:sz w:val="22"/>
          <w:szCs w:val="22"/>
          <w:b w:val="1"/>
          <w:bCs w:val="1"/>
          <w:color w:val="auto"/>
        </w:rPr>
        <w:t>Intellectual Property of the Company</w:t>
      </w:r>
      <w:r>
        <w:rPr>
          <w:rFonts w:ascii="Arial" w:cs="Arial" w:eastAsia="Arial" w:hAnsi="Arial"/>
          <w:sz w:val="22"/>
          <w:szCs w:val="22"/>
          <w:color w:val="auto"/>
        </w:rPr>
        <w:t>. As additional consideration for the execution and delivery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only to the extent not already obligated to do so with respect to the Company and without limitation to any other agreement Employee has with the Company with respect to the following matters:</w:t>
      </w:r>
    </w:p>
    <w:p>
      <w:pPr>
        <w:spacing w:after="0" w:line="210" w:lineRule="exact"/>
        <w:rPr>
          <w:rFonts w:ascii="Arial" w:cs="Arial" w:eastAsia="Arial" w:hAnsi="Arial"/>
          <w:sz w:val="22"/>
          <w:szCs w:val="22"/>
          <w:color w:val="auto"/>
        </w:rPr>
      </w:pPr>
    </w:p>
    <w:p>
      <w:pPr>
        <w:jc w:val="both"/>
        <w:ind w:firstLine="1304"/>
        <w:spacing w:after="0" w:line="246" w:lineRule="auto"/>
        <w:tabs>
          <w:tab w:leader="none" w:pos="2007" w:val="left"/>
        </w:tabs>
        <w:numPr>
          <w:ilvl w:val="1"/>
          <w:numId w:val="401"/>
        </w:numPr>
        <w:rPr>
          <w:rFonts w:ascii="Arial" w:cs="Arial" w:eastAsia="Arial" w:hAnsi="Arial"/>
          <w:sz w:val="21"/>
          <w:szCs w:val="21"/>
          <w:b w:val="1"/>
          <w:bCs w:val="1"/>
          <w:color w:val="auto"/>
        </w:rPr>
      </w:pPr>
      <w:r>
        <w:rPr>
          <w:rFonts w:ascii="Arial" w:cs="Arial" w:eastAsia="Arial" w:hAnsi="Arial"/>
          <w:sz w:val="21"/>
          <w:szCs w:val="21"/>
          <w:color w:val="auto"/>
        </w:rPr>
        <w:t>Employee agrees to disclose in writing to the Company all source code, passwords, inventions, products, designs, drawings, notes, information, documentation, improvements, works of authorship, processes, techniques, know-how, technical specifications, hardware, computer programs, databases, user interfaces, encoding techniques, and other materials or innovations of any kind that Employee has made, conceived, developed or reduced to practice, alone or jointly with others, in connection with Employee’s term of service to the Company prior to the Services Completion Date or that resulted from or that related thereto, whether or not they are eligible for patent, copyright, mask work, trade secret, trademark or other legal protection (“</w:t>
      </w:r>
      <w:r>
        <w:rPr>
          <w:rFonts w:ascii="Arial" w:cs="Arial" w:eastAsia="Arial" w:hAnsi="Arial"/>
          <w:sz w:val="21"/>
          <w:szCs w:val="21"/>
          <w:b w:val="1"/>
          <w:bCs w:val="1"/>
          <w:i w:val="1"/>
          <w:iCs w:val="1"/>
          <w:color w:val="auto"/>
        </w:rPr>
        <w:t>Innovations</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color w:val="auto"/>
        </w:rPr>
      </w:pPr>
    </w:p>
    <w:p>
      <w:pPr>
        <w:jc w:val="both"/>
        <w:ind w:firstLine="1304"/>
        <w:spacing w:after="0" w:line="244" w:lineRule="auto"/>
        <w:tabs>
          <w:tab w:leader="none" w:pos="2056" w:val="left"/>
        </w:tabs>
        <w:numPr>
          <w:ilvl w:val="1"/>
          <w:numId w:val="401"/>
        </w:numPr>
        <w:rPr>
          <w:rFonts w:ascii="Arial" w:cs="Arial" w:eastAsia="Arial" w:hAnsi="Arial"/>
          <w:sz w:val="21"/>
          <w:szCs w:val="21"/>
          <w:b w:val="1"/>
          <w:bCs w:val="1"/>
          <w:color w:val="auto"/>
        </w:rPr>
      </w:pPr>
      <w:r>
        <w:rPr>
          <w:rFonts w:ascii="Arial" w:cs="Arial" w:eastAsia="Arial" w:hAnsi="Arial"/>
          <w:sz w:val="21"/>
          <w:szCs w:val="21"/>
          <w:color w:val="auto"/>
        </w:rPr>
        <w:t>Employee and the Company agree that, to the fullest extent legally possible, all Innovations (as defined in Section 7(a)) will be “works for hire” as that term is defined in Section 101 of the 1976 Copyright Act, and shall be owned exclusively by the Company. Employee agrees that, regardless of whether the Innovations are legally works for hire, all Innovations will be the sole and exclusive property of the Company. Employee hereby irrevocably transfers and assigns to the Company, and agrees to irrevocably transfer and assign to the Company, all of Employee’s right, title and interest in and to the Innovations, including all worldwide patent rights (including patent applications and disclosures), copyright rights, mask work rights, trade secret rights, know-how, and any and all other intellectual property or proprietary rights therein (collectively, “</w:t>
      </w:r>
      <w:r>
        <w:rPr>
          <w:rFonts w:ascii="Arial" w:cs="Arial" w:eastAsia="Arial" w:hAnsi="Arial"/>
          <w:sz w:val="21"/>
          <w:szCs w:val="21"/>
          <w:b w:val="1"/>
          <w:bCs w:val="1"/>
          <w:i w:val="1"/>
          <w:iCs w:val="1"/>
          <w:color w:val="auto"/>
        </w:rPr>
        <w:t>Intellectual Property Rights</w:t>
      </w:r>
      <w:r>
        <w:rPr>
          <w:rFonts w:ascii="Arial" w:cs="Arial" w:eastAsia="Arial" w:hAnsi="Arial"/>
          <w:sz w:val="21"/>
          <w:szCs w:val="21"/>
          <w:color w:val="auto"/>
        </w:rPr>
        <w:t>”). At the Company’s request and expense, during and after the term of this Agreement, Employee will assist and cooperate with the Company in all respects and will execute documents (including, without limitation, assignments as to any Intellectual Property Rights which become the property of the Company pursuant to this Section 7) and, subject to the reasonable availability of Employee, will give testimony and take such further acts reasonably requested by the Company to enable the Company to acquire, transfer, maintain, perfect and enforce its Intellectual Property Rights and other legal protections for the Innovations. Employee hereby appoints the Company as attorney-in-fact to execute documents on behalf of Employee for this limited purpose.</w:t>
      </w:r>
    </w:p>
    <w:p>
      <w:pPr>
        <w:spacing w:after="0" w:line="207" w:lineRule="exact"/>
        <w:rPr>
          <w:rFonts w:ascii="Arial" w:cs="Arial" w:eastAsia="Arial" w:hAnsi="Arial"/>
          <w:sz w:val="21"/>
          <w:szCs w:val="21"/>
          <w:b w:val="1"/>
          <w:bCs w:val="1"/>
          <w:color w:val="auto"/>
        </w:rPr>
      </w:pPr>
    </w:p>
    <w:p>
      <w:pPr>
        <w:jc w:val="both"/>
        <w:ind w:firstLine="1304"/>
        <w:spacing w:after="0" w:line="246" w:lineRule="auto"/>
        <w:tabs>
          <w:tab w:leader="none" w:pos="2032" w:val="left"/>
        </w:tabs>
        <w:numPr>
          <w:ilvl w:val="1"/>
          <w:numId w:val="401"/>
        </w:numPr>
        <w:rPr>
          <w:rFonts w:ascii="Arial" w:cs="Arial" w:eastAsia="Arial" w:hAnsi="Arial"/>
          <w:sz w:val="21"/>
          <w:szCs w:val="21"/>
          <w:b w:val="1"/>
          <w:bCs w:val="1"/>
          <w:color w:val="auto"/>
        </w:rPr>
      </w:pPr>
      <w:r>
        <w:rPr>
          <w:rFonts w:ascii="Arial" w:cs="Arial" w:eastAsia="Arial" w:hAnsi="Arial"/>
          <w:sz w:val="21"/>
          <w:szCs w:val="21"/>
          <w:color w:val="auto"/>
        </w:rPr>
        <w:t>Employee hereby irrevocably transfers and assigns to the Company, and agrees to irrevocably transfer and assign to the Company, and waives and agrees never to assert, any and all Moral Rights (as defined below) that Employee may have in or with respect to any Innovation, during and after the term of this Agreement. “</w:t>
      </w:r>
      <w:r>
        <w:rPr>
          <w:rFonts w:ascii="Arial" w:cs="Arial" w:eastAsia="Arial" w:hAnsi="Arial"/>
          <w:sz w:val="21"/>
          <w:szCs w:val="21"/>
          <w:b w:val="1"/>
          <w:bCs w:val="1"/>
          <w:i w:val="1"/>
          <w:iCs w:val="1"/>
          <w:color w:val="auto"/>
        </w:rPr>
        <w:t>Moral Rights</w:t>
      </w:r>
      <w:r>
        <w:rPr>
          <w:rFonts w:ascii="Arial" w:cs="Arial" w:eastAsia="Arial" w:hAnsi="Arial"/>
          <w:sz w:val="21"/>
          <w:szCs w:val="21"/>
          <w:color w:val="auto"/>
        </w:rPr>
        <w:t>” mean any rights to claim authorship of an Innovation (as defined in Section 7(a)),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pacing w:after="0" w:line="211" w:lineRule="exact"/>
        <w:rPr>
          <w:rFonts w:ascii="Arial" w:cs="Arial" w:eastAsia="Arial" w:hAnsi="Arial"/>
          <w:sz w:val="21"/>
          <w:szCs w:val="21"/>
          <w:b w:val="1"/>
          <w:bCs w:val="1"/>
          <w:color w:val="auto"/>
        </w:rPr>
      </w:pPr>
    </w:p>
    <w:p>
      <w:pPr>
        <w:jc w:val="both"/>
        <w:ind w:firstLine="1304"/>
        <w:spacing w:after="0" w:line="246" w:lineRule="auto"/>
        <w:tabs>
          <w:tab w:leader="none" w:pos="2094" w:val="left"/>
        </w:tabs>
        <w:numPr>
          <w:ilvl w:val="1"/>
          <w:numId w:val="401"/>
        </w:numPr>
        <w:rPr>
          <w:rFonts w:ascii="Arial" w:cs="Arial" w:eastAsia="Arial" w:hAnsi="Arial"/>
          <w:sz w:val="21"/>
          <w:szCs w:val="21"/>
          <w:b w:val="1"/>
          <w:bCs w:val="1"/>
          <w:color w:val="auto"/>
        </w:rPr>
      </w:pPr>
      <w:r>
        <w:rPr>
          <w:rFonts w:ascii="Arial" w:cs="Arial" w:eastAsia="Arial" w:hAnsi="Arial"/>
          <w:sz w:val="21"/>
          <w:szCs w:val="21"/>
          <w:color w:val="auto"/>
        </w:rPr>
        <w:t>To the extent that Employee owns or controls any patent rights, copyright rights, mask work rights, trade secret rights, or any other intellectual property or proprietary rights that block or interfere with the rights assigned to the Company under this Agreement (collectively, “</w:t>
      </w:r>
      <w:r>
        <w:rPr>
          <w:rFonts w:ascii="Arial" w:cs="Arial" w:eastAsia="Arial" w:hAnsi="Arial"/>
          <w:sz w:val="21"/>
          <w:szCs w:val="21"/>
          <w:b w:val="1"/>
          <w:bCs w:val="1"/>
          <w:i w:val="1"/>
          <w:iCs w:val="1"/>
          <w:color w:val="auto"/>
        </w:rPr>
        <w:t>Related Rights</w:t>
      </w:r>
      <w:r>
        <w:rPr>
          <w:rFonts w:ascii="Arial" w:cs="Arial" w:eastAsia="Arial" w:hAnsi="Arial"/>
          <w:sz w:val="21"/>
          <w:szCs w:val="21"/>
          <w:color w:val="auto"/>
        </w:rPr>
        <w:t>”), Employee hereby grants or will cause to be granted to the Company a non-exclusive, royalty-free, irrevocable, worldwide 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the Company to exercise all of the rights assigned to the Company under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3" w:name="page424"/>
    <w:bookmarkEnd w:id="423"/>
    <w:p>
      <w:pPr>
        <w:jc w:val="both"/>
        <w:ind w:firstLine="656"/>
        <w:spacing w:after="0" w:line="276" w:lineRule="auto"/>
        <w:tabs>
          <w:tab w:leader="none" w:pos="1579" w:val="left"/>
        </w:tabs>
        <w:numPr>
          <w:ilvl w:val="0"/>
          <w:numId w:val="402"/>
        </w:numPr>
        <w:rPr>
          <w:rFonts w:ascii="Arial" w:cs="Arial" w:eastAsia="Arial" w:hAnsi="Arial"/>
          <w:sz w:val="19"/>
          <w:szCs w:val="19"/>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Employee agrees that, during the period, if any, between the Effective Date and the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Completion Date, he will act in support of the Company and its business interests and assist with the smooth transition of his responsibilities. Employee agrees to cooperate with the Company and make themselves generally available in connection with disputes between the Company and third parties. This cooperation may include, but is not limited to, conferring with and assisting the Company in preparatory work in litigation matters, providing factual information to the Company, and giving depositions and testimony in judicial and administrative proceedings. Employee agrees that Employee will not be paid by the Company for Employee’s cooperation. Employee further agrees to make themselves available on a reasonable basis with respect to any outstanding legal, business or strategic matters as necessary following the Effective Date.</w:t>
      </w:r>
    </w:p>
    <w:p>
      <w:pPr>
        <w:spacing w:after="0" w:line="177" w:lineRule="exact"/>
        <w:rPr>
          <w:rFonts w:ascii="Arial" w:cs="Arial" w:eastAsia="Arial" w:hAnsi="Arial"/>
          <w:sz w:val="19"/>
          <w:szCs w:val="19"/>
          <w:color w:val="auto"/>
        </w:rPr>
      </w:pPr>
    </w:p>
    <w:p>
      <w:pPr>
        <w:jc w:val="both"/>
        <w:ind w:firstLine="656"/>
        <w:spacing w:after="0" w:line="271" w:lineRule="auto"/>
        <w:tabs>
          <w:tab w:leader="none" w:pos="1593" w:val="left"/>
        </w:tabs>
        <w:numPr>
          <w:ilvl w:val="0"/>
          <w:numId w:val="402"/>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Except as otherwise prohibited by law, Employee agrees that neither Employee nor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agents or representatives will disclose, disseminate and/or publicize, or cause or permit to be disclosed, disseminated or publicized, any attorney client privileged information, attorney work product, confidential information or trade secrets of the Company, or any claims or allegations which Employee could have made or asserted against the Company, to any person, corporation, association or governmental agency or other entity except: (a) to the extent necessary to report income to appropriate taxing authorities; (b) to members of Employee’s immediate family; (c) in response to an order of a court of competent jurisdiction or subpoena issued under the authority thereof; or (d) in response to any inquiry or subpoena issued by a state or federal governmental agency; provided, however, that notice of receipt of such judicial order or subpoena shall be immediately communicated by Employee to the Company telephonically, and confirmed immediately thereafter in writing, so that the Company will have the opportunity to assert what rights it has to non-disclosure prior to Employee’s response to the order, inquiry or subpoena. Should Employee disclose to Employee’s immediate family members any of the terms this Agreement, Employee will advise them that they are under the same obligation of confidentiality as described in this Section. Employee also agrees not to disclose any confidential or proprietary information pertaining to the business of the Company and/or its customers. For the avoidance of doubt, the confidentiality obligations of this Section shall extend to any information Employee has with respect to the businesses or activities of the Company Entities and any prospective opportunities which such equity holders have discussed or considered pursuing as well as any information received from any actual or potential customers of the Company.</w:t>
      </w:r>
    </w:p>
    <w:p>
      <w:pPr>
        <w:spacing w:after="0" w:line="200" w:lineRule="exact"/>
        <w:rPr>
          <w:sz w:val="20"/>
          <w:szCs w:val="20"/>
          <w:color w:val="auto"/>
        </w:rPr>
      </w:pP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violation of the confidentiality provision contained in this Agreement by Employee shall be considered a material breach of this Agreement.</w:t>
      </w:r>
    </w:p>
    <w:p>
      <w:pPr>
        <w:spacing w:after="0" w:line="196" w:lineRule="exact"/>
        <w:rPr>
          <w:sz w:val="20"/>
          <w:szCs w:val="20"/>
          <w:color w:val="auto"/>
        </w:rPr>
      </w:pPr>
    </w:p>
    <w:p>
      <w:pPr>
        <w:jc w:val="both"/>
        <w:ind w:firstLine="656"/>
        <w:spacing w:after="0" w:line="271" w:lineRule="auto"/>
        <w:tabs>
          <w:tab w:leader="none" w:pos="1323" w:val="left"/>
        </w:tabs>
        <w:numPr>
          <w:ilvl w:val="0"/>
          <w:numId w:val="403"/>
        </w:numPr>
        <w:rPr>
          <w:rFonts w:ascii="Arial" w:cs="Arial" w:eastAsia="Arial" w:hAnsi="Arial"/>
          <w:sz w:val="19"/>
          <w:szCs w:val="19"/>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Employee agrees that on a permanent basis Employee will not make any negative, critical,</w:t>
      </w:r>
      <w:r>
        <w:rPr>
          <w:rFonts w:ascii="Arial" w:cs="Arial" w:eastAsia="Arial" w:hAnsi="Arial"/>
          <w:sz w:val="19"/>
          <w:szCs w:val="19"/>
          <w:b w:val="1"/>
          <w:bCs w:val="1"/>
          <w:color w:val="auto"/>
        </w:rPr>
        <w:t xml:space="preserve"> </w:t>
      </w:r>
      <w:r>
        <w:rPr>
          <w:rFonts w:ascii="Arial" w:cs="Arial" w:eastAsia="Arial" w:hAnsi="Arial"/>
          <w:sz w:val="19"/>
          <w:szCs w:val="19"/>
          <w:color w:val="auto"/>
        </w:rPr>
        <w:t>disparaging, detrimental or derogatory comments (whether verbally or in writing) to anyone, including any employee or third party concerning the Company, or any of its current and former officers, directors, shareholders, employees, representatives, attorneys and agents, as well as its predecessors, parents, subsidiaries, affiliates, divisions, and successors-in-interest. With respect to the Company, the foregoing includes, but is not limited to, the Company’s services, products, processes, policies, practices, standards of business conduct, and areas or techniques of research and/or development and the actual or planned activities, the plans, processes or business practices of the equity holders of the Company or any Company Entities. The first sentence of this Section 10 shall not apply to any communication or disclosure to the extent required to institute any proceedings to enforce the terms of this Agreement or as otherwise expressly authorized and required by law or lawful process. Company will respond to any inquiries about Employee’s employment by providing only Employee’s dates of employment, job title, and, if authorized by Employee in writing, Employee’s last rate of pay. Employee will direct all such inquiries only to Company’s People Operations Department. Employee agrees that Employee’s failure to comply with this non-disparagement provision shall be deemed a material breach of this Agreement and shall entitle Company to immediately (a) stop providing the Advisory Services Period benefits set forth in Sections 1(a) and 1(c) including the Advisory Services Compensation, Insurance Benefit, and, if applicable, the Alternative Insurance Benefit, (b) seek recoupment of any amounts already paid to Employee, and (c) cancel the vesting of the Advisory Services Units, in addition to recovering damages for breach.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4" w:name="page425"/>
    <w:bookmarkEnd w:id="424"/>
    <w:p>
      <w:pPr>
        <w:jc w:val="both"/>
        <w:ind w:firstLine="656"/>
        <w:spacing w:after="0" w:line="245" w:lineRule="auto"/>
        <w:tabs>
          <w:tab w:leader="none" w:pos="1436" w:val="left"/>
        </w:tabs>
        <w:numPr>
          <w:ilvl w:val="0"/>
          <w:numId w:val="404"/>
        </w:numPr>
        <w:rPr>
          <w:rFonts w:ascii="Arial" w:cs="Arial" w:eastAsia="Arial" w:hAnsi="Arial"/>
          <w:sz w:val="21"/>
          <w:szCs w:val="21"/>
          <w:color w:val="auto"/>
        </w:rPr>
      </w:pPr>
      <w:r>
        <w:rPr>
          <w:rFonts w:ascii="Arial" w:cs="Arial" w:eastAsia="Arial" w:hAnsi="Arial"/>
          <w:sz w:val="21"/>
          <w:szCs w:val="21"/>
          <w:b w:val="1"/>
          <w:bCs w:val="1"/>
          <w:color w:val="auto"/>
        </w:rPr>
        <w:t>Right to an Attorney; Time to Consider</w:t>
      </w:r>
      <w:r>
        <w:rPr>
          <w:rFonts w:ascii="Arial" w:cs="Arial" w:eastAsia="Arial" w:hAnsi="Arial"/>
          <w:sz w:val="21"/>
          <w:szCs w:val="21"/>
          <w:color w:val="auto"/>
        </w:rPr>
        <w:t>. This Agreement constitutes a knowing and voluntary waiver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all rights or claims that Employee has or may have under the federal Age Discrimination in Employment Act (ADEA), as amended by the Older Workers’ Benefit Protection Act of 1990, 29 U.S.C. §§ 621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This Section and this Agreement are written in a manner calculated to be understood by Employee. Employee acknowledges and agrees that Employee has had twenty-one (21) days to consider this Agreement and to consult with counsel, and the Company has advised Employee of Employee’s right to do so. To the extent that Employee has taken less than twenty-one (21) days to consider this Agreement, Employee acknowledges that Employee has had sufficient time to consider the Agreement and to consult with counsel and that Employee did not desire additional time. The terms of this Agreement will not become enforceable for seven (7) calendar days following the date of execution of this Agreement (the “</w:t>
      </w:r>
      <w:r>
        <w:rPr>
          <w:rFonts w:ascii="Arial" w:cs="Arial" w:eastAsia="Arial" w:hAnsi="Arial"/>
          <w:sz w:val="21"/>
          <w:szCs w:val="21"/>
          <w:b w:val="1"/>
          <w:bCs w:val="1"/>
          <w:i w:val="1"/>
          <w:iCs w:val="1"/>
          <w:color w:val="auto"/>
        </w:rPr>
        <w:t>Revocation Period</w:t>
      </w:r>
      <w:r>
        <w:rPr>
          <w:rFonts w:ascii="Arial" w:cs="Arial" w:eastAsia="Arial" w:hAnsi="Arial"/>
          <w:sz w:val="21"/>
          <w:szCs w:val="21"/>
          <w:color w:val="auto"/>
        </w:rPr>
        <w:t>”), during which time Employee may revoke this Agreement by notifying the undersigned representative of the Company in writing by registered letter. In the event of any such revocation, the Employee acknowledges and agrees that the Equity Award Agreements shall be deemed revoked as well by the Employee.</w:t>
      </w:r>
    </w:p>
    <w:p>
      <w:pPr>
        <w:spacing w:after="0" w:line="201" w:lineRule="exact"/>
        <w:rPr>
          <w:rFonts w:ascii="Arial" w:cs="Arial" w:eastAsia="Arial" w:hAnsi="Arial"/>
          <w:sz w:val="21"/>
          <w:szCs w:val="21"/>
          <w:color w:val="auto"/>
        </w:rPr>
      </w:pPr>
    </w:p>
    <w:p>
      <w:pPr>
        <w:jc w:val="both"/>
        <w:ind w:firstLine="656"/>
        <w:spacing w:after="0" w:line="271" w:lineRule="auto"/>
        <w:tabs>
          <w:tab w:leader="none" w:pos="1579" w:val="left"/>
        </w:tabs>
        <w:numPr>
          <w:ilvl w:val="0"/>
          <w:numId w:val="404"/>
        </w:numPr>
        <w:rPr>
          <w:rFonts w:ascii="Arial" w:cs="Arial" w:eastAsia="Arial" w:hAnsi="Arial"/>
          <w:sz w:val="19"/>
          <w:szCs w:val="19"/>
          <w:color w:val="auto"/>
        </w:rPr>
      </w:pPr>
      <w:r>
        <w:rPr>
          <w:rFonts w:ascii="Arial" w:cs="Arial" w:eastAsia="Arial" w:hAnsi="Arial"/>
          <w:sz w:val="19"/>
          <w:szCs w:val="19"/>
          <w:b w:val="1"/>
          <w:bCs w:val="1"/>
          <w:color w:val="auto"/>
        </w:rPr>
        <w:t>Cancellation and Repayment of Advisory Services Benefits</w:t>
      </w:r>
      <w:r>
        <w:rPr>
          <w:rFonts w:ascii="Arial" w:cs="Arial" w:eastAsia="Arial" w:hAnsi="Arial"/>
          <w:sz w:val="19"/>
          <w:szCs w:val="19"/>
          <w:color w:val="auto"/>
        </w:rPr>
        <w:t>. In the event of breach of this Agreement by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including, but not limited to, the confidentiality and non-disparagement provisions during the period that begins on the Effective Date, then in addition to any remedies available to the Company at law or equity, the Company shall be immediately entitled to terminate Employee’s employment (if during the Advisory Services Period) and stop all payments and benefits under this Agreement. This means that Company may (i) withhold any and all payments of Insurance Benefits or Alternative Insurance Benefits to Employee or owed to cover COBRA premiums pursuant to Section 1 of this Agreement, (ii) cancel the vesting of the Advisory Services Units, and (iii) cancel payments of the Advisory Services Compensation. Employee agrees to promptly return to Company the full monetary value of the Advisory Services Compensation, Insurance Benefits and Alternative Insurance Benefits that was received by Employee and to indemnify and hold harmless the Releasees for and against any and all costs, losses, or liability whatsoever, including reasonable attorneys’ fees, caused by Employee’s breach of this Agreement. Furthermore, Employee agrees that the return or obligation to return the amount of the Advisory Services Compensation, Insurance Benefit, and Alternative Insurance Benefits to the Company and the cancellation of the vesting of the Advisory Services Units will not abrogate or affect in any way Employee’s full release of any and all Claims against the Releasees. Employee acknowledges and agrees that the provisions contained in this Section 12 are reasonable and necessary for the protection of the Company’s legitimate business interests, and further agrees not to challenge the reasonableness of such restrictions.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656"/>
        <w:spacing w:after="0" w:line="239" w:lineRule="auto"/>
        <w:tabs>
          <w:tab w:leader="none" w:pos="1485" w:val="left"/>
        </w:tabs>
        <w:numPr>
          <w:ilvl w:val="0"/>
          <w:numId w:val="404"/>
        </w:numPr>
        <w:rPr>
          <w:rFonts w:ascii="Arial" w:cs="Arial" w:eastAsia="Arial" w:hAnsi="Arial"/>
          <w:sz w:val="22"/>
          <w:szCs w:val="22"/>
          <w:color w:val="auto"/>
        </w:rPr>
      </w:pPr>
      <w:r>
        <w:rPr>
          <w:rFonts w:ascii="Arial" w:cs="Arial" w:eastAsia="Arial" w:hAnsi="Arial"/>
          <w:sz w:val="22"/>
          <w:szCs w:val="22"/>
          <w:b w:val="1"/>
          <w:bCs w:val="1"/>
          <w:color w:val="auto"/>
        </w:rPr>
        <w:t>Section 409A of the Code</w:t>
      </w:r>
      <w:r>
        <w:rPr>
          <w:rFonts w:ascii="Arial" w:cs="Arial" w:eastAsia="Arial" w:hAnsi="Arial"/>
          <w:sz w:val="22"/>
          <w:szCs w:val="22"/>
          <w:color w:val="auto"/>
        </w:rPr>
        <w:t>. While the tax treatment of the payments provided under this Agreement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warranted or guaranteed, it is intended that such payments shall either be exempt from, or comply with, the requirements of Section 409A of the Internal Revenue Code of 1986, as amended. This Agreement shall be construed, administered and governed in a manner that effects such intent.</w:t>
      </w:r>
    </w:p>
    <w:p>
      <w:pPr>
        <w:spacing w:after="0" w:line="207" w:lineRule="exact"/>
        <w:rPr>
          <w:rFonts w:ascii="Arial" w:cs="Arial" w:eastAsia="Arial" w:hAnsi="Arial"/>
          <w:sz w:val="22"/>
          <w:szCs w:val="22"/>
          <w:color w:val="auto"/>
        </w:rPr>
      </w:pPr>
    </w:p>
    <w:p>
      <w:pPr>
        <w:jc w:val="both"/>
        <w:ind w:firstLine="656"/>
        <w:spacing w:after="0" w:line="300" w:lineRule="auto"/>
        <w:tabs>
          <w:tab w:leader="none" w:pos="1377" w:val="left"/>
        </w:tabs>
        <w:numPr>
          <w:ilvl w:val="0"/>
          <w:numId w:val="404"/>
        </w:numPr>
        <w:rPr>
          <w:rFonts w:ascii="Arial" w:cs="Arial" w:eastAsia="Arial" w:hAnsi="Arial"/>
          <w:sz w:val="19"/>
          <w:szCs w:val="19"/>
          <w:color w:val="auto"/>
        </w:rPr>
      </w:pPr>
      <w:r>
        <w:rPr>
          <w:rFonts w:ascii="Arial" w:cs="Arial" w:eastAsia="Arial" w:hAnsi="Arial"/>
          <w:sz w:val="19"/>
          <w:szCs w:val="19"/>
          <w:b w:val="1"/>
          <w:bCs w:val="1"/>
          <w:color w:val="auto"/>
        </w:rPr>
        <w:t>Waiver and Modification</w:t>
      </w:r>
      <w:r>
        <w:rPr>
          <w:rFonts w:ascii="Arial" w:cs="Arial" w:eastAsia="Arial" w:hAnsi="Arial"/>
          <w:sz w:val="19"/>
          <w:szCs w:val="19"/>
          <w:color w:val="auto"/>
        </w:rPr>
        <w:t>. The failure to enforce any provision of this Agreement shall not be construed to be a</w:t>
      </w:r>
      <w:r>
        <w:rPr>
          <w:rFonts w:ascii="Arial" w:cs="Arial" w:eastAsia="Arial" w:hAnsi="Arial"/>
          <w:sz w:val="19"/>
          <w:szCs w:val="19"/>
          <w:b w:val="1"/>
          <w:bCs w:val="1"/>
          <w:color w:val="auto"/>
        </w:rPr>
        <w:t xml:space="preserve"> </w:t>
      </w:r>
      <w:r>
        <w:rPr>
          <w:rFonts w:ascii="Arial" w:cs="Arial" w:eastAsia="Arial" w:hAnsi="Arial"/>
          <w:sz w:val="19"/>
          <w:szCs w:val="19"/>
          <w:color w:val="auto"/>
        </w:rPr>
        <w:t>waiver of such provision or to affect either the validity of this Agreement or the right of any Party to enforce the Agreement. This Agreement may be modified or amended only by a written agreement executed by Employee and the Company.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5" w:name="page426"/>
    <w:bookmarkEnd w:id="425"/>
    <w:p>
      <w:pPr>
        <w:jc w:val="both"/>
        <w:ind w:firstLine="656"/>
        <w:spacing w:after="0" w:line="239" w:lineRule="auto"/>
        <w:tabs>
          <w:tab w:leader="none" w:pos="1498" w:val="left"/>
        </w:tabs>
        <w:numPr>
          <w:ilvl w:val="0"/>
          <w:numId w:val="405"/>
        </w:numPr>
        <w:rPr>
          <w:rFonts w:ascii="Arial" w:cs="Arial" w:eastAsia="Arial" w:hAnsi="Arial"/>
          <w:sz w:val="22"/>
          <w:szCs w:val="22"/>
          <w:color w:val="auto"/>
        </w:rPr>
      </w:pPr>
      <w:r>
        <w:rPr>
          <w:rFonts w:ascii="Arial" w:cs="Arial" w:eastAsia="Arial" w:hAnsi="Arial"/>
          <w:sz w:val="22"/>
          <w:szCs w:val="22"/>
          <w:b w:val="1"/>
          <w:bCs w:val="1"/>
          <w:color w:val="auto"/>
        </w:rPr>
        <w:t>Severability and Savings Provision</w:t>
      </w:r>
      <w:r>
        <w:rPr>
          <w:rFonts w:ascii="Arial" w:cs="Arial" w:eastAsia="Arial" w:hAnsi="Arial"/>
          <w:sz w:val="22"/>
          <w:szCs w:val="22"/>
          <w:color w:val="auto"/>
        </w:rPr>
        <w:t>. In the event that any provision of this Agreement should be held to be</w:t>
      </w:r>
      <w:r>
        <w:rPr>
          <w:rFonts w:ascii="Arial" w:cs="Arial" w:eastAsia="Arial" w:hAnsi="Arial"/>
          <w:sz w:val="22"/>
          <w:szCs w:val="22"/>
          <w:b w:val="1"/>
          <w:bCs w:val="1"/>
          <w:color w:val="auto"/>
        </w:rPr>
        <w:t xml:space="preserve"> </w:t>
      </w:r>
      <w:r>
        <w:rPr>
          <w:rFonts w:ascii="Arial" w:cs="Arial" w:eastAsia="Arial" w:hAnsi="Arial"/>
          <w:sz w:val="22"/>
          <w:szCs w:val="22"/>
          <w:color w:val="auto"/>
        </w:rPr>
        <w:t>void, voidable, or unenforceable, the remaining portions hereof shall remain in full force and effect. Additionally, in the event that any portion of this Agreement is deemed void or unenforceable, the Parties will be excused from performing that portion of the Agreement.</w:t>
      </w:r>
    </w:p>
    <w:p>
      <w:pPr>
        <w:spacing w:after="0" w:line="207" w:lineRule="exact"/>
        <w:rPr>
          <w:rFonts w:ascii="Arial" w:cs="Arial" w:eastAsia="Arial" w:hAnsi="Arial"/>
          <w:sz w:val="22"/>
          <w:szCs w:val="22"/>
          <w:color w:val="auto"/>
        </w:rPr>
      </w:pPr>
    </w:p>
    <w:p>
      <w:pPr>
        <w:jc w:val="both"/>
        <w:ind w:firstLine="656"/>
        <w:spacing w:after="0" w:line="254" w:lineRule="auto"/>
        <w:tabs>
          <w:tab w:leader="none" w:pos="1431" w:val="left"/>
        </w:tabs>
        <w:numPr>
          <w:ilvl w:val="0"/>
          <w:numId w:val="405"/>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constitutes the entire agreement between Employee and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supersedes and cancels all prior agreements, oral or written, if any, between Employee and the Company, except that this Agreement does not alter, modify, or impact any pre-existing confidentiality provisions and restrictive covenants between the Parties, nor does it affect Employee’s obligation to comply with those provisions and covenants.</w:t>
      </w:r>
    </w:p>
    <w:p>
      <w:pPr>
        <w:spacing w:after="0" w:line="192" w:lineRule="exact"/>
        <w:rPr>
          <w:rFonts w:ascii="Arial" w:cs="Arial" w:eastAsia="Arial" w:hAnsi="Arial"/>
          <w:sz w:val="21"/>
          <w:szCs w:val="21"/>
          <w:color w:val="auto"/>
        </w:rPr>
      </w:pPr>
    </w:p>
    <w:p>
      <w:pPr>
        <w:jc w:val="both"/>
        <w:ind w:firstLine="656"/>
        <w:spacing w:after="0" w:line="273" w:lineRule="auto"/>
        <w:tabs>
          <w:tab w:leader="none" w:pos="1390" w:val="left"/>
        </w:tabs>
        <w:numPr>
          <w:ilvl w:val="0"/>
          <w:numId w:val="405"/>
        </w:numPr>
        <w:rPr>
          <w:rFonts w:ascii="Arial" w:cs="Arial" w:eastAsia="Arial" w:hAnsi="Arial"/>
          <w:sz w:val="19"/>
          <w:szCs w:val="19"/>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The Parties hereby agree to submit any claim or dispute arising out of the terms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private and confidential arbitration by a single neutral arbitrator through Judicial Arbitration and Mediation Services,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This arbitration provision covers all claims that Employee may have against Company, or that Company may have against Employee. The JAMS Streamlined Arbitration Rules &amp; Procedures in effect at the time the claim or dispute is arbitrated will govern the procedure for the arbitration proceedings between the Parties. The arbitration shall take place in Los Angeles, California. The arbitrator in this matter shall not have the power to modify any of the provisions of this Agreement. The decision of the arbitrator shall be final and binding on all Parties to this Agreement, and judgment thereon may be entered in any court having jurisdiction. Company shall initially advance the arbitrator’s fee and all costs of services provided by the arbitrator and arbitration organization. However, the arbitrator’s fee and all costs of services provided by the arbitration organization, as well as reasonable attorneys’ fees and recoverable costs, shall be paid as the arbitrator or court awards in accordance with applicable law. The Parties hereby waive any right to a jury trial on any dispute or claim covered by this Agreement.</w:t>
      </w:r>
    </w:p>
    <w:p>
      <w:pPr>
        <w:spacing w:after="0" w:line="182" w:lineRule="exact"/>
        <w:rPr>
          <w:rFonts w:ascii="Arial" w:cs="Arial" w:eastAsia="Arial" w:hAnsi="Arial"/>
          <w:sz w:val="19"/>
          <w:szCs w:val="19"/>
          <w:color w:val="auto"/>
        </w:rPr>
      </w:pPr>
    </w:p>
    <w:p>
      <w:pPr>
        <w:ind w:firstLine="656"/>
        <w:spacing w:after="0" w:line="256" w:lineRule="auto"/>
        <w:tabs>
          <w:tab w:leader="none" w:pos="1485" w:val="left"/>
        </w:tabs>
        <w:numPr>
          <w:ilvl w:val="0"/>
          <w:numId w:val="405"/>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construed in accordance with, and be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California, both procedural and substantive.</w:t>
      </w:r>
    </w:p>
    <w:p>
      <w:pPr>
        <w:spacing w:after="0" w:line="189" w:lineRule="exact"/>
        <w:rPr>
          <w:rFonts w:ascii="Arial" w:cs="Arial" w:eastAsia="Arial" w:hAnsi="Arial"/>
          <w:sz w:val="22"/>
          <w:szCs w:val="22"/>
          <w:color w:val="auto"/>
        </w:rPr>
      </w:pPr>
    </w:p>
    <w:p>
      <w:pPr>
        <w:ind w:right="20" w:firstLine="656"/>
        <w:spacing w:after="0" w:line="334" w:lineRule="auto"/>
        <w:tabs>
          <w:tab w:leader="none" w:pos="1336" w:val="left"/>
        </w:tabs>
        <w:numPr>
          <w:ilvl w:val="0"/>
          <w:numId w:val="405"/>
        </w:numPr>
        <w:rPr>
          <w:rFonts w:ascii="Arial" w:cs="Arial" w:eastAsia="Arial" w:hAnsi="Arial"/>
          <w:sz w:val="19"/>
          <w:szCs w:val="19"/>
          <w:color w:val="auto"/>
        </w:rPr>
      </w:pPr>
      <w:r>
        <w:rPr>
          <w:rFonts w:ascii="Arial" w:cs="Arial" w:eastAsia="Arial" w:hAnsi="Arial"/>
          <w:sz w:val="19"/>
          <w:szCs w:val="19"/>
          <w:b w:val="1"/>
          <w:bCs w:val="1"/>
          <w:color w:val="auto"/>
        </w:rPr>
        <w:t>Review Period and Effective Date</w:t>
      </w:r>
      <w:r>
        <w:rPr>
          <w:rFonts w:ascii="Arial" w:cs="Arial" w:eastAsia="Arial" w:hAnsi="Arial"/>
          <w:sz w:val="19"/>
          <w:szCs w:val="19"/>
          <w:color w:val="auto"/>
        </w:rPr>
        <w:t>. Employee has until June 28, 2021 to review, sign and return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This Agreement is effective as of the first day of the Advisory Services Period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6" w:name="page427"/>
    <w:bookmarkEnd w:id="426"/>
    <w:p>
      <w:pPr>
        <w:jc w:val="both"/>
        <w:ind w:firstLine="648"/>
        <w:spacing w:after="0" w:line="243" w:lineRule="auto"/>
        <w:rPr>
          <w:sz w:val="20"/>
          <w:szCs w:val="20"/>
          <w:color w:val="auto"/>
        </w:rPr>
      </w:pPr>
      <w:r>
        <w:rPr>
          <w:rFonts w:ascii="Arial" w:cs="Arial" w:eastAsia="Arial" w:hAnsi="Arial"/>
          <w:sz w:val="22"/>
          <w:szCs w:val="22"/>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21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undersigned have carefully read this Agreement and understand that it contains a release of known and unknown claims. The undersigned acknowledge and agree to all of the terms and conditions of this Agreement. The undersigned further acknowledge that they are entering into this Agreement voluntarily as of the Effective Date with a full understanding of its terms.</w:t>
      </w:r>
    </w:p>
    <w:p>
      <w:pPr>
        <w:spacing w:after="0" w:line="1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Jung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Dated: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14312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Ghost Management Group,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Beals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Dated: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14312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June 21,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Commissioners: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read the statements made by WM Technology, Inc. (f/k/a Silver Spike Acquisition Corp.), under Item 4.01 of its Form 8-K filed June 21, 2021. We agree with the statements concerning our Firm under Item 4.01, in which we were informed of our dismissal on June 16, 2021, effective immediately. We are not in a position to agree or disagree with other statements of WM Technology, Inc. (f/k/a Silver Spike Acquisition Corp.) contained therein.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Marcum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8" w:name="page429"/>
    <w:bookmarkEnd w:id="4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Legal Name</w:t>
            </w:r>
          </w:p>
        </w:tc>
        <w:tc>
          <w:tcPr>
            <w:tcW w:w="5500" w:type="dxa"/>
            <w:vAlign w:val="bottom"/>
          </w:tcPr>
          <w:p>
            <w:pPr>
              <w:spacing w:after="0"/>
              <w:rPr>
                <w:sz w:val="20"/>
                <w:szCs w:val="20"/>
                <w:color w:val="auto"/>
              </w:rPr>
            </w:pPr>
            <w:r>
              <w:rPr>
                <w:rFonts w:ascii="Arial" w:cs="Arial" w:eastAsia="Arial" w:hAnsi="Arial"/>
                <w:sz w:val="18"/>
                <w:szCs w:val="18"/>
                <w:b w:val="1"/>
                <w:bCs w:val="1"/>
                <w:color w:val="auto"/>
              </w:rPr>
              <w:t>Jurisdiction of Organization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WM Holding Company, LLC</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Weedmaps Spain, S.L.U.</w:t>
            </w:r>
          </w:p>
        </w:tc>
        <w:tc>
          <w:tcPr>
            <w:tcW w:w="550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Weedmaps Germany GmbH</w:t>
            </w:r>
          </w:p>
        </w:tc>
        <w:tc>
          <w:tcPr>
            <w:tcW w:w="55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Ghost Management Group,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GMG Holdco, Inc.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Weedmaps Media,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Discovery Opco,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Enterprise,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Marketplace,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Canada Holdings, Inc.</w:t>
            </w:r>
          </w:p>
        </w:tc>
        <w:tc>
          <w:tcPr>
            <w:tcW w:w="550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Museum,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Teal,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WM Retail,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Grow One Software (Canada), Inc.</w:t>
            </w:r>
          </w:p>
        </w:tc>
        <w:tc>
          <w:tcPr>
            <w:tcW w:w="550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60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429" w:name="page430"/>
    <w:bookmarkEnd w:id="4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UNAUDITED PRO FORMA CONDENSED COMBINED FINANCIAL INFORMATION</w:t>
      </w:r>
    </w:p>
    <w:p>
      <w:pPr>
        <w:spacing w:after="0" w:line="239"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i w:val="1"/>
          <w:iCs w:val="1"/>
          <w:color w:val="auto"/>
        </w:rPr>
        <w:t xml:space="preserve">Capitalized terms used but not defined in this Exhibit 99.1 shall have the meanings ascribed to them in the Current Report on Form 8-K to which this Exhibit 99.1 is attached. </w:t>
      </w:r>
      <w:r>
        <w:rPr>
          <w:rFonts w:ascii="Arial" w:cs="Arial" w:eastAsia="Arial" w:hAnsi="Arial"/>
          <w:sz w:val="22"/>
          <w:szCs w:val="22"/>
          <w:i w:val="1"/>
          <w:iCs w:val="1"/>
          <w:color w:val="231F20"/>
        </w:rPr>
        <w:t>Unless the context otherwise requires, the “Company” refers to WM</w:t>
      </w:r>
      <w:r>
        <w:rPr>
          <w:rFonts w:ascii="Arial" w:cs="Arial" w:eastAsia="Arial" w:hAnsi="Arial"/>
          <w:sz w:val="22"/>
          <w:szCs w:val="22"/>
          <w:i w:val="1"/>
          <w:iCs w:val="1"/>
          <w:color w:val="auto"/>
        </w:rPr>
        <w:t xml:space="preserve"> </w:t>
      </w:r>
      <w:r>
        <w:rPr>
          <w:rFonts w:ascii="Arial" w:cs="Arial" w:eastAsia="Arial" w:hAnsi="Arial"/>
          <w:sz w:val="22"/>
          <w:szCs w:val="22"/>
          <w:i w:val="1"/>
          <w:iCs w:val="1"/>
          <w:color w:val="231F20"/>
        </w:rPr>
        <w:t>Technology, Inc. (f/k/a Silver Spike Acquisition Corp.) and its subsidiaries after the Closing, and Silver Spike Acquisition Corp. (“Silver Spike”) prior to the Closing.</w:t>
      </w:r>
    </w:p>
    <w:p>
      <w:pPr>
        <w:spacing w:after="0" w:line="212"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231F20"/>
        </w:rPr>
        <w:t xml:space="preserve">The following unaudited pro forma condensed combined financial information presents the combination of the financial information of Silver Spike and Legacy WMH, adjusted to give effect to the Business Combination and related transactions. The following unaudited pro forma condensed combined financial information has been prepared in accordance with Article 11 of Regulation S-X </w:t>
      </w:r>
      <w:r>
        <w:rPr>
          <w:rFonts w:ascii="Arial" w:cs="Arial" w:eastAsia="Arial" w:hAnsi="Arial"/>
          <w:sz w:val="22"/>
          <w:szCs w:val="22"/>
          <w:color w:val="000000"/>
        </w:rPr>
        <w:t>as</w:t>
      </w:r>
      <w:r>
        <w:rPr>
          <w:rFonts w:ascii="Arial" w:cs="Arial" w:eastAsia="Arial" w:hAnsi="Arial"/>
          <w:sz w:val="22"/>
          <w:szCs w:val="22"/>
          <w:color w:val="231F20"/>
        </w:rPr>
        <w:t xml:space="preserve"> amended </w:t>
      </w:r>
      <w:r>
        <w:rPr>
          <w:rFonts w:ascii="Arial" w:cs="Arial" w:eastAsia="Arial" w:hAnsi="Arial"/>
          <w:sz w:val="22"/>
          <w:szCs w:val="22"/>
          <w:color w:val="000000"/>
        </w:rPr>
        <w:t>by the final rule, Release 33-10786 “Amendments to Financial Disclosures about Acquired and</w:t>
      </w:r>
      <w:r>
        <w:rPr>
          <w:rFonts w:ascii="Arial" w:cs="Arial" w:eastAsia="Arial" w:hAnsi="Arial"/>
          <w:sz w:val="22"/>
          <w:szCs w:val="22"/>
          <w:color w:val="231F20"/>
        </w:rPr>
        <w:t xml:space="preserve"> </w:t>
      </w:r>
      <w:r>
        <w:rPr>
          <w:rFonts w:ascii="Arial" w:cs="Arial" w:eastAsia="Arial" w:hAnsi="Arial"/>
          <w:sz w:val="22"/>
          <w:szCs w:val="22"/>
          <w:color w:val="000000"/>
        </w:rPr>
        <w:t>Disposed Businesses.”</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231F20"/>
        </w:rPr>
        <w:t>The unaudited pro forma condensed combined balance sheet as of March 31, 2021 combines the historical balance sheet of Silver Spike and the historical balance sheet of Legacy WMH on a pro forma basis as if the Business Combination and related transactions, summarized below, had been consummated on March 31, 2021. The unaudited pro forma condensed combined statements of operations for the three months ended March 31, 2021 and year ended December 31, 2019, combine the historical statements of operations of Silver Spike and historical statements of operations of Legacy WMH for such periods on a pro forma basis as if the Business Combination and related transactions, summarized below, had been consummated on January 1, 2020, the beginning of the earliest period presented:</w:t>
      </w:r>
    </w:p>
    <w:p>
      <w:pPr>
        <w:spacing w:after="0" w:line="186" w:lineRule="exact"/>
        <w:rPr>
          <w:sz w:val="20"/>
          <w:szCs w:val="20"/>
          <w:color w:val="auto"/>
        </w:rPr>
      </w:pPr>
    </w:p>
    <w:p>
      <w:pPr>
        <w:ind w:left="980" w:hanging="324"/>
        <w:spacing w:after="0"/>
        <w:tabs>
          <w:tab w:leader="none" w:pos="980" w:val="left"/>
        </w:tabs>
        <w:numPr>
          <w:ilvl w:val="0"/>
          <w:numId w:val="406"/>
        </w:numPr>
        <w:rPr>
          <w:rFonts w:ascii="Arial" w:cs="Arial" w:eastAsia="Arial" w:hAnsi="Arial"/>
          <w:sz w:val="18"/>
          <w:szCs w:val="18"/>
          <w:color w:val="231F20"/>
        </w:rPr>
      </w:pPr>
      <w:r>
        <w:rPr>
          <w:rFonts w:ascii="Arial" w:cs="Arial" w:eastAsia="Arial" w:hAnsi="Arial"/>
          <w:sz w:val="18"/>
          <w:szCs w:val="18"/>
          <w:color w:val="auto"/>
        </w:rPr>
        <w:t>the Business Combination;</w:t>
      </w:r>
    </w:p>
    <w:p>
      <w:pPr>
        <w:spacing w:after="0" w:line="252" w:lineRule="exact"/>
        <w:rPr>
          <w:rFonts w:ascii="Arial" w:cs="Arial" w:eastAsia="Arial" w:hAnsi="Arial"/>
          <w:sz w:val="18"/>
          <w:szCs w:val="18"/>
          <w:color w:val="231F20"/>
        </w:rPr>
      </w:pPr>
    </w:p>
    <w:p>
      <w:pPr>
        <w:ind w:left="980" w:hanging="324"/>
        <w:spacing w:after="0"/>
        <w:tabs>
          <w:tab w:leader="none" w:pos="980" w:val="left"/>
        </w:tabs>
        <w:numPr>
          <w:ilvl w:val="0"/>
          <w:numId w:val="406"/>
        </w:numPr>
        <w:rPr>
          <w:rFonts w:ascii="Arial" w:cs="Arial" w:eastAsia="Arial" w:hAnsi="Arial"/>
          <w:sz w:val="18"/>
          <w:szCs w:val="18"/>
          <w:color w:val="231F20"/>
        </w:rPr>
      </w:pPr>
      <w:r>
        <w:rPr>
          <w:rFonts w:ascii="Arial" w:cs="Arial" w:eastAsia="Arial" w:hAnsi="Arial"/>
          <w:sz w:val="18"/>
          <w:szCs w:val="18"/>
          <w:color w:val="231F20"/>
        </w:rPr>
        <w:t>the Domestication; and</w:t>
      </w:r>
    </w:p>
    <w:p>
      <w:pPr>
        <w:spacing w:after="0" w:line="252" w:lineRule="exact"/>
        <w:rPr>
          <w:rFonts w:ascii="Arial" w:cs="Arial" w:eastAsia="Arial" w:hAnsi="Arial"/>
          <w:sz w:val="18"/>
          <w:szCs w:val="18"/>
          <w:color w:val="231F20"/>
        </w:rPr>
      </w:pPr>
    </w:p>
    <w:p>
      <w:pPr>
        <w:ind w:left="980" w:right="380" w:hanging="324"/>
        <w:spacing w:after="0" w:line="277" w:lineRule="auto"/>
        <w:tabs>
          <w:tab w:leader="none" w:pos="980" w:val="left"/>
        </w:tabs>
        <w:numPr>
          <w:ilvl w:val="0"/>
          <w:numId w:val="406"/>
        </w:numPr>
        <w:rPr>
          <w:rFonts w:ascii="Arial" w:cs="Arial" w:eastAsia="Arial" w:hAnsi="Arial"/>
          <w:sz w:val="18"/>
          <w:szCs w:val="18"/>
          <w:color w:val="231F20"/>
        </w:rPr>
      </w:pPr>
      <w:r>
        <w:rPr>
          <w:rFonts w:ascii="Arial" w:cs="Arial" w:eastAsia="Arial" w:hAnsi="Arial"/>
          <w:sz w:val="18"/>
          <w:szCs w:val="18"/>
          <w:color w:val="231F20"/>
        </w:rPr>
        <w:t>the issuance and sale of 32,500,000 shares of Class A Common Stock for a purchase price of $10.00 per share and an aggregate purchase price of $325.0 million in the PIPE subscription financing pursuant to the Subscription Agreements.</w:t>
      </w:r>
    </w:p>
    <w:p>
      <w:pPr>
        <w:spacing w:after="0" w:line="190"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231F20"/>
        </w:rPr>
        <w:t>The unaudited pro forma condensed combined financial statements have been developed from and should be read in conjunction with:</w:t>
      </w:r>
    </w:p>
    <w:p>
      <w:pPr>
        <w:spacing w:after="0" w:line="209" w:lineRule="exact"/>
        <w:rPr>
          <w:sz w:val="20"/>
          <w:szCs w:val="20"/>
          <w:color w:val="auto"/>
        </w:rPr>
      </w:pPr>
    </w:p>
    <w:p>
      <w:pPr>
        <w:ind w:left="980" w:hanging="324"/>
        <w:spacing w:after="0"/>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the accompanying notes to the unaudited pro forma condensed combined financial information;</w:t>
      </w:r>
    </w:p>
    <w:p>
      <w:pPr>
        <w:spacing w:after="0" w:line="252" w:lineRule="exact"/>
        <w:rPr>
          <w:rFonts w:ascii="Arial" w:cs="Arial" w:eastAsia="Arial" w:hAnsi="Arial"/>
          <w:sz w:val="18"/>
          <w:szCs w:val="18"/>
          <w:color w:val="231F20"/>
        </w:rPr>
      </w:pPr>
    </w:p>
    <w:p>
      <w:pPr>
        <w:ind w:left="980" w:right="220" w:hanging="324"/>
        <w:spacing w:after="0" w:line="277" w:lineRule="auto"/>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the historical audited financial statements of Silver Spike as of and for the year ended December 31, 2020 and the related notes, included in the Proxy Statement/Prospectus;</w:t>
      </w:r>
    </w:p>
    <w:p>
      <w:pPr>
        <w:spacing w:after="0" w:line="197" w:lineRule="exact"/>
        <w:rPr>
          <w:rFonts w:ascii="Arial" w:cs="Arial" w:eastAsia="Arial" w:hAnsi="Arial"/>
          <w:sz w:val="18"/>
          <w:szCs w:val="18"/>
          <w:color w:val="231F20"/>
        </w:rPr>
      </w:pPr>
    </w:p>
    <w:p>
      <w:pPr>
        <w:ind w:left="980" w:right="80" w:hanging="324"/>
        <w:spacing w:after="0" w:line="277" w:lineRule="auto"/>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the historical audited financial statements of Legacy WMH as of and for the year ended December 31, 2020 and the related notes, included in the Proxy Statement/Prospectus;</w:t>
      </w:r>
    </w:p>
    <w:p>
      <w:pPr>
        <w:spacing w:after="0" w:line="197" w:lineRule="exact"/>
        <w:rPr>
          <w:rFonts w:ascii="Arial" w:cs="Arial" w:eastAsia="Arial" w:hAnsi="Arial"/>
          <w:sz w:val="18"/>
          <w:szCs w:val="18"/>
          <w:color w:val="231F20"/>
        </w:rPr>
      </w:pPr>
    </w:p>
    <w:p>
      <w:pPr>
        <w:ind w:left="980" w:right="540" w:hanging="324"/>
        <w:spacing w:after="0" w:line="277" w:lineRule="auto"/>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the historical unaudited financial statements of Silver Spike as of and for the three months ended March 31, 2021 and the related notes, included in the Proxy Statement/Prospectus;</w:t>
      </w:r>
    </w:p>
    <w:p>
      <w:pPr>
        <w:spacing w:after="0" w:line="197" w:lineRule="exact"/>
        <w:rPr>
          <w:rFonts w:ascii="Arial" w:cs="Arial" w:eastAsia="Arial" w:hAnsi="Arial"/>
          <w:sz w:val="18"/>
          <w:szCs w:val="18"/>
          <w:color w:val="231F20"/>
        </w:rPr>
      </w:pPr>
    </w:p>
    <w:p>
      <w:pPr>
        <w:ind w:left="980" w:right="380" w:hanging="324"/>
        <w:spacing w:after="0" w:line="277" w:lineRule="auto"/>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the historical unaudited financial statements of Legacy WMH as of and for the three months ended March 31, 2021 and the related notes, included in the Proxy Statement/Prospectus;</w:t>
      </w:r>
    </w:p>
    <w:p>
      <w:pPr>
        <w:spacing w:after="0" w:line="197" w:lineRule="exact"/>
        <w:rPr>
          <w:rFonts w:ascii="Arial" w:cs="Arial" w:eastAsia="Arial" w:hAnsi="Arial"/>
          <w:sz w:val="18"/>
          <w:szCs w:val="18"/>
          <w:color w:val="231F20"/>
        </w:rPr>
      </w:pPr>
    </w:p>
    <w:p>
      <w:pPr>
        <w:ind w:left="980" w:right="180" w:hanging="324"/>
        <w:spacing w:after="0" w:line="277" w:lineRule="auto"/>
        <w:tabs>
          <w:tab w:leader="none" w:pos="980" w:val="left"/>
        </w:tabs>
        <w:numPr>
          <w:ilvl w:val="0"/>
          <w:numId w:val="407"/>
        </w:numPr>
        <w:rPr>
          <w:rFonts w:ascii="Arial" w:cs="Arial" w:eastAsia="Arial" w:hAnsi="Arial"/>
          <w:sz w:val="18"/>
          <w:szCs w:val="18"/>
          <w:color w:val="231F20"/>
        </w:rPr>
      </w:pPr>
      <w:r>
        <w:rPr>
          <w:rFonts w:ascii="Arial" w:cs="Arial" w:eastAsia="Arial" w:hAnsi="Arial"/>
          <w:sz w:val="18"/>
          <w:szCs w:val="18"/>
          <w:color w:val="231F20"/>
        </w:rPr>
        <w:t>other information relating to Silver Spike and Legacy WMH contained in the Proxy Statement/Prospectus, including the Merger Agreement and the description of certain terms thereof set forth in the section entitled “</w:t>
      </w:r>
      <w:r>
        <w:rPr>
          <w:rFonts w:ascii="Arial" w:cs="Arial" w:eastAsia="Arial" w:hAnsi="Arial"/>
          <w:sz w:val="18"/>
          <w:szCs w:val="18"/>
          <w:i w:val="1"/>
          <w:iCs w:val="1"/>
          <w:color w:val="231F20"/>
        </w:rPr>
        <w:t>The Business Combination</w:t>
      </w:r>
      <w:r>
        <w:rPr>
          <w:rFonts w:ascii="Arial" w:cs="Arial" w:eastAsia="Arial" w:hAnsi="Arial"/>
          <w:sz w:val="18"/>
          <w:szCs w:val="18"/>
          <w:color w:val="231F20"/>
        </w:rPr>
        <w:t>.”</w:t>
      </w:r>
    </w:p>
    <w:p>
      <w:pPr>
        <w:spacing w:after="0" w:line="190" w:lineRule="exact"/>
        <w:rPr>
          <w:sz w:val="20"/>
          <w:szCs w:val="20"/>
          <w:color w:val="auto"/>
        </w:rPr>
      </w:pPr>
    </w:p>
    <w:p>
      <w:pPr>
        <w:ind w:right="300" w:firstLine="648"/>
        <w:spacing w:after="0" w:line="249" w:lineRule="auto"/>
        <w:rPr>
          <w:sz w:val="20"/>
          <w:szCs w:val="20"/>
          <w:color w:val="auto"/>
        </w:rPr>
      </w:pPr>
      <w:r>
        <w:rPr>
          <w:rFonts w:ascii="Arial" w:cs="Arial" w:eastAsia="Arial" w:hAnsi="Arial"/>
          <w:sz w:val="21"/>
          <w:szCs w:val="21"/>
          <w:color w:val="231F20"/>
        </w:rPr>
        <w:t>Pursuant to Silver Spike’s then-existing organizational documents, Silver Spike’s public shareholders were offered the opportunity to redeem, upon the Closing, shares of Class A ordinary shares then held by them for cash equal to their pro rata share of the aggregate amount on deposit (as of two business days prior to the Closing) in the Trust Account (as defined in the Proxy Statement/Prospectus). The unaudited condensed combined pro forma financial statements reflect actual redemptions of 10,012 shares of Class A ordinary shares at $10.17 per share.</w:t>
      </w:r>
    </w:p>
    <w:p>
      <w:pPr>
        <w:sectPr>
          <w:pgSz w:w="11900" w:h="16838" w:orient="portrait"/>
          <w:cols w:equalWidth="0" w:num="1">
            <w:col w:w="11240"/>
          </w:cols>
          <w:pgMar w:left="320" w:top="274" w:right="3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430" w:name="page431"/>
    <w:bookmarkEnd w:id="430"/>
    <w:p>
      <w:pPr>
        <w:ind w:right="140" w:firstLine="648"/>
        <w:spacing w:after="0" w:line="287" w:lineRule="auto"/>
        <w:rPr>
          <w:sz w:val="20"/>
          <w:szCs w:val="20"/>
          <w:color w:val="auto"/>
        </w:rPr>
      </w:pPr>
      <w:r>
        <w:rPr>
          <w:rFonts w:ascii="Arial" w:cs="Arial" w:eastAsia="Arial" w:hAnsi="Arial"/>
          <w:sz w:val="19"/>
          <w:szCs w:val="19"/>
          <w:color w:val="231F20"/>
        </w:rPr>
        <w:t>Notwithstanding the legal form of the Business Combination pursuant to the Merger Agreement, the Business Combination is accounted for as a reverse recapitalization in accordance with GAAP. Under this method of accounting, Silver Spike is treated as the acquired company and Legacy WMH is treated as the acquirer for financial statement reporting purposes. Legacy WMH has been determined to be the accounting acquirer based on evaluation of the following facts and circumstances:</w:t>
      </w:r>
    </w:p>
    <w:p>
      <w:pPr>
        <w:spacing w:after="0" w:line="177" w:lineRule="exact"/>
        <w:rPr>
          <w:sz w:val="20"/>
          <w:szCs w:val="20"/>
          <w:color w:val="auto"/>
        </w:rPr>
      </w:pPr>
    </w:p>
    <w:p>
      <w:pPr>
        <w:ind w:left="980" w:hanging="324"/>
        <w:spacing w:after="0" w:line="277" w:lineRule="auto"/>
        <w:tabs>
          <w:tab w:leader="none" w:pos="980" w:val="left"/>
        </w:tabs>
        <w:numPr>
          <w:ilvl w:val="0"/>
          <w:numId w:val="408"/>
        </w:numPr>
        <w:rPr>
          <w:rFonts w:ascii="Arial" w:cs="Arial" w:eastAsia="Arial" w:hAnsi="Arial"/>
          <w:sz w:val="18"/>
          <w:szCs w:val="18"/>
          <w:color w:val="231F20"/>
        </w:rPr>
      </w:pPr>
      <w:r>
        <w:rPr>
          <w:rFonts w:ascii="Arial" w:cs="Arial" w:eastAsia="Arial" w:hAnsi="Arial"/>
          <w:sz w:val="18"/>
          <w:szCs w:val="18"/>
          <w:color w:val="231F20"/>
        </w:rPr>
        <w:t>Legacy WMH Class A Unit holders, through their ownership of the Class V Common Stock, have the greatest voting interest in the Company with over 50% of the voting interest;</w:t>
      </w:r>
    </w:p>
    <w:p>
      <w:pPr>
        <w:spacing w:after="0" w:line="197" w:lineRule="exact"/>
        <w:rPr>
          <w:rFonts w:ascii="Arial" w:cs="Arial" w:eastAsia="Arial" w:hAnsi="Arial"/>
          <w:sz w:val="18"/>
          <w:szCs w:val="18"/>
          <w:color w:val="231F20"/>
        </w:rPr>
      </w:pPr>
    </w:p>
    <w:p>
      <w:pPr>
        <w:ind w:left="980" w:hanging="324"/>
        <w:spacing w:after="0"/>
        <w:tabs>
          <w:tab w:leader="none" w:pos="980" w:val="left"/>
        </w:tabs>
        <w:numPr>
          <w:ilvl w:val="0"/>
          <w:numId w:val="408"/>
        </w:numPr>
        <w:rPr>
          <w:rFonts w:ascii="Arial" w:cs="Arial" w:eastAsia="Arial" w:hAnsi="Arial"/>
          <w:sz w:val="18"/>
          <w:szCs w:val="18"/>
          <w:color w:val="231F20"/>
        </w:rPr>
      </w:pPr>
      <w:r>
        <w:rPr>
          <w:rFonts w:ascii="Arial" w:cs="Arial" w:eastAsia="Arial" w:hAnsi="Arial"/>
          <w:sz w:val="18"/>
          <w:szCs w:val="18"/>
          <w:color w:val="231F20"/>
        </w:rPr>
        <w:t>Legacy WMH’s directors represent the majority of the new board of directors of the Company;</w:t>
      </w:r>
    </w:p>
    <w:p>
      <w:pPr>
        <w:spacing w:after="0" w:line="252" w:lineRule="exact"/>
        <w:rPr>
          <w:rFonts w:ascii="Arial" w:cs="Arial" w:eastAsia="Arial" w:hAnsi="Arial"/>
          <w:sz w:val="18"/>
          <w:szCs w:val="18"/>
          <w:color w:val="231F20"/>
        </w:rPr>
      </w:pPr>
    </w:p>
    <w:p>
      <w:pPr>
        <w:ind w:left="980" w:hanging="324"/>
        <w:spacing w:after="0"/>
        <w:tabs>
          <w:tab w:leader="none" w:pos="980" w:val="left"/>
        </w:tabs>
        <w:numPr>
          <w:ilvl w:val="0"/>
          <w:numId w:val="408"/>
        </w:numPr>
        <w:rPr>
          <w:rFonts w:ascii="Arial" w:cs="Arial" w:eastAsia="Arial" w:hAnsi="Arial"/>
          <w:sz w:val="18"/>
          <w:szCs w:val="18"/>
          <w:color w:val="231F20"/>
        </w:rPr>
      </w:pPr>
      <w:r>
        <w:rPr>
          <w:rFonts w:ascii="Arial" w:cs="Arial" w:eastAsia="Arial" w:hAnsi="Arial"/>
          <w:sz w:val="18"/>
          <w:szCs w:val="18"/>
          <w:color w:val="231F20"/>
        </w:rPr>
        <w:t>Legacy WMH’s senior management is the senior management of the Company; and</w:t>
      </w:r>
    </w:p>
    <w:p>
      <w:pPr>
        <w:spacing w:after="0" w:line="252" w:lineRule="exact"/>
        <w:rPr>
          <w:rFonts w:ascii="Arial" w:cs="Arial" w:eastAsia="Arial" w:hAnsi="Arial"/>
          <w:sz w:val="18"/>
          <w:szCs w:val="18"/>
          <w:color w:val="231F20"/>
        </w:rPr>
      </w:pPr>
    </w:p>
    <w:p>
      <w:pPr>
        <w:ind w:left="980" w:hanging="324"/>
        <w:spacing w:after="0"/>
        <w:tabs>
          <w:tab w:leader="none" w:pos="980" w:val="left"/>
        </w:tabs>
        <w:numPr>
          <w:ilvl w:val="0"/>
          <w:numId w:val="408"/>
        </w:numPr>
        <w:rPr>
          <w:rFonts w:ascii="Arial" w:cs="Arial" w:eastAsia="Arial" w:hAnsi="Arial"/>
          <w:sz w:val="18"/>
          <w:szCs w:val="18"/>
          <w:color w:val="231F20"/>
        </w:rPr>
      </w:pPr>
      <w:r>
        <w:rPr>
          <w:rFonts w:ascii="Arial" w:cs="Arial" w:eastAsia="Arial" w:hAnsi="Arial"/>
          <w:sz w:val="18"/>
          <w:szCs w:val="18"/>
          <w:color w:val="231F20"/>
        </w:rPr>
        <w:t>Legacy WMH is the larger entity based on historical operating activity and has the larger employee base.</w:t>
      </w:r>
    </w:p>
    <w:p>
      <w:pPr>
        <w:spacing w:after="0" w:line="245"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231F20"/>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occurred on the dates indicated. Further, the unaudited pro forma condensed combined financial statements do not purport to project the future operating results or financial position of the Company following the completion of the Business Combination.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1" w:name="page432"/>
    <w:bookmarkEnd w:id="431"/>
    <w:p>
      <w:pPr>
        <w:jc w:val="center"/>
        <w:spacing w:after="0" w:line="257" w:lineRule="auto"/>
        <w:rPr>
          <w:sz w:val="20"/>
          <w:szCs w:val="20"/>
          <w:color w:val="auto"/>
        </w:rPr>
      </w:pPr>
      <w:r>
        <w:rPr>
          <w:rFonts w:ascii="Arial" w:cs="Arial" w:eastAsia="Arial" w:hAnsi="Arial"/>
          <w:sz w:val="22"/>
          <w:szCs w:val="22"/>
          <w:b w:val="1"/>
          <w:bCs w:val="1"/>
          <w:color w:val="231F20"/>
        </w:rPr>
        <w:t>UNAUDITED PRO FORMA CONDENSED COMBINED BALANCE SHEET AS OF MARCH 31, 2021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Transaction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Accounting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WMH</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Silver Spike</w:t>
            </w:r>
          </w:p>
        </w:tc>
        <w:tc>
          <w:tcPr>
            <w:tcW w:w="8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(Historical)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(Note 2)</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254,203</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(8,750)</w:t>
            </w:r>
          </w:p>
        </w:tc>
        <w:tc>
          <w:tcPr>
            <w:tcW w:w="660" w:type="dxa"/>
            <w:vAlign w:val="bottom"/>
          </w:tcPr>
          <w:p>
            <w:pPr>
              <w:ind w:left="22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(30,345)</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325,000</w:t>
            </w:r>
          </w:p>
        </w:tc>
        <w:tc>
          <w:tcPr>
            <w:tcW w:w="660" w:type="dxa"/>
            <w:vAlign w:val="bottom"/>
          </w:tcPr>
          <w:p>
            <w:pPr>
              <w:ind w:left="22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(455,182)</w:t>
            </w:r>
          </w:p>
        </w:tc>
        <w:tc>
          <w:tcPr>
            <w:tcW w:w="660" w:type="dxa"/>
            <w:vAlign w:val="bottom"/>
          </w:tcPr>
          <w:p>
            <w:pPr>
              <w:ind w:left="2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(3,192)</w:t>
            </w:r>
          </w:p>
        </w:tc>
        <w:tc>
          <w:tcPr>
            <w:tcW w:w="660" w:type="dxa"/>
            <w:vAlign w:val="bottom"/>
          </w:tcPr>
          <w:p>
            <w:pPr>
              <w:ind w:left="22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34,501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81,632</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254,203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(254,203)</w:t>
            </w:r>
          </w:p>
        </w:tc>
        <w:tc>
          <w:tcPr>
            <w:tcW w:w="660" w:type="dxa"/>
            <w:vAlign w:val="bottom"/>
          </w:tcPr>
          <w:p>
            <w:pPr>
              <w:ind w:left="22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Right of use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42,113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157,104</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157,104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95,621</w:t>
            </w:r>
          </w:p>
        </w:tc>
        <w:tc>
          <w:tcPr>
            <w:tcW w:w="2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254,406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(15,467)</w:t>
            </w: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334,560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(3,659)</w:t>
            </w:r>
          </w:p>
        </w:tc>
        <w:tc>
          <w:tcPr>
            <w:tcW w:w="660" w:type="dxa"/>
            <w:vAlign w:val="bottom"/>
          </w:tcPr>
          <w:p>
            <w:pPr>
              <w:ind w:left="220"/>
              <w:spacing w:after="0"/>
              <w:rPr>
                <w:sz w:val="20"/>
                <w:szCs w:val="20"/>
                <w:color w:val="auto"/>
              </w:rPr>
            </w:pPr>
            <w:r>
              <w:rPr>
                <w:rFonts w:ascii="Arial" w:cs="Arial" w:eastAsia="Arial" w:hAnsi="Arial"/>
                <w:sz w:val="18"/>
                <w:szCs w:val="18"/>
                <w:color w:val="auto"/>
              </w:rPr>
              <w:t>(c)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members, current portion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24,774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lease liabilities, non-current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43,558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Long-term payable under Tax Receivable Agreement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133,538</w:t>
            </w:r>
          </w:p>
        </w:tc>
        <w:tc>
          <w:tcPr>
            <w:tcW w:w="660" w:type="dxa"/>
            <w:vAlign w:val="bottom"/>
          </w:tcPr>
          <w:p>
            <w:pPr>
              <w:ind w:left="240"/>
              <w:spacing w:after="0"/>
              <w:rPr>
                <w:sz w:val="20"/>
                <w:szCs w:val="20"/>
                <w:color w:val="auto"/>
              </w:rPr>
            </w:pPr>
            <w:r>
              <w:rPr>
                <w:rFonts w:ascii="Arial" w:cs="Arial" w:eastAsia="Arial" w:hAnsi="Arial"/>
                <w:sz w:val="18"/>
                <w:szCs w:val="18"/>
                <w:color w:val="auto"/>
              </w:rPr>
              <w:t>(j)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133,538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141,900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(8,750)</w:t>
            </w:r>
          </w:p>
        </w:tc>
        <w:tc>
          <w:tcPr>
            <w:tcW w:w="660" w:type="dxa"/>
            <w:vAlign w:val="bottom"/>
          </w:tcPr>
          <w:p>
            <w:pPr>
              <w:ind w:left="22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69,238</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154,399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121,129</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344,766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(95,006)</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 Members'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Class A</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660" w:type="dxa"/>
            <w:vAlign w:val="bottom"/>
          </w:tcPr>
          <w:p>
            <w:pPr>
              <w:ind w:left="220"/>
              <w:spacing w:after="0"/>
              <w:rPr>
                <w:sz w:val="20"/>
                <w:szCs w:val="20"/>
                <w:color w:val="auto"/>
              </w:rPr>
            </w:pPr>
            <w:r>
              <w:rPr>
                <w:rFonts w:ascii="Arial" w:cs="Arial" w:eastAsia="Arial" w:hAnsi="Arial"/>
                <w:sz w:val="18"/>
                <w:szCs w:val="18"/>
                <w:color w:val="auto"/>
              </w:rPr>
              <w: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tcPr>
          <w:p>
            <w:pPr>
              <w:ind w:left="22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660" w:type="dxa"/>
            <w:vAlign w:val="bottom"/>
          </w:tcPr>
          <w:p>
            <w:pPr>
              <w:ind w:left="22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V</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Members' units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18,809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(18,809)</w:t>
            </w:r>
          </w:p>
        </w:tc>
        <w:tc>
          <w:tcPr>
            <w:tcW w:w="660" w:type="dxa"/>
            <w:vAlign w:val="bottom"/>
          </w:tcPr>
          <w:p>
            <w:pPr>
              <w:ind w:left="2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(26,908)</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324,997</w:t>
            </w:r>
          </w:p>
        </w:tc>
        <w:tc>
          <w:tcPr>
            <w:tcW w:w="660" w:type="dxa"/>
            <w:vAlign w:val="bottom"/>
          </w:tcPr>
          <w:p>
            <w:pPr>
              <w:ind w:left="22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95,005</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660" w:type="dxa"/>
            <w:vAlign w:val="bottom"/>
          </w:tcPr>
          <w:p>
            <w:pPr>
              <w:ind w:left="2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(125,950)</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tcPr>
          <w:p>
            <w:pPr>
              <w:ind w:left="240"/>
              <w:spacing w:after="0"/>
              <w:rPr>
                <w:sz w:val="20"/>
                <w:szCs w:val="20"/>
                <w:color w:val="auto"/>
              </w:rPr>
            </w:pPr>
            <w:r>
              <w:rPr>
                <w:rFonts w:ascii="Arial" w:cs="Arial" w:eastAsia="Arial" w:hAnsi="Arial"/>
                <w:sz w:val="18"/>
                <w:szCs w:val="18"/>
                <w:color w:val="auto"/>
              </w:rPr>
              <w:t>(i)</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23,566</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13,200</w:t>
            </w:r>
          </w:p>
        </w:tc>
        <w:tc>
          <w:tcPr>
            <w:tcW w:w="660" w:type="dxa"/>
            <w:vAlign w:val="bottom"/>
          </w:tcPr>
          <w:p>
            <w:pPr>
              <w:ind w:left="220"/>
              <w:spacing w:after="0"/>
              <w:rPr>
                <w:sz w:val="20"/>
                <w:szCs w:val="20"/>
                <w:color w:val="auto"/>
              </w:rPr>
            </w:pPr>
            <w:r>
              <w:rPr>
                <w:rFonts w:ascii="Arial" w:cs="Arial" w:eastAsia="Arial" w:hAnsi="Arial"/>
                <w:sz w:val="18"/>
                <w:szCs w:val="18"/>
                <w:color w:val="auto"/>
              </w:rPr>
              <w:t>(k)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(455,182)</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17,096</w:t>
            </w:r>
          </w:p>
        </w:tc>
        <w:tc>
          <w:tcPr>
            <w:tcW w:w="660" w:type="dxa"/>
            <w:vAlign w:val="bottom"/>
          </w:tcPr>
          <w:p>
            <w:pPr>
              <w:ind w:left="2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125,950</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660" w:type="dxa"/>
            <w:vAlign w:val="bottom"/>
          </w:tcPr>
          <w:p>
            <w:pPr>
              <w:ind w:left="22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(13,200)</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28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stockholders' equity (deficit) attributable to common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26,383</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(35,741)</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(4,357)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 members' equity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(5,849)</w:t>
            </w:r>
          </w:p>
        </w:tc>
        <w:tc>
          <w:tcPr>
            <w:tcW w:w="660" w:type="dxa"/>
            <w:vAlign w:val="bottom"/>
          </w:tcPr>
          <w:p>
            <w:pPr>
              <w:ind w:left="2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 members' equity</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(41,590)</w:t>
            </w: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432" w:name="page433"/>
    <w:bookmarkEnd w:id="432"/>
    <w:p>
      <w:pPr>
        <w:spacing w:after="0"/>
        <w:tabs>
          <w:tab w:leader="none" w:pos="5740" w:val="left"/>
          <w:tab w:leader="none" w:pos="6440" w:val="left"/>
          <w:tab w:leader="none" w:pos="6940" w:val="left"/>
          <w:tab w:leader="none" w:pos="7760" w:val="left"/>
          <w:tab w:leader="none" w:pos="8300" w:val="left"/>
          <w:tab w:leader="none" w:pos="10020" w:val="left"/>
          <w:tab w:leader="none" w:pos="10520" w:val="left"/>
        </w:tabs>
        <w:rPr>
          <w:sz w:val="20"/>
          <w:szCs w:val="20"/>
          <w:color w:val="auto"/>
        </w:rPr>
      </w:pPr>
      <w:r>
        <w:rPr>
          <w:rFonts w:ascii="Arial" w:cs="Arial" w:eastAsia="Arial" w:hAnsi="Arial"/>
          <w:sz w:val="18"/>
          <w:szCs w:val="18"/>
          <w:b w:val="1"/>
          <w:bCs w:val="1"/>
          <w:color w:val="auto"/>
        </w:rPr>
        <w:t>Total liabilities and stockholders' equity (deficit)/ members' equity $</w:t>
      </w:r>
      <w:r>
        <w:rPr>
          <w:sz w:val="20"/>
          <w:szCs w:val="20"/>
          <w:color w:val="auto"/>
        </w:rPr>
        <w:tab/>
      </w:r>
      <w:r>
        <w:rPr>
          <w:rFonts w:ascii="Arial" w:cs="Arial" w:eastAsia="Arial" w:hAnsi="Arial"/>
          <w:sz w:val="18"/>
          <w:szCs w:val="18"/>
          <w:b w:val="1"/>
          <w:bCs w:val="1"/>
          <w:color w:val="auto"/>
        </w:rPr>
        <w:t>95,621</w:t>
        <w:tab/>
        <w:t>$</w:t>
      </w:r>
      <w:r>
        <w:rPr>
          <w:sz w:val="20"/>
          <w:szCs w:val="20"/>
          <w:color w:val="auto"/>
        </w:rPr>
        <w:tab/>
      </w:r>
      <w:r>
        <w:rPr>
          <w:rFonts w:ascii="Arial" w:cs="Arial" w:eastAsia="Arial" w:hAnsi="Arial"/>
          <w:sz w:val="18"/>
          <w:szCs w:val="18"/>
          <w:b w:val="1"/>
          <w:bCs w:val="1"/>
          <w:color w:val="auto"/>
        </w:rPr>
        <w:t>254,406</w:t>
        <w:tab/>
        <w:t>$</w:t>
      </w:r>
      <w:r>
        <w:rPr>
          <w:sz w:val="20"/>
          <w:szCs w:val="20"/>
          <w:color w:val="auto"/>
        </w:rPr>
        <w:tab/>
      </w:r>
      <w:r>
        <w:rPr>
          <w:rFonts w:ascii="Arial" w:cs="Arial" w:eastAsia="Arial" w:hAnsi="Arial"/>
          <w:sz w:val="18"/>
          <w:szCs w:val="18"/>
          <w:b w:val="1"/>
          <w:bCs w:val="1"/>
          <w:color w:val="auto"/>
        </w:rPr>
        <w:t>(15,467)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334,560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780155"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3780155" cy="342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433" w:name="page434"/>
    <w:bookmarkEnd w:id="433"/>
    <w:p>
      <w:pPr>
        <w:jc w:val="center"/>
        <w:spacing w:after="0"/>
        <w:rPr>
          <w:sz w:val="20"/>
          <w:szCs w:val="20"/>
          <w:color w:val="auto"/>
        </w:rPr>
      </w:pPr>
      <w:r>
        <w:rPr>
          <w:rFonts w:ascii="Arial" w:cs="Arial" w:eastAsia="Arial" w:hAnsi="Arial"/>
          <w:sz w:val="22"/>
          <w:szCs w:val="22"/>
          <w:b w:val="1"/>
          <w:bCs w:val="1"/>
          <w:color w:val="231F20"/>
        </w:rPr>
        <w:t>UNAUDITED PRO FORMA CONDENSED COMBINED STATEMENT OF OPERATIONS FOR THE</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231F20"/>
        </w:rPr>
        <w:t>THREE MONTHS ENDED MARCH 31, 2021</w:t>
      </w:r>
    </w:p>
    <w:p>
      <w:pPr>
        <w:ind w:left="3440"/>
        <w:spacing w:after="0"/>
        <w:rPr>
          <w:sz w:val="20"/>
          <w:szCs w:val="20"/>
          <w:color w:val="auto"/>
        </w:rPr>
      </w:pPr>
      <w:r>
        <w:rPr>
          <w:rFonts w:ascii="Arial" w:cs="Arial" w:eastAsia="Arial" w:hAnsi="Arial"/>
          <w:sz w:val="22"/>
          <w:szCs w:val="22"/>
          <w:b w:val="1"/>
          <w:bCs w:val="1"/>
          <w:color w:val="231F20"/>
        </w:rPr>
        <w:t>(in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Transaction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Accounting</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WMH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Silver Spike</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w w:val="91"/>
              </w:rPr>
              <w:t>(Historical)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(Note 2)</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7,868</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(bb)</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13,589</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(cc)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8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33,433</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3"/>
              </w:rPr>
              <w:t>Interest earned on marketable securities held in Trust Account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(aa)</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Unrealized gain on marketable securities held in Trust Account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(78,220)</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(78,928)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(70,471)</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(ff)</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(78,928)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8,907</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(62,290)</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(gg)</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(78,928)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49,279</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(21,918)</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2"/>
              </w:rPr>
              <w:t>Basic and diluted weighted average shares outstanding - Class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63,738,563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 Class 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r>
      <w:tr>
        <w:trPr>
          <w:trHeight w:val="58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5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22"/>
          <w:szCs w:val="22"/>
          <w:b w:val="1"/>
          <w:bCs w:val="1"/>
          <w:color w:val="231F20"/>
        </w:rPr>
        <w:t>UNAUDITED PRO FORMA CONDENSED COMBINED STATEMENT OF OPERATIONS FOR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YEAR ENDED DECEMBER 31, 2020</w:t>
      </w:r>
    </w:p>
    <w:p>
      <w:pPr>
        <w:jc w:val="center"/>
        <w:spacing w:after="0"/>
        <w:rPr>
          <w:sz w:val="20"/>
          <w:szCs w:val="20"/>
          <w:color w:val="auto"/>
        </w:rPr>
      </w:pPr>
      <w:r>
        <w:rPr>
          <w:rFonts w:ascii="Arial" w:cs="Arial" w:eastAsia="Arial" w:hAnsi="Arial"/>
          <w:sz w:val="22"/>
          <w:szCs w:val="22"/>
          <w:b w:val="1"/>
          <w:bCs w:val="1"/>
          <w:color w:val="231F20"/>
        </w:rPr>
        <w:t>(in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Transaction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Accounting</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WMH</w:t>
            </w:r>
          </w:p>
        </w:tc>
        <w:tc>
          <w:tcPr>
            <w:tcW w:w="10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Silver Spike</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(Historical)</w:t>
            </w:r>
          </w:p>
        </w:tc>
        <w:tc>
          <w:tcPr>
            <w:tcW w:w="10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(Note 2)</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7,630</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30,716</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27,142</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(bb)</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65,380</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(2,571)</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(cc)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13,200</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3,978</w:t>
            </w:r>
          </w:p>
        </w:tc>
      </w:tr>
      <w:tr>
        <w:trPr>
          <w:trHeight w:val="223"/>
        </w:trPr>
        <w:tc>
          <w:tcPr>
            <w:tcW w:w="4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(10,389)</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26,945</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(2,258)</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w w:val="95"/>
              </w:rPr>
              <w:t>Unrealized gain on marketable securities held in Trust Account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(aa)</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(50,420)</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(2,970)</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(ee)</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(5,336)</w:t>
            </w: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(48,157)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(5,233)</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(55,758)</w:t>
            </w: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(3,443)</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(ff)</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(3,443)</w:t>
            </w: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(16,507)</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(gg)</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(16,507)</w:t>
            </w:r>
          </w:p>
        </w:tc>
      </w:tr>
      <w:tr>
        <w:trPr>
          <w:trHeight w:val="25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weighted average shares outstanding - Class A</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63,738,563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Basic and diluted net loss per share - Class 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r>
        <w:trPr>
          <w:trHeight w:val="568"/>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5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435" w:name="page436"/>
    <w:bookmarkEnd w:id="435"/>
    <w:p>
      <w:pPr>
        <w:spacing w:after="0"/>
        <w:rPr>
          <w:sz w:val="20"/>
          <w:szCs w:val="20"/>
          <w:color w:val="auto"/>
        </w:rPr>
      </w:pPr>
      <w:r>
        <w:rPr>
          <w:rFonts w:ascii="Arial" w:cs="Arial" w:eastAsia="Arial" w:hAnsi="Arial"/>
          <w:sz w:val="22"/>
          <w:szCs w:val="22"/>
          <w:b w:val="1"/>
          <w:bCs w:val="1"/>
          <w:i w:val="1"/>
          <w:iCs w:val="1"/>
          <w:color w:val="231F20"/>
        </w:rPr>
        <w:t>Notes to Unaudited Pro Forma Condensed Combined Financial Statements</w:t>
      </w:r>
    </w:p>
    <w:p>
      <w:pPr>
        <w:spacing w:after="0" w:line="237" w:lineRule="exact"/>
        <w:rPr>
          <w:sz w:val="20"/>
          <w:szCs w:val="20"/>
          <w:color w:val="auto"/>
        </w:rPr>
      </w:pPr>
    </w:p>
    <w:p>
      <w:pPr>
        <w:ind w:left="660" w:hanging="652"/>
        <w:spacing w:after="0"/>
        <w:tabs>
          <w:tab w:leader="none" w:pos="660" w:val="left"/>
        </w:tabs>
        <w:numPr>
          <w:ilvl w:val="0"/>
          <w:numId w:val="409"/>
        </w:numPr>
        <w:rPr>
          <w:rFonts w:ascii="Arial" w:cs="Arial" w:eastAsia="Arial" w:hAnsi="Arial"/>
          <w:sz w:val="18"/>
          <w:szCs w:val="18"/>
          <w:b w:val="1"/>
          <w:bCs w:val="1"/>
          <w:color w:val="231F20"/>
        </w:rPr>
      </w:pPr>
      <w:r>
        <w:rPr>
          <w:rFonts w:ascii="Arial" w:cs="Arial" w:eastAsia="Arial" w:hAnsi="Arial"/>
          <w:sz w:val="18"/>
          <w:szCs w:val="18"/>
          <w:b w:val="1"/>
          <w:bCs w:val="1"/>
          <w:color w:val="231F20"/>
        </w:rPr>
        <w:t>Basis of Presentation</w:t>
      </w:r>
    </w:p>
    <w:p>
      <w:pPr>
        <w:spacing w:after="0" w:line="249"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231F20"/>
        </w:rPr>
        <w:t>The Business Combination is accounted for as a reverse recapitalization in accordance with GAAP. Under this method of accounting, Silver Spike is treated as the “acquired” company for financial reporting purposes. Accordingly, for accounting purposes, the Business Combination will be treated as the equivalent of Legacy WMH issuing stock for the net assets of Silver Spike, accompanied by a recapitalization. The net assets of Silver Spike are stated at historical cost, with no goodwill or other intangible assets recorded.</w:t>
      </w:r>
    </w:p>
    <w:p>
      <w:pPr>
        <w:spacing w:after="0" w:line="214"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231F20"/>
        </w:rPr>
        <w:t>The unaudited pro forma condensed combined balance sheet as of March 31, 2021 gives pro forma effect to the Business Combination as if it had been consummated on March 31, 2021. The unaudited pro forma condensed combined statements of operations for the three months ended March 31, 2021 and year ended December 31, 2020, give pro forma effect to the Business Combination as if it had been consummated on January 1, 2020.</w:t>
      </w:r>
    </w:p>
    <w:p>
      <w:pPr>
        <w:spacing w:after="0" w:line="20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231F20"/>
        </w:rPr>
        <w:t>The unaudited pro forma condensed combined balance sheet as of March 31, 2021 has been prepared using, and should be read in conjunction with, the following:</w:t>
      </w:r>
    </w:p>
    <w:p>
      <w:pPr>
        <w:spacing w:after="0" w:line="209" w:lineRule="exact"/>
        <w:rPr>
          <w:sz w:val="20"/>
          <w:szCs w:val="20"/>
          <w:color w:val="auto"/>
        </w:rPr>
      </w:pPr>
    </w:p>
    <w:p>
      <w:pPr>
        <w:ind w:left="980" w:hanging="324"/>
        <w:spacing w:after="0"/>
        <w:tabs>
          <w:tab w:leader="none" w:pos="980" w:val="left"/>
        </w:tabs>
        <w:numPr>
          <w:ilvl w:val="0"/>
          <w:numId w:val="410"/>
        </w:numPr>
        <w:rPr>
          <w:rFonts w:ascii="Arial" w:cs="Arial" w:eastAsia="Arial" w:hAnsi="Arial"/>
          <w:sz w:val="17"/>
          <w:szCs w:val="17"/>
          <w:color w:val="231F20"/>
        </w:rPr>
      </w:pPr>
      <w:r>
        <w:rPr>
          <w:rFonts w:ascii="Arial" w:cs="Arial" w:eastAsia="Arial" w:hAnsi="Arial"/>
          <w:sz w:val="17"/>
          <w:szCs w:val="17"/>
          <w:color w:val="231F20"/>
        </w:rPr>
        <w:t>Silver Spike’s unaudited balance sheet as of March 31, 2021 and the related notes, included in the Proxy Statement/Prospectus; and</w:t>
      </w:r>
    </w:p>
    <w:p>
      <w:pPr>
        <w:spacing w:after="0" w:line="263" w:lineRule="exact"/>
        <w:rPr>
          <w:rFonts w:ascii="Arial" w:cs="Arial" w:eastAsia="Arial" w:hAnsi="Arial"/>
          <w:sz w:val="17"/>
          <w:szCs w:val="17"/>
          <w:color w:val="231F20"/>
        </w:rPr>
      </w:pPr>
    </w:p>
    <w:p>
      <w:pPr>
        <w:ind w:left="980" w:hanging="324"/>
        <w:spacing w:after="0"/>
        <w:tabs>
          <w:tab w:leader="none" w:pos="980" w:val="left"/>
        </w:tabs>
        <w:numPr>
          <w:ilvl w:val="0"/>
          <w:numId w:val="410"/>
        </w:numPr>
        <w:rPr>
          <w:rFonts w:ascii="Arial" w:cs="Arial" w:eastAsia="Arial" w:hAnsi="Arial"/>
          <w:sz w:val="17"/>
          <w:szCs w:val="17"/>
          <w:color w:val="231F20"/>
        </w:rPr>
      </w:pPr>
      <w:r>
        <w:rPr>
          <w:rFonts w:ascii="Arial" w:cs="Arial" w:eastAsia="Arial" w:hAnsi="Arial"/>
          <w:sz w:val="17"/>
          <w:szCs w:val="17"/>
          <w:color w:val="231F20"/>
        </w:rPr>
        <w:t>Legacy WMH’s unaudited balance sheet as of March 31, 2021 and the related notes, included in the Proxy Statement/Prospectus.</w:t>
      </w:r>
    </w:p>
    <w:p>
      <w:pPr>
        <w:spacing w:after="0" w:line="256"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231F20"/>
        </w:rPr>
        <w:t>The unaudited pro forma condensed combined statement of operations for the three months ended March 31, 2021 has been prepared using, and should be read in conjunction with, the following:</w:t>
      </w:r>
    </w:p>
    <w:p>
      <w:pPr>
        <w:spacing w:after="0" w:line="209" w:lineRule="exact"/>
        <w:rPr>
          <w:sz w:val="20"/>
          <w:szCs w:val="20"/>
          <w:color w:val="auto"/>
        </w:rPr>
      </w:pPr>
    </w:p>
    <w:p>
      <w:pPr>
        <w:ind w:left="980" w:right="460" w:hanging="324"/>
        <w:spacing w:after="0" w:line="277" w:lineRule="auto"/>
        <w:tabs>
          <w:tab w:leader="none" w:pos="980" w:val="left"/>
        </w:tabs>
        <w:numPr>
          <w:ilvl w:val="0"/>
          <w:numId w:val="411"/>
        </w:numPr>
        <w:rPr>
          <w:rFonts w:ascii="Arial" w:cs="Arial" w:eastAsia="Arial" w:hAnsi="Arial"/>
          <w:sz w:val="18"/>
          <w:szCs w:val="18"/>
          <w:color w:val="231F20"/>
        </w:rPr>
      </w:pPr>
      <w:r>
        <w:rPr>
          <w:rFonts w:ascii="Arial" w:cs="Arial" w:eastAsia="Arial" w:hAnsi="Arial"/>
          <w:sz w:val="18"/>
          <w:szCs w:val="18"/>
          <w:color w:val="231F20"/>
        </w:rPr>
        <w:t>Silver Spike’s unaudited statement of operations for the three months ended March 31, 2021 and the related notes, included in the Proxy Statement/Prospectus; and</w:t>
      </w:r>
    </w:p>
    <w:p>
      <w:pPr>
        <w:spacing w:after="0" w:line="197" w:lineRule="exact"/>
        <w:rPr>
          <w:rFonts w:ascii="Arial" w:cs="Arial" w:eastAsia="Arial" w:hAnsi="Arial"/>
          <w:sz w:val="18"/>
          <w:szCs w:val="18"/>
          <w:color w:val="231F20"/>
        </w:rPr>
      </w:pPr>
    </w:p>
    <w:p>
      <w:pPr>
        <w:ind w:left="980" w:right="300" w:hanging="324"/>
        <w:spacing w:after="0" w:line="277" w:lineRule="auto"/>
        <w:tabs>
          <w:tab w:leader="none" w:pos="980" w:val="left"/>
        </w:tabs>
        <w:numPr>
          <w:ilvl w:val="0"/>
          <w:numId w:val="411"/>
        </w:numPr>
        <w:rPr>
          <w:rFonts w:ascii="Arial" w:cs="Arial" w:eastAsia="Arial" w:hAnsi="Arial"/>
          <w:sz w:val="18"/>
          <w:szCs w:val="18"/>
          <w:color w:val="231F20"/>
        </w:rPr>
      </w:pPr>
      <w:r>
        <w:rPr>
          <w:rFonts w:ascii="Arial" w:cs="Arial" w:eastAsia="Arial" w:hAnsi="Arial"/>
          <w:sz w:val="18"/>
          <w:szCs w:val="18"/>
          <w:color w:val="231F20"/>
        </w:rPr>
        <w:t>Legacy WMH’s unaudited statement of operations for the three months ended March 31, 2021 and the related notes, included in the Proxy Statement/Prospectus.</w:t>
      </w:r>
    </w:p>
    <w:p>
      <w:pPr>
        <w:spacing w:after="0" w:line="190"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231F20"/>
        </w:rPr>
        <w:t>The unaudited pro forma condensed combined statement of operations for the year ended December 31, 2020 has been prepared using, and should be read in conjunction with, the following:</w:t>
      </w:r>
    </w:p>
    <w:p>
      <w:pPr>
        <w:spacing w:after="0" w:line="209" w:lineRule="exact"/>
        <w:rPr>
          <w:sz w:val="20"/>
          <w:szCs w:val="20"/>
          <w:color w:val="auto"/>
        </w:rPr>
      </w:pPr>
    </w:p>
    <w:p>
      <w:pPr>
        <w:ind w:left="980" w:right="980" w:hanging="324"/>
        <w:spacing w:after="0" w:line="277" w:lineRule="auto"/>
        <w:tabs>
          <w:tab w:leader="none" w:pos="980" w:val="left"/>
        </w:tabs>
        <w:numPr>
          <w:ilvl w:val="0"/>
          <w:numId w:val="412"/>
        </w:numPr>
        <w:rPr>
          <w:rFonts w:ascii="Arial" w:cs="Arial" w:eastAsia="Arial" w:hAnsi="Arial"/>
          <w:sz w:val="18"/>
          <w:szCs w:val="18"/>
          <w:color w:val="231F20"/>
        </w:rPr>
      </w:pPr>
      <w:r>
        <w:rPr>
          <w:rFonts w:ascii="Arial" w:cs="Arial" w:eastAsia="Arial" w:hAnsi="Arial"/>
          <w:sz w:val="18"/>
          <w:szCs w:val="18"/>
          <w:color w:val="231F20"/>
        </w:rPr>
        <w:t>Silver Spike’s audited statement of operations for the year ended December 31, 2020 and the related notes, included in the Proxy Statement/Prospectus; and</w:t>
      </w:r>
    </w:p>
    <w:p>
      <w:pPr>
        <w:spacing w:after="0" w:line="197" w:lineRule="exact"/>
        <w:rPr>
          <w:rFonts w:ascii="Arial" w:cs="Arial" w:eastAsia="Arial" w:hAnsi="Arial"/>
          <w:sz w:val="18"/>
          <w:szCs w:val="18"/>
          <w:color w:val="231F20"/>
        </w:rPr>
      </w:pPr>
    </w:p>
    <w:p>
      <w:pPr>
        <w:ind w:left="980" w:right="360" w:hanging="324"/>
        <w:spacing w:after="0" w:line="277" w:lineRule="auto"/>
        <w:tabs>
          <w:tab w:leader="none" w:pos="980" w:val="left"/>
        </w:tabs>
        <w:numPr>
          <w:ilvl w:val="0"/>
          <w:numId w:val="412"/>
        </w:numPr>
        <w:rPr>
          <w:rFonts w:ascii="Arial" w:cs="Arial" w:eastAsia="Arial" w:hAnsi="Arial"/>
          <w:sz w:val="18"/>
          <w:szCs w:val="18"/>
          <w:color w:val="231F20"/>
        </w:rPr>
      </w:pPr>
      <w:r>
        <w:rPr>
          <w:rFonts w:ascii="Arial" w:cs="Arial" w:eastAsia="Arial" w:hAnsi="Arial"/>
          <w:sz w:val="18"/>
          <w:szCs w:val="18"/>
          <w:color w:val="231F20"/>
        </w:rPr>
        <w:t>Legacy WMH’s audited consolidated statement of operations for the year ended December 31, 2020 and the related notes, included in the Proxy Statement/Prospectus.</w:t>
      </w:r>
    </w:p>
    <w:p>
      <w:pPr>
        <w:spacing w:after="0" w:line="190"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231F20"/>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13"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231F20"/>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6" w:name="page437"/>
    <w:bookmarkEnd w:id="436"/>
    <w:p>
      <w:pPr>
        <w:ind w:firstLine="648"/>
        <w:spacing w:after="0" w:line="287" w:lineRule="auto"/>
        <w:rPr>
          <w:sz w:val="20"/>
          <w:szCs w:val="20"/>
          <w:color w:val="auto"/>
        </w:rPr>
      </w:pPr>
      <w:r>
        <w:rPr>
          <w:rFonts w:ascii="Arial" w:cs="Arial" w:eastAsia="Arial" w:hAnsi="Arial"/>
          <w:sz w:val="19"/>
          <w:szCs w:val="19"/>
          <w:color w:val="231F20"/>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Silver Spike and Legacy WMH.</w:t>
      </w:r>
    </w:p>
    <w:p>
      <w:pPr>
        <w:spacing w:after="0" w:line="173" w:lineRule="exact"/>
        <w:rPr>
          <w:sz w:val="20"/>
          <w:szCs w:val="20"/>
          <w:color w:val="auto"/>
        </w:rPr>
      </w:pPr>
    </w:p>
    <w:p>
      <w:pPr>
        <w:ind w:left="660" w:hanging="652"/>
        <w:spacing w:after="0"/>
        <w:tabs>
          <w:tab w:leader="none" w:pos="660" w:val="left"/>
        </w:tabs>
        <w:numPr>
          <w:ilvl w:val="0"/>
          <w:numId w:val="413"/>
        </w:numPr>
        <w:rPr>
          <w:rFonts w:ascii="Arial" w:cs="Arial" w:eastAsia="Arial" w:hAnsi="Arial"/>
          <w:sz w:val="18"/>
          <w:szCs w:val="18"/>
          <w:b w:val="1"/>
          <w:bCs w:val="1"/>
          <w:color w:val="231F20"/>
        </w:rPr>
      </w:pPr>
      <w:r>
        <w:rPr>
          <w:rFonts w:ascii="Arial" w:cs="Arial" w:eastAsia="Arial" w:hAnsi="Arial"/>
          <w:sz w:val="18"/>
          <w:szCs w:val="18"/>
          <w:b w:val="1"/>
          <w:bCs w:val="1"/>
          <w:color w:val="231F20"/>
        </w:rPr>
        <w:t>Adjustments to Unaudited Pro Forma Condensed Combined Financial Information</w:t>
      </w:r>
    </w:p>
    <w:p>
      <w:pPr>
        <w:spacing w:after="0" w:line="249" w:lineRule="exact"/>
        <w:rPr>
          <w:sz w:val="20"/>
          <w:szCs w:val="20"/>
          <w:color w:val="auto"/>
        </w:rPr>
      </w:pPr>
    </w:p>
    <w:p>
      <w:pPr>
        <w:ind w:right="600" w:firstLine="648"/>
        <w:spacing w:after="0" w:line="250" w:lineRule="auto"/>
        <w:rPr>
          <w:sz w:val="20"/>
          <w:szCs w:val="20"/>
          <w:color w:val="auto"/>
        </w:rPr>
      </w:pPr>
      <w:r>
        <w:rPr>
          <w:rFonts w:ascii="Arial" w:cs="Arial" w:eastAsia="Arial" w:hAnsi="Arial"/>
          <w:sz w:val="22"/>
          <w:szCs w:val="22"/>
          <w:color w:val="231F20"/>
        </w:rPr>
        <w:t>The unaudited pro forma condensed combined financial information has been prepared to illustrate the effect of the Business Combination and has been prepared for informational purposes only.</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The following unaudited pro forma condensed combined financial information has been prepared in accordance with Article 11 of Regulation S-X as amended by the final rule, Release No. 33-10786 “</w:t>
      </w:r>
      <w:r>
        <w:rPr>
          <w:rFonts w:ascii="Arial" w:cs="Arial" w:eastAsia="Arial" w:hAnsi="Arial"/>
          <w:sz w:val="19"/>
          <w:szCs w:val="19"/>
          <w:color w:val="231F20"/>
        </w:rPr>
        <w:t>Amendments</w:t>
      </w:r>
      <w:r>
        <w:rPr>
          <w:rFonts w:ascii="Arial" w:cs="Arial" w:eastAsia="Arial" w:hAnsi="Arial"/>
          <w:sz w:val="19"/>
          <w:szCs w:val="19"/>
          <w:color w:val="auto"/>
        </w:rPr>
        <w:t xml:space="preserve"> to Financial Disclosures about </w:t>
      </w:r>
      <w:r>
        <w:rPr>
          <w:rFonts w:ascii="Arial" w:cs="Arial" w:eastAsia="Arial" w:hAnsi="Arial"/>
          <w:sz w:val="19"/>
          <w:szCs w:val="19"/>
          <w:color w:val="231F20"/>
        </w:rPr>
        <w:t xml:space="preserve">Acquired </w:t>
      </w:r>
      <w:r>
        <w:rPr>
          <w:rFonts w:ascii="Arial" w:cs="Arial" w:eastAsia="Arial" w:hAnsi="Arial"/>
          <w:sz w:val="19"/>
          <w:szCs w:val="19"/>
          <w:color w:val="000000"/>
        </w:rPr>
        <w:t>and Disposed Businesses.” Release No. 33-10786 replaces the existing pro forma adjustment criteria with simplified</w:t>
      </w:r>
      <w:r>
        <w:rPr>
          <w:rFonts w:ascii="Arial" w:cs="Arial" w:eastAsia="Arial" w:hAnsi="Arial"/>
          <w:sz w:val="19"/>
          <w:szCs w:val="19"/>
          <w:color w:val="231F20"/>
        </w:rPr>
        <w:t xml:space="preserve"> </w:t>
      </w:r>
      <w:r>
        <w:rPr>
          <w:rFonts w:ascii="Arial" w:cs="Arial" w:eastAsia="Arial" w:hAnsi="Arial"/>
          <w:sz w:val="19"/>
          <w:szCs w:val="19"/>
          <w:color w:val="000000"/>
        </w:rPr>
        <w:t>requirements to depict the accounting for the transaction (“</w:t>
      </w:r>
      <w:r>
        <w:rPr>
          <w:rFonts w:ascii="Arial" w:cs="Arial" w:eastAsia="Arial" w:hAnsi="Arial"/>
          <w:sz w:val="19"/>
          <w:szCs w:val="19"/>
          <w:i w:val="1"/>
          <w:iCs w:val="1"/>
          <w:color w:val="000000"/>
        </w:rPr>
        <w:t>Transaction Accounting Adjustments”</w:t>
      </w:r>
      <w:r>
        <w:rPr>
          <w:rFonts w:ascii="Arial" w:cs="Arial" w:eastAsia="Arial" w:hAnsi="Arial"/>
          <w:sz w:val="19"/>
          <w:szCs w:val="19"/>
          <w:color w:val="000000"/>
        </w:rPr>
        <w:t>) and present the reasonably estimable synergies and other transaction effects that have occurred or are reasonably expected to occur (</w:t>
      </w:r>
      <w:r>
        <w:rPr>
          <w:rFonts w:ascii="Arial" w:cs="Arial" w:eastAsia="Arial" w:hAnsi="Arial"/>
          <w:sz w:val="19"/>
          <w:szCs w:val="19"/>
          <w:i w:val="1"/>
          <w:iCs w:val="1"/>
          <w:color w:val="000000"/>
        </w:rPr>
        <w:t>“Management’s</w:t>
      </w:r>
      <w:r>
        <w:rPr>
          <w:rFonts w:ascii="Arial" w:cs="Arial" w:eastAsia="Arial" w:hAnsi="Arial"/>
          <w:sz w:val="19"/>
          <w:szCs w:val="19"/>
          <w:color w:val="000000"/>
        </w:rPr>
        <w:t xml:space="preserve"> </w:t>
      </w:r>
      <w:r>
        <w:rPr>
          <w:rFonts w:ascii="Arial" w:cs="Arial" w:eastAsia="Arial" w:hAnsi="Arial"/>
          <w:sz w:val="19"/>
          <w:szCs w:val="19"/>
          <w:i w:val="1"/>
          <w:iCs w:val="1"/>
          <w:color w:val="000000"/>
        </w:rPr>
        <w:t>Adjustments”</w:t>
      </w:r>
      <w:r>
        <w:rPr>
          <w:rFonts w:ascii="Arial" w:cs="Arial" w:eastAsia="Arial" w:hAnsi="Arial"/>
          <w:sz w:val="19"/>
          <w:szCs w:val="19"/>
          <w:color w:val="000000"/>
        </w:rPr>
        <w:t>). The Company has elected not to present Management’s Adjustments and will only be presenting Transaction</w:t>
      </w:r>
      <w:r>
        <w:rPr>
          <w:rFonts w:ascii="Arial" w:cs="Arial" w:eastAsia="Arial" w:hAnsi="Arial"/>
          <w:sz w:val="19"/>
          <w:szCs w:val="19"/>
          <w:i w:val="1"/>
          <w:iCs w:val="1"/>
          <w:color w:val="000000"/>
        </w:rPr>
        <w:t xml:space="preserve"> </w:t>
      </w:r>
      <w:r>
        <w:rPr>
          <w:rFonts w:ascii="Arial" w:cs="Arial" w:eastAsia="Arial" w:hAnsi="Arial"/>
          <w:sz w:val="19"/>
          <w:szCs w:val="19"/>
          <w:color w:val="000000"/>
        </w:rPr>
        <w:t>Accounting Adjustments in the following unaudited pro forma condensed combined financial information.</w:t>
      </w:r>
    </w:p>
    <w:p>
      <w:pPr>
        <w:spacing w:after="0" w:line="179"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231F20"/>
        </w:rPr>
        <w:t>Silver Spike and Legacy WMH have not had any historical relationship prior to the Business Combination. Accordingly, no pro forma adjustments were required to eliminate activities between the companies.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31F20"/>
        </w:rPr>
        <w:t>Transaction Accounting Adjustments to Unaudited Pro Forma Condensed Combined Balance Sheet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Transaction Accounting Adjustments included in the unaudited pro forma condensed combined balance </w:t>
      </w:r>
      <w:r>
        <w:rPr>
          <w:rFonts w:ascii="Arial" w:cs="Arial" w:eastAsia="Arial" w:hAnsi="Arial"/>
          <w:sz w:val="19"/>
          <w:szCs w:val="19"/>
          <w:color w:val="231F20"/>
        </w:rPr>
        <w:t>sheet</w:t>
      </w:r>
      <w:r>
        <w:rPr>
          <w:rFonts w:ascii="Arial" w:cs="Arial" w:eastAsia="Arial" w:hAnsi="Arial"/>
          <w:sz w:val="19"/>
          <w:szCs w:val="19"/>
          <w:color w:val="auto"/>
        </w:rPr>
        <w:t xml:space="preserve">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March 31, 2021 are as follows:</w:t>
      </w:r>
    </w:p>
    <w:p>
      <w:pPr>
        <w:spacing w:after="0" w:line="222" w:lineRule="exact"/>
        <w:rPr>
          <w:sz w:val="20"/>
          <w:szCs w:val="20"/>
          <w:color w:val="auto"/>
        </w:rPr>
      </w:pPr>
    </w:p>
    <w:p>
      <w:pPr>
        <w:ind w:left="1300" w:right="980" w:hanging="644"/>
        <w:spacing w:after="0" w:line="277" w:lineRule="auto"/>
        <w:tabs>
          <w:tab w:leader="none" w:pos="1300" w:val="left"/>
        </w:tabs>
        <w:numPr>
          <w:ilvl w:val="0"/>
          <w:numId w:val="414"/>
        </w:numPr>
        <w:rPr>
          <w:rFonts w:ascii="Arial" w:cs="Arial" w:eastAsia="Arial" w:hAnsi="Arial"/>
          <w:sz w:val="18"/>
          <w:szCs w:val="18"/>
          <w:color w:val="231F20"/>
        </w:rPr>
      </w:pPr>
      <w:r>
        <w:rPr>
          <w:rFonts w:ascii="Arial" w:cs="Arial" w:eastAsia="Arial" w:hAnsi="Arial"/>
          <w:sz w:val="18"/>
          <w:szCs w:val="18"/>
          <w:color w:val="231F20"/>
        </w:rPr>
        <w:t>Reflects the reclassification of marketable securities held in the Trust Account that became available following the Business Combination.</w:t>
      </w:r>
    </w:p>
    <w:p>
      <w:pPr>
        <w:spacing w:after="0" w:line="197"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231F20"/>
        </w:rPr>
      </w:pPr>
      <w:r>
        <w:rPr>
          <w:rFonts w:ascii="Arial" w:cs="Arial" w:eastAsia="Arial" w:hAnsi="Arial"/>
          <w:sz w:val="18"/>
          <w:szCs w:val="18"/>
          <w:color w:val="231F20"/>
        </w:rPr>
        <w:t>Reflects the settlement of $8.75 million in deferred underwriting fees.</w:t>
      </w:r>
    </w:p>
    <w:p>
      <w:pPr>
        <w:spacing w:after="0" w:line="252" w:lineRule="exact"/>
        <w:rPr>
          <w:sz w:val="20"/>
          <w:szCs w:val="20"/>
          <w:color w:val="auto"/>
        </w:rPr>
      </w:pPr>
    </w:p>
    <w:p>
      <w:pPr>
        <w:ind w:left="1300" w:right="300" w:hanging="644"/>
        <w:spacing w:after="0" w:line="342" w:lineRule="auto"/>
        <w:tabs>
          <w:tab w:leader="none" w:pos="1300" w:val="left"/>
        </w:tabs>
        <w:numPr>
          <w:ilvl w:val="0"/>
          <w:numId w:val="416"/>
        </w:numPr>
        <w:rPr>
          <w:rFonts w:ascii="Arial" w:cs="Arial" w:eastAsia="Arial" w:hAnsi="Arial"/>
          <w:sz w:val="16"/>
          <w:szCs w:val="16"/>
          <w:color w:val="231F20"/>
        </w:rPr>
      </w:pPr>
      <w:r>
        <w:rPr>
          <w:rFonts w:ascii="Arial" w:cs="Arial" w:eastAsia="Arial" w:hAnsi="Arial"/>
          <w:sz w:val="16"/>
          <w:szCs w:val="16"/>
          <w:color w:val="231F20"/>
        </w:rPr>
        <w:t>Represents estimated transaction costs incurred by Silver Spike and Legacy WMH of approximately $32.9 million for legal, financial advisory and other professional fees incurred in consummating the Business Combination. Of this amount, approximately:</w:t>
      </w:r>
    </w:p>
    <w:p>
      <w:pPr>
        <w:spacing w:after="0" w:line="150" w:lineRule="exact"/>
        <w:rPr>
          <w:rFonts w:ascii="Arial" w:cs="Arial" w:eastAsia="Arial" w:hAnsi="Arial"/>
          <w:sz w:val="16"/>
          <w:szCs w:val="16"/>
          <w:color w:val="231F20"/>
        </w:rPr>
      </w:pPr>
    </w:p>
    <w:p>
      <w:pPr>
        <w:ind w:left="1960" w:hanging="656"/>
        <w:spacing w:after="0"/>
        <w:tabs>
          <w:tab w:leader="none" w:pos="1960" w:val="left"/>
        </w:tabs>
        <w:numPr>
          <w:ilvl w:val="1"/>
          <w:numId w:val="416"/>
        </w:numPr>
        <w:rPr>
          <w:rFonts w:ascii="Arial" w:cs="Arial" w:eastAsia="Arial" w:hAnsi="Arial"/>
          <w:sz w:val="16"/>
          <w:szCs w:val="16"/>
          <w:color w:val="231F20"/>
        </w:rPr>
      </w:pPr>
      <w:r>
        <w:rPr>
          <w:rFonts w:ascii="Arial" w:cs="Arial" w:eastAsia="Arial" w:hAnsi="Arial"/>
          <w:sz w:val="16"/>
          <w:szCs w:val="16"/>
          <w:color w:val="231F20"/>
        </w:rPr>
        <w:t>$2.6 million was capitalized within Prepaid expenses and other current assets and paid by Legacy WMH as of March 31, 2021.</w:t>
      </w:r>
    </w:p>
    <w:p>
      <w:pPr>
        <w:spacing w:after="0" w:line="275" w:lineRule="exact"/>
        <w:rPr>
          <w:rFonts w:ascii="Arial" w:cs="Arial" w:eastAsia="Arial" w:hAnsi="Arial"/>
          <w:sz w:val="16"/>
          <w:szCs w:val="16"/>
          <w:color w:val="231F20"/>
        </w:rPr>
      </w:pPr>
    </w:p>
    <w:p>
      <w:pPr>
        <w:ind w:left="1960" w:right="620" w:hanging="656"/>
        <w:spacing w:after="0" w:line="277" w:lineRule="auto"/>
        <w:tabs>
          <w:tab w:leader="none" w:pos="1960" w:val="left"/>
        </w:tabs>
        <w:numPr>
          <w:ilvl w:val="1"/>
          <w:numId w:val="416"/>
        </w:numPr>
        <w:rPr>
          <w:rFonts w:ascii="Arial" w:cs="Arial" w:eastAsia="Arial" w:hAnsi="Arial"/>
          <w:sz w:val="18"/>
          <w:szCs w:val="18"/>
          <w:color w:val="231F20"/>
        </w:rPr>
      </w:pPr>
      <w:r>
        <w:rPr>
          <w:rFonts w:ascii="Arial" w:cs="Arial" w:eastAsia="Arial" w:hAnsi="Arial"/>
          <w:sz w:val="18"/>
          <w:szCs w:val="18"/>
          <w:color w:val="231F20"/>
        </w:rPr>
        <w:t>$0.6 was capitalized within Prepaid expenses and other current assets and accrued within Accounts payable and accrued expenses by Legacy WMH as of March 31, 2021.</w:t>
      </w:r>
    </w:p>
    <w:p>
      <w:pPr>
        <w:spacing w:after="0" w:line="197" w:lineRule="exact"/>
        <w:rPr>
          <w:rFonts w:ascii="Arial" w:cs="Arial" w:eastAsia="Arial" w:hAnsi="Arial"/>
          <w:sz w:val="18"/>
          <w:szCs w:val="18"/>
          <w:color w:val="231F20"/>
        </w:rPr>
      </w:pPr>
    </w:p>
    <w:p>
      <w:pPr>
        <w:ind w:left="1960" w:right="500" w:hanging="656"/>
        <w:spacing w:after="0" w:line="277" w:lineRule="auto"/>
        <w:tabs>
          <w:tab w:leader="none" w:pos="1960" w:val="left"/>
        </w:tabs>
        <w:numPr>
          <w:ilvl w:val="1"/>
          <w:numId w:val="416"/>
        </w:numPr>
        <w:rPr>
          <w:rFonts w:ascii="Arial" w:cs="Arial" w:eastAsia="Arial" w:hAnsi="Arial"/>
          <w:sz w:val="18"/>
          <w:szCs w:val="18"/>
          <w:color w:val="231F20"/>
        </w:rPr>
      </w:pPr>
      <w:r>
        <w:rPr>
          <w:rFonts w:ascii="Arial" w:cs="Arial" w:eastAsia="Arial" w:hAnsi="Arial"/>
          <w:sz w:val="18"/>
          <w:szCs w:val="18"/>
          <w:color w:val="231F20"/>
        </w:rPr>
        <w:t>$3.0 million was accrued by Silver Spike in Accounts payable and accrued expenses as of March 31, 2021 and previously recognized in expense.</w:t>
      </w:r>
    </w:p>
    <w:p>
      <w:pPr>
        <w:spacing w:after="0" w:line="197" w:lineRule="exact"/>
        <w:rPr>
          <w:rFonts w:ascii="Arial" w:cs="Arial" w:eastAsia="Arial" w:hAnsi="Arial"/>
          <w:sz w:val="18"/>
          <w:szCs w:val="18"/>
          <w:color w:val="231F20"/>
        </w:rPr>
      </w:pPr>
    </w:p>
    <w:p>
      <w:pPr>
        <w:ind w:left="1960" w:hanging="656"/>
        <w:spacing w:after="0" w:line="277" w:lineRule="auto"/>
        <w:tabs>
          <w:tab w:leader="none" w:pos="1960" w:val="left"/>
        </w:tabs>
        <w:numPr>
          <w:ilvl w:val="1"/>
          <w:numId w:val="416"/>
        </w:numPr>
        <w:rPr>
          <w:rFonts w:ascii="Arial" w:cs="Arial" w:eastAsia="Arial" w:hAnsi="Arial"/>
          <w:sz w:val="18"/>
          <w:szCs w:val="18"/>
          <w:color w:val="231F20"/>
        </w:rPr>
      </w:pPr>
      <w:r>
        <w:rPr>
          <w:rFonts w:ascii="Arial" w:cs="Arial" w:eastAsia="Arial" w:hAnsi="Arial"/>
          <w:sz w:val="18"/>
          <w:szCs w:val="18"/>
          <w:color w:val="231F20"/>
        </w:rPr>
        <w:t>$30.3 million was reflected as a reduction of cash, which represents the estimated transaction costs of $32.9 million less the $2.6 million previously paid by Legacy WMH.</w:t>
      </w:r>
    </w:p>
    <w:p>
      <w:pPr>
        <w:spacing w:after="0" w:line="197" w:lineRule="exact"/>
        <w:rPr>
          <w:rFonts w:ascii="Arial" w:cs="Arial" w:eastAsia="Arial" w:hAnsi="Arial"/>
          <w:sz w:val="18"/>
          <w:szCs w:val="18"/>
          <w:color w:val="231F20"/>
        </w:rPr>
      </w:pPr>
    </w:p>
    <w:p>
      <w:pPr>
        <w:ind w:left="1960" w:right="260" w:hanging="656"/>
        <w:spacing w:after="0" w:line="286" w:lineRule="auto"/>
        <w:tabs>
          <w:tab w:leader="none" w:pos="1960" w:val="left"/>
        </w:tabs>
        <w:numPr>
          <w:ilvl w:val="1"/>
          <w:numId w:val="416"/>
        </w:numPr>
        <w:rPr>
          <w:rFonts w:ascii="Arial" w:cs="Arial" w:eastAsia="Arial" w:hAnsi="Arial"/>
          <w:sz w:val="17"/>
          <w:szCs w:val="17"/>
          <w:color w:val="231F20"/>
        </w:rPr>
      </w:pPr>
      <w:r>
        <w:rPr>
          <w:rFonts w:ascii="Arial" w:cs="Arial" w:eastAsia="Arial" w:hAnsi="Arial"/>
          <w:sz w:val="17"/>
          <w:szCs w:val="17"/>
          <w:color w:val="231F20"/>
        </w:rPr>
        <w:t>$3.0 million were not capitalized as part of the Business Combination and reflected as a decrease in accumulated deficit. The costs expensed through accumulated deficit are included in the unaudited pro forma condensed combined statement of operations for the year ended December 31, 2020 as discussed in Note (ee) below.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7" w:name="page438"/>
    <w:bookmarkEnd w:id="437"/>
    <w:p>
      <w:pPr>
        <w:ind w:left="1960" w:right="140" w:hanging="656"/>
        <w:spacing w:after="0" w:line="275" w:lineRule="auto"/>
        <w:tabs>
          <w:tab w:leader="none" w:pos="1960" w:val="left"/>
        </w:tabs>
        <w:numPr>
          <w:ilvl w:val="0"/>
          <w:numId w:val="417"/>
        </w:numPr>
        <w:rPr>
          <w:rFonts w:ascii="Arial" w:cs="Arial" w:eastAsia="Arial" w:hAnsi="Arial"/>
          <w:sz w:val="17"/>
          <w:szCs w:val="17"/>
          <w:color w:val="231F20"/>
        </w:rPr>
      </w:pPr>
      <w:r>
        <w:rPr>
          <w:rFonts w:ascii="Arial" w:cs="Arial" w:eastAsia="Arial" w:hAnsi="Arial"/>
          <w:sz w:val="17"/>
          <w:szCs w:val="17"/>
          <w:color w:val="231F20"/>
        </w:rPr>
        <w:t>$26.9 million were capitalized and offset against the proceeds from the Business Combination and PIPE subscription financing and reflected as a decrease in additional paid-in capital. This amount represents total estimated transaction costs less: 1) $3.0 million previously recognized in expense by Silver Spike and reclassified to additional paid-in capital in Note 2(h) of this unaudited pro forma condensed combined financial information; and 2) $3.0 million that were not capitalized as part of the Business Combination and reflected as a decrease in accumulated deficit.</w:t>
      </w:r>
    </w:p>
    <w:p>
      <w:pPr>
        <w:spacing w:after="0" w:line="203" w:lineRule="exact"/>
        <w:rPr>
          <w:sz w:val="20"/>
          <w:szCs w:val="20"/>
          <w:color w:val="auto"/>
        </w:rPr>
      </w:pPr>
    </w:p>
    <w:p>
      <w:pPr>
        <w:ind w:left="1300" w:right="40" w:hanging="644"/>
        <w:spacing w:after="0" w:line="277" w:lineRule="auto"/>
        <w:tabs>
          <w:tab w:leader="none" w:pos="1300" w:val="left"/>
        </w:tabs>
        <w:numPr>
          <w:ilvl w:val="0"/>
          <w:numId w:val="418"/>
        </w:numPr>
        <w:rPr>
          <w:rFonts w:ascii="Arial" w:cs="Arial" w:eastAsia="Arial" w:hAnsi="Arial"/>
          <w:sz w:val="18"/>
          <w:szCs w:val="18"/>
          <w:color w:val="231F20"/>
        </w:rPr>
      </w:pPr>
      <w:r>
        <w:rPr>
          <w:rFonts w:ascii="Arial" w:cs="Arial" w:eastAsia="Arial" w:hAnsi="Arial"/>
          <w:sz w:val="18"/>
          <w:szCs w:val="18"/>
          <w:color w:val="231F20"/>
        </w:rPr>
        <w:t>Reflects the proceeds of $325.0 million from the issuance and sale of 32,500,000 shares of Class A Common Stock at $10.00 per share in the PIPE subscription financing pursuant to the terms of the Subscription Agreements.</w:t>
      </w:r>
    </w:p>
    <w:p>
      <w:pPr>
        <w:spacing w:after="0" w:line="197"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18"/>
          <w:szCs w:val="18"/>
          <w:color w:val="231F20"/>
        </w:rPr>
      </w:pPr>
      <w:r>
        <w:rPr>
          <w:rFonts w:ascii="Arial" w:cs="Arial" w:eastAsia="Arial" w:hAnsi="Arial"/>
          <w:sz w:val="18"/>
          <w:szCs w:val="18"/>
          <w:color w:val="231F20"/>
        </w:rPr>
        <w:t>Reflects the reclassification of $95.0 million of Class A ordinary shares subject to possible redemption to permanent equity.</w:t>
      </w:r>
    </w:p>
    <w:p>
      <w:pPr>
        <w:spacing w:after="0" w:line="252" w:lineRule="exact"/>
        <w:rPr>
          <w:sz w:val="20"/>
          <w:szCs w:val="20"/>
          <w:color w:val="auto"/>
        </w:rPr>
      </w:pPr>
    </w:p>
    <w:p>
      <w:pPr>
        <w:ind w:left="1300" w:right="680" w:hanging="644"/>
        <w:spacing w:after="0" w:line="308" w:lineRule="auto"/>
        <w:tabs>
          <w:tab w:leader="none" w:pos="1300" w:val="left"/>
        </w:tabs>
        <w:numPr>
          <w:ilvl w:val="0"/>
          <w:numId w:val="420"/>
        </w:numPr>
        <w:rPr>
          <w:rFonts w:ascii="Arial" w:cs="Arial" w:eastAsia="Arial" w:hAnsi="Arial"/>
          <w:sz w:val="17"/>
          <w:szCs w:val="17"/>
          <w:color w:val="231F20"/>
        </w:rPr>
      </w:pPr>
      <w:r>
        <w:rPr>
          <w:rFonts w:ascii="Arial" w:cs="Arial" w:eastAsia="Arial" w:hAnsi="Arial"/>
          <w:sz w:val="17"/>
          <w:szCs w:val="17"/>
          <w:color w:val="231F20"/>
        </w:rPr>
        <w:t>Represents share redemptions of 10,012 shares of Class A ordinary shares for $101,822 allocated to Class A ordinary shares and additional paid-in capital using par value of $0.0001 per share and at a redemption price of $10.17 per share.</w:t>
      </w:r>
    </w:p>
    <w:p>
      <w:pPr>
        <w:spacing w:after="0" w:line="173" w:lineRule="exact"/>
        <w:rPr>
          <w:sz w:val="20"/>
          <w:szCs w:val="20"/>
          <w:color w:val="auto"/>
        </w:rPr>
      </w:pPr>
    </w:p>
    <w:p>
      <w:pPr>
        <w:ind w:left="1300" w:right="160" w:hanging="644"/>
        <w:spacing w:after="0" w:line="277" w:lineRule="auto"/>
        <w:tabs>
          <w:tab w:leader="none" w:pos="1300" w:val="left"/>
        </w:tabs>
        <w:numPr>
          <w:ilvl w:val="0"/>
          <w:numId w:val="421"/>
        </w:numPr>
        <w:rPr>
          <w:rFonts w:ascii="Arial" w:cs="Arial" w:eastAsia="Arial" w:hAnsi="Arial"/>
          <w:sz w:val="18"/>
          <w:szCs w:val="18"/>
          <w:color w:val="231F20"/>
        </w:rPr>
      </w:pPr>
      <w:r>
        <w:rPr>
          <w:rFonts w:ascii="Arial" w:cs="Arial" w:eastAsia="Arial" w:hAnsi="Arial"/>
          <w:sz w:val="18"/>
          <w:szCs w:val="18"/>
          <w:color w:val="231F20"/>
        </w:rPr>
        <w:t>Reflects the conversion of Class A ordinary shares and Class B ordinary shares, on a one-for-one basis, into shares of Class A Common Stock upon the Domestication.</w:t>
      </w:r>
    </w:p>
    <w:p>
      <w:pPr>
        <w:spacing w:after="0" w:line="197"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8"/>
          <w:szCs w:val="18"/>
          <w:color w:val="231F20"/>
        </w:rPr>
      </w:pPr>
      <w:r>
        <w:rPr>
          <w:rFonts w:ascii="Arial" w:cs="Arial" w:eastAsia="Arial" w:hAnsi="Arial"/>
          <w:sz w:val="18"/>
          <w:szCs w:val="18"/>
          <w:color w:val="231F20"/>
        </w:rPr>
        <w:t>Reflects the elimination of Silver Spike’s historical accumulated deficit.</w:t>
      </w:r>
    </w:p>
    <w:p>
      <w:pPr>
        <w:spacing w:after="0" w:line="252" w:lineRule="exact"/>
        <w:rPr>
          <w:sz w:val="20"/>
          <w:szCs w:val="20"/>
          <w:color w:val="auto"/>
        </w:rPr>
      </w:pPr>
    </w:p>
    <w:p>
      <w:pPr>
        <w:ind w:left="1300" w:right="60" w:hanging="644"/>
        <w:spacing w:after="0" w:line="277" w:lineRule="auto"/>
        <w:tabs>
          <w:tab w:leader="none" w:pos="1300" w:val="left"/>
        </w:tabs>
        <w:numPr>
          <w:ilvl w:val="0"/>
          <w:numId w:val="423"/>
        </w:numPr>
        <w:rPr>
          <w:rFonts w:ascii="Arial" w:cs="Arial" w:eastAsia="Arial" w:hAnsi="Arial"/>
          <w:sz w:val="18"/>
          <w:szCs w:val="18"/>
          <w:color w:val="231F20"/>
        </w:rPr>
      </w:pPr>
      <w:r>
        <w:rPr>
          <w:rFonts w:ascii="Arial" w:cs="Arial" w:eastAsia="Arial" w:hAnsi="Arial"/>
          <w:sz w:val="18"/>
          <w:szCs w:val="18"/>
          <w:color w:val="231F20"/>
        </w:rPr>
        <w:t>Reflects the issuance of 65,502,349 shares of Class V Common Stock upon the Closing. The Class V Common Stock, par value $0.0001, entitle their holder to one vote per share but not any right to dividends or distributions.</w:t>
      </w:r>
    </w:p>
    <w:p>
      <w:pPr>
        <w:spacing w:after="0" w:line="197" w:lineRule="exact"/>
        <w:rPr>
          <w:sz w:val="20"/>
          <w:szCs w:val="20"/>
          <w:color w:val="auto"/>
        </w:rPr>
      </w:pPr>
    </w:p>
    <w:p>
      <w:pPr>
        <w:ind w:left="1300" w:right="100" w:hanging="644"/>
        <w:spacing w:after="0" w:line="254" w:lineRule="auto"/>
        <w:tabs>
          <w:tab w:leader="none" w:pos="1300" w:val="left"/>
        </w:tabs>
        <w:numPr>
          <w:ilvl w:val="0"/>
          <w:numId w:val="424"/>
        </w:numPr>
        <w:rPr>
          <w:rFonts w:ascii="Arial" w:cs="Arial" w:eastAsia="Arial" w:hAnsi="Arial"/>
          <w:sz w:val="18"/>
          <w:szCs w:val="18"/>
          <w:color w:val="231F20"/>
        </w:rPr>
      </w:pPr>
      <w:r>
        <w:rPr>
          <w:rFonts w:ascii="Arial" w:cs="Arial" w:eastAsia="Arial" w:hAnsi="Arial"/>
          <w:sz w:val="18"/>
          <w:szCs w:val="18"/>
          <w:color w:val="231F20"/>
        </w:rPr>
        <w:t>Reflects pursuant to the terms of the tax receivable agreement (1) the estimated deferred tax asset related to the tax basis step-up on the exchange of common units for cash in the Business Combination, and (2) the tax receivable agreement liability for amounts payable to post-merger WMH equity holders for tax benefits received by the Company on the step-up. The adjustment to deferred tax asset was calculated based on the estimated tax basis step-up multiplied by an estimated effective tax rate of 27.98%. The adjustment to long-term payable under Tax Receivable Agreement is 85% of the estimated tax benefit, in accordance with the terms of the tax receivable agreement. The remaining difference between the deferred tax asset and tax receivable agreement liability is reflected as additional paid-in capital.</w:t>
      </w:r>
    </w:p>
    <w:p>
      <w:pPr>
        <w:spacing w:after="0" w:line="222" w:lineRule="exact"/>
        <w:rPr>
          <w:sz w:val="20"/>
          <w:szCs w:val="20"/>
          <w:color w:val="auto"/>
        </w:rPr>
      </w:pPr>
    </w:p>
    <w:p>
      <w:pPr>
        <w:ind w:left="1300" w:right="120" w:hanging="644"/>
        <w:spacing w:after="0" w:line="286" w:lineRule="auto"/>
        <w:tabs>
          <w:tab w:leader="none" w:pos="1300" w:val="left"/>
        </w:tabs>
        <w:numPr>
          <w:ilvl w:val="0"/>
          <w:numId w:val="425"/>
        </w:numPr>
        <w:rPr>
          <w:rFonts w:ascii="Arial" w:cs="Arial" w:eastAsia="Arial" w:hAnsi="Arial"/>
          <w:sz w:val="17"/>
          <w:szCs w:val="17"/>
          <w:color w:val="231F20"/>
        </w:rPr>
      </w:pPr>
      <w:r>
        <w:rPr>
          <w:rFonts w:ascii="Arial" w:cs="Arial" w:eastAsia="Arial" w:hAnsi="Arial"/>
          <w:sz w:val="17"/>
          <w:szCs w:val="17"/>
          <w:color w:val="231F20"/>
        </w:rPr>
        <w:t>Represents approximately $13.2 million of share-based expense associated with vested Legacy WMH Class B units, which expense will be recorded upon the Closing. The cost expensed through accumulated deficit is included in the unaudited pro forma condensed combined statement of operations for the year ended December 31, 2020 as discussed in Note (dd) below.</w:t>
      </w:r>
    </w:p>
    <w:p>
      <w:pPr>
        <w:spacing w:after="0" w:line="192" w:lineRule="exact"/>
        <w:rPr>
          <w:sz w:val="20"/>
          <w:szCs w:val="20"/>
          <w:color w:val="auto"/>
        </w:rPr>
      </w:pPr>
    </w:p>
    <w:p>
      <w:pPr>
        <w:ind w:left="1300" w:right="180" w:hanging="644"/>
        <w:spacing w:after="0" w:line="257" w:lineRule="auto"/>
        <w:tabs>
          <w:tab w:leader="none" w:pos="1300" w:val="left"/>
        </w:tabs>
        <w:numPr>
          <w:ilvl w:val="0"/>
          <w:numId w:val="426"/>
        </w:numPr>
        <w:rPr>
          <w:rFonts w:ascii="Arial" w:cs="Arial" w:eastAsia="Arial" w:hAnsi="Arial"/>
          <w:sz w:val="18"/>
          <w:szCs w:val="18"/>
          <w:color w:val="231F20"/>
        </w:rPr>
      </w:pPr>
      <w:r>
        <w:rPr>
          <w:rFonts w:ascii="Arial" w:cs="Arial" w:eastAsia="Arial" w:hAnsi="Arial"/>
          <w:sz w:val="18"/>
          <w:szCs w:val="18"/>
          <w:color w:val="231F20"/>
        </w:rPr>
        <w:t>Represents the pro forma adjustment to: 1) reflect the payment of the cash consideration of $455.2 million to the Legacy WMH equity holders, and 2) to present the post-merger WMH units as noncontrolling interest upon the reorganization of the post-combination company into an Up-C structure. The noncontrolling interest adjustment reflects the allocation of the post-combination company’s total equity (deficit) to the holders of post-merger WMH units approximate 57.3% economic interest in the post-combination company,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73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(100%)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(57.3%)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(42.7%)</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Historical Legacy WMH members'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26,383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Historical Silver Spike total stockholders' equity</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in the PIPE subscription financing</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138,814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 of redeemable public shares to permanent equity</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95,006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54,427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40,579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public shares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Payment of transaction costs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(29,878)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(17,117)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Equity adjustment related to deferred tax asset and Tax Receivable Agreement liabilitiy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10,065</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Payment of aggregate cash consideration</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(455,182)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(260,767)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(194,415)</w:t>
            </w:r>
          </w:p>
        </w:tc>
      </w:tr>
      <w:tr>
        <w:trPr>
          <w:trHeight w:val="256"/>
        </w:trPr>
        <w:tc>
          <w:tcPr>
            <w:tcW w:w="7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660" w:right="160"/>
        <w:spacing w:after="0" w:line="238" w:lineRule="auto"/>
        <w:rPr>
          <w:sz w:val="20"/>
          <w:szCs w:val="20"/>
          <w:color w:val="auto"/>
        </w:rPr>
      </w:pPr>
      <w:r>
        <w:rPr>
          <w:rFonts w:ascii="Arial" w:cs="Arial" w:eastAsia="Arial" w:hAnsi="Arial"/>
          <w:sz w:val="22"/>
          <w:szCs w:val="22"/>
          <w:color w:val="231F20"/>
        </w:rPr>
        <w:t>The adjustment to noncontrolling interest was recorded with an offset: (1) to eliminate WMH equity holders’ units balance of $18.8 million; (2) to retained earnings for $7.6 million, representing the portion of the share-based expense in Note (k) allocated to noncontrolling interests; and (3) to additional paid-in capital for the residual amount of $15.3 million.</w:t>
      </w:r>
    </w:p>
    <w:p>
      <w:pPr>
        <w:sectPr>
          <w:pgSz w:w="11900" w:h="16838" w:orient="portrait"/>
          <w:cols w:equalWidth="0" w:num="1">
            <w:col w:w="11240"/>
          </w:cols>
          <w:pgMar w:left="320" w:top="125"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8" w:name="page439"/>
    <w:bookmarkEnd w:id="438"/>
    <w:p>
      <w:pPr>
        <w:spacing w:after="0"/>
        <w:rPr>
          <w:sz w:val="20"/>
          <w:szCs w:val="20"/>
          <w:color w:val="auto"/>
        </w:rPr>
      </w:pPr>
      <w:r>
        <w:rPr>
          <w:rFonts w:ascii="Arial" w:cs="Arial" w:eastAsia="Arial" w:hAnsi="Arial"/>
          <w:sz w:val="21"/>
          <w:szCs w:val="21"/>
          <w:b w:val="1"/>
          <w:bCs w:val="1"/>
          <w:i w:val="1"/>
          <w:iCs w:val="1"/>
          <w:color w:val="231F20"/>
        </w:rPr>
        <w:t>Transaction Accounting Adjustments to Unaudited Pro Forma Condensed Combined Statements of Operations</w:t>
      </w:r>
    </w:p>
    <w:p>
      <w:pPr>
        <w:spacing w:after="0" w:line="245" w:lineRule="exact"/>
        <w:rPr>
          <w:sz w:val="20"/>
          <w:szCs w:val="20"/>
          <w:color w:val="auto"/>
        </w:rPr>
      </w:pPr>
    </w:p>
    <w:p>
      <w:pPr>
        <w:ind w:right="740" w:firstLine="648"/>
        <w:spacing w:after="0" w:line="328" w:lineRule="auto"/>
        <w:rPr>
          <w:sz w:val="20"/>
          <w:szCs w:val="20"/>
          <w:color w:val="auto"/>
        </w:rPr>
      </w:pPr>
      <w:r>
        <w:rPr>
          <w:rFonts w:ascii="Arial" w:cs="Arial" w:eastAsia="Arial" w:hAnsi="Arial"/>
          <w:sz w:val="19"/>
          <w:szCs w:val="19"/>
          <w:color w:val="231F20"/>
        </w:rPr>
        <w:t>The Transaction Accounting Adjustments included in the unaudited pro forma condensed combined statements of operations for the three months ended March 31, 2021 and year ended December 31, 2020 as follows:</w:t>
      </w:r>
    </w:p>
    <w:p>
      <w:pPr>
        <w:spacing w:after="0" w:line="139" w:lineRule="exact"/>
        <w:rPr>
          <w:sz w:val="20"/>
          <w:szCs w:val="20"/>
          <w:color w:val="auto"/>
        </w:rPr>
      </w:pPr>
    </w:p>
    <w:p>
      <w:pPr>
        <w:ind w:left="980" w:hanging="324"/>
        <w:spacing w:after="0"/>
        <w:tabs>
          <w:tab w:leader="none" w:pos="980" w:val="left"/>
        </w:tabs>
        <w:numPr>
          <w:ilvl w:val="0"/>
          <w:numId w:val="427"/>
        </w:numPr>
        <w:rPr>
          <w:rFonts w:ascii="Arial" w:cs="Arial" w:eastAsia="Arial" w:hAnsi="Arial"/>
          <w:sz w:val="17"/>
          <w:szCs w:val="17"/>
          <w:color w:val="231F20"/>
        </w:rPr>
      </w:pPr>
      <w:r>
        <w:rPr>
          <w:rFonts w:ascii="Arial" w:cs="Arial" w:eastAsia="Arial" w:hAnsi="Arial"/>
          <w:sz w:val="17"/>
          <w:szCs w:val="17"/>
          <w:color w:val="231F20"/>
        </w:rPr>
        <w:t>Represents pro forma adjustment to eliminate interest income and unrealized gains on marketable securities held in the Trust Account.</w:t>
      </w:r>
    </w:p>
    <w:p>
      <w:pPr>
        <w:spacing w:after="0" w:line="263" w:lineRule="exact"/>
        <w:rPr>
          <w:rFonts w:ascii="Arial" w:cs="Arial" w:eastAsia="Arial" w:hAnsi="Arial"/>
          <w:sz w:val="17"/>
          <w:szCs w:val="17"/>
          <w:color w:val="231F20"/>
        </w:rPr>
      </w:pPr>
    </w:p>
    <w:p>
      <w:pPr>
        <w:ind w:left="980" w:right="260" w:hanging="324"/>
        <w:spacing w:after="0" w:line="277" w:lineRule="auto"/>
        <w:tabs>
          <w:tab w:leader="none" w:pos="980" w:val="left"/>
        </w:tabs>
        <w:numPr>
          <w:ilvl w:val="0"/>
          <w:numId w:val="427"/>
        </w:numPr>
        <w:rPr>
          <w:rFonts w:ascii="Arial" w:cs="Arial" w:eastAsia="Arial" w:hAnsi="Arial"/>
          <w:sz w:val="18"/>
          <w:szCs w:val="18"/>
          <w:color w:val="231F20"/>
        </w:rPr>
      </w:pPr>
      <w:r>
        <w:rPr>
          <w:rFonts w:ascii="Arial" w:cs="Arial" w:eastAsia="Arial" w:hAnsi="Arial"/>
          <w:sz w:val="18"/>
          <w:szCs w:val="18"/>
          <w:color w:val="231F20"/>
        </w:rPr>
        <w:t>Represents pro forma adjustment to eliminate historical expenses related to Silver Spike’s office space, administrative and support services paid to the sponsor, which terminated upon consummation of the Business Combination.</w:t>
      </w:r>
    </w:p>
    <w:p>
      <w:pPr>
        <w:spacing w:after="0" w:line="197" w:lineRule="exact"/>
        <w:rPr>
          <w:rFonts w:ascii="Arial" w:cs="Arial" w:eastAsia="Arial" w:hAnsi="Arial"/>
          <w:sz w:val="18"/>
          <w:szCs w:val="18"/>
          <w:color w:val="231F20"/>
        </w:rPr>
      </w:pPr>
    </w:p>
    <w:p>
      <w:pPr>
        <w:ind w:left="980" w:right="220" w:hanging="324"/>
        <w:spacing w:after="0" w:line="342" w:lineRule="auto"/>
        <w:tabs>
          <w:tab w:leader="none" w:pos="980" w:val="left"/>
        </w:tabs>
        <w:numPr>
          <w:ilvl w:val="0"/>
          <w:numId w:val="427"/>
        </w:numPr>
        <w:rPr>
          <w:rFonts w:ascii="Arial" w:cs="Arial" w:eastAsia="Arial" w:hAnsi="Arial"/>
          <w:sz w:val="16"/>
          <w:szCs w:val="16"/>
          <w:color w:val="231F20"/>
        </w:rPr>
      </w:pPr>
      <w:r>
        <w:rPr>
          <w:rFonts w:ascii="Arial" w:cs="Arial" w:eastAsia="Arial" w:hAnsi="Arial"/>
          <w:sz w:val="16"/>
          <w:szCs w:val="16"/>
          <w:color w:val="231F20"/>
        </w:rPr>
        <w:t>Reflects pro forma adjustment to eliminate transaction costs expensed by Silver Spike during the three months ended March 31, 2021 and year ended December 31, 2020, which will be capitalized as part of the Business Combination or recognized in expense in Note (ee) below.</w:t>
      </w:r>
    </w:p>
    <w:p>
      <w:pPr>
        <w:spacing w:after="0" w:line="150" w:lineRule="exact"/>
        <w:rPr>
          <w:rFonts w:ascii="Arial" w:cs="Arial" w:eastAsia="Arial" w:hAnsi="Arial"/>
          <w:sz w:val="16"/>
          <w:szCs w:val="16"/>
          <w:color w:val="231F20"/>
        </w:rPr>
      </w:pPr>
    </w:p>
    <w:p>
      <w:pPr>
        <w:ind w:left="980" w:right="40" w:hanging="324"/>
        <w:spacing w:after="0" w:line="286" w:lineRule="auto"/>
        <w:tabs>
          <w:tab w:leader="none" w:pos="980" w:val="left"/>
        </w:tabs>
        <w:numPr>
          <w:ilvl w:val="0"/>
          <w:numId w:val="427"/>
        </w:numPr>
        <w:rPr>
          <w:rFonts w:ascii="Arial" w:cs="Arial" w:eastAsia="Arial" w:hAnsi="Arial"/>
          <w:sz w:val="17"/>
          <w:szCs w:val="17"/>
          <w:color w:val="231F20"/>
        </w:rPr>
      </w:pPr>
      <w:r>
        <w:rPr>
          <w:rFonts w:ascii="Arial" w:cs="Arial" w:eastAsia="Arial" w:hAnsi="Arial"/>
          <w:sz w:val="17"/>
          <w:szCs w:val="17"/>
          <w:color w:val="231F20"/>
        </w:rPr>
        <w:t>Represents approximately $13.2 million of share-based expense associated with vested Legacy WMH Class B units, which expense is recorded upon the Closing. These costs are reflected as incurred on January 1, 2020, the date the Business Combination occurred for purposes of the unaudited pro forma condensed combined statements of operations. This is a non-recurring item.</w:t>
      </w:r>
    </w:p>
    <w:p>
      <w:pPr>
        <w:spacing w:after="0" w:line="192" w:lineRule="exact"/>
        <w:rPr>
          <w:rFonts w:ascii="Arial" w:cs="Arial" w:eastAsia="Arial" w:hAnsi="Arial"/>
          <w:sz w:val="17"/>
          <w:szCs w:val="17"/>
          <w:color w:val="231F20"/>
        </w:rPr>
      </w:pPr>
    </w:p>
    <w:p>
      <w:pPr>
        <w:ind w:left="980" w:right="120" w:hanging="324"/>
        <w:spacing w:after="0" w:line="286" w:lineRule="auto"/>
        <w:tabs>
          <w:tab w:leader="none" w:pos="980" w:val="left"/>
        </w:tabs>
        <w:numPr>
          <w:ilvl w:val="0"/>
          <w:numId w:val="427"/>
        </w:numPr>
        <w:rPr>
          <w:rFonts w:ascii="Arial" w:cs="Arial" w:eastAsia="Arial" w:hAnsi="Arial"/>
          <w:sz w:val="17"/>
          <w:szCs w:val="17"/>
          <w:color w:val="231F20"/>
        </w:rPr>
      </w:pPr>
      <w:r>
        <w:rPr>
          <w:rFonts w:ascii="Arial" w:cs="Arial" w:eastAsia="Arial" w:hAnsi="Arial"/>
          <w:sz w:val="17"/>
          <w:szCs w:val="17"/>
          <w:color w:val="231F20"/>
        </w:rPr>
        <w:t>Reflects estimated transaction costs allocated to the public and private placement warrant liabilities that are assumed as part of the Business Combination. These costs are reflected as if incurred on January 1, 2020, the date the Business Combination occurred for the purposes of the unaudited pro forma condensed combined statements of operations. This is a non-recurring item.</w:t>
      </w:r>
    </w:p>
    <w:p>
      <w:pPr>
        <w:spacing w:after="0" w:line="192" w:lineRule="exact"/>
        <w:rPr>
          <w:rFonts w:ascii="Arial" w:cs="Arial" w:eastAsia="Arial" w:hAnsi="Arial"/>
          <w:sz w:val="17"/>
          <w:szCs w:val="17"/>
          <w:color w:val="231F20"/>
        </w:rPr>
      </w:pPr>
    </w:p>
    <w:p>
      <w:pPr>
        <w:ind w:left="980" w:hanging="324"/>
        <w:spacing w:after="0"/>
        <w:tabs>
          <w:tab w:leader="none" w:pos="980" w:val="left"/>
        </w:tabs>
        <w:numPr>
          <w:ilvl w:val="0"/>
          <w:numId w:val="427"/>
        </w:numPr>
        <w:rPr>
          <w:rFonts w:ascii="Arial" w:cs="Arial" w:eastAsia="Arial" w:hAnsi="Arial"/>
          <w:sz w:val="18"/>
          <w:szCs w:val="18"/>
          <w:color w:val="231F20"/>
        </w:rPr>
      </w:pPr>
      <w:r>
        <w:rPr>
          <w:rFonts w:ascii="Arial" w:cs="Arial" w:eastAsia="Arial" w:hAnsi="Arial"/>
          <w:sz w:val="18"/>
          <w:szCs w:val="18"/>
          <w:color w:val="231F20"/>
        </w:rPr>
        <w:t>Represents the pro forma adjustment for income taxes, applying an estimated statutory tax rate of 27.98%.</w:t>
      </w:r>
    </w:p>
    <w:p>
      <w:pPr>
        <w:spacing w:after="0" w:line="252" w:lineRule="exact"/>
        <w:rPr>
          <w:rFonts w:ascii="Arial" w:cs="Arial" w:eastAsia="Arial" w:hAnsi="Arial"/>
          <w:sz w:val="18"/>
          <w:szCs w:val="18"/>
          <w:color w:val="231F20"/>
        </w:rPr>
      </w:pPr>
    </w:p>
    <w:p>
      <w:pPr>
        <w:ind w:left="980" w:right="100" w:hanging="324"/>
        <w:spacing w:after="0" w:line="263" w:lineRule="auto"/>
        <w:tabs>
          <w:tab w:leader="none" w:pos="980" w:val="left"/>
        </w:tabs>
        <w:numPr>
          <w:ilvl w:val="0"/>
          <w:numId w:val="427"/>
        </w:numPr>
        <w:rPr>
          <w:rFonts w:ascii="Arial" w:cs="Arial" w:eastAsia="Arial" w:hAnsi="Arial"/>
          <w:sz w:val="18"/>
          <w:szCs w:val="18"/>
          <w:color w:val="231F20"/>
        </w:rPr>
      </w:pPr>
      <w:r>
        <w:rPr>
          <w:rFonts w:ascii="Arial" w:cs="Arial" w:eastAsia="Arial" w:hAnsi="Arial"/>
          <w:sz w:val="18"/>
          <w:szCs w:val="18"/>
          <w:color w:val="231F20"/>
        </w:rPr>
        <w:t>Represents the pro forma adjustment to allocate net loss to the noncontrolling interests. As the provision for income taxes was all attributable to common shareholders, the allocation of net loss to the noncontrolling interests was determined using Loss before provision for income taxes,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Year Ended</w:t>
            </w:r>
          </w:p>
        </w:tc>
      </w:tr>
      <w:tr>
        <w:trPr>
          <w:trHeight w:val="241"/>
        </w:trPr>
        <w:tc>
          <w:tcPr>
            <w:tcW w:w="48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March 31, 2021</w:t>
            </w:r>
          </w:p>
        </w:tc>
        <w:tc>
          <w:tcPr>
            <w:tcW w:w="166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December 31, 2020</w:t>
            </w:r>
          </w:p>
        </w:tc>
      </w:tr>
      <w:tr>
        <w:trPr>
          <w:trHeight w:val="216"/>
        </w:trPr>
        <w:tc>
          <w:tcPr>
            <w:tcW w:w="4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5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(70,471)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Economic interest held by noncontrolling interest holders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35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(40,372)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(16,507)</w:t>
            </w:r>
          </w:p>
        </w:tc>
      </w:tr>
      <w:tr>
        <w:trPr>
          <w:trHeight w:val="582"/>
        </w:trPr>
        <w:tc>
          <w:tcPr>
            <w:tcW w:w="4860" w:type="dxa"/>
            <w:vAlign w:val="bottom"/>
          </w:tcPr>
          <w:p>
            <w:pPr>
              <w:spacing w:after="0"/>
              <w:rPr>
                <w:sz w:val="24"/>
                <w:szCs w:val="24"/>
                <w:color w:val="auto"/>
              </w:rPr>
            </w:pPr>
          </w:p>
        </w:tc>
        <w:tc>
          <w:tcPr>
            <w:tcW w:w="3320" w:type="dxa"/>
            <w:vAlign w:val="bottom"/>
          </w:tcPr>
          <w:p>
            <w:pPr>
              <w:jc w:val="right"/>
              <w:ind w:right="2436"/>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48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439" w:name="page440"/>
    <w:bookmarkEnd w:id="439"/>
    <w:p>
      <w:pPr>
        <w:ind w:left="660" w:hanging="652"/>
        <w:spacing w:after="0"/>
        <w:tabs>
          <w:tab w:leader="none" w:pos="660" w:val="left"/>
        </w:tabs>
        <w:numPr>
          <w:ilvl w:val="0"/>
          <w:numId w:val="428"/>
        </w:numPr>
        <w:rPr>
          <w:rFonts w:ascii="Arial" w:cs="Arial" w:eastAsia="Arial" w:hAnsi="Arial"/>
          <w:sz w:val="18"/>
          <w:szCs w:val="18"/>
          <w:b w:val="1"/>
          <w:bCs w:val="1"/>
          <w:color w:val="231F20"/>
        </w:rPr>
      </w:pPr>
      <w:r>
        <w:rPr>
          <w:rFonts w:ascii="Arial" w:cs="Arial" w:eastAsia="Arial" w:hAnsi="Arial"/>
          <w:sz w:val="18"/>
          <w:szCs w:val="18"/>
          <w:b w:val="1"/>
          <w:bCs w:val="1"/>
          <w:color w:val="231F20"/>
        </w:rPr>
        <w:t>Loss per Share</w:t>
      </w:r>
    </w:p>
    <w:p>
      <w:pPr>
        <w:spacing w:after="0" w:line="24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231F20"/>
        </w:rPr>
        <w:t>Represents the net loss per share calculated using the historical weighted average shares outstanding, and the issuance of additional shares in connection with the PIPE subscription financing, assuming the shares were outstanding since January 1, 2020. As the Business Combination is being reflected as if it had occurred at the beginning of the periods presented, the calculation of weighted average shares outstanding for basic and diluted net loss per share assumes that the shares issuable relating to the PIPE subscription financing have been outstanding for the entire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shareholders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 forma weighted average shares outstanding, basic and diluted - Class A</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63,738,563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63,738,563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 Class A (1)(2)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calculation, basis and diluted - Class 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Silver Spike public shareholders - Class A</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24,988,563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24,988,563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Holders of founder shares - Class 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Subscription investors - Class A</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32,500,000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32,500,000</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63,738,563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63,738,563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1300" w:right="20" w:hanging="644"/>
        <w:spacing w:after="0" w:line="263" w:lineRule="auto"/>
        <w:tabs>
          <w:tab w:leader="none" w:pos="1300" w:val="left"/>
        </w:tabs>
        <w:numPr>
          <w:ilvl w:val="0"/>
          <w:numId w:val="429"/>
        </w:numPr>
        <w:rPr>
          <w:rFonts w:ascii="Arial" w:cs="Arial" w:eastAsia="Arial" w:hAnsi="Arial"/>
          <w:sz w:val="18"/>
          <w:szCs w:val="18"/>
          <w:color w:val="231F20"/>
        </w:rPr>
      </w:pPr>
      <w:r>
        <w:rPr>
          <w:rFonts w:ascii="Arial" w:cs="Arial" w:eastAsia="Arial" w:hAnsi="Arial"/>
          <w:sz w:val="18"/>
          <w:szCs w:val="18"/>
          <w:color w:val="231F20"/>
        </w:rPr>
        <w:t>Shares of Class V Common Stock will not share in the earnings or losses of the Company and are therefore not participating securities. As such, separate calculations of basic and diluted net loss per share for Class V Common Stock under the two-class method has not been presented.</w:t>
      </w:r>
    </w:p>
    <w:p>
      <w:pPr>
        <w:spacing w:after="0" w:line="210" w:lineRule="exact"/>
        <w:rPr>
          <w:rFonts w:ascii="Arial" w:cs="Arial" w:eastAsia="Arial" w:hAnsi="Arial"/>
          <w:sz w:val="18"/>
          <w:szCs w:val="18"/>
          <w:color w:val="231F20"/>
        </w:rPr>
      </w:pPr>
    </w:p>
    <w:p>
      <w:pPr>
        <w:ind w:left="1300" w:right="280" w:hanging="644"/>
        <w:spacing w:after="0" w:line="263" w:lineRule="auto"/>
        <w:tabs>
          <w:tab w:leader="none" w:pos="1300" w:val="left"/>
        </w:tabs>
        <w:numPr>
          <w:ilvl w:val="0"/>
          <w:numId w:val="429"/>
        </w:numPr>
        <w:rPr>
          <w:rFonts w:ascii="Arial" w:cs="Arial" w:eastAsia="Arial" w:hAnsi="Arial"/>
          <w:sz w:val="18"/>
          <w:szCs w:val="18"/>
          <w:color w:val="231F20"/>
        </w:rPr>
      </w:pPr>
      <w:r>
        <w:rPr>
          <w:rFonts w:ascii="Arial" w:cs="Arial" w:eastAsia="Arial" w:hAnsi="Arial"/>
          <w:sz w:val="18"/>
          <w:szCs w:val="18"/>
          <w:color w:val="231F20"/>
        </w:rPr>
        <w:t>For the purpose of calculating diluted net loss per share, it was assumed that all outstanding public and private placement warrants are exchanged for shares of Class A Common Stock. However, since this results in anti-dilution, the effect of such exchange was not included in the calculation of diluted net loss per share.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66051"/>
    <w:multiLevelType w:val="hybridMultilevel"/>
    <w:lvl w:ilvl="0">
      <w:lvlJc w:val="left"/>
      <w:lvlText w:val="☐"/>
      <w:numFmt w:val="bullet"/>
      <w:start w:val="1"/>
    </w:lvl>
  </w:abstractNum>
  <w:abstractNum w:abstractNumId="1">
    <w:nsid w:val="20F4BDAD"/>
    <w:multiLevelType w:val="hybridMultilevel"/>
    <w:lvl w:ilvl="0">
      <w:lvlJc w:val="left"/>
      <w:lvlText w:val="●"/>
      <w:numFmt w:val="bullet"/>
      <w:start w:val="1"/>
    </w:lvl>
  </w:abstractNum>
  <w:abstractNum w:abstractNumId="2">
    <w:nsid w:val="639DEFAC"/>
    <w:multiLevelType w:val="hybridMultilevel"/>
    <w:lvl w:ilvl="0">
      <w:lvlJc w:val="left"/>
      <w:lvlText w:val="●"/>
      <w:numFmt w:val="bullet"/>
      <w:start w:val="1"/>
    </w:lvl>
  </w:abstractNum>
  <w:abstractNum w:abstractNumId="3">
    <w:nsid w:val="501F9786"/>
    <w:multiLevelType w:val="hybridMultilevel"/>
    <w:lvl w:ilvl="0">
      <w:lvlJc w:val="left"/>
      <w:lvlText w:val="(%1)"/>
      <w:numFmt w:val="decimal"/>
      <w:start w:val="1"/>
    </w:lvl>
  </w:abstractNum>
  <w:abstractNum w:abstractNumId="4">
    <w:nsid w:val="6B057295"/>
    <w:multiLevelType w:val="hybridMultilevel"/>
    <w:lvl w:ilvl="0">
      <w:lvlJc w:val="left"/>
      <w:lvlText w:val="(%1)"/>
      <w:numFmt w:val="lowerLetter"/>
      <w:start w:val="1"/>
    </w:lvl>
  </w:abstractNum>
  <w:abstractNum w:abstractNumId="5">
    <w:nsid w:val="2771AC80"/>
    <w:multiLevelType w:val="hybridMultilevel"/>
    <w:lvl w:ilvl="0">
      <w:lvlJc w:val="left"/>
      <w:lvlText w:val="(%1)"/>
      <w:numFmt w:val="lowerLetter"/>
      <w:start w:val="2"/>
    </w:lvl>
  </w:abstractNum>
  <w:abstractNum w:abstractNumId="6">
    <w:nsid w:val="1C4A08EC"/>
    <w:multiLevelType w:val="hybridMultilevel"/>
    <w:lvl w:ilvl="0">
      <w:lvlJc w:val="left"/>
      <w:lvlText w:val="(%1)"/>
      <w:numFmt w:val="lowerLetter"/>
      <w:start w:val="4"/>
    </w:lvl>
  </w:abstractNum>
  <w:abstractNum w:abstractNumId="7">
    <w:nsid w:val="1958BD17"/>
    <w:multiLevelType w:val="hybridMultilevel"/>
    <w:lvl w:ilvl="0">
      <w:lvlJc w:val="left"/>
      <w:lvlText w:val="+"/>
      <w:numFmt w:val="bullet"/>
      <w:start w:val="1"/>
    </w:lvl>
  </w:abstractNum>
  <w:abstractNum w:abstractNumId="8">
    <w:nsid w:val="4E647FE4"/>
    <w:multiLevelType w:val="hybridMultilevel"/>
    <w:lvl w:ilvl="0">
      <w:lvlJc w:val="left"/>
      <w:lvlText w:val="#"/>
      <w:numFmt w:val="bullet"/>
      <w:start w:val="1"/>
    </w:lvl>
  </w:abstractNum>
  <w:abstractNum w:abstractNumId="9">
    <w:nsid w:val="E0BB885"/>
    <w:multiLevelType w:val="hybridMultilevel"/>
    <w:lvl w:ilvl="0">
      <w:lvlJc w:val="left"/>
      <w:lvlText w:val="%1."/>
      <w:numFmt w:val="decimal"/>
      <w:start w:val="1"/>
    </w:lvl>
  </w:abstractNum>
  <w:abstractNum w:abstractNumId="10">
    <w:nsid w:val="565976F1"/>
    <w:multiLevelType w:val="hybridMultilevel"/>
    <w:lvl w:ilvl="0">
      <w:lvlJc w:val="left"/>
      <w:lvlText w:val="(%1)"/>
      <w:numFmt w:val="lowerRoman"/>
      <w:start w:val="1"/>
    </w:lvl>
  </w:abstractNum>
  <w:abstractNum w:abstractNumId="11">
    <w:nsid w:val="64212B8C"/>
    <w:multiLevelType w:val="hybridMultilevel"/>
    <w:lvl w:ilvl="0">
      <w:lvlJc w:val="left"/>
      <w:lvlText w:val="%1."/>
      <w:numFmt w:val="decimal"/>
      <w:start w:val="5"/>
    </w:lvl>
  </w:abstractNum>
  <w:abstractNum w:abstractNumId="12">
    <w:nsid w:val="5C17530C"/>
    <w:multiLevelType w:val="hybridMultilevel"/>
    <w:lvl w:ilvl="0">
      <w:lvlJc w:val="left"/>
      <w:lvlText w:val="(%1)"/>
      <w:numFmt w:val="lowerRoman"/>
      <w:start w:val="1"/>
    </w:lvl>
    <w:lvl w:ilvl="1">
      <w:lvlJc w:val="left"/>
      <w:lvlText w:val="(%2)"/>
      <w:numFmt w:val="decimal"/>
      <w:start w:val="1"/>
    </w:lvl>
  </w:abstractNum>
  <w:abstractNum w:abstractNumId="13">
    <w:nsid w:val="19A5256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4">
    <w:nsid w:val="335A1DF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5">
    <w:nsid w:val="28677B7C"/>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6">
    <w:nsid w:val="378D97C0"/>
    <w:multiLevelType w:val="hybridMultilevel"/>
    <w:lvl w:ilvl="0">
      <w:lvlJc w:val="left"/>
      <w:lvlText w:val="%1."/>
      <w:numFmt w:val="decimal"/>
      <w:start w:val="6"/>
    </w:lvl>
  </w:abstractNum>
  <w:abstractNum w:abstractNumId="17">
    <w:nsid w:val="1D91467C"/>
    <w:multiLevelType w:val="hybridMultilevel"/>
    <w:lvl w:ilvl="0">
      <w:lvlJc w:val="left"/>
      <w:lvlText w:val="%1."/>
      <w:numFmt w:val="decimal"/>
      <w:start w:val="7"/>
    </w:lvl>
  </w:abstractNum>
  <w:abstractNum w:abstractNumId="18">
    <w:nsid w:val="316032BB"/>
    <w:multiLevelType w:val="hybridMultilevel"/>
    <w:lvl w:ilvl="0">
      <w:lvlJc w:val="left"/>
      <w:lvlText w:val="(%1)"/>
      <w:numFmt w:val="lowerRoman"/>
      <w:start w:val="1"/>
    </w:lvl>
  </w:abstractNum>
  <w:abstractNum w:abstractNumId="19">
    <w:nsid w:val="44344C22"/>
    <w:multiLevelType w:val="hybridMultilevel"/>
    <w:lvl w:ilvl="0">
      <w:lvlJc w:val="left"/>
      <w:lvlText w:val="%1."/>
      <w:numFmt w:val="decimal"/>
      <w:start w:val="8"/>
    </w:lvl>
  </w:abstractNum>
  <w:abstractNum w:abstractNumId="20">
    <w:nsid w:val="13CDFCFC"/>
    <w:multiLevelType w:val="hybridMultilevel"/>
    <w:lvl w:ilvl="0">
      <w:lvlJc w:val="left"/>
      <w:lvlText w:val="%1"/>
      <w:numFmt w:val="lowerRoman"/>
      <w:start w:val="1"/>
    </w:lvl>
    <w:lvl w:ilvl="1">
      <w:lvlJc w:val="left"/>
      <w:lvlText w:val="(%2)"/>
      <w:numFmt w:val="lowerRoman"/>
      <w:start w:val="2"/>
    </w:lvl>
  </w:abstractNum>
  <w:abstractNum w:abstractNumId="21">
    <w:nsid w:val="471745E4"/>
    <w:multiLevelType w:val="hybridMultilevel"/>
    <w:lvl w:ilvl="0">
      <w:lvlJc w:val="left"/>
      <w:lvlText w:val="(%1)"/>
      <w:numFmt w:val="lowerRoman"/>
      <w:start w:val="3"/>
    </w:lvl>
    <w:lvl w:ilvl="1">
      <w:lvlJc w:val="left"/>
      <w:lvlText w:val="%2"/>
      <w:numFmt w:val="lowerRoman"/>
      <w:start w:val="1"/>
    </w:lvl>
  </w:abstractNum>
  <w:abstractNum w:abstractNumId="22">
    <w:nsid w:val="1DDBC66"/>
    <w:multiLevelType w:val="hybridMultilevel"/>
    <w:lvl w:ilvl="0">
      <w:lvlJc w:val="left"/>
      <w:lvlText w:val="%1."/>
      <w:numFmt w:val="decimal"/>
      <w:start w:val="9"/>
    </w:lvl>
  </w:abstractNum>
  <w:abstractNum w:abstractNumId="23">
    <w:nsid w:val="30AADFDA"/>
    <w:multiLevelType w:val="hybridMultilevel"/>
    <w:lvl w:ilvl="0">
      <w:lvlJc w:val="left"/>
      <w:lvlText w:val="%1."/>
      <w:numFmt w:val="decimal"/>
      <w:start w:val="10"/>
    </w:lvl>
  </w:abstractNum>
  <w:abstractNum w:abstractNumId="24">
    <w:nsid w:val="30EADA61"/>
    <w:multiLevelType w:val="hybridMultilevel"/>
    <w:lvl w:ilvl="0">
      <w:lvlJc w:val="left"/>
      <w:lvlText w:val="%1."/>
      <w:numFmt w:val="decimal"/>
      <w:start w:val="11"/>
    </w:lvl>
  </w:abstractNum>
  <w:abstractNum w:abstractNumId="25">
    <w:nsid w:val="27179C0B"/>
    <w:multiLevelType w:val="hybridMultilevel"/>
    <w:lvl w:ilvl="0">
      <w:lvlJc w:val="left"/>
      <w:lvlText w:val="%1."/>
      <w:numFmt w:val="decimal"/>
      <w:start w:val="13"/>
    </w:lvl>
  </w:abstractNum>
  <w:abstractNum w:abstractNumId="26">
    <w:nsid w:val="5E636063"/>
    <w:multiLevelType w:val="hybridMultilevel"/>
    <w:lvl w:ilvl="0">
      <w:lvlJc w:val="left"/>
      <w:lvlText w:val="(%1)"/>
      <w:numFmt w:val="lowerLetter"/>
      <w:start w:val="1"/>
    </w:lvl>
  </w:abstractNum>
  <w:abstractNum w:abstractNumId="27">
    <w:nsid w:val="215641AF"/>
    <w:multiLevelType w:val="hybridMultilevel"/>
    <w:lvl w:ilvl="0">
      <w:lvlJc w:val="left"/>
      <w:lvlText w:val="(%1)"/>
      <w:numFmt w:val="lowerLetter"/>
      <w:start w:val="17"/>
    </w:lvl>
  </w:abstractNum>
  <w:abstractNum w:abstractNumId="28">
    <w:nsid w:val="53280662"/>
    <w:multiLevelType w:val="hybridMultilevel"/>
    <w:lvl w:ilvl="0">
      <w:lvlJc w:val="left"/>
      <w:lvlText w:val="%1"/>
      <w:numFmt w:val="decimal"/>
      <w:start w:val="1"/>
    </w:lvl>
    <w:lvl w:ilvl="1">
      <w:lvlJc w:val="left"/>
      <w:lvlText w:val="(%2)"/>
      <w:numFmt w:val="lowerLetter"/>
      <w:start w:val="27"/>
    </w:lvl>
  </w:abstractNum>
  <w:abstractNum w:abstractNumId="29">
    <w:nsid w:val="46B24DBC"/>
    <w:multiLevelType w:val="hybridMultilevel"/>
    <w:lvl w:ilvl="0">
      <w:lvlJc w:val="left"/>
      <w:lvlText w:val="%1."/>
      <w:numFmt w:val="decimal"/>
      <w:start w:val="16"/>
    </w:lvl>
    <w:lvl w:ilvl="1">
      <w:lvlJc w:val="left"/>
      <w:lvlText w:val="%2"/>
      <w:numFmt w:val="lowerLetter"/>
      <w:start w:val="1"/>
    </w:lvl>
  </w:abstractNum>
  <w:abstractNum w:abstractNumId="30">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57CE66B4"/>
    <w:multiLevelType w:val="hybridMultilevel"/>
    <w:lvl w:ilvl="0">
      <w:lvlJc w:val="left"/>
      <w:lvlText w:val="(%1)"/>
      <w:numFmt w:val="decimal"/>
      <w:start w:val="120"/>
    </w:lvl>
    <w:lvl w:ilvl="1">
      <w:lvlJc w:val="left"/>
      <w:lvlText w:val="(%2)"/>
      <w:numFmt w:val="lowerLetter"/>
      <w:start w:val="4"/>
    </w:lvl>
    <w:lvl w:ilvl="2">
      <w:lvlJc w:val="left"/>
      <w:lvlText w:val="(%3)"/>
      <w:numFmt w:val="lowerRoman"/>
      <w:start w:val="1"/>
    </w:lvl>
  </w:abstractNum>
  <w:abstractNum w:abstractNumId="32">
    <w:nsid w:val="67A70B69"/>
    <w:multiLevelType w:val="hybridMultilevel"/>
    <w:lvl w:ilvl="0">
      <w:lvlJc w:val="left"/>
      <w:lvlText w:val="(%1)"/>
      <w:numFmt w:val="lowerRoman"/>
      <w:start w:val="3"/>
    </w:lvl>
  </w:abstractNum>
  <w:abstractNum w:abstractNumId="33">
    <w:nsid w:val="5953172F"/>
    <w:multiLevelType w:val="hybridMultilevel"/>
    <w:lvl w:ilvl="0">
      <w:lvlJc w:val="left"/>
      <w:lvlText w:val="%1"/>
      <w:numFmt w:val="lowerLetter"/>
      <w:start w:val="1"/>
    </w:lvl>
    <w:lvl w:ilvl="1">
      <w:lvlJc w:val="left"/>
      <w:lvlText w:val="(%2)"/>
      <w:numFmt w:val="lowerRoman"/>
      <w:start w:val="7"/>
    </w:lvl>
  </w:abstractNum>
  <w:abstractNum w:abstractNumId="34">
    <w:nsid w:val="27EDFE3A"/>
    <w:multiLevelType w:val="hybridMultilevel"/>
    <w:lvl w:ilvl="0">
      <w:lvlJc w:val="left"/>
      <w:lvlText w:val="(%1)"/>
      <w:numFmt w:val="lowerLetter"/>
      <w:start w:val="5"/>
    </w:lvl>
    <w:lvl w:ilvl="1">
      <w:lvlJc w:val="left"/>
      <w:lvlText w:val="%2"/>
      <w:numFmt w:val="lowerRoman"/>
      <w:start w:val="1"/>
    </w:lvl>
  </w:abstractNum>
  <w:abstractNum w:abstractNumId="35">
    <w:nsid w:val="52AC7DFF"/>
    <w:multiLevelType w:val="hybridMultilevel"/>
    <w:lvl w:ilvl="0">
      <w:lvlJc w:val="left"/>
      <w:lvlText w:val="(%1)"/>
      <w:numFmt w:val="lowerLetter"/>
      <w:start w:val="9"/>
    </w:lvl>
  </w:abstractNum>
  <w:abstractNum w:abstractNumId="36">
    <w:nsid w:val="C4C3AF"/>
    <w:multiLevelType w:val="hybridMultilevel"/>
    <w:lvl w:ilvl="0">
      <w:lvlJc w:val="left"/>
      <w:lvlText w:val="(%1)"/>
      <w:numFmt w:val="lowerLetter"/>
      <w:start w:val="1"/>
    </w:lvl>
  </w:abstractNum>
  <w:abstractNum w:abstractNumId="37">
    <w:nsid w:val="44380727"/>
    <w:multiLevelType w:val="hybridMultilevel"/>
    <w:lvl w:ilvl="0">
      <w:lvlJc w:val="left"/>
      <w:lvlText w:val="(%1)"/>
      <w:numFmt w:val="lowerLetter"/>
      <w:start w:val="2"/>
    </w:lvl>
    <w:lvl w:ilvl="1">
      <w:lvlJc w:val="left"/>
      <w:lvlText w:val="(%2)"/>
      <w:numFmt w:val="lowerRoman"/>
      <w:start w:val="1"/>
    </w:lvl>
  </w:abstractNum>
  <w:abstractNum w:abstractNumId="38">
    <w:nsid w:val="6C053B16"/>
    <w:multiLevelType w:val="hybridMultilevel"/>
    <w:lvl w:ilvl="0">
      <w:lvlJc w:val="left"/>
      <w:lvlText w:val="(%1)"/>
      <w:numFmt w:val="lowerLetter"/>
      <w:start w:val="1"/>
    </w:lvl>
  </w:abstractNum>
  <w:abstractNum w:abstractNumId="39">
    <w:nsid w:val="4F294393"/>
    <w:multiLevelType w:val="hybridMultilevel"/>
    <w:lvl w:ilvl="0">
      <w:lvlJc w:val="left"/>
      <w:lvlText w:val="(%1)"/>
      <w:numFmt w:val="lowerLetter"/>
      <w:start w:val="3"/>
    </w:lvl>
    <w:lvl w:ilvl="1">
      <w:lvlJc w:val="left"/>
      <w:lvlText w:val="(%2)"/>
      <w:numFmt w:val="lowerRoman"/>
      <w:start w:val="1"/>
    </w:lvl>
  </w:abstractNum>
  <w:abstractNum w:abstractNumId="40">
    <w:nsid w:val="5243BFAC"/>
    <w:multiLevelType w:val="hybridMultilevel"/>
    <w:lvl w:ilvl="0">
      <w:lvlJc w:val="left"/>
      <w:lvlText w:val="%1"/>
      <w:numFmt w:val="lowerLetter"/>
      <w:start w:val="1"/>
    </w:lvl>
    <w:lvl w:ilvl="1">
      <w:lvlJc w:val="left"/>
      <w:lvlText w:val="(%2)"/>
      <w:numFmt w:val="lowerRoman"/>
      <w:start w:val="3"/>
    </w:lvl>
  </w:abstractNum>
  <w:abstractNum w:abstractNumId="41">
    <w:nsid w:val="425EB207"/>
    <w:multiLevelType w:val="hybridMultilevel"/>
    <w:lvl w:ilvl="0">
      <w:lvlJc w:val="left"/>
      <w:lvlText w:val="(%1)"/>
      <w:numFmt w:val="lowerLetter"/>
      <w:start w:val="7"/>
    </w:lvl>
    <w:lvl w:ilvl="1">
      <w:lvlJc w:val="left"/>
      <w:lvlText w:val="%2"/>
      <w:numFmt w:val="lowerRoman"/>
      <w:start w:val="1"/>
    </w:lvl>
  </w:abstractNum>
  <w:abstractNum w:abstractNumId="42">
    <w:nsid w:val="334A6F1F"/>
    <w:multiLevelType w:val="hybridMultilevel"/>
    <w:lvl w:ilvl="0">
      <w:lvlJc w:val="left"/>
      <w:lvlText w:val="(%1)"/>
      <w:numFmt w:val="lowerLetter"/>
      <w:start w:val="9"/>
    </w:lvl>
  </w:abstractNum>
  <w:abstractNum w:abstractNumId="43">
    <w:nsid w:val="2E5B12B8"/>
    <w:multiLevelType w:val="hybridMultilevel"/>
    <w:lvl w:ilvl="0">
      <w:lvlJc w:val="left"/>
      <w:lvlText w:val="(%1)"/>
      <w:numFmt w:val="lowerRoman"/>
      <w:start w:val="1"/>
    </w:lvl>
  </w:abstractNum>
  <w:abstractNum w:abstractNumId="44">
    <w:nsid w:val="5C03D76D"/>
    <w:multiLevelType w:val="hybridMultilevel"/>
    <w:lvl w:ilvl="0">
      <w:lvlJc w:val="left"/>
      <w:lvlText w:val="(%1)"/>
      <w:numFmt w:val="lowerLetter"/>
      <w:start w:val="1"/>
    </w:lvl>
  </w:abstractNum>
  <w:abstractNum w:abstractNumId="45">
    <w:nsid w:val="66A48D11"/>
    <w:multiLevelType w:val="hybridMultilevel"/>
    <w:lvl w:ilvl="0">
      <w:lvlJc w:val="left"/>
      <w:lvlText w:val="(%1)"/>
      <w:numFmt w:val="lowerLetter"/>
      <w:start w:val="2"/>
    </w:lvl>
  </w:abstractNum>
  <w:abstractNum w:abstractNumId="46">
    <w:nsid w:val="56C28E34"/>
    <w:multiLevelType w:val="hybridMultilevel"/>
    <w:lvl w:ilvl="0">
      <w:lvlJc w:val="left"/>
      <w:lvlText w:val="."/>
      <w:numFmt w:val="bullet"/>
      <w:start w:val="1"/>
    </w:lvl>
  </w:abstractNum>
  <w:abstractNum w:abstractNumId="47">
    <w:nsid w:val="13916F2D"/>
    <w:multiLevelType w:val="hybridMultilevel"/>
    <w:lvl w:ilvl="0">
      <w:lvlJc w:val="left"/>
      <w:lvlText w:val="(%1)"/>
      <w:numFmt w:val="lowerRoman"/>
      <w:start w:val="1"/>
    </w:lvl>
  </w:abstractNum>
  <w:abstractNum w:abstractNumId="48">
    <w:nsid w:val="435D38D"/>
    <w:multiLevelType w:val="hybridMultilevel"/>
    <w:lvl w:ilvl="0">
      <w:lvlJc w:val="left"/>
      <w:lvlText w:val="(%1)"/>
      <w:numFmt w:val="lowerLetter"/>
      <w:start w:val="1"/>
    </w:lvl>
  </w:abstractNum>
  <w:abstractNum w:abstractNumId="49">
    <w:nsid w:val="822C0EF"/>
    <w:multiLevelType w:val="hybridMultilevel"/>
    <w:lvl w:ilvl="0">
      <w:lvlJc w:val="left"/>
      <w:lvlText w:val="(%1)"/>
      <w:numFmt w:val="lowerLetter"/>
      <w:start w:val="2"/>
    </w:lvl>
  </w:abstractNum>
  <w:abstractNum w:abstractNumId="50">
    <w:nsid w:val="57C5BB4F"/>
    <w:multiLevelType w:val="hybridMultilevel"/>
    <w:lvl w:ilvl="0">
      <w:lvlJc w:val="left"/>
      <w:lvlText w:val="(%1)"/>
      <w:numFmt w:val="lowerRoman"/>
      <w:start w:val="1"/>
    </w:lvl>
  </w:abstractNum>
  <w:abstractNum w:abstractNumId="51">
    <w:nsid w:val="1803D089"/>
    <w:multiLevelType w:val="hybridMultilevel"/>
    <w:lvl w:ilvl="0">
      <w:lvlJc w:val="left"/>
      <w:lvlText w:val="%1"/>
      <w:numFmt w:val="lowerLetter"/>
      <w:start w:val="1"/>
    </w:lvl>
    <w:lvl w:ilvl="1">
      <w:lvlJc w:val="left"/>
      <w:lvlText w:val="(%2)"/>
      <w:numFmt w:val="lowerLetter"/>
      <w:start w:val="1"/>
    </w:lvl>
  </w:abstractNum>
  <w:abstractNum w:abstractNumId="52">
    <w:nsid w:val="4F3A06D4"/>
    <w:multiLevelType w:val="hybridMultilevel"/>
    <w:lvl w:ilvl="0">
      <w:lvlJc w:val="left"/>
      <w:lvlText w:val="(%1)"/>
      <w:numFmt w:val="lowerLetter"/>
      <w:start w:val="35"/>
    </w:lvl>
    <w:lvl w:ilvl="1">
      <w:lvlJc w:val="left"/>
      <w:lvlText w:val="(%2)"/>
      <w:numFmt w:val="lowerLetter"/>
      <w:start w:val="2"/>
    </w:lvl>
  </w:abstractNum>
  <w:abstractNum w:abstractNumId="53">
    <w:nsid w:val="59A377B6"/>
    <w:multiLevelType w:val="hybridMultilevel"/>
    <w:lvl w:ilvl="0">
      <w:lvlJc w:val="left"/>
      <w:lvlText w:val="(%1)"/>
      <w:numFmt w:val="lowerLetter"/>
      <w:start w:val="5"/>
    </w:lvl>
  </w:abstractNum>
  <w:abstractNum w:abstractNumId="54">
    <w:nsid w:val="48AEB063"/>
    <w:multiLevelType w:val="hybridMultilevel"/>
    <w:lvl w:ilvl="0">
      <w:lvlJc w:val="left"/>
      <w:lvlText w:val="(%1)"/>
      <w:numFmt w:val="lowerLetter"/>
      <w:start w:val="1"/>
    </w:lvl>
  </w:abstractNum>
  <w:abstractNum w:abstractNumId="55">
    <w:nsid w:val="24E135"/>
    <w:multiLevelType w:val="hybridMultilevel"/>
    <w:lvl w:ilvl="0">
      <w:lvlJc w:val="left"/>
      <w:lvlText w:val="(%1)"/>
      <w:numFmt w:val="lowerLetter"/>
      <w:start w:val="4"/>
    </w:lvl>
  </w:abstractNum>
  <w:abstractNum w:abstractNumId="56">
    <w:nsid w:val="BB13C1"/>
    <w:multiLevelType w:val="hybridMultilevel"/>
    <w:lvl w:ilvl="0">
      <w:lvlJc w:val="left"/>
      <w:lvlText w:val="(%1)"/>
      <w:numFmt w:val="lowerLetter"/>
      <w:start w:val="1"/>
    </w:lvl>
  </w:abstractNum>
  <w:abstractNum w:abstractNumId="57">
    <w:nsid w:val="271210C7"/>
    <w:multiLevelType w:val="hybridMultilevel"/>
    <w:lvl w:ilvl="0">
      <w:lvlJc w:val="left"/>
      <w:lvlText w:val="(%1)"/>
      <w:numFmt w:val="lowerLetter"/>
      <w:start w:val="4"/>
    </w:lvl>
  </w:abstractNum>
  <w:abstractNum w:abstractNumId="58">
    <w:nsid w:val="217B22E4"/>
    <w:multiLevelType w:val="hybridMultilevel"/>
    <w:lvl w:ilvl="0">
      <w:lvlJc w:val="left"/>
      <w:lvlText w:val="(%1)"/>
      <w:numFmt w:val="lowerLetter"/>
      <w:start w:val="1"/>
    </w:lvl>
  </w:abstractNum>
  <w:abstractNum w:abstractNumId="59">
    <w:nsid w:val="53E31A24"/>
    <w:multiLevelType w:val="hybridMultilevel"/>
    <w:lvl w:ilvl="0">
      <w:lvlJc w:val="left"/>
      <w:lvlText w:val="(%1)"/>
      <w:numFmt w:val="lowerLetter"/>
      <w:start w:val="3"/>
    </w:lvl>
  </w:abstractNum>
  <w:abstractNum w:abstractNumId="60">
    <w:nsid w:val="6DC45E83"/>
    <w:multiLevelType w:val="hybridMultilevel"/>
    <w:lvl w:ilvl="0">
      <w:lvlJc w:val="left"/>
      <w:lvlText w:val="(%1)"/>
      <w:numFmt w:val="lowerLetter"/>
      <w:start w:val="1"/>
    </w:lvl>
  </w:abstractNum>
  <w:abstractNum w:abstractNumId="61">
    <w:nsid w:val="17304A67"/>
    <w:multiLevelType w:val="hybridMultilevel"/>
    <w:lvl w:ilvl="0">
      <w:lvlJc w:val="left"/>
      <w:lvlText w:val="(%1)"/>
      <w:numFmt w:val="lowerLetter"/>
      <w:start w:val="2"/>
    </w:lvl>
  </w:abstractNum>
  <w:abstractNum w:abstractNumId="62">
    <w:nsid w:val="2BB180D8"/>
    <w:multiLevelType w:val="hybridMultilevel"/>
    <w:lvl w:ilvl="0">
      <w:lvlJc w:val="left"/>
      <w:lvlText w:val="(%1)"/>
      <w:numFmt w:val="lowerLetter"/>
      <w:start w:val="1"/>
    </w:lvl>
  </w:abstractNum>
  <w:abstractNum w:abstractNumId="63">
    <w:nsid w:val="556B69ED"/>
    <w:multiLevelType w:val="hybridMultilevel"/>
    <w:lvl w:ilvl="0">
      <w:lvlJc w:val="left"/>
      <w:lvlText w:val="%1"/>
      <w:numFmt w:val="lowerLetter"/>
      <w:start w:val="1"/>
    </w:lvl>
    <w:lvl w:ilvl="1">
      <w:lvlJc w:val="left"/>
      <w:lvlText w:val="%2"/>
      <w:numFmt w:val="decimal"/>
      <w:start w:val="41"/>
    </w:lvl>
  </w:abstractNum>
  <w:abstractNum w:abstractNumId="64">
    <w:nsid w:val="70836196"/>
    <w:multiLevelType w:val="hybridMultilevel"/>
    <w:lvl w:ilvl="0">
      <w:lvlJc w:val="left"/>
      <w:lvlText w:val="(%1)"/>
      <w:numFmt w:val="lowerLetter"/>
      <w:start w:val="2"/>
    </w:lvl>
    <w:lvl w:ilvl="1">
      <w:lvlJc w:val="left"/>
      <w:lvlText w:val="%2"/>
      <w:numFmt w:val="decimal"/>
      <w:start w:val="41"/>
    </w:lvl>
  </w:abstractNum>
  <w:abstractNum w:abstractNumId="65">
    <w:nsid w:val="539F7F12"/>
    <w:multiLevelType w:val="hybridMultilevel"/>
    <w:lvl w:ilvl="0">
      <w:lvlJc w:val="left"/>
      <w:lvlText w:val="(%1)"/>
      <w:numFmt w:val="lowerLetter"/>
      <w:start w:val="3"/>
    </w:lvl>
  </w:abstractNum>
  <w:abstractNum w:abstractNumId="66">
    <w:nsid w:val="2817E7EC"/>
    <w:multiLevelType w:val="hybridMultilevel"/>
    <w:lvl w:ilvl="0">
      <w:lvlJc w:val="left"/>
      <w:lvlText w:val="%1"/>
      <w:numFmt w:val="upperLetter"/>
      <w:start w:val="1"/>
    </w:lvl>
    <w:lvl w:ilvl="1">
      <w:lvlJc w:val="left"/>
      <w:lvlText w:val="(%2)"/>
      <w:numFmt w:val="lowerLetter"/>
      <w:start w:val="1"/>
    </w:lvl>
  </w:abstractNum>
  <w:abstractNum w:abstractNumId="67">
    <w:nsid w:val="71482545"/>
    <w:multiLevelType w:val="hybridMultilevel"/>
    <w:lvl w:ilvl="0">
      <w:lvlJc w:val="left"/>
      <w:lvlText w:val="(%1)"/>
      <w:numFmt w:val="upperLetter"/>
      <w:start w:val="1"/>
    </w:lvl>
    <w:lvl w:ilvl="1">
      <w:lvlJc w:val="left"/>
      <w:lvlText w:val="%2"/>
      <w:numFmt w:val="lowerLetter"/>
      <w:start w:val="1"/>
    </w:lvl>
  </w:abstractNum>
  <w:abstractNum w:abstractNumId="68">
    <w:nsid w:val="17D78639"/>
    <w:multiLevelType w:val="hybridMultilevel"/>
    <w:lvl w:ilvl="0">
      <w:lvlJc w:val="left"/>
      <w:lvlText w:val="(%1)"/>
      <w:numFmt w:val="lowerLetter"/>
      <w:start w:val="2"/>
    </w:lvl>
  </w:abstractNum>
  <w:abstractNum w:abstractNumId="69">
    <w:nsid w:val="141D2302"/>
    <w:multiLevelType w:val="hybridMultilevel"/>
    <w:lvl w:ilvl="0">
      <w:lvlJc w:val="left"/>
      <w:lvlText w:val="(%1)"/>
      <w:numFmt w:val="lowerRoman"/>
      <w:start w:val="2"/>
    </w:lvl>
  </w:abstractNum>
  <w:abstractNum w:abstractNumId="70">
    <w:nsid w:val="407168D8"/>
    <w:multiLevelType w:val="hybridMultilevel"/>
    <w:lvl w:ilvl="0">
      <w:lvlJc w:val="left"/>
      <w:lvlText w:val="%1"/>
      <w:numFmt w:val="decimal"/>
      <w:start w:val="41"/>
    </w:lvl>
  </w:abstractNum>
  <w:abstractNum w:abstractNumId="71">
    <w:nsid w:val="6A1B45E5"/>
    <w:multiLevelType w:val="hybridMultilevel"/>
    <w:lvl w:ilvl="0">
      <w:lvlJc w:val="left"/>
      <w:lvlText w:val="%1"/>
      <w:numFmt w:val="decimal"/>
      <w:start w:val="41"/>
    </w:lvl>
  </w:abstractNum>
  <w:abstractNum w:abstractNumId="72">
    <w:nsid w:val="567BD50A"/>
    <w:multiLevelType w:val="hybridMultilevel"/>
    <w:lvl w:ilvl="0">
      <w:lvlJc w:val="left"/>
      <w:lvlText w:val="(%1)"/>
      <w:numFmt w:val="lowerRoman"/>
      <w:start w:val="1"/>
    </w:lvl>
  </w:abstractNum>
  <w:abstractNum w:abstractNumId="73">
    <w:nsid w:val="73BBD7F8"/>
    <w:multiLevelType w:val="hybridMultilevel"/>
    <w:lvl w:ilvl="0">
      <w:lvlJc w:val="left"/>
      <w:lvlText w:val="(%1)"/>
      <w:numFmt w:val="lowerRoman"/>
      <w:start w:val="1"/>
    </w:lvl>
  </w:abstractNum>
  <w:abstractNum w:abstractNumId="74">
    <w:nsid w:val="1876589D"/>
    <w:multiLevelType w:val="hybridMultilevel"/>
    <w:lvl w:ilvl="0">
      <w:lvlJc w:val="left"/>
      <w:lvlText w:val="(%1)"/>
      <w:numFmt w:val="lowerRoman"/>
      <w:start w:val="2"/>
    </w:lvl>
  </w:abstractNum>
  <w:abstractNum w:abstractNumId="75">
    <w:nsid w:val="327FAC77"/>
    <w:multiLevelType w:val="hybridMultilevel"/>
    <w:lvl w:ilvl="0">
      <w:lvlJc w:val="left"/>
      <w:lvlText w:val="(%1)"/>
      <w:numFmt w:val="lowerLetter"/>
      <w:start w:val="1"/>
    </w:lvl>
  </w:abstractNum>
  <w:abstractNum w:abstractNumId="76">
    <w:nsid w:val="5A606509"/>
    <w:multiLevelType w:val="hybridMultilevel"/>
    <w:lvl w:ilvl="0">
      <w:lvlJc w:val="left"/>
      <w:lvlText w:val="(%1)"/>
      <w:numFmt w:val="lowerLetter"/>
      <w:start w:val="2"/>
    </w:lvl>
  </w:abstractNum>
  <w:abstractNum w:abstractNumId="77">
    <w:nsid w:val="6F38E6D1"/>
    <w:multiLevelType w:val="hybridMultilevel"/>
    <w:lvl w:ilvl="0">
      <w:lvlJc w:val="left"/>
      <w:lvlText w:val="(%1)"/>
      <w:numFmt w:val="lowerLetter"/>
      <w:start w:val="1"/>
    </w:lvl>
  </w:abstractNum>
  <w:abstractNum w:abstractNumId="78">
    <w:nsid w:val="46111BA5"/>
    <w:multiLevelType w:val="hybridMultilevel"/>
    <w:lvl w:ilvl="0">
      <w:lvlJc w:val="left"/>
      <w:lvlText w:val="(%1)"/>
      <w:numFmt w:val="lowerLetter"/>
      <w:start w:val="2"/>
    </w:lvl>
  </w:abstractNum>
  <w:abstractNum w:abstractNumId="79">
    <w:nsid w:val="5E963896"/>
    <w:multiLevelType w:val="hybridMultilevel"/>
    <w:lvl w:ilvl="0">
      <w:lvlJc w:val="left"/>
      <w:lvlText w:val="(%1)"/>
      <w:numFmt w:val="lowerLetter"/>
      <w:start w:val="1"/>
    </w:lvl>
  </w:abstractNum>
  <w:abstractNum w:abstractNumId="80">
    <w:nsid w:val="775BA7C1"/>
    <w:multiLevelType w:val="hybridMultilevel"/>
    <w:lvl w:ilvl="0">
      <w:lvlJc w:val="left"/>
      <w:lvlText w:val="(%1)"/>
      <w:numFmt w:val="lowerLetter"/>
      <w:start w:val="1"/>
    </w:lvl>
  </w:abstractNum>
  <w:abstractNum w:abstractNumId="81">
    <w:nsid w:val="1DD6D6F4"/>
    <w:multiLevelType w:val="hybridMultilevel"/>
    <w:lvl w:ilvl="0">
      <w:lvlJc w:val="left"/>
      <w:lvlText w:val="(%1)"/>
      <w:numFmt w:val="lowerLetter"/>
      <w:start w:val="1"/>
    </w:lvl>
  </w:abstractNum>
  <w:abstractNum w:abstractNumId="82">
    <w:nsid w:val="769A091F"/>
    <w:multiLevelType w:val="hybridMultilevel"/>
    <w:lvl w:ilvl="0">
      <w:lvlJc w:val="left"/>
      <w:lvlText w:val="%1"/>
      <w:numFmt w:val="lowerLetter"/>
      <w:start w:val="1"/>
    </w:lvl>
    <w:lvl w:ilvl="1">
      <w:lvlJc w:val="left"/>
      <w:lvlText w:val="(%2)"/>
      <w:numFmt w:val="lowerLetter"/>
      <w:start w:val="2"/>
    </w:lvl>
  </w:abstractNum>
  <w:abstractNum w:abstractNumId="83">
    <w:nsid w:val="4695AE95"/>
    <w:multiLevelType w:val="hybridMultilevel"/>
    <w:lvl w:ilvl="0">
      <w:lvlJc w:val="left"/>
      <w:lvlText w:val="(%1)"/>
      <w:numFmt w:val="lowerLetter"/>
      <w:start w:val="35"/>
    </w:lvl>
    <w:lvl w:ilvl="1">
      <w:lvlJc w:val="left"/>
      <w:lvlText w:val="(%2)"/>
      <w:numFmt w:val="lowerLetter"/>
      <w:start w:val="3"/>
    </w:lvl>
  </w:abstractNum>
  <w:abstractNum w:abstractNumId="84">
    <w:nsid w:val="777A4EAA"/>
    <w:multiLevelType w:val="hybridMultilevel"/>
    <w:lvl w:ilvl="0">
      <w:lvlJc w:val="left"/>
      <w:lvlText w:val="%1"/>
      <w:numFmt w:val="lowerLetter"/>
      <w:start w:val="1"/>
    </w:lvl>
    <w:lvl w:ilvl="1">
      <w:lvlJc w:val="left"/>
      <w:lvlText w:val="(%2)"/>
      <w:numFmt w:val="lowerLetter"/>
      <w:start w:val="1"/>
    </w:lvl>
  </w:abstractNum>
  <w:abstractNum w:abstractNumId="85">
    <w:nsid w:val="3F48B982"/>
    <w:multiLevelType w:val="hybridMultilevel"/>
    <w:lvl w:ilvl="0">
      <w:lvlJc w:val="left"/>
      <w:lvlText w:val="(%1)"/>
      <w:numFmt w:val="lowerLetter"/>
      <w:start w:val="9"/>
    </w:lvl>
    <w:lvl w:ilvl="1">
      <w:lvlJc w:val="left"/>
      <w:lvlText w:val="%2"/>
      <w:numFmt w:val="lowerLetter"/>
      <w:start w:val="1"/>
    </w:lvl>
  </w:abstractNum>
  <w:abstractNum w:abstractNumId="86">
    <w:nsid w:val="46BA8FCA"/>
    <w:multiLevelType w:val="hybridMultilevel"/>
    <w:lvl w:ilvl="0">
      <w:lvlJc w:val="left"/>
      <w:lvlText w:val="(%1)"/>
      <w:numFmt w:val="lowerLetter"/>
      <w:start w:val="1"/>
    </w:lvl>
  </w:abstractNum>
  <w:abstractNum w:abstractNumId="87">
    <w:nsid w:val="7835626C"/>
    <w:multiLevelType w:val="hybridMultilevel"/>
    <w:lvl w:ilvl="0">
      <w:lvlJc w:val="left"/>
      <w:lvlText w:val="(%1)"/>
      <w:numFmt w:val="lowerLetter"/>
      <w:start w:val="3"/>
    </w:lvl>
  </w:abstractNum>
  <w:abstractNum w:abstractNumId="88">
    <w:nsid w:val="665ACA49"/>
    <w:multiLevelType w:val="hybridMultilevel"/>
    <w:lvl w:ilvl="0">
      <w:lvlJc w:val="left"/>
      <w:lvlText w:val="(%1)"/>
      <w:numFmt w:val="lowerLetter"/>
      <w:start w:val="1"/>
    </w:lvl>
  </w:abstractNum>
  <w:abstractNum w:abstractNumId="89">
    <w:nsid w:val="6835B2AE"/>
    <w:multiLevelType w:val="hybridMultilevel"/>
    <w:lvl w:ilvl="0">
      <w:lvlJc w:val="left"/>
      <w:lvlText w:val="(%1)"/>
      <w:numFmt w:val="decimal"/>
      <w:start w:val="30"/>
    </w:lvl>
  </w:abstractNum>
  <w:abstractNum w:abstractNumId="90">
    <w:nsid w:val="4C187C90"/>
    <w:multiLevelType w:val="hybridMultilevel"/>
    <w:lvl w:ilvl="0">
      <w:lvlJc w:val="left"/>
      <w:lvlText w:val="(%1)"/>
      <w:numFmt w:val="lowerLetter"/>
      <w:start w:val="1"/>
    </w:lvl>
  </w:abstractNum>
  <w:abstractNum w:abstractNumId="91">
    <w:nsid w:val="541F28CD"/>
    <w:multiLevelType w:val="hybridMultilevel"/>
    <w:lvl w:ilvl="0">
      <w:lvlJc w:val="left"/>
      <w:lvlText w:val="(%1)"/>
      <w:numFmt w:val="lowerLetter"/>
      <w:start w:val="1"/>
    </w:lvl>
  </w:abstractNum>
  <w:abstractNum w:abstractNumId="92">
    <w:nsid w:val="7F65FD16"/>
    <w:multiLevelType w:val="hybridMultilevel"/>
    <w:lvl w:ilvl="0">
      <w:lvlJc w:val="left"/>
      <w:lvlText w:val="(%1)"/>
      <w:numFmt w:val="lowerRoman"/>
      <w:start w:val="3"/>
    </w:lvl>
  </w:abstractNum>
  <w:abstractNum w:abstractNumId="93">
    <w:nsid w:val="77C9FD68"/>
    <w:multiLevelType w:val="hybridMultilevel"/>
    <w:lvl w:ilvl="0">
      <w:lvlJc w:val="left"/>
      <w:lvlText w:val="(%1)"/>
      <w:numFmt w:val="lowerLetter"/>
      <w:start w:val="1"/>
    </w:lvl>
  </w:abstractNum>
  <w:abstractNum w:abstractNumId="94">
    <w:nsid w:val="298A92BA"/>
    <w:multiLevelType w:val="hybridMultilevel"/>
    <w:lvl w:ilvl="0">
      <w:lvlJc w:val="left"/>
      <w:lvlText w:val="(%1)"/>
      <w:numFmt w:val="lowerLetter"/>
      <w:start w:val="1"/>
    </w:lvl>
  </w:abstractNum>
  <w:abstractNum w:abstractNumId="95">
    <w:nsid w:val="6FE95EAC"/>
    <w:multiLevelType w:val="hybridMultilevel"/>
    <w:lvl w:ilvl="0">
      <w:lvlJc w:val="left"/>
      <w:lvlText w:val="%1"/>
      <w:numFmt w:val="lowerLetter"/>
      <w:start w:val="1"/>
    </w:lvl>
    <w:lvl w:ilvl="1">
      <w:lvlJc w:val="left"/>
      <w:lvlText w:val="(%2)"/>
      <w:numFmt w:val="lowerLetter"/>
      <w:start w:val="2"/>
    </w:lvl>
  </w:abstractNum>
  <w:abstractNum w:abstractNumId="96">
    <w:nsid w:val="4B697C7A"/>
    <w:multiLevelType w:val="hybridMultilevel"/>
    <w:lvl w:ilvl="0">
      <w:lvlJc w:val="left"/>
      <w:lvlText w:val="(%1)"/>
      <w:numFmt w:val="lowerLetter"/>
      <w:start w:val="9"/>
    </w:lvl>
    <w:lvl w:ilvl="1">
      <w:lvlJc w:val="left"/>
      <w:lvlText w:val="%2"/>
      <w:numFmt w:val="lowerLetter"/>
      <w:start w:val="1"/>
    </w:lvl>
  </w:abstractNum>
  <w:abstractNum w:abstractNumId="97">
    <w:nsid w:val="51A27AA6"/>
    <w:multiLevelType w:val="hybridMultilevel"/>
    <w:lvl w:ilvl="0">
      <w:lvlJc w:val="left"/>
      <w:lvlText w:val="(%1)"/>
      <w:numFmt w:val="lowerLetter"/>
      <w:start w:val="1"/>
    </w:lvl>
    <w:lvl w:ilvl="1">
      <w:lvlJc w:val="left"/>
      <w:lvlText w:val="(%2)"/>
      <w:numFmt w:val="lowerLetter"/>
      <w:start w:val="9"/>
    </w:lvl>
  </w:abstractNum>
  <w:abstractNum w:abstractNumId="98">
    <w:nsid w:val="613183F2"/>
    <w:multiLevelType w:val="hybridMultilevel"/>
    <w:lvl w:ilvl="0">
      <w:lvlJc w:val="left"/>
      <w:lvlText w:val="%1"/>
      <w:numFmt w:val="lowerLetter"/>
      <w:start w:val="1"/>
    </w:lvl>
    <w:lvl w:ilvl="1">
      <w:lvlJc w:val="left"/>
      <w:lvlText w:val="(%2)"/>
      <w:numFmt w:val="lowerLetter"/>
      <w:start w:val="35"/>
    </w:lvl>
  </w:abstractNum>
  <w:abstractNum w:abstractNumId="99">
    <w:nsid w:val="634102B4"/>
    <w:multiLevelType w:val="hybridMultilevel"/>
    <w:lvl w:ilvl="0">
      <w:lvlJc w:val="left"/>
      <w:lvlText w:val="(%1)"/>
      <w:numFmt w:val="lowerLetter"/>
      <w:start w:val="2"/>
    </w:lvl>
    <w:lvl w:ilvl="1">
      <w:lvlJc w:val="left"/>
      <w:lvlText w:val="%2"/>
      <w:numFmt w:val="lowerLetter"/>
      <w:start w:val="1"/>
    </w:lvl>
  </w:abstractNum>
  <w:abstractNum w:abstractNumId="100">
    <w:nsid w:val="65BF9DA8"/>
    <w:multiLevelType w:val="hybridMultilevel"/>
    <w:lvl w:ilvl="0">
      <w:lvlJc w:val="left"/>
      <w:lvlText w:val="(%1)"/>
      <w:numFmt w:val="lowerLetter"/>
      <w:start w:val="1"/>
    </w:lvl>
    <w:lvl w:ilvl="1">
      <w:lvlJc w:val="left"/>
      <w:lvlText w:val="(%2)"/>
      <w:numFmt w:val="lowerRoman"/>
      <w:start w:val="1"/>
    </w:lvl>
  </w:abstractNum>
  <w:abstractNum w:abstractNumId="101">
    <w:nsid w:val="21A2ECCA"/>
    <w:multiLevelType w:val="hybridMultilevel"/>
    <w:lvl w:ilvl="0">
      <w:lvlJc w:val="left"/>
      <w:lvlText w:val="(%1)"/>
      <w:numFmt w:val="lowerLetter"/>
      <w:start w:val="25"/>
    </w:lvl>
    <w:lvl w:ilvl="1">
      <w:lvlJc w:val="left"/>
      <w:lvlText w:val="(%2)"/>
      <w:numFmt w:val="lowerLetter"/>
      <w:start w:val="1"/>
    </w:lvl>
  </w:abstractNum>
  <w:abstractNum w:abstractNumId="102">
    <w:nsid w:val="4D5C4899"/>
    <w:multiLevelType w:val="hybridMultilevel"/>
    <w:lvl w:ilvl="0">
      <w:lvlJc w:val="left"/>
      <w:lvlText w:val="(%1)"/>
      <w:numFmt w:val="lowerLetter"/>
      <w:start w:val="3"/>
    </w:lvl>
  </w:abstractNum>
  <w:abstractNum w:abstractNumId="103">
    <w:nsid w:val="3C3B72B2"/>
    <w:multiLevelType w:val="hybridMultilevel"/>
    <w:lvl w:ilvl="0">
      <w:lvlJc w:val="left"/>
      <w:lvlText w:val="(%1)"/>
      <w:numFmt w:val="lowerLetter"/>
      <w:start w:val="1"/>
    </w:lvl>
  </w:abstractNum>
  <w:abstractNum w:abstractNumId="104">
    <w:nsid w:val="155EC4C2"/>
    <w:multiLevelType w:val="hybridMultilevel"/>
    <w:lvl w:ilvl="0">
      <w:lvlJc w:val="left"/>
      <w:lvlText w:val="(%1)"/>
      <w:numFmt w:val="lowerRoman"/>
      <w:start w:val="2"/>
    </w:lvl>
  </w:abstractNum>
  <w:abstractNum w:abstractNumId="105">
    <w:nsid w:val="65D2A137"/>
    <w:multiLevelType w:val="hybridMultilevel"/>
    <w:lvl w:ilvl="0">
      <w:lvlJc w:val="left"/>
      <w:lvlText w:val="(%1)"/>
      <w:numFmt w:val="lowerLetter"/>
      <w:start w:val="1"/>
    </w:lvl>
  </w:abstractNum>
  <w:abstractNum w:abstractNumId="106">
    <w:nsid w:val="6EBB1F2A"/>
    <w:multiLevelType w:val="hybridMultilevel"/>
    <w:lvl w:ilvl="0">
      <w:lvlJc w:val="left"/>
      <w:lvlText w:val="(%1)"/>
      <w:numFmt w:val="lowerLetter"/>
      <w:start w:val="1"/>
    </w:lvl>
  </w:abstractNum>
  <w:abstractNum w:abstractNumId="107">
    <w:nsid w:val="6FBF29CB"/>
    <w:multiLevelType w:val="hybridMultilevel"/>
    <w:lvl w:ilvl="0">
      <w:lvlJc w:val="left"/>
      <w:lvlText w:val="(%1)"/>
      <w:numFmt w:val="lowerLetter"/>
      <w:start w:val="3"/>
    </w:lvl>
    <w:lvl w:ilvl="1">
      <w:lvlJc w:val="left"/>
      <w:lvlText w:val="(%2)"/>
      <w:numFmt w:val="lowerRoman"/>
      <w:start w:val="1"/>
    </w:lvl>
  </w:abstractNum>
  <w:abstractNum w:abstractNumId="108">
    <w:nsid w:val="550B8808"/>
    <w:multiLevelType w:val="hybridMultilevel"/>
    <w:lvl w:ilvl="0">
      <w:lvlJc w:val="left"/>
      <w:lvlText w:val="(%1)"/>
      <w:numFmt w:val="lowerLetter"/>
      <w:start w:val="7"/>
    </w:lvl>
    <w:lvl w:ilvl="1">
      <w:lvlJc w:val="left"/>
      <w:lvlText w:val="(%2)"/>
      <w:numFmt w:val="lowerRoman"/>
      <w:start w:val="1"/>
    </w:lvl>
  </w:abstractNum>
  <w:abstractNum w:abstractNumId="109">
    <w:nsid w:val="34CC3ACF"/>
    <w:multiLevelType w:val="hybridMultilevel"/>
    <w:lvl w:ilvl="0">
      <w:lvlJc w:val="left"/>
      <w:lvlText w:val="(%1)"/>
      <w:numFmt w:val="lowerLetter"/>
      <w:start w:val="1"/>
    </w:lvl>
  </w:abstractNum>
  <w:abstractNum w:abstractNumId="110">
    <w:nsid w:val="4E556261"/>
    <w:multiLevelType w:val="hybridMultilevel"/>
    <w:lvl w:ilvl="0">
      <w:lvlJc w:val="left"/>
      <w:lvlText w:val="(%1)"/>
      <w:numFmt w:val="lowerLetter"/>
      <w:start w:val="2"/>
    </w:lvl>
  </w:abstractNum>
  <w:abstractNum w:abstractNumId="111">
    <w:nsid w:val="4C672FC9"/>
    <w:multiLevelType w:val="hybridMultilevel"/>
    <w:lvl w:ilvl="0">
      <w:lvlJc w:val="left"/>
      <w:lvlText w:val="(%1)"/>
      <w:numFmt w:val="lowerLetter"/>
      <w:start w:val="4"/>
    </w:lvl>
  </w:abstractNum>
  <w:abstractNum w:abstractNumId="112">
    <w:nsid w:val="52A311C3"/>
    <w:multiLevelType w:val="hybridMultilevel"/>
    <w:lvl w:ilvl="0">
      <w:lvlJc w:val="left"/>
      <w:lvlText w:val="(%1)"/>
      <w:numFmt w:val="lowerLetter"/>
      <w:start w:val="1"/>
    </w:lvl>
    <w:lvl w:ilvl="1">
      <w:lvlJc w:val="left"/>
      <w:lvlText w:val="(%2)"/>
      <w:numFmt w:val="lowerRoman"/>
      <w:start w:val="1"/>
    </w:lvl>
  </w:abstractNum>
  <w:abstractNum w:abstractNumId="113">
    <w:nsid w:val="44EF6B80"/>
    <w:multiLevelType w:val="hybridMultilevel"/>
    <w:lvl w:ilvl="0">
      <w:lvlJc w:val="left"/>
      <w:lvlText w:val="(%1)"/>
      <w:numFmt w:val="lowerLetter"/>
      <w:start w:val="3"/>
    </w:lvl>
    <w:lvl w:ilvl="1">
      <w:lvlJc w:val="left"/>
      <w:lvlText w:val="(%2)"/>
      <w:numFmt w:val="lowerRoman"/>
      <w:start w:val="1"/>
    </w:lvl>
  </w:abstractNum>
  <w:abstractNum w:abstractNumId="114">
    <w:nsid w:val="12FCDE5E"/>
    <w:multiLevelType w:val="hybridMultilevel"/>
    <w:lvl w:ilvl="0">
      <w:lvlJc w:val="left"/>
      <w:lvlText w:val="(%1)"/>
      <w:numFmt w:val="lowerLetter"/>
      <w:start w:val="1"/>
    </w:lvl>
    <w:lvl w:ilvl="1">
      <w:lvlJc w:val="left"/>
      <w:lvlText w:val="(%2)"/>
      <w:numFmt w:val="lowerRoman"/>
      <w:start w:val="1"/>
    </w:lvl>
  </w:abstractNum>
  <w:abstractNum w:abstractNumId="115">
    <w:nsid w:val="4A1D606E"/>
    <w:multiLevelType w:val="hybridMultilevel"/>
    <w:lvl w:ilvl="0">
      <w:lvlJc w:val="left"/>
      <w:lvlText w:val="(%1)"/>
      <w:numFmt w:val="lowerLetter"/>
      <w:start w:val="3"/>
    </w:lvl>
  </w:abstractNum>
  <w:abstractNum w:abstractNumId="116">
    <w:nsid w:val="4382503"/>
    <w:multiLevelType w:val="hybridMultilevel"/>
    <w:lvl w:ilvl="0">
      <w:lvlJc w:val="left"/>
      <w:lvlText w:val="(%1)"/>
      <w:numFmt w:val="lowerLetter"/>
      <w:start w:val="1"/>
    </w:lvl>
    <w:lvl w:ilvl="1">
      <w:lvlJc w:val="left"/>
      <w:lvlText w:val="(%2)"/>
      <w:numFmt w:val="lowerRoman"/>
      <w:start w:val="1"/>
    </w:lvl>
  </w:abstractNum>
  <w:abstractNum w:abstractNumId="117">
    <w:nsid w:val="59B76E2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8">
    <w:nsid w:val="4252C2D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19">
    <w:nsid w:val="6A92EF4C"/>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9"/>
    </w:lvl>
  </w:abstractNum>
  <w:abstractNum w:abstractNumId="120">
    <w:nsid w:val="41ED20D7"/>
    <w:multiLevelType w:val="hybridMultilevel"/>
    <w:lvl w:ilvl="0">
      <w:lvlJc w:val="left"/>
      <w:lvlText w:val="%1"/>
      <w:numFmt w:val="lowerLetter"/>
      <w:start w:val="1"/>
    </w:lvl>
    <w:lvl w:ilvl="1">
      <w:lvlJc w:val="left"/>
      <w:lvlText w:val="(%2)"/>
      <w:numFmt w:val="lowerLetter"/>
      <w:start w:val="35"/>
    </w:lvl>
  </w:abstractNum>
  <w:abstractNum w:abstractNumId="121">
    <w:nsid w:val="E6B3F6A"/>
    <w:multiLevelType w:val="hybridMultilevel"/>
    <w:lvl w:ilvl="0">
      <w:lvlJc w:val="left"/>
      <w:lvlText w:val="(%1)"/>
      <w:numFmt w:val="lowerLetter"/>
      <w:start w:val="4"/>
    </w:lvl>
    <w:lvl w:ilvl="1">
      <w:lvlJc w:val="left"/>
      <w:lvlText w:val="(%2)"/>
      <w:numFmt w:val="lowerLetter"/>
      <w:start w:val="9"/>
    </w:lvl>
  </w:abstractNum>
  <w:abstractNum w:abstractNumId="122">
    <w:nsid w:val="3EB21819"/>
    <w:multiLevelType w:val="hybridMultilevel"/>
    <w:lvl w:ilvl="0">
      <w:lvlJc w:val="left"/>
      <w:lvlText w:val="%1"/>
      <w:numFmt w:val="lowerLetter"/>
      <w:start w:val="1"/>
    </w:lvl>
    <w:lvl w:ilvl="1">
      <w:lvlJc w:val="left"/>
      <w:lvlText w:val="(%2)"/>
      <w:numFmt w:val="lowerLetter"/>
      <w:start w:val="35"/>
    </w:lvl>
  </w:abstractNum>
  <w:abstractNum w:abstractNumId="123">
    <w:nsid w:val="41531DED"/>
    <w:multiLevelType w:val="hybridMultilevel"/>
    <w:lvl w:ilvl="0">
      <w:lvlJc w:val="left"/>
      <w:lvlText w:val="(%1)"/>
      <w:numFmt w:val="lowerLetter"/>
      <w:start w:val="5"/>
    </w:lvl>
    <w:lvl w:ilvl="1">
      <w:lvlJc w:val="left"/>
      <w:lvlText w:val="%2"/>
      <w:numFmt w:val="lowerLetter"/>
      <w:start w:val="1"/>
    </w:lvl>
  </w:abstractNum>
  <w:abstractNum w:abstractNumId="124">
    <w:nsid w:val="6353CD2"/>
    <w:multiLevelType w:val="hybridMultilevel"/>
    <w:lvl w:ilvl="0">
      <w:lvlJc w:val="left"/>
      <w:lvlText w:val="(%1)"/>
      <w:numFmt w:val="lowerLetter"/>
      <w:start w:val="1"/>
    </w:lvl>
  </w:abstractNum>
  <w:abstractNum w:abstractNumId="125">
    <w:nsid w:val="683CAAD3"/>
    <w:multiLevelType w:val="hybridMultilevel"/>
    <w:lvl w:ilvl="0">
      <w:lvlJc w:val="left"/>
      <w:lvlText w:val="(%1)"/>
      <w:numFmt w:val="lowerLetter"/>
      <w:start w:val="2"/>
    </w:lvl>
    <w:lvl w:ilvl="1">
      <w:lvlJc w:val="left"/>
      <w:lvlText w:val="(%2)"/>
      <w:numFmt w:val="lowerRoman"/>
      <w:start w:val="1"/>
    </w:lvl>
  </w:abstractNum>
  <w:abstractNum w:abstractNumId="126">
    <w:nsid w:val="313C7C99"/>
    <w:multiLevelType w:val="hybridMultilevel"/>
    <w:lvl w:ilvl="0">
      <w:lvlJc w:val="left"/>
      <w:lvlText w:val="(%1)"/>
      <w:numFmt w:val="lowerLetter"/>
      <w:start w:val="7"/>
    </w:lvl>
  </w:abstractNum>
  <w:abstractNum w:abstractNumId="127">
    <w:nsid w:val="519EB94C"/>
    <w:multiLevelType w:val="hybridMultilevel"/>
    <w:lvl w:ilvl="0">
      <w:lvlJc w:val="left"/>
      <w:lvlText w:val="(%1)"/>
      <w:numFmt w:val="lowerLetter"/>
      <w:start w:val="1"/>
    </w:lvl>
    <w:lvl w:ilvl="1">
      <w:lvlJc w:val="left"/>
      <w:lvlText w:val="(%2)"/>
      <w:numFmt w:val="lowerRoman"/>
      <w:start w:val="1"/>
    </w:lvl>
  </w:abstractNum>
  <w:abstractNum w:abstractNumId="128">
    <w:nsid w:val="39DF2579"/>
    <w:multiLevelType w:val="hybridMultilevel"/>
    <w:lvl w:ilvl="0">
      <w:lvlJc w:val="left"/>
      <w:lvlText w:val="(%1)"/>
      <w:numFmt w:val="lowerRoman"/>
      <w:start w:val="5"/>
    </w:lvl>
  </w:abstractNum>
  <w:abstractNum w:abstractNumId="129">
    <w:nsid w:val="126E008B"/>
    <w:multiLevelType w:val="hybridMultilevel"/>
    <w:lvl w:ilvl="0">
      <w:lvlJc w:val="left"/>
      <w:lvlText w:val="(%1)"/>
      <w:numFmt w:val="lowerLetter"/>
      <w:start w:val="2"/>
    </w:lvl>
    <w:lvl w:ilvl="1">
      <w:lvlJc w:val="left"/>
      <w:lvlText w:val="(%2)"/>
      <w:numFmt w:val="lowerLetter"/>
      <w:start w:val="9"/>
    </w:lvl>
  </w:abstractNum>
  <w:abstractNum w:abstractNumId="130">
    <w:nsid w:val="34DFBC00"/>
    <w:multiLevelType w:val="hybridMultilevel"/>
    <w:lvl w:ilvl="0">
      <w:lvlJc w:val="left"/>
      <w:lvlText w:val="%1"/>
      <w:numFmt w:val="lowerLetter"/>
      <w:start w:val="1"/>
    </w:lvl>
    <w:lvl w:ilvl="1">
      <w:lvlJc w:val="left"/>
      <w:lvlText w:val="(%2)"/>
      <w:numFmt w:val="lowerLetter"/>
      <w:start w:val="35"/>
    </w:lvl>
  </w:abstractNum>
  <w:abstractNum w:abstractNumId="131">
    <w:nsid w:val="1F9EC322"/>
    <w:multiLevelType w:val="hybridMultilevel"/>
    <w:lvl w:ilvl="0">
      <w:lvlJc w:val="left"/>
      <w:lvlText w:val="(%1)"/>
      <w:numFmt w:val="lowerLetter"/>
      <w:start w:val="5"/>
    </w:lvl>
    <w:lvl w:ilvl="1">
      <w:lvlJc w:val="left"/>
      <w:lvlText w:val="(%2)"/>
      <w:numFmt w:val="lowerLetter"/>
      <w:start w:val="9"/>
    </w:lvl>
  </w:abstractNum>
  <w:abstractNum w:abstractNumId="132">
    <w:nsid w:val="3410ED56"/>
    <w:multiLevelType w:val="hybridMultilevel"/>
    <w:lvl w:ilvl="0">
      <w:lvlJc w:val="left"/>
      <w:lvlText w:val="(%1)"/>
      <w:numFmt w:val="lowerRoman"/>
      <w:start w:val="2"/>
    </w:lvl>
  </w:abstractNum>
  <w:abstractNum w:abstractNumId="133">
    <w:nsid w:val="23C049A"/>
    <w:multiLevelType w:val="hybridMultilevel"/>
    <w:lvl w:ilvl="0">
      <w:lvlJc w:val="left"/>
      <w:lvlText w:val="(%1)"/>
      <w:numFmt w:val="lowerLetter"/>
      <w:start w:val="1"/>
    </w:lvl>
  </w:abstractNum>
  <w:abstractNum w:abstractNumId="134">
    <w:nsid w:val="5BDA35D4"/>
    <w:multiLevelType w:val="hybridMultilevel"/>
    <w:lvl w:ilvl="0">
      <w:lvlJc w:val="left"/>
      <w:lvlText w:val="(%1)"/>
      <w:numFmt w:val="lowerLetter"/>
      <w:start w:val="3"/>
    </w:lvl>
  </w:abstractNum>
  <w:abstractNum w:abstractNumId="135">
    <w:nsid w:val="496FB218"/>
    <w:multiLevelType w:val="hybridMultilevel"/>
    <w:lvl w:ilvl="0">
      <w:lvlJc w:val="left"/>
      <w:lvlText w:val="(%1)"/>
      <w:numFmt w:val="lowerLetter"/>
      <w:start w:val="1"/>
    </w:lvl>
  </w:abstractNum>
  <w:abstractNum w:abstractNumId="136">
    <w:nsid w:val="680EA5D1"/>
    <w:multiLevelType w:val="hybridMultilevel"/>
    <w:lvl w:ilvl="0">
      <w:lvlJc w:val="left"/>
      <w:lvlText w:val="(%1)"/>
      <w:numFmt w:val="lowerLetter"/>
      <w:start w:val="2"/>
    </w:lvl>
    <w:lvl w:ilvl="1">
      <w:lvlJc w:val="left"/>
      <w:lvlText w:val="(%2)"/>
      <w:numFmt w:val="lowerRoman"/>
      <w:start w:val="1"/>
    </w:lvl>
  </w:abstractNum>
  <w:abstractNum w:abstractNumId="137">
    <w:nsid w:val="4A9554FE"/>
    <w:multiLevelType w:val="hybridMultilevel"/>
    <w:lvl w:ilvl="0">
      <w:lvlJc w:val="left"/>
      <w:lvlText w:val="(%1)"/>
      <w:numFmt w:val="lowerLetter"/>
      <w:start w:val="3"/>
    </w:lvl>
  </w:abstractNum>
  <w:abstractNum w:abstractNumId="138">
    <w:nsid w:val="392EDBE4"/>
    <w:multiLevelType w:val="hybridMultilevel"/>
    <w:lvl w:ilvl="0">
      <w:lvlJc w:val="left"/>
      <w:lvlText w:val="(%1)"/>
      <w:numFmt w:val="lowerLetter"/>
      <w:start w:val="5"/>
    </w:lvl>
  </w:abstractNum>
  <w:abstractNum w:abstractNumId="139">
    <w:nsid w:val="3D1A2DD9"/>
    <w:multiLevelType w:val="hybridMultilevel"/>
    <w:lvl w:ilvl="0">
      <w:lvlJc w:val="left"/>
      <w:lvlText w:val="(%1)"/>
      <w:numFmt w:val="lowerLetter"/>
      <w:start w:val="1"/>
    </w:lvl>
  </w:abstractNum>
  <w:abstractNum w:abstractNumId="140">
    <w:nsid w:val="7F618FCD"/>
    <w:multiLevelType w:val="hybridMultilevel"/>
    <w:lvl w:ilvl="0">
      <w:lvlJc w:val="left"/>
      <w:lvlText w:val="(%1)"/>
      <w:numFmt w:val="lowerLetter"/>
      <w:start w:val="1"/>
    </w:lvl>
  </w:abstractNum>
  <w:abstractNum w:abstractNumId="141">
    <w:nsid w:val="7843E45"/>
    <w:multiLevelType w:val="hybridMultilevel"/>
    <w:lvl w:ilvl="0">
      <w:lvlJc w:val="left"/>
      <w:lvlText w:val="(%1)"/>
      <w:numFmt w:val="lowerLetter"/>
      <w:start w:val="4"/>
    </w:lvl>
  </w:abstractNum>
  <w:abstractNum w:abstractNumId="142">
    <w:nsid w:val="9815DA3"/>
    <w:multiLevelType w:val="hybridMultilevel"/>
    <w:lvl w:ilvl="0">
      <w:lvlJc w:val="left"/>
      <w:lvlText w:val="(%1)"/>
      <w:numFmt w:val="lowerLetter"/>
      <w:start w:val="1"/>
    </w:lvl>
  </w:abstractNum>
  <w:abstractNum w:abstractNumId="143">
    <w:nsid w:val="5204A191"/>
    <w:multiLevelType w:val="hybridMultilevel"/>
    <w:lvl w:ilvl="0">
      <w:lvlJc w:val="left"/>
      <w:lvlText w:val="(%1)"/>
      <w:numFmt w:val="lowerLetter"/>
      <w:start w:val="2"/>
    </w:lvl>
  </w:abstractNum>
  <w:abstractNum w:abstractNumId="144">
    <w:nsid w:val="4C73A9C6"/>
    <w:multiLevelType w:val="hybridMultilevel"/>
    <w:lvl w:ilvl="0">
      <w:lvlJc w:val="left"/>
      <w:lvlText w:val="(%1)"/>
      <w:numFmt w:val="lowerLetter"/>
      <w:start w:val="1"/>
    </w:lvl>
  </w:abstractNum>
  <w:abstractNum w:abstractNumId="145">
    <w:nsid w:val="1C7E3C01"/>
    <w:multiLevelType w:val="hybridMultilevel"/>
    <w:lvl w:ilvl="0">
      <w:lvlJc w:val="left"/>
      <w:lvlText w:val="(%1)"/>
      <w:numFmt w:val="lowerLetter"/>
      <w:start w:val="1"/>
    </w:lvl>
  </w:abstractNum>
  <w:abstractNum w:abstractNumId="146">
    <w:nsid w:val="1C2201FF"/>
    <w:multiLevelType w:val="hybridMultilevel"/>
    <w:lvl w:ilvl="0">
      <w:lvlJc w:val="left"/>
      <w:lvlText w:val="(%1)"/>
      <w:numFmt w:val="lowerLetter"/>
      <w:start w:val="4"/>
    </w:lvl>
  </w:abstractNum>
  <w:abstractNum w:abstractNumId="147">
    <w:nsid w:val="50ABCEC9"/>
    <w:multiLevelType w:val="hybridMultilevel"/>
    <w:lvl w:ilvl="0">
      <w:lvlJc w:val="left"/>
      <w:lvlText w:val="(%1)"/>
      <w:numFmt w:val="lowerLetter"/>
      <w:start w:val="1"/>
    </w:lvl>
  </w:abstractNum>
  <w:abstractNum w:abstractNumId="148">
    <w:nsid w:val="7635AA2A"/>
    <w:multiLevelType w:val="hybridMultilevel"/>
    <w:lvl w:ilvl="0">
      <w:lvlJc w:val="left"/>
      <w:lvlText w:val="(%1)"/>
      <w:numFmt w:val="lowerLetter"/>
      <w:start w:val="2"/>
    </w:lvl>
    <w:lvl w:ilvl="1">
      <w:lvlJc w:val="left"/>
      <w:lvlText w:val="(%2)"/>
      <w:numFmt w:val="lowerRoman"/>
      <w:start w:val="2"/>
    </w:lvl>
  </w:abstractNum>
  <w:abstractNum w:abstractNumId="149">
    <w:nsid w:val="5E74C4D9"/>
    <w:multiLevelType w:val="hybridMultilevel"/>
    <w:lvl w:ilvl="0">
      <w:lvlJc w:val="left"/>
      <w:lvlText w:val="(%1)"/>
      <w:numFmt w:val="lowerLetter"/>
      <w:start w:val="1"/>
    </w:lvl>
  </w:abstractNum>
  <w:abstractNum w:abstractNumId="150">
    <w:nsid w:val="3B3EBE15"/>
    <w:multiLevelType w:val="hybridMultilevel"/>
    <w:lvl w:ilvl="0">
      <w:lvlJc w:val="left"/>
      <w:lvlText w:val="(%1)"/>
      <w:numFmt w:val="lowerLetter"/>
      <w:start w:val="2"/>
    </w:lvl>
  </w:abstractNum>
  <w:abstractNum w:abstractNumId="151">
    <w:nsid w:val="3822CB01"/>
    <w:multiLevelType w:val="hybridMultilevel"/>
    <w:lvl w:ilvl="0">
      <w:lvlJc w:val="left"/>
      <w:lvlText w:val="%1"/>
      <w:numFmt w:val="upperLetter"/>
      <w:start w:val="1"/>
    </w:lvl>
    <w:lvl w:ilvl="1">
      <w:lvlJc w:val="left"/>
      <w:lvlText w:val="(%2)"/>
      <w:numFmt w:val="lowerLetter"/>
      <w:start w:val="1"/>
    </w:lvl>
  </w:abstractNum>
  <w:abstractNum w:abstractNumId="152">
    <w:nsid w:val="6CE00443"/>
    <w:multiLevelType w:val="hybridMultilevel"/>
    <w:lvl w:ilvl="0">
      <w:lvlJc w:val="left"/>
      <w:lvlText w:val="(%1)"/>
      <w:numFmt w:val="upperLetter"/>
      <w:start w:val="1"/>
    </w:lvl>
    <w:lvl w:ilvl="1">
      <w:lvlJc w:val="left"/>
      <w:lvlText w:val="(%2)"/>
      <w:numFmt w:val="lowerLetter"/>
      <w:start w:val="2"/>
    </w:lvl>
  </w:abstractNum>
  <w:abstractNum w:abstractNumId="153">
    <w:nsid w:val="79F0D62F"/>
    <w:multiLevelType w:val="hybridMultilevel"/>
    <w:lvl w:ilvl="0">
      <w:lvlJc w:val="left"/>
      <w:lvlText w:val="(%1)"/>
      <w:numFmt w:val="lowerLetter"/>
      <w:start w:val="1"/>
    </w:lvl>
  </w:abstractNum>
  <w:abstractNum w:abstractNumId="154">
    <w:nsid w:val="7975E8EE"/>
    <w:multiLevelType w:val="hybridMultilevel"/>
    <w:lvl w:ilvl="0">
      <w:lvlJc w:val="left"/>
      <w:lvlText w:val="%1."/>
      <w:numFmt w:val="decimal"/>
      <w:start w:val="1"/>
    </w:lvl>
  </w:abstractNum>
  <w:abstractNum w:abstractNumId="155">
    <w:nsid w:val="73154115"/>
    <w:multiLevelType w:val="hybridMultilevel"/>
    <w:lvl w:ilvl="0">
      <w:lvlJc w:val="left"/>
      <w:lvlText w:val="%1."/>
      <w:numFmt w:val="decimal"/>
      <w:start w:val="6"/>
    </w:lvl>
  </w:abstractNum>
  <w:abstractNum w:abstractNumId="156">
    <w:nsid w:val="622D8102"/>
    <w:multiLevelType w:val="hybridMultilevel"/>
    <w:lvl w:ilvl="0">
      <w:lvlJc w:val="left"/>
      <w:lvlText w:val="(%1)"/>
      <w:numFmt w:val="upperLetter"/>
      <w:start w:val="1"/>
    </w:lvl>
  </w:abstractNum>
  <w:abstractNum w:abstractNumId="157">
    <w:nsid w:val="2AB26587"/>
    <w:multiLevelType w:val="hybridMultilevel"/>
    <w:lvl w:ilvl="0">
      <w:lvlJc w:val="left"/>
      <w:lvlText w:val="(%1)"/>
      <w:numFmt w:val="lowerLetter"/>
      <w:start w:val="1"/>
    </w:lvl>
  </w:abstractNum>
  <w:abstractNum w:abstractNumId="158">
    <w:nsid w:val="44B3FA61"/>
    <w:multiLevelType w:val="hybridMultilevel"/>
    <w:lvl w:ilvl="0">
      <w:lvlJc w:val="left"/>
      <w:lvlText w:val="(%1)"/>
      <w:numFmt w:val="lowerRoman"/>
      <w:start w:val="2"/>
    </w:lvl>
  </w:abstractNum>
  <w:abstractNum w:abstractNumId="159">
    <w:nsid w:val="1C0CA67C"/>
    <w:multiLevelType w:val="hybridMultilevel"/>
    <w:lvl w:ilvl="0">
      <w:lvlJc w:val="left"/>
      <w:lvlText w:val="(%1)"/>
      <w:numFmt w:val="lowerLetter"/>
      <w:start w:val="1"/>
    </w:lvl>
  </w:abstractNum>
  <w:abstractNum w:abstractNumId="160">
    <w:nsid w:val="3D206613"/>
    <w:multiLevelType w:val="hybridMultilevel"/>
    <w:lvl w:ilvl="0">
      <w:lvlJc w:val="left"/>
      <w:lvlText w:val="(%1)"/>
      <w:numFmt w:val="lowerLetter"/>
      <w:start w:val="2"/>
    </w:lvl>
  </w:abstractNum>
  <w:abstractNum w:abstractNumId="161">
    <w:nsid w:val="7993B662"/>
    <w:multiLevelType w:val="hybridMultilevel"/>
    <w:lvl w:ilvl="0">
      <w:lvlJc w:val="left"/>
      <w:lvlText w:val="(%1)"/>
      <w:numFmt w:val="lowerRoman"/>
      <w:start w:val="2"/>
    </w:lvl>
  </w:abstractNum>
  <w:abstractNum w:abstractNumId="162">
    <w:nsid w:val="3BAB699E"/>
    <w:multiLevelType w:val="hybridMultilevel"/>
    <w:lvl w:ilvl="0">
      <w:lvlJc w:val="left"/>
      <w:lvlText w:val="%1."/>
      <w:numFmt w:val="upperLetter"/>
      <w:start w:val="1"/>
    </w:lvl>
  </w:abstractNum>
  <w:abstractNum w:abstractNumId="163">
    <w:nsid w:val="713153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4">
    <w:nsid w:val="7BCFBAFC"/>
    <w:multiLevelType w:val="hybridMultilevel"/>
    <w:lvl w:ilvl="0">
      <w:lvlJc w:val="left"/>
      <w:lvlText w:val="%1"/>
      <w:numFmt w:val="lowerLetter"/>
      <w:start w:val="1"/>
    </w:lvl>
    <w:lvl w:ilvl="1">
      <w:lvlJc w:val="left"/>
      <w:lvlText w:val="(%2)"/>
      <w:numFmt w:val="lowerRoman"/>
      <w:start w:val="2"/>
    </w:lvl>
  </w:abstractNum>
  <w:abstractNum w:abstractNumId="165">
    <w:nsid w:val="17859F72"/>
    <w:multiLevelType w:val="hybridMultilevel"/>
    <w:lvl w:ilvl="0">
      <w:lvlJc w:val="left"/>
      <w:lvlText w:val="(%1)"/>
      <w:numFmt w:val="lowerLetter"/>
      <w:start w:val="3"/>
    </w:lvl>
    <w:lvl w:ilvl="1">
      <w:lvlJc w:val="left"/>
      <w:lvlText w:val="%2"/>
      <w:numFmt w:val="lowerRoman"/>
      <w:start w:val="1"/>
    </w:lvl>
  </w:abstractNum>
  <w:abstractNum w:abstractNumId="166">
    <w:nsid w:val="3AA10581"/>
    <w:multiLevelType w:val="hybridMultilevel"/>
    <w:lvl w:ilvl="0">
      <w:lvlJc w:val="left"/>
      <w:lvlText w:val="%1"/>
      <w:numFmt w:val="decimal"/>
      <w:start w:val="1"/>
    </w:lvl>
    <w:lvl w:ilvl="1">
      <w:lvlJc w:val="left"/>
      <w:lvlText w:val="(%2)"/>
      <w:numFmt w:val="lowerLetter"/>
      <w:start w:val="8"/>
    </w:lvl>
  </w:abstractNum>
  <w:abstractNum w:abstractNumId="167">
    <w:nsid w:val="63DE60CD"/>
    <w:multiLevelType w:val="hybridMultilevel"/>
    <w:lvl w:ilvl="0">
      <w:lvlJc w:val="left"/>
      <w:lvlText w:val="%1."/>
      <w:numFmt w:val="decimal"/>
      <w:start w:val="2"/>
    </w:lvl>
    <w:lvl w:ilvl="1">
      <w:lvlJc w:val="left"/>
      <w:lvlText w:val="%2"/>
      <w:numFmt w:val="lowerLetter"/>
      <w:start w:val="1"/>
    </w:lvl>
  </w:abstractNum>
  <w:abstractNum w:abstractNumId="168">
    <w:nsid w:val="621AF471"/>
    <w:multiLevelType w:val="hybridMultilevel"/>
    <w:lvl w:ilvl="0">
      <w:lvlJc w:val="left"/>
      <w:lvlText w:val="%1."/>
      <w:numFmt w:val="decimal"/>
      <w:start w:val="3"/>
    </w:lvl>
    <w:lvl w:ilvl="1">
      <w:lvlJc w:val="left"/>
      <w:lvlText w:val="(%2)"/>
      <w:numFmt w:val="lowerLetter"/>
      <w:start w:val="1"/>
    </w:lvl>
  </w:abstractNum>
  <w:abstractNum w:abstractNumId="169">
    <w:nsid w:val="73CFE165"/>
    <w:multiLevelType w:val="hybridMultilevel"/>
    <w:lvl w:ilvl="0">
      <w:lvlJc w:val="left"/>
      <w:lvlText w:val="%1"/>
      <w:numFmt w:val="decimal"/>
      <w:start w:val="1"/>
    </w:lvl>
    <w:lvl w:ilvl="1">
      <w:lvlJc w:val="left"/>
      <w:lvlText w:val="(%2)"/>
      <w:numFmt w:val="lowerLetter"/>
      <w:start w:val="5"/>
    </w:lvl>
  </w:abstractNum>
  <w:abstractNum w:abstractNumId="170">
    <w:nsid w:val="20F88EA6"/>
    <w:multiLevelType w:val="hybridMultilevel"/>
    <w:lvl w:ilvl="0">
      <w:lvlJc w:val="left"/>
      <w:lvlText w:val="%1."/>
      <w:numFmt w:val="decimal"/>
      <w:start w:val="6"/>
    </w:lvl>
    <w:lvl w:ilvl="1">
      <w:lvlJc w:val="left"/>
      <w:lvlText w:val="(%2)"/>
      <w:numFmt w:val="lowerLetter"/>
      <w:start w:val="1"/>
    </w:lvl>
  </w:abstractNum>
  <w:abstractNum w:abstractNumId="171">
    <w:nsid w:val="617C843E"/>
    <w:multiLevelType w:val="hybridMultilevel"/>
    <w:lvl w:ilvl="0">
      <w:lvlJc w:val="left"/>
      <w:lvlText w:val="%1"/>
      <w:numFmt w:val="decimal"/>
      <w:start w:val="1"/>
    </w:lvl>
    <w:lvl w:ilvl="1">
      <w:lvlJc w:val="left"/>
      <w:lvlText w:val="(%2)"/>
      <w:numFmt w:val="lowerLetter"/>
      <w:start w:val="4"/>
    </w:lvl>
  </w:abstractNum>
  <w:abstractNum w:abstractNumId="172">
    <w:nsid w:val="7B541FAB"/>
    <w:multiLevelType w:val="hybridMultilevel"/>
    <w:lvl w:ilvl="0">
      <w:lvlJc w:val="left"/>
      <w:lvlText w:val="%1."/>
      <w:numFmt w:val="decimal"/>
      <w:start w:val="8"/>
    </w:lvl>
    <w:lvl w:ilvl="1">
      <w:lvlJc w:val="left"/>
      <w:lvlText w:val="(%2)"/>
      <w:numFmt w:val="lowerLetter"/>
      <w:start w:val="1"/>
    </w:lvl>
  </w:abstractNum>
  <w:abstractNum w:abstractNumId="173">
    <w:nsid w:val="2A79EC49"/>
    <w:multiLevelType w:val="hybridMultilevel"/>
    <w:lvl w:ilvl="0">
      <w:lvlJc w:val="left"/>
      <w:lvlText w:val="%1"/>
      <w:numFmt w:val="decimal"/>
      <w:start w:val="1"/>
    </w:lvl>
    <w:lvl w:ilvl="1">
      <w:lvlJc w:val="left"/>
      <w:lvlText w:val="(%2)"/>
      <w:numFmt w:val="lowerLetter"/>
      <w:start w:val="3"/>
    </w:lvl>
  </w:abstractNum>
  <w:abstractNum w:abstractNumId="174">
    <w:nsid w:val="338125CF"/>
    <w:multiLevelType w:val="hybridMultilevel"/>
    <w:lvl w:ilvl="0">
      <w:lvlJc w:val="left"/>
      <w:lvlText w:val="%1."/>
      <w:numFmt w:val="decimal"/>
      <w:start w:val="9"/>
    </w:lvl>
    <w:lvl w:ilvl="1">
      <w:lvlJc w:val="left"/>
      <w:lvlText w:val="(%2)"/>
      <w:numFmt w:val="lowerLetter"/>
      <w:start w:val="1"/>
    </w:lvl>
  </w:abstractNum>
  <w:abstractNum w:abstractNumId="175">
    <w:nsid w:val="47C7C97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76">
    <w:nsid w:val="46F8284B"/>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177">
    <w:nsid w:val="4FA327C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78">
    <w:nsid w:val="1873983A"/>
    <w:multiLevelType w:val="hybridMultilevel"/>
    <w:lvl w:ilvl="0">
      <w:lvlJc w:val="left"/>
      <w:lvlText w:val="%1"/>
      <w:numFmt w:val="decimal"/>
      <w:start w:val="1"/>
    </w:lvl>
    <w:lvl w:ilvl="1">
      <w:lvlJc w:val="left"/>
      <w:lvlText w:val="(%2)"/>
      <w:numFmt w:val="lowerLetter"/>
      <w:start w:val="2"/>
    </w:lvl>
  </w:abstractNum>
  <w:abstractNum w:abstractNumId="179">
    <w:nsid w:val="3D2DD275"/>
    <w:multiLevelType w:val="hybridMultilevel"/>
    <w:lvl w:ilvl="0">
      <w:lvlJc w:val="left"/>
      <w:lvlText w:val="%1."/>
      <w:numFmt w:val="decimal"/>
      <w:start w:val="11"/>
    </w:lvl>
    <w:lvl w:ilvl="1">
      <w:lvlJc w:val="left"/>
      <w:lvlText w:val="%2"/>
      <w:numFmt w:val="lowerLetter"/>
      <w:start w:val="1"/>
    </w:lvl>
  </w:abstractNum>
  <w:abstractNum w:abstractNumId="180">
    <w:nsid w:val="2E17ECA7"/>
    <w:multiLevelType w:val="hybridMultilevel"/>
    <w:lvl w:ilvl="0">
      <w:lvlJc w:val="left"/>
      <w:lvlText w:val="%1."/>
      <w:numFmt w:val="decimal"/>
      <w:start w:val="12"/>
    </w:lvl>
  </w:abstractNum>
  <w:abstractNum w:abstractNumId="181">
    <w:nsid w:val="53B2564F"/>
    <w:multiLevelType w:val="hybridMultilevel"/>
    <w:lvl w:ilvl="0">
      <w:lvlJc w:val="left"/>
      <w:lvlText w:val="%1."/>
      <w:numFmt w:val="decimal"/>
      <w:start w:val="17"/>
    </w:lvl>
  </w:abstractNum>
  <w:abstractNum w:abstractNumId="182">
    <w:nsid w:val="75509D76"/>
    <w:multiLevelType w:val="hybridMultilevel"/>
    <w:lvl w:ilvl="0">
      <w:lvlJc w:val="left"/>
      <w:lvlText w:val="%1."/>
      <w:numFmt w:val="decimal"/>
      <w:start w:val="22"/>
    </w:lvl>
    <w:lvl w:ilvl="1">
      <w:lvlJc w:val="left"/>
      <w:lvlText w:val="(%2)"/>
      <w:numFmt w:val="lowerLetter"/>
      <w:start w:val="1"/>
    </w:lvl>
  </w:abstractNum>
  <w:abstractNum w:abstractNumId="183">
    <w:nsid w:val="1AF7F0EA"/>
    <w:multiLevelType w:val="hybridMultilevel"/>
    <w:lvl w:ilvl="0">
      <w:lvlJc w:val="left"/>
      <w:lvlText w:val="%1."/>
      <w:numFmt w:val="decimal"/>
      <w:start w:val="25"/>
    </w:lvl>
  </w:abstractNum>
  <w:abstractNum w:abstractNumId="184">
    <w:nsid w:val="4DA32C7E"/>
    <w:multiLevelType w:val="hybridMultilevel"/>
    <w:lvl w:ilvl="0">
      <w:lvlJc w:val="left"/>
      <w:lvlText w:val="%1."/>
      <w:numFmt w:val="decimal"/>
      <w:start w:val="26"/>
    </w:lvl>
  </w:abstractNum>
  <w:abstractNum w:abstractNumId="185">
    <w:nsid w:val="6EC686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86">
    <w:nsid w:val="E0D3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2FD0AD8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8">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9">
    <w:nsid w:val="52C12C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0">
    <w:nsid w:val="4BDD53F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1">
    <w:nsid w:val="569951FE"/>
    <w:multiLevelType w:val="hybridMultilevel"/>
    <w:lvl w:ilvl="0">
      <w:lvlJc w:val="left"/>
      <w:lvlText w:val="(%1)"/>
      <w:numFmt w:val="lowerLetter"/>
      <w:start w:val="1"/>
    </w:lvl>
  </w:abstractNum>
  <w:abstractNum w:abstractNumId="192">
    <w:nsid w:val="4C54E2C3"/>
    <w:multiLevelType w:val="hybridMultilevel"/>
    <w:lvl w:ilvl="0">
      <w:lvlJc w:val="left"/>
      <w:lvlText w:val="(%1)"/>
      <w:numFmt w:val="lowerLetter"/>
      <w:start w:val="3"/>
    </w:lvl>
    <w:lvl w:ilvl="1">
      <w:lvlJc w:val="left"/>
      <w:lvlText w:val="(%2)"/>
      <w:numFmt w:val="lowerRoman"/>
      <w:start w:val="1"/>
    </w:lvl>
  </w:abstractNum>
  <w:abstractNum w:abstractNumId="193">
    <w:nsid w:val="788BD9B"/>
    <w:multiLevelType w:val="hybridMultilevel"/>
    <w:lvl w:ilvl="0">
      <w:lvlJc w:val="left"/>
      <w:lvlText w:val="(%1)"/>
      <w:numFmt w:val="lowerLetter"/>
      <w:start w:val="5"/>
    </w:lvl>
    <w:lvl w:ilvl="1">
      <w:lvlJc w:val="left"/>
      <w:lvlText w:val="(%2)"/>
      <w:numFmt w:val="lowerRoman"/>
      <w:start w:val="1"/>
    </w:lvl>
  </w:abstractNum>
  <w:abstractNum w:abstractNumId="194">
    <w:nsid w:val="47CAA567"/>
    <w:multiLevelType w:val="hybridMultilevel"/>
    <w:lvl w:ilvl="0">
      <w:lvlJc w:val="left"/>
      <w:lvlText w:val="(%1)"/>
      <w:numFmt w:val="lowerLetter"/>
      <w:start w:val="8"/>
    </w:lvl>
    <w:lvl w:ilvl="1">
      <w:lvlJc w:val="left"/>
      <w:lvlText w:val="(%2)"/>
      <w:numFmt w:val="lowerRoman"/>
      <w:start w:val="1"/>
    </w:lvl>
  </w:abstractNum>
  <w:abstractNum w:abstractNumId="195">
    <w:nsid w:val="48249DBF"/>
    <w:multiLevelType w:val="hybridMultilevel"/>
    <w:lvl w:ilvl="0">
      <w:lvlJc w:val="left"/>
      <w:lvlText w:val="(%1)"/>
      <w:numFmt w:val="lowerRoman"/>
      <w:start w:val="1"/>
    </w:lvl>
  </w:abstractNum>
  <w:abstractNum w:abstractNumId="196">
    <w:nsid w:val="1F0E5D0D"/>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97">
    <w:nsid w:val="26BAA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8">
    <w:nsid w:val="2C02FE8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99">
    <w:nsid w:val="129517E"/>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00">
    <w:nsid w:val="763B8C4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01">
    <w:nsid w:val="4CFB8D32"/>
    <w:multiLevelType w:val="hybridMultilevel"/>
    <w:lvl w:ilvl="0">
      <w:lvlJc w:val="left"/>
      <w:lvlText w:val="%1."/>
      <w:numFmt w:val="decimal"/>
      <w:start w:val="6"/>
    </w:lvl>
    <w:lvl w:ilvl="1">
      <w:lvlJc w:val="left"/>
      <w:lvlText w:val="(%2)"/>
      <w:numFmt w:val="lowerLetter"/>
      <w:start w:val="1"/>
    </w:lvl>
  </w:abstractNum>
  <w:abstractNum w:abstractNumId="202">
    <w:nsid w:val="62A5D5BD"/>
    <w:multiLevelType w:val="hybridMultilevel"/>
    <w:lvl w:ilvl="0">
      <w:lvlJc w:val="left"/>
      <w:lvlText w:val="%1"/>
      <w:numFmt w:val="decimal"/>
      <w:start w:val="1"/>
    </w:lvl>
    <w:lvl w:ilvl="1">
      <w:lvlJc w:val="left"/>
      <w:lvlText w:val="(%2)"/>
      <w:numFmt w:val="lowerLetter"/>
      <w:start w:val="3"/>
    </w:lvl>
  </w:abstractNum>
  <w:abstractNum w:abstractNumId="203">
    <w:nsid w:val="718FABF9"/>
    <w:multiLevelType w:val="hybridMultilevel"/>
    <w:lvl w:ilvl="0">
      <w:lvlJc w:val="left"/>
      <w:lvlText w:val="%1."/>
      <w:numFmt w:val="decimal"/>
      <w:start w:val="7"/>
    </w:lvl>
    <w:lvl w:ilvl="1">
      <w:lvlJc w:val="left"/>
      <w:lvlText w:val="(%2)"/>
      <w:numFmt w:val="lowerLetter"/>
      <w:start w:val="1"/>
    </w:lvl>
  </w:abstractNum>
  <w:abstractNum w:abstractNumId="204">
    <w:nsid w:val="7775797C"/>
    <w:multiLevelType w:val="hybridMultilevel"/>
    <w:lvl w:ilvl="0">
      <w:lvlJc w:val="left"/>
      <w:lvlText w:val="(%1)"/>
      <w:numFmt w:val="lowerRoman"/>
      <w:start w:val="1"/>
    </w:lvl>
  </w:abstractNum>
  <w:abstractNum w:abstractNumId="205">
    <w:nsid w:val="1626FB8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6">
    <w:nsid w:val="3957756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7">
    <w:nsid w:val="3E6DA1C7"/>
    <w:multiLevelType w:val="hybridMultilevel"/>
    <w:lvl w:ilvl="0">
      <w:lvlJc w:val="left"/>
      <w:lvlText w:val="(%1)"/>
      <w:numFmt w:val="lowerRoman"/>
      <w:start w:val="3"/>
    </w:lvl>
  </w:abstractNum>
  <w:abstractNum w:abstractNumId="208">
    <w:nsid w:val="65CA23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209">
    <w:nsid w:val="51CB0DA4"/>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210">
    <w:nsid w:val="7B9B743C"/>
    <w:multiLevelType w:val="hybridMultilevel"/>
    <w:lvl w:ilvl="0">
      <w:lvlJc w:val="left"/>
      <w:lvlText w:val="%1."/>
      <w:numFmt w:val="decimal"/>
      <w:start w:val="9"/>
    </w:lvl>
    <w:lvl w:ilvl="1">
      <w:lvlJc w:val="left"/>
      <w:lvlText w:val="(%2)"/>
      <w:numFmt w:val="lowerLetter"/>
      <w:start w:val="1"/>
    </w:lvl>
  </w:abstractNum>
  <w:abstractNum w:abstractNumId="211">
    <w:nsid w:val="13E21002"/>
    <w:multiLevelType w:val="hybridMultilevel"/>
    <w:lvl w:ilvl="0">
      <w:lvlJc w:val="left"/>
      <w:lvlText w:val="%1"/>
      <w:numFmt w:val="decimal"/>
      <w:start w:val="1"/>
    </w:lvl>
    <w:lvl w:ilvl="1">
      <w:lvlJc w:val="left"/>
      <w:lvlText w:val="(%2)"/>
      <w:numFmt w:val="lowerLetter"/>
      <w:start w:val="4"/>
    </w:lvl>
  </w:abstractNum>
  <w:abstractNum w:abstractNumId="212">
    <w:nsid w:val="257D63F4"/>
    <w:multiLevelType w:val="hybridMultilevel"/>
    <w:lvl w:ilvl="0">
      <w:lvlJc w:val="left"/>
      <w:lvlText w:val="%1."/>
      <w:numFmt w:val="decimal"/>
      <w:start w:val="10"/>
    </w:lvl>
    <w:lvl w:ilvl="1">
      <w:lvlJc w:val="left"/>
      <w:lvlText w:val="(%2)"/>
      <w:numFmt w:val="lowerLetter"/>
      <w:start w:val="1"/>
    </w:lvl>
  </w:abstractNum>
  <w:abstractNum w:abstractNumId="213">
    <w:nsid w:val="70EC11B2"/>
    <w:multiLevelType w:val="hybridMultilevel"/>
    <w:lvl w:ilvl="0">
      <w:lvlJc w:val="left"/>
      <w:lvlText w:val="(%1)"/>
      <w:numFmt w:val="lowerLetter"/>
      <w:start w:val="6"/>
    </w:lvl>
  </w:abstractNum>
  <w:abstractNum w:abstractNumId="214">
    <w:nsid w:val="2EDA00ED"/>
    <w:multiLevelType w:val="hybridMultilevel"/>
    <w:lvl w:ilvl="0">
      <w:lvlJc w:val="left"/>
      <w:lvlText w:val="(%1)"/>
      <w:numFmt w:val="lowerLetter"/>
      <w:start w:val="10"/>
    </w:lvl>
  </w:abstractNum>
  <w:abstractNum w:abstractNumId="215">
    <w:nsid w:val="73209072"/>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16">
    <w:nsid w:val="5FB2981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7">
    <w:nsid w:val="3CE732EC"/>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18">
    <w:nsid w:val="22F13DF3"/>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19">
    <w:nsid w:val="792B8401"/>
    <w:multiLevelType w:val="hybridMultilevel"/>
    <w:lvl w:ilvl="0">
      <w:lvlJc w:val="left"/>
      <w:lvlText w:val="(%1)"/>
      <w:numFmt w:val="lowerRoman"/>
      <w:start w:val="2"/>
    </w:lvl>
  </w:abstractNum>
  <w:abstractNum w:abstractNumId="220">
    <w:nsid w:val="FA85F4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1">
    <w:nsid w:val="6ECE91F0"/>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222">
    <w:nsid w:val="4FC4D600"/>
    <w:multiLevelType w:val="hybridMultilevel"/>
    <w:lvl w:ilvl="0">
      <w:lvlJc w:val="left"/>
      <w:lvlText w:val="%1"/>
      <w:numFmt w:val="lowerLetter"/>
      <w:start w:val="1"/>
    </w:lvl>
    <w:lvl w:ilvl="1">
      <w:lvlJc w:val="left"/>
      <w:lvlText w:val="(%2)"/>
      <w:numFmt w:val="lowerLetter"/>
      <w:start w:val="35"/>
    </w:lvl>
  </w:abstractNum>
  <w:abstractNum w:abstractNumId="223">
    <w:nsid w:val="5BFD4210"/>
    <w:multiLevelType w:val="hybridMultilevel"/>
    <w:lvl w:ilvl="0">
      <w:lvlJc w:val="left"/>
      <w:lvlText w:val="(%1)"/>
      <w:numFmt w:val="lowerLetter"/>
      <w:start w:val="5"/>
    </w:lvl>
    <w:lvl w:ilvl="1">
      <w:lvlJc w:val="left"/>
      <w:lvlText w:val="(%2)"/>
      <w:numFmt w:val="lowerLetter"/>
      <w:start w:val="9"/>
    </w:lvl>
  </w:abstractNum>
  <w:abstractNum w:abstractNumId="224">
    <w:nsid w:val="76574F8B"/>
    <w:multiLevelType w:val="hybridMultilevel"/>
    <w:lvl w:ilvl="0">
      <w:lvlJc w:val="left"/>
      <w:lvlText w:val="(%1)"/>
      <w:numFmt w:val="lowerRoman"/>
      <w:start w:val="2"/>
    </w:lvl>
  </w:abstractNum>
  <w:abstractNum w:abstractNumId="225">
    <w:nsid w:val="178F7B67"/>
    <w:multiLevelType w:val="hybridMultilevel"/>
    <w:lvl w:ilvl="0">
      <w:lvlJc w:val="left"/>
      <w:lvlText w:val="%1."/>
      <w:numFmt w:val="decimal"/>
      <w:start w:val="13"/>
    </w:lvl>
  </w:abstractNum>
  <w:abstractNum w:abstractNumId="226">
    <w:nsid w:val="2421DFCF"/>
    <w:multiLevelType w:val="hybridMultilevel"/>
    <w:lvl w:ilvl="0">
      <w:lvlJc w:val="left"/>
      <w:lvlText w:val="%1."/>
      <w:numFmt w:val="decimal"/>
      <w:start w:val="14"/>
    </w:lvl>
  </w:abstractNum>
  <w:abstractNum w:abstractNumId="227">
    <w:nsid w:val="1565AC99"/>
    <w:multiLevelType w:val="hybridMultilevel"/>
    <w:lvl w:ilvl="0">
      <w:lvlJc w:val="left"/>
      <w:lvlText w:val="%1."/>
      <w:numFmt w:val="decimal"/>
      <w:start w:val="15"/>
    </w:lvl>
  </w:abstractNum>
  <w:abstractNum w:abstractNumId="228">
    <w:nsid w:val="19FB2650"/>
    <w:multiLevelType w:val="hybridMultilevel"/>
    <w:lvl w:ilvl="0">
      <w:lvlJc w:val="left"/>
      <w:lvlText w:val="(%1)"/>
      <w:numFmt w:val="lowerLetter"/>
      <w:start w:val="1"/>
    </w:lvl>
  </w:abstractNum>
  <w:abstractNum w:abstractNumId="229">
    <w:nsid w:val="5024DE5B"/>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9"/>
    </w:lvl>
  </w:abstractNum>
  <w:abstractNum w:abstractNumId="230">
    <w:nsid w:val="168EFE1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31">
    <w:nsid w:val="1036B29F"/>
    <w:multiLevelType w:val="hybridMultilevel"/>
    <w:lvl w:ilvl="0">
      <w:lvlJc w:val="left"/>
      <w:lvlText w:val="(%1)"/>
      <w:numFmt w:val="lowerRoman"/>
      <w:start w:val="2"/>
    </w:lvl>
  </w:abstractNum>
  <w:abstractNum w:abstractNumId="232">
    <w:nsid w:val="1D206B8E"/>
    <w:multiLevelType w:val="hybridMultilevel"/>
    <w:lvl w:ilvl="0">
      <w:lvlJc w:val="left"/>
      <w:lvlText w:val="(%1)"/>
      <w:numFmt w:val="lowerLetter"/>
      <w:start w:val="11"/>
    </w:lvl>
  </w:abstractNum>
  <w:abstractNum w:abstractNumId="233">
    <w:nsid w:val="7934D3D4"/>
    <w:multiLevelType w:val="hybridMultilevel"/>
    <w:lvl w:ilvl="0">
      <w:lvlJc w:val="left"/>
      <w:lvlText w:val="(%1)"/>
      <w:numFmt w:val="lowerLetter"/>
      <w:start w:val="17"/>
    </w:lvl>
    <w:lvl w:ilvl="1">
      <w:lvlJc w:val="left"/>
      <w:lvlText w:val="(%2)"/>
      <w:numFmt w:val="lowerRoman"/>
      <w:start w:val="1"/>
    </w:lvl>
  </w:abstractNum>
  <w:abstractNum w:abstractNumId="234">
    <w:nsid w:val="1C65E98"/>
    <w:multiLevelType w:val="hybridMultilevel"/>
    <w:lvl w:ilvl="0">
      <w:lvlJc w:val="left"/>
      <w:lvlText w:val="(%1)"/>
      <w:numFmt w:val="lowerLetter"/>
      <w:start w:val="19"/>
    </w:lvl>
  </w:abstractNum>
  <w:abstractNum w:abstractNumId="235">
    <w:nsid w:val="1495E50A"/>
    <w:multiLevelType w:val="hybridMultilevel"/>
    <w:lvl w:ilvl="0">
      <w:lvlJc w:val="left"/>
      <w:lvlText w:val="(%1)"/>
      <w:numFmt w:val="lowerLetter"/>
      <w:start w:val="27"/>
    </w:lvl>
    <w:lvl w:ilvl="1">
      <w:lvlJc w:val="left"/>
      <w:lvlText w:val="(%2)"/>
      <w:numFmt w:val="lowerLetter"/>
      <w:start w:val="9"/>
    </w:lvl>
  </w:abstractNum>
  <w:abstractNum w:abstractNumId="236">
    <w:nsid w:val="F5BCF61"/>
    <w:multiLevelType w:val="hybridMultilevel"/>
    <w:lvl w:ilvl="0">
      <w:lvlJc w:val="left"/>
      <w:lvlText w:val="%1"/>
      <w:numFmt w:val="lowerLetter"/>
      <w:start w:val="1"/>
    </w:lvl>
    <w:lvl w:ilvl="1">
      <w:lvlJc w:val="left"/>
      <w:lvlText w:val="(%2)"/>
      <w:numFmt w:val="lowerRoman"/>
      <w:start w:val="2"/>
    </w:lvl>
  </w:abstractNum>
  <w:abstractNum w:abstractNumId="237">
    <w:nsid w:val="3B1DD403"/>
    <w:multiLevelType w:val="hybridMultilevel"/>
    <w:lvl w:ilvl="0">
      <w:lvlJc w:val="left"/>
      <w:lvlText w:val="(%1)"/>
      <w:numFmt w:val="lowerLetter"/>
      <w:start w:val="29"/>
    </w:lvl>
    <w:lvl w:ilvl="1">
      <w:lvlJc w:val="left"/>
      <w:lvlText w:val="%2"/>
      <w:numFmt w:val="lowerRoman"/>
      <w:start w:val="1"/>
    </w:lvl>
  </w:abstractNum>
  <w:abstractNum w:abstractNumId="238">
    <w:nsid w:val="530386D1"/>
    <w:multiLevelType w:val="hybridMultilevel"/>
    <w:lvl w:ilvl="0">
      <w:lvlJc w:val="left"/>
      <w:lvlText w:val="(%1)"/>
      <w:numFmt w:val="lowerLetter"/>
      <w:start w:val="1"/>
    </w:lvl>
  </w:abstractNum>
  <w:abstractNum w:abstractNumId="239">
    <w:nsid w:val="7525F2BC"/>
    <w:multiLevelType w:val="hybridMultilevel"/>
    <w:lvl w:ilvl="0">
      <w:lvlJc w:val="left"/>
      <w:lvlText w:val="(%1)"/>
      <w:numFmt w:val="lowerLetter"/>
      <w:start w:val="33"/>
    </w:lvl>
  </w:abstractNum>
  <w:abstractNum w:abstractNumId="240">
    <w:nsid w:val="CE8E1A7"/>
    <w:multiLevelType w:val="hybridMultilevel"/>
    <w:lvl w:ilvl="0">
      <w:lvlJc w:val="left"/>
      <w:lvlText w:val="(%1)"/>
      <w:numFmt w:val="lowerLetter"/>
      <w:start w:val="43"/>
    </w:lvl>
  </w:abstractNum>
  <w:abstractNum w:abstractNumId="241">
    <w:nsid w:val="4E9EFB0D"/>
    <w:multiLevelType w:val="hybridMultilevel"/>
    <w:lvl w:ilvl="0">
      <w:lvlJc w:val="left"/>
      <w:lvlText w:val="%1"/>
      <w:numFmt w:val="decimal"/>
      <w:start w:val="1"/>
    </w:lvl>
    <w:lvl w:ilvl="1">
      <w:lvlJc w:val="left"/>
      <w:lvlText w:val="(%2)"/>
      <w:numFmt w:val="lowerLetter"/>
      <w:start w:val="50"/>
    </w:lvl>
  </w:abstractNum>
  <w:abstractNum w:abstractNumId="242">
    <w:nsid w:val="90802BE"/>
    <w:multiLevelType w:val="hybridMultilevel"/>
    <w:lvl w:ilvl="0">
      <w:lvlJc w:val="left"/>
      <w:lvlText w:val="(%1)"/>
      <w:numFmt w:val="decimal"/>
      <w:start w:val="10"/>
    </w:lvl>
    <w:lvl w:ilvl="1">
      <w:lvlJc w:val="left"/>
      <w:lvlText w:val="(%2)"/>
      <w:numFmt w:val="lowerLetter"/>
      <w:start w:val="51"/>
    </w:lvl>
  </w:abstractNum>
  <w:abstractNum w:abstractNumId="243">
    <w:nsid w:val="3266459B"/>
    <w:multiLevelType w:val="hybridMultilevel"/>
    <w:lvl w:ilvl="0">
      <w:lvlJc w:val="left"/>
      <w:lvlText w:val="(%1)"/>
      <w:numFmt w:val="lowerLetter"/>
      <w:start w:val="53"/>
    </w:lvl>
  </w:abstractNum>
  <w:abstractNum w:abstractNumId="244">
    <w:nsid w:val="3F8B0CBF"/>
    <w:multiLevelType w:val="hybridMultilevel"/>
    <w:lvl w:ilvl="0">
      <w:lvlJc w:val="left"/>
      <w:lvlText w:val="(%1)"/>
      <w:numFmt w:val="lowerLetter"/>
      <w:start w:val="58"/>
    </w:lvl>
  </w:abstractNum>
  <w:abstractNum w:abstractNumId="245">
    <w:nsid w:val="37E203AB"/>
    <w:multiLevelType w:val="hybridMultilevel"/>
    <w:lvl w:ilvl="0">
      <w:lvlJc w:val="left"/>
      <w:lvlText w:val="(%1)"/>
      <w:numFmt w:val="lowerLetter"/>
      <w:start w:val="69"/>
    </w:lvl>
  </w:abstractNum>
  <w:abstractNum w:abstractNumId="246">
    <w:nsid w:val="2586D60E"/>
    <w:multiLevelType w:val="hybridMultilevel"/>
    <w:lvl w:ilvl="0">
      <w:lvlJc w:val="left"/>
      <w:lvlText w:val="•"/>
      <w:numFmt w:val="bullet"/>
      <w:start w:val="1"/>
    </w:lvl>
  </w:abstractNum>
  <w:abstractNum w:abstractNumId="247">
    <w:nsid w:val="1F3DA4D5"/>
    <w:multiLevelType w:val="hybridMultilevel"/>
    <w:lvl w:ilvl="0">
      <w:lvlJc w:val="left"/>
      <w:lvlText w:val="•"/>
      <w:numFmt w:val="bullet"/>
      <w:start w:val="1"/>
    </w:lvl>
  </w:abstractNum>
  <w:abstractNum w:abstractNumId="248">
    <w:nsid w:val="74C93698"/>
    <w:multiLevelType w:val="hybridMultilevel"/>
    <w:lvl w:ilvl="0">
      <w:lvlJc w:val="left"/>
      <w:lvlText w:val="%1."/>
      <w:numFmt w:val="decimal"/>
      <w:start w:val="1"/>
    </w:lvl>
    <w:lvl w:ilvl="1">
      <w:lvlJc w:val="left"/>
      <w:lvlText w:val="(%2)"/>
      <w:numFmt w:val="lowerLetter"/>
      <w:start w:val="1"/>
    </w:lvl>
  </w:abstractNum>
  <w:abstractNum w:abstractNumId="249">
    <w:nsid w:val="4878140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0">
    <w:nsid w:val="186928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1">
    <w:nsid w:val="47195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2">
    <w:nsid w:val="3746A5F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3">
    <w:nsid w:val="682DFED6"/>
    <w:multiLevelType w:val="hybridMultilevel"/>
    <w:lvl w:ilvl="0">
      <w:lvlJc w:val="left"/>
      <w:lvlText w:val="(%1)"/>
      <w:numFmt w:val="lowerLetter"/>
      <w:start w:val="7"/>
    </w:lvl>
  </w:abstractNum>
  <w:abstractNum w:abstractNumId="254">
    <w:nsid w:val="606ED7F6"/>
    <w:multiLevelType w:val="hybridMultilevel"/>
    <w:lvl w:ilvl="0">
      <w:lvlJc w:val="left"/>
      <w:lvlText w:val="%1."/>
      <w:numFmt w:val="decimal"/>
      <w:start w:val="4"/>
    </w:lvl>
  </w:abstractNum>
  <w:abstractNum w:abstractNumId="255">
    <w:nsid w:val="2D9DF57D"/>
    <w:multiLevelType w:val="hybridMultilevel"/>
    <w:lvl w:ilvl="0">
      <w:lvlJc w:val="left"/>
      <w:lvlText w:val="%1."/>
      <w:numFmt w:val="decimal"/>
      <w:start w:val="8"/>
    </w:lvl>
    <w:lvl w:ilvl="1">
      <w:lvlJc w:val="left"/>
      <w:lvlText w:val="*"/>
      <w:numFmt w:val="bullet"/>
      <w:start w:val="1"/>
    </w:lvl>
  </w:abstractNum>
  <w:abstractNum w:abstractNumId="256">
    <w:nsid w:val="7FBD7A3E"/>
    <w:multiLevelType w:val="hybridMultilevel"/>
    <w:lvl w:ilvl="0">
      <w:lvlJc w:val="left"/>
      <w:lvlText w:val="%1"/>
      <w:numFmt w:val="decimal"/>
      <w:start w:val="41"/>
    </w:lvl>
  </w:abstractNum>
  <w:abstractNum w:abstractNumId="257">
    <w:nsid w:val="490B7C5"/>
    <w:multiLevelType w:val="hybridMultilevel"/>
    <w:lvl w:ilvl="0">
      <w:lvlJc w:val="left"/>
      <w:lvlText w:val="•"/>
      <w:numFmt w:val="bullet"/>
      <w:start w:val="1"/>
    </w:lvl>
  </w:abstractNum>
  <w:abstractNum w:abstractNumId="258">
    <w:nsid w:val="4303A216"/>
    <w:multiLevelType w:val="hybridMultilevel"/>
    <w:lvl w:ilvl="0">
      <w:lvlJc w:val="left"/>
      <w:lvlText w:val="%1."/>
      <w:numFmt w:val="decimal"/>
      <w:start w:val="1"/>
    </w:lvl>
    <w:lvl w:ilvl="1">
      <w:lvlJc w:val="left"/>
      <w:lvlText w:val="(%2)"/>
      <w:numFmt w:val="lowerLetter"/>
      <w:start w:val="1"/>
    </w:lvl>
  </w:abstractNum>
  <w:abstractNum w:abstractNumId="259">
    <w:nsid w:val="19B8A08E"/>
    <w:multiLevelType w:val="hybridMultilevel"/>
    <w:lvl w:ilvl="0">
      <w:lvlJc w:val="left"/>
      <w:lvlText w:val="%1."/>
      <w:numFmt w:val="decimal"/>
      <w:start w:val="2"/>
    </w:lvl>
  </w:abstractNum>
  <w:abstractNum w:abstractNumId="260">
    <w:nsid w:val="54B5962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1">
    <w:nsid w:val="5992A02E"/>
    <w:multiLevelType w:val="hybridMultilevel"/>
    <w:lvl w:ilvl="0">
      <w:lvlJc w:val="left"/>
      <w:lvlText w:val="(%1)"/>
      <w:numFmt w:val="lowerLetter"/>
      <w:start w:val="61"/>
    </w:lvl>
    <w:lvl w:ilvl="1">
      <w:lvlJc w:val="left"/>
      <w:lvlText w:val="(%2)"/>
      <w:numFmt w:val="lowerLetter"/>
      <w:start w:val="3"/>
    </w:lvl>
  </w:abstractNum>
  <w:abstractNum w:abstractNumId="262">
    <w:nsid w:val="29EF532D"/>
    <w:multiLevelType w:val="hybridMultilevel"/>
    <w:lvl w:ilvl="0">
      <w:lvlJc w:val="left"/>
      <w:lvlText w:val="%1."/>
      <w:numFmt w:val="decimal"/>
      <w:start w:val="6"/>
    </w:lvl>
  </w:abstractNum>
  <w:abstractNum w:abstractNumId="263">
    <w:nsid w:val="71D601AF"/>
    <w:multiLevelType w:val="hybridMultilevel"/>
    <w:lvl w:ilvl="0">
      <w:lvlJc w:val="left"/>
      <w:lvlText w:val="%1."/>
      <w:numFmt w:val="decimal"/>
      <w:start w:val="9"/>
    </w:lvl>
  </w:abstractNum>
  <w:abstractNum w:abstractNumId="264">
    <w:nsid w:val="52C774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2BB5B1C6"/>
    <w:multiLevelType w:val="hybridMultilevel"/>
    <w:lvl w:ilvl="0">
      <w:lvlJc w:val="left"/>
      <w:lvlText w:val="%1"/>
      <w:numFmt w:val="decimal"/>
      <w:start w:val="423"/>
    </w:lvl>
    <w:lvl w:ilvl="1">
      <w:lvlJc w:val="left"/>
      <w:lvlText w:val="(%2)"/>
      <w:numFmt w:val="lowerLetter"/>
      <w:start w:val="3"/>
    </w:lvl>
    <w:lvl w:ilvl="2">
      <w:lvlJc w:val="left"/>
      <w:lvlText w:val="%3"/>
      <w:numFmt w:val="lowerRoman"/>
      <w:start w:val="1"/>
    </w:lvl>
  </w:abstractNum>
  <w:abstractNum w:abstractNumId="266">
    <w:nsid w:val="66BE6B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7">
    <w:nsid w:val="622343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68">
    <w:nsid w:val="66D385C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9">
    <w:nsid w:val="596F6D8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0">
    <w:nsid w:val="5749361F"/>
    <w:multiLevelType w:val="hybridMultilevel"/>
    <w:lvl w:ilvl="0">
      <w:lvlJc w:val="left"/>
      <w:lvlText w:val="%1"/>
      <w:numFmt w:val="decimal"/>
      <w:start w:val="1"/>
    </w:lvl>
    <w:lvl w:ilvl="1">
      <w:lvlJc w:val="left"/>
      <w:lvlText w:val="(%2)"/>
      <w:numFmt w:val="lowerLetter"/>
      <w:start w:val="3"/>
    </w:lvl>
  </w:abstractNum>
  <w:abstractNum w:abstractNumId="271">
    <w:nsid w:val="73BC6770"/>
    <w:multiLevelType w:val="hybridMultilevel"/>
    <w:lvl w:ilvl="0">
      <w:lvlJc w:val="left"/>
      <w:lvlText w:val="%1."/>
      <w:numFmt w:val="decimal"/>
      <w:start w:val="4"/>
    </w:lvl>
    <w:lvl w:ilvl="1">
      <w:lvlJc w:val="left"/>
      <w:lvlText w:val="(%2)"/>
      <w:numFmt w:val="lowerLetter"/>
      <w:start w:val="1"/>
    </w:lvl>
  </w:abstractNum>
  <w:abstractNum w:abstractNumId="272">
    <w:nsid w:val="280E68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3">
    <w:nsid w:val="605138D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4">
    <w:nsid w:val="2622AD0C"/>
    <w:multiLevelType w:val="hybridMultilevel"/>
    <w:lvl w:ilvl="0">
      <w:lvlJc w:val="left"/>
      <w:lvlText w:val="%1"/>
      <w:numFmt w:val="decimal"/>
      <w:start w:val="423"/>
    </w:lvl>
    <w:lvl w:ilvl="1">
      <w:lvlJc w:val="left"/>
      <w:lvlText w:val="(%2)"/>
      <w:numFmt w:val="lowerLetter"/>
      <w:start w:val="5"/>
    </w:lvl>
    <w:lvl w:ilvl="2">
      <w:lvlJc w:val="left"/>
      <w:lvlText w:val="%3"/>
      <w:numFmt w:val="lowerRoman"/>
      <w:start w:val="1"/>
    </w:lvl>
  </w:abstractNum>
  <w:abstractNum w:abstractNumId="275">
    <w:nsid w:val="6799755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6">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277">
    <w:nsid w:val="4BA9831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278">
    <w:nsid w:val="6D71A2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79">
    <w:nsid w:val="CFC7321"/>
    <w:multiLevelType w:val="hybridMultilevel"/>
    <w:lvl w:ilvl="0">
      <w:lvlJc w:val="left"/>
      <w:lvlText w:val="%1"/>
      <w:numFmt w:val="decimal"/>
      <w:start w:val="1"/>
    </w:lvl>
    <w:lvl w:ilvl="1">
      <w:lvlJc w:val="left"/>
      <w:lvlText w:val="(%2)"/>
      <w:numFmt w:val="lowerLetter"/>
      <w:start w:val="4"/>
    </w:lvl>
  </w:abstractNum>
  <w:abstractNum w:abstractNumId="280">
    <w:nsid w:val="1421971B"/>
    <w:multiLevelType w:val="hybridMultilevel"/>
    <w:lvl w:ilvl="0">
      <w:lvlJc w:val="left"/>
      <w:lvlText w:val="%1."/>
      <w:numFmt w:val="decimal"/>
      <w:start w:val="8"/>
    </w:lvl>
    <w:lvl w:ilvl="1">
      <w:lvlJc w:val="left"/>
      <w:lvlText w:val="(%2)"/>
      <w:numFmt w:val="lowerLetter"/>
      <w:start w:val="1"/>
    </w:lvl>
  </w:abstractNum>
  <w:abstractNum w:abstractNumId="281">
    <w:nsid w:val="1F404301"/>
    <w:multiLevelType w:val="hybridMultilevel"/>
    <w:lvl w:ilvl="0">
      <w:lvlJc w:val="left"/>
      <w:lvlText w:val="%1."/>
      <w:numFmt w:val="decimal"/>
      <w:start w:val="9"/>
    </w:lvl>
  </w:abstractNum>
  <w:abstractNum w:abstractNumId="282">
    <w:nsid w:val="116E0907"/>
    <w:multiLevelType w:val="hybridMultilevel"/>
    <w:lvl w:ilvl="0">
      <w:lvlJc w:val="left"/>
      <w:lvlText w:val="%1."/>
      <w:numFmt w:val="decimal"/>
      <w:start w:val="10"/>
    </w:lvl>
    <w:lvl w:ilvl="1">
      <w:lvlJc w:val="left"/>
      <w:lvlText w:val="(%2)"/>
      <w:numFmt w:val="lowerLetter"/>
      <w:start w:val="1"/>
    </w:lvl>
  </w:abstractNum>
  <w:abstractNum w:abstractNumId="283">
    <w:nsid w:val="4B683D0D"/>
    <w:multiLevelType w:val="hybridMultilevel"/>
    <w:lvl w:ilvl="0">
      <w:lvlJc w:val="left"/>
      <w:lvlText w:val="%1."/>
      <w:numFmt w:val="decimal"/>
      <w:start w:val="12"/>
    </w:lvl>
    <w:lvl w:ilvl="1">
      <w:lvlJc w:val="left"/>
      <w:lvlText w:val="(%2)"/>
      <w:numFmt w:val="lowerLetter"/>
      <w:start w:val="1"/>
    </w:lvl>
  </w:abstractNum>
  <w:abstractNum w:abstractNumId="284">
    <w:nsid w:val="76E41D8"/>
    <w:multiLevelType w:val="hybridMultilevel"/>
    <w:lvl w:ilvl="0">
      <w:lvlJc w:val="left"/>
      <w:lvlText w:val="%1."/>
      <w:numFmt w:val="decimal"/>
      <w:start w:val="13"/>
    </w:lvl>
    <w:lvl w:ilvl="1">
      <w:lvlJc w:val="left"/>
      <w:lvlText w:val="(%2)"/>
      <w:numFmt w:val="lowerLetter"/>
      <w:start w:val="1"/>
    </w:lvl>
  </w:abstractNum>
  <w:abstractNum w:abstractNumId="285">
    <w:nsid w:val="71DCE0FD"/>
    <w:multiLevelType w:val="hybridMultilevel"/>
    <w:lvl w:ilvl="0">
      <w:lvlJc w:val="left"/>
      <w:lvlText w:val="%1"/>
      <w:numFmt w:val="decimal"/>
      <w:start w:val="1"/>
    </w:lvl>
    <w:lvl w:ilvl="1">
      <w:lvlJc w:val="left"/>
      <w:lvlText w:val="(%2)"/>
      <w:numFmt w:val="lowerLetter"/>
      <w:start w:val="3"/>
    </w:lvl>
  </w:abstractNum>
  <w:abstractNum w:abstractNumId="286">
    <w:nsid w:val="7906328B"/>
    <w:multiLevelType w:val="hybridMultilevel"/>
    <w:lvl w:ilvl="0">
      <w:lvlJc w:val="left"/>
      <w:lvlText w:val="%1."/>
      <w:numFmt w:val="decimal"/>
      <w:start w:val="14"/>
    </w:lvl>
    <w:lvl w:ilvl="1">
      <w:lvlJc w:val="left"/>
      <w:lvlText w:val="%2"/>
      <w:numFmt w:val="lowerLetter"/>
      <w:start w:val="1"/>
    </w:lvl>
  </w:abstractNum>
  <w:abstractNum w:abstractNumId="287">
    <w:nsid w:val="72BBC16"/>
    <w:multiLevelType w:val="hybridMultilevel"/>
    <w:lvl w:ilvl="0">
      <w:lvlJc w:val="left"/>
      <w:lvlText w:val="%1."/>
      <w:numFmt w:val="decimal"/>
      <w:start w:val="15"/>
    </w:lvl>
    <w:lvl w:ilvl="1">
      <w:lvlJc w:val="left"/>
      <w:lvlText w:val="(%2)"/>
      <w:numFmt w:val="lowerLetter"/>
      <w:start w:val="1"/>
    </w:lvl>
  </w:abstractNum>
  <w:abstractNum w:abstractNumId="288">
    <w:nsid w:val="766D98C2"/>
    <w:multiLevelType w:val="hybridMultilevel"/>
    <w:lvl w:ilvl="0">
      <w:lvlJc w:val="left"/>
      <w:lvlText w:val="(%1)"/>
      <w:numFmt w:val="lowerLetter"/>
      <w:start w:val="1"/>
    </w:lvl>
  </w:abstractNum>
  <w:abstractNum w:abstractNumId="289">
    <w:nsid w:val="3C09D4A1"/>
    <w:multiLevelType w:val="hybridMultilevel"/>
    <w:lvl w:ilvl="0">
      <w:lvlJc w:val="left"/>
      <w:lvlText w:val="(%1)"/>
      <w:numFmt w:val="lowerLetter"/>
      <w:start w:val="3"/>
    </w:lvl>
    <w:lvl w:ilvl="1">
      <w:lvlJc w:val="left"/>
      <w:lvlText w:val="(%2)"/>
      <w:numFmt w:val="lowerRoman"/>
      <w:start w:val="1"/>
    </w:lvl>
  </w:abstractNum>
  <w:abstractNum w:abstractNumId="290">
    <w:nsid w:val="20E45CA4"/>
    <w:multiLevelType w:val="hybridMultilevel"/>
    <w:lvl w:ilvl="0">
      <w:lvlJc w:val="left"/>
      <w:lvlText w:val="(%1)"/>
      <w:numFmt w:val="lowerLetter"/>
      <w:start w:val="12"/>
    </w:lvl>
    <w:lvl w:ilvl="1">
      <w:lvlJc w:val="left"/>
      <w:lvlText w:val="(%2)"/>
      <w:numFmt w:val="lowerRoman"/>
      <w:start w:val="1"/>
    </w:lvl>
  </w:abstractNum>
  <w:abstractNum w:abstractNumId="291">
    <w:nsid w:val="4B232EE3"/>
    <w:multiLevelType w:val="hybridMultilevel"/>
    <w:lvl w:ilvl="0">
      <w:lvlJc w:val="left"/>
      <w:lvlText w:val="(%1)"/>
      <w:numFmt w:val="lowerLetter"/>
      <w:start w:val="22"/>
    </w:lvl>
  </w:abstractNum>
  <w:abstractNum w:abstractNumId="292">
    <w:nsid w:val="159C74CF"/>
    <w:multiLevelType w:val="hybridMultilevel"/>
    <w:lvl w:ilvl="0">
      <w:lvlJc w:val="left"/>
      <w:lvlText w:val="(%1)"/>
      <w:numFmt w:val="lowerLetter"/>
      <w:start w:val="27"/>
    </w:lvl>
  </w:abstractNum>
  <w:abstractNum w:abstractNumId="293">
    <w:nsid w:val="4AD3AFD2"/>
    <w:multiLevelType w:val="hybridMultilevel"/>
    <w:lvl w:ilvl="0">
      <w:lvlJc w:val="left"/>
      <w:lvlText w:val="•"/>
      <w:numFmt w:val="bullet"/>
      <w:start w:val="1"/>
    </w:lvl>
  </w:abstractNum>
  <w:abstractNum w:abstractNumId="294">
    <w:nsid w:val="3CF93092"/>
    <w:multiLevelType w:val="hybridMultilevel"/>
    <w:lvl w:ilvl="0">
      <w:lvlJc w:val="left"/>
      <w:lvlText w:val="%1"/>
      <w:numFmt w:val="decimal"/>
      <w:start w:val="41"/>
    </w:lvl>
  </w:abstractNum>
  <w:abstractNum w:abstractNumId="295">
    <w:nsid w:val="6863E8D2"/>
    <w:multiLevelType w:val="hybridMultilevel"/>
    <w:lvl w:ilvl="0">
      <w:lvlJc w:val="left"/>
      <w:lvlText w:val="%1)"/>
      <w:numFmt w:val="decimal"/>
      <w:start w:val="1"/>
    </w:lvl>
    <w:lvl w:ilvl="1">
      <w:lvlJc w:val="left"/>
      <w:lvlText w:val="%2."/>
      <w:numFmt w:val="lowerLetter"/>
      <w:start w:val="1"/>
    </w:lvl>
  </w:abstractNum>
  <w:abstractNum w:abstractNumId="296">
    <w:nsid w:val="76896198"/>
    <w:multiLevelType w:val="hybridMultilevel"/>
    <w:lvl w:ilvl="0">
      <w:lvlJc w:val="left"/>
      <w:lvlText w:val="%1"/>
      <w:numFmt w:val="decimal"/>
      <w:start w:val="1"/>
    </w:lvl>
    <w:lvl w:ilvl="1">
      <w:lvlJc w:val="left"/>
      <w:lvlText w:val="%2."/>
      <w:numFmt w:val="lowerLetter"/>
      <w:start w:val="2"/>
    </w:lvl>
  </w:abstractNum>
  <w:abstractNum w:abstractNumId="297">
    <w:nsid w:val="4365174B"/>
    <w:multiLevelType w:val="hybridMultilevel"/>
    <w:lvl w:ilvl="0">
      <w:lvlJc w:val="left"/>
      <w:lvlText w:val="%1)"/>
      <w:numFmt w:val="decimal"/>
      <w:start w:val="5"/>
    </w:lvl>
    <w:lvl w:ilvl="1">
      <w:lvlJc w:val="left"/>
      <w:lvlText w:val="%2."/>
      <w:numFmt w:val="lowerLetter"/>
      <w:start w:val="1"/>
    </w:lvl>
  </w:abstractNum>
  <w:abstractNum w:abstractNumId="298">
    <w:nsid w:val="4A872C35"/>
    <w:multiLevelType w:val="hybridMultilevel"/>
    <w:lvl w:ilvl="0">
      <w:lvlJc w:val="left"/>
      <w:lvlText w:val="%1."/>
      <w:numFmt w:val="lowerLetter"/>
      <w:start w:val="2"/>
    </w:lvl>
  </w:abstractNum>
  <w:abstractNum w:abstractNumId="299">
    <w:nsid w:val="5D5CE761"/>
    <w:multiLevelType w:val="hybridMultilevel"/>
    <w:lvl w:ilvl="0">
      <w:lvlJc w:val="left"/>
      <w:lvlText w:val="%1"/>
      <w:numFmt w:val="decimal"/>
      <w:start w:val="41"/>
    </w:lvl>
  </w:abstractNum>
  <w:abstractNum w:abstractNumId="300">
    <w:nsid w:val="1CD484D5"/>
    <w:multiLevelType w:val="hybridMultilevel"/>
    <w:lvl w:ilvl="0">
      <w:lvlJc w:val="left"/>
      <w:lvlText w:val="%1)"/>
      <w:numFmt w:val="decimal"/>
      <w:start w:val="1"/>
    </w:lvl>
    <w:lvl w:ilvl="1">
      <w:lvlJc w:val="left"/>
      <w:lvlText w:val="%2."/>
      <w:numFmt w:val="lowerLetter"/>
      <w:start w:val="1"/>
    </w:lvl>
  </w:abstractNum>
  <w:abstractNum w:abstractNumId="301">
    <w:nsid w:val="21D06255"/>
    <w:multiLevelType w:val="hybridMultilevel"/>
    <w:lvl w:ilvl="0">
      <w:lvlJc w:val="left"/>
      <w:lvlText w:val="%1."/>
      <w:numFmt w:val="lowerLetter"/>
      <w:start w:val="2"/>
    </w:lvl>
  </w:abstractNum>
  <w:abstractNum w:abstractNumId="302">
    <w:nsid w:val="51194ED1"/>
    <w:multiLevelType w:val="hybridMultilevel"/>
    <w:lvl w:ilvl="0">
      <w:lvlJc w:val="left"/>
      <w:lvlText w:val="%1"/>
      <w:numFmt w:val="decimal"/>
      <w:start w:val="1"/>
    </w:lvl>
    <w:lvl w:ilvl="1">
      <w:lvlJc w:val="left"/>
      <w:lvlText w:val="%2."/>
      <w:numFmt w:val="lowerLetter"/>
      <w:start w:val="8"/>
    </w:lvl>
  </w:abstractNum>
  <w:abstractNum w:abstractNumId="303">
    <w:nsid w:val="44E2ED6C"/>
    <w:multiLevelType w:val="hybridMultilevel"/>
    <w:lvl w:ilvl="0">
      <w:lvlJc w:val="left"/>
      <w:lvlText w:val="%1)"/>
      <w:numFmt w:val="decimal"/>
      <w:start w:val="5"/>
    </w:lvl>
    <w:lvl w:ilvl="1">
      <w:lvlJc w:val="left"/>
      <w:lvlText w:val="%2."/>
      <w:numFmt w:val="lowerLetter"/>
      <w:start w:val="1"/>
    </w:lvl>
  </w:abstractNum>
  <w:abstractNum w:abstractNumId="304">
    <w:nsid w:val="2219B33"/>
    <w:multiLevelType w:val="hybridMultilevel"/>
    <w:lvl w:ilvl="0">
      <w:lvlJc w:val="left"/>
      <w:lvlText w:val="%1."/>
      <w:numFmt w:val="decimal"/>
      <w:start w:val="1"/>
    </w:lvl>
  </w:abstractNum>
  <w:abstractNum w:abstractNumId="305">
    <w:nsid w:val="773BFBDD"/>
    <w:multiLevelType w:val="hybridMultilevel"/>
    <w:lvl w:ilvl="0">
      <w:lvlJc w:val="left"/>
      <w:lvlText w:val="%1."/>
      <w:numFmt w:val="decimal"/>
      <w:start w:val="3"/>
    </w:lvl>
  </w:abstractNum>
  <w:abstractNum w:abstractNumId="306">
    <w:nsid w:val="2C7C62C2"/>
    <w:multiLevelType w:val="hybridMultilevel"/>
    <w:lvl w:ilvl="0">
      <w:lvlJc w:val="left"/>
      <w:lvlText w:val="%1."/>
      <w:numFmt w:val="decimal"/>
      <w:start w:val="7"/>
    </w:lvl>
  </w:abstractNum>
  <w:abstractNum w:abstractNumId="307">
    <w:nsid w:val="1A54D7BC"/>
    <w:multiLevelType w:val="hybridMultilevel"/>
    <w:lvl w:ilvl="0">
      <w:lvlJc w:val="left"/>
      <w:lvlText w:val="%1."/>
      <w:numFmt w:val="decimal"/>
      <w:start w:val="8"/>
    </w:lvl>
  </w:abstractNum>
  <w:abstractNum w:abstractNumId="308">
    <w:nsid w:val="42E57EF7"/>
    <w:multiLevelType w:val="hybridMultilevel"/>
    <w:lvl w:ilvl="0">
      <w:lvlJc w:val="left"/>
      <w:lvlText w:val="%1."/>
      <w:numFmt w:val="decimal"/>
      <w:start w:val="9"/>
    </w:lvl>
  </w:abstractNum>
  <w:abstractNum w:abstractNumId="309">
    <w:nsid w:val="33537CED"/>
    <w:multiLevelType w:val="hybridMultilevel"/>
    <w:lvl w:ilvl="0">
      <w:lvlJc w:val="left"/>
      <w:lvlText w:val="(%1)"/>
      <w:numFmt w:val="lowerLetter"/>
      <w:start w:val="1"/>
    </w:lvl>
  </w:abstractNum>
  <w:abstractNum w:abstractNumId="310">
    <w:nsid w:val="27514ADE"/>
    <w:multiLevelType w:val="hybridMultilevel"/>
    <w:lvl w:ilvl="0">
      <w:lvlJc w:val="left"/>
      <w:lvlText w:val="(%1)"/>
      <w:numFmt w:val="lowerLetter"/>
      <w:start w:val="3"/>
    </w:lvl>
  </w:abstractNum>
  <w:abstractNum w:abstractNumId="311">
    <w:nsid w:val="57071613"/>
    <w:multiLevelType w:val="hybridMultilevel"/>
    <w:lvl w:ilvl="0">
      <w:lvlJc w:val="left"/>
      <w:lvlText w:val="(%1)"/>
      <w:numFmt w:val="lowerLetter"/>
      <w:start w:val="1"/>
    </w:lvl>
  </w:abstractNum>
  <w:abstractNum w:abstractNumId="312">
    <w:nsid w:val="5293BFEF"/>
    <w:multiLevelType w:val="hybridMultilevel"/>
    <w:lvl w:ilvl="0">
      <w:lvlJc w:val="left"/>
      <w:lvlText w:val="(%1)"/>
      <w:numFmt w:val="lowerLetter"/>
      <w:start w:val="1"/>
    </w:lvl>
  </w:abstractNum>
  <w:abstractNum w:abstractNumId="313">
    <w:nsid w:val="38BF53E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14">
    <w:nsid w:val="226F532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315">
    <w:nsid w:val="5A0201C7"/>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16">
    <w:nsid w:val="2A9C34E2"/>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17">
    <w:nsid w:val="1B7585AB"/>
    <w:multiLevelType w:val="hybridMultilevel"/>
    <w:lvl w:ilvl="0">
      <w:lvlJc w:val="left"/>
      <w:lvlText w:val="(%1)"/>
      <w:numFmt w:val="lowerLetter"/>
      <w:start w:val="1"/>
    </w:lvl>
  </w:abstractNum>
  <w:abstractNum w:abstractNumId="318">
    <w:nsid w:val="612DBDDD"/>
    <w:multiLevelType w:val="hybridMultilevel"/>
    <w:lvl w:ilvl="0">
      <w:lvlJc w:val="left"/>
      <w:lvlText w:val="%1"/>
      <w:numFmt w:val="lowerLetter"/>
      <w:start w:val="1"/>
    </w:lvl>
    <w:lvl w:ilvl="1">
      <w:lvlJc w:val="left"/>
      <w:lvlText w:val="(%2)"/>
      <w:numFmt w:val="lowerLetter"/>
      <w:start w:val="1"/>
    </w:lvl>
  </w:abstractNum>
  <w:abstractNum w:abstractNumId="319">
    <w:nsid w:val="2109CDA4"/>
    <w:multiLevelType w:val="hybridMultilevel"/>
    <w:lvl w:ilvl="0">
      <w:lvlJc w:val="left"/>
      <w:lvlText w:val="(%1)"/>
      <w:numFmt w:val="lowerLetter"/>
      <w:start w:val="35"/>
    </w:lvl>
    <w:lvl w:ilvl="1">
      <w:lvlJc w:val="left"/>
      <w:lvlText w:val="(%2)"/>
      <w:numFmt w:val="lowerLetter"/>
      <w:start w:val="2"/>
    </w:lvl>
  </w:abstractNum>
  <w:abstractNum w:abstractNumId="320">
    <w:nsid w:val="577F5A4D"/>
    <w:multiLevelType w:val="hybridMultilevel"/>
    <w:lvl w:ilvl="0">
      <w:lvlJc w:val="left"/>
      <w:lvlText w:val="(%1)"/>
      <w:numFmt w:val="lowerLetter"/>
      <w:start w:val="4"/>
    </w:lvl>
  </w:abstractNum>
  <w:abstractNum w:abstractNumId="321">
    <w:nsid w:val="2121A81"/>
    <w:multiLevelType w:val="hybridMultilevel"/>
    <w:lvl w:ilvl="0">
      <w:lvlJc w:val="left"/>
      <w:lvlText w:val="(%1)"/>
      <w:numFmt w:val="lowerLetter"/>
      <w:start w:val="6"/>
    </w:lvl>
    <w:lvl w:ilvl="1">
      <w:lvlJc w:val="left"/>
      <w:lvlText w:val="(%2)"/>
      <w:numFmt w:val="decimal"/>
      <w:start w:val="1"/>
    </w:lvl>
  </w:abstractNum>
  <w:abstractNum w:abstractNumId="322">
    <w:nsid w:val="6C2CFC88"/>
    <w:multiLevelType w:val="hybridMultilevel"/>
    <w:lvl w:ilvl="0">
      <w:lvlJc w:val="left"/>
      <w:lvlText w:val="(%1)"/>
      <w:numFmt w:val="decimal"/>
      <w:start w:val="2"/>
    </w:lvl>
  </w:abstractNum>
  <w:abstractNum w:abstractNumId="323">
    <w:nsid w:val="6D1BCF1C"/>
    <w:multiLevelType w:val="hybridMultilevel"/>
    <w:lvl w:ilvl="0">
      <w:lvlJc w:val="left"/>
      <w:lvlText w:val="(%1)"/>
      <w:numFmt w:val="decimal"/>
      <w:start w:val="15"/>
    </w:lvl>
  </w:abstractNum>
  <w:abstractNum w:abstractNumId="324">
    <w:nsid w:val="4CE5CA53"/>
    <w:multiLevelType w:val="hybridMultilevel"/>
    <w:lvl w:ilvl="0">
      <w:lvlJc w:val="left"/>
      <w:lvlText w:val="(%1)"/>
      <w:numFmt w:val="decimal"/>
      <w:start w:val="16"/>
    </w:lvl>
  </w:abstractNum>
  <w:abstractNum w:abstractNumId="325">
    <w:nsid w:val="29262D1A"/>
    <w:multiLevelType w:val="hybridMultilevel"/>
    <w:lvl w:ilvl="0">
      <w:lvlJc w:val="left"/>
      <w:lvlText w:val="%1."/>
      <w:numFmt w:val="decimal"/>
      <w:start w:val="1"/>
    </w:lvl>
  </w:abstractNum>
  <w:abstractNum w:abstractNumId="326">
    <w:nsid w:val="557FB7EE"/>
    <w:multiLevelType w:val="hybridMultilevel"/>
    <w:lvl w:ilvl="0">
      <w:lvlJc w:val="left"/>
      <w:lvlText w:val="%1."/>
      <w:numFmt w:val="decimal"/>
      <w:start w:val="1"/>
    </w:lvl>
  </w:abstractNum>
  <w:abstractNum w:abstractNumId="327">
    <w:nsid w:val="436F2BEB"/>
    <w:multiLevelType w:val="hybridMultilevel"/>
    <w:lvl w:ilvl="0">
      <w:lvlJc w:val="left"/>
      <w:lvlText w:val="%1."/>
      <w:numFmt w:val="decimal"/>
      <w:start w:val="13"/>
    </w:lvl>
  </w:abstractNum>
  <w:abstractNum w:abstractNumId="328">
    <w:nsid w:val="6C8B4466"/>
    <w:multiLevelType w:val="hybridMultilevel"/>
    <w:lvl w:ilvl="0">
      <w:lvlJc w:val="left"/>
      <w:lvlText w:val="%1."/>
      <w:numFmt w:val="decimal"/>
      <w:start w:val="1"/>
    </w:lvl>
  </w:abstractNum>
  <w:abstractNum w:abstractNumId="329">
    <w:nsid w:val="2006E424"/>
    <w:multiLevelType w:val="hybridMultilevel"/>
    <w:lvl w:ilvl="0">
      <w:lvlJc w:val="left"/>
      <w:lvlText w:val="%1."/>
      <w:numFmt w:val="decimal"/>
      <w:start w:val="2"/>
    </w:lvl>
    <w:lvl w:ilvl="1">
      <w:lvlJc w:val="left"/>
      <w:lvlText w:val="(%2)"/>
      <w:numFmt w:val="lowerLetter"/>
      <w:start w:val="1"/>
    </w:lvl>
  </w:abstractNum>
  <w:abstractNum w:abstractNumId="330">
    <w:nsid w:val="20CC134C"/>
    <w:multiLevelType w:val="hybridMultilevel"/>
    <w:lvl w:ilvl="0">
      <w:lvlJc w:val="left"/>
      <w:lvlText w:val="%1."/>
      <w:numFmt w:val="decimal"/>
      <w:start w:val="4"/>
    </w:lvl>
  </w:abstractNum>
  <w:abstractNum w:abstractNumId="331">
    <w:nsid w:val="95FC93B"/>
    <w:multiLevelType w:val="hybridMultilevel"/>
    <w:lvl w:ilvl="0">
      <w:lvlJc w:val="left"/>
      <w:lvlText w:val="%1."/>
      <w:numFmt w:val="decimal"/>
      <w:start w:val="1"/>
    </w:lvl>
  </w:abstractNum>
  <w:abstractNum w:abstractNumId="332">
    <w:nsid w:val="41D74679"/>
    <w:multiLevelType w:val="hybridMultilevel"/>
    <w:lvl w:ilvl="0">
      <w:lvlJc w:val="left"/>
      <w:lvlText w:val="%1."/>
      <w:numFmt w:val="upperLetter"/>
      <w:start w:val="9"/>
    </w:lvl>
    <w:lvl w:ilvl="1">
      <w:lvlJc w:val="left"/>
      <w:lvlText w:val="%2."/>
      <w:numFmt w:val="upperLetter"/>
      <w:start w:val="1"/>
    </w:lvl>
  </w:abstractNum>
  <w:abstractNum w:abstractNumId="333">
    <w:nsid w:val="71E5621E"/>
    <w:multiLevelType w:val="hybridMultilevel"/>
    <w:lvl w:ilvl="0">
      <w:lvlJc w:val="left"/>
      <w:lvlText w:val="%1."/>
      <w:numFmt w:val="upperLetter"/>
      <w:start w:val="4"/>
    </w:lvl>
  </w:abstractNum>
  <w:abstractNum w:abstractNumId="334">
    <w:nsid w:val="4E42B6A8"/>
    <w:multiLevelType w:val="hybridMultilevel"/>
    <w:lvl w:ilvl="0">
      <w:lvlJc w:val="left"/>
      <w:lvlText w:val="%1"/>
      <w:numFmt w:val="upperLetter"/>
      <w:start w:val="1"/>
    </w:lvl>
    <w:lvl w:ilvl="1">
      <w:lvlJc w:val="left"/>
      <w:lvlText w:val="%2."/>
      <w:numFmt w:val="upperLetter"/>
      <w:start w:val="7"/>
    </w:lvl>
  </w:abstractNum>
  <w:abstractNum w:abstractNumId="335">
    <w:nsid w:val="43F8E1AC"/>
    <w:multiLevelType w:val="hybridMultilevel"/>
    <w:lvl w:ilvl="0">
      <w:lvlJc w:val="left"/>
      <w:lvlText w:val="%1."/>
      <w:numFmt w:val="upperLetter"/>
      <w:start w:val="35"/>
    </w:lvl>
    <w:lvl w:ilvl="1">
      <w:lvlJc w:val="left"/>
      <w:lvlText w:val="%2."/>
      <w:numFmt w:val="upperLetter"/>
      <w:start w:val="1"/>
    </w:lvl>
  </w:abstractNum>
  <w:abstractNum w:abstractNumId="336">
    <w:nsid w:val="69215DFB"/>
    <w:multiLevelType w:val="hybridMultilevel"/>
    <w:lvl w:ilvl="0">
      <w:lvlJc w:val="left"/>
      <w:lvlText w:val="%1."/>
      <w:numFmt w:val="upperLetter"/>
      <w:start w:val="61"/>
    </w:lvl>
    <w:lvl w:ilvl="1">
      <w:lvlJc w:val="left"/>
      <w:lvlText w:val="%2."/>
      <w:numFmt w:val="upperLetter"/>
      <w:start w:val="1"/>
    </w:lvl>
  </w:abstractNum>
  <w:abstractNum w:abstractNumId="337">
    <w:nsid w:val="7ABF196A"/>
    <w:multiLevelType w:val="hybridMultilevel"/>
    <w:lvl w:ilvl="0">
      <w:lvlJc w:val="left"/>
      <w:lvlText w:val="%1."/>
      <w:numFmt w:val="upperLetter"/>
      <w:start w:val="9"/>
    </w:lvl>
  </w:abstractNum>
  <w:abstractNum w:abstractNumId="338">
    <w:nsid w:val="5E4DB968"/>
    <w:multiLevelType w:val="hybridMultilevel"/>
    <w:lvl w:ilvl="0">
      <w:lvlJc w:val="left"/>
      <w:lvlText w:val="%1."/>
      <w:numFmt w:val="upperLetter"/>
      <w:start w:val="35"/>
    </w:lvl>
  </w:abstractNum>
  <w:abstractNum w:abstractNumId="339">
    <w:nsid w:val="2C06DCF3"/>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40">
    <w:nsid w:val="2E129658"/>
    <w:multiLevelType w:val="hybridMultilevel"/>
    <w:lvl w:ilvl="0">
      <w:lvlJc w:val="left"/>
      <w:lvlText w:val="%1."/>
      <w:numFmt w:val="decimal"/>
      <w:start w:val="2"/>
    </w:lvl>
  </w:abstractNum>
  <w:abstractNum w:abstractNumId="341">
    <w:nsid w:val="59F0446"/>
    <w:multiLevelType w:val="hybridMultilevel"/>
    <w:lvl w:ilvl="0">
      <w:lvlJc w:val="left"/>
      <w:lvlText w:val="%1."/>
      <w:numFmt w:val="decimal"/>
      <w:start w:val="3"/>
    </w:lvl>
  </w:abstractNum>
  <w:abstractNum w:abstractNumId="342">
    <w:nsid w:val="30DF306"/>
    <w:multiLevelType w:val="hybridMultilevel"/>
    <w:lvl w:ilvl="0">
      <w:lvlJc w:val="left"/>
      <w:lvlText w:val="%1."/>
      <w:numFmt w:val="decimal"/>
      <w:start w:val="4"/>
    </w:lvl>
  </w:abstractNum>
  <w:abstractNum w:abstractNumId="343">
    <w:nsid w:val="A65647"/>
    <w:multiLevelType w:val="hybridMultilevel"/>
    <w:lvl w:ilvl="0">
      <w:lvlJc w:val="left"/>
      <w:lvlText w:val="%1."/>
      <w:numFmt w:val="decimal"/>
      <w:start w:val="5"/>
    </w:lvl>
  </w:abstractNum>
  <w:abstractNum w:abstractNumId="344">
    <w:nsid w:val="3E5E582B"/>
    <w:multiLevelType w:val="hybridMultilevel"/>
    <w:lvl w:ilvl="0">
      <w:lvlJc w:val="left"/>
      <w:lvlText w:val="%1."/>
      <w:numFmt w:val="decimal"/>
      <w:start w:val="6"/>
    </w:lvl>
  </w:abstractNum>
  <w:abstractNum w:abstractNumId="345">
    <w:nsid w:val="257D4626"/>
    <w:multiLevelType w:val="hybridMultilevel"/>
    <w:lvl w:ilvl="0">
      <w:lvlJc w:val="left"/>
      <w:lvlText w:val="%1."/>
      <w:numFmt w:val="upperLetter"/>
      <w:start w:val="3"/>
    </w:lvl>
  </w:abstractNum>
  <w:abstractNum w:abstractNumId="346">
    <w:nsid w:val="5AA8580E"/>
    <w:multiLevelType w:val="hybridMultilevel"/>
    <w:lvl w:ilvl="0">
      <w:lvlJc w:val="left"/>
      <w:lvlText w:val="%1."/>
      <w:numFmt w:val="upperLetter"/>
      <w:start w:val="22"/>
    </w:lvl>
    <w:lvl w:ilvl="1">
      <w:lvlJc w:val="left"/>
      <w:lvlText w:val="%2."/>
      <w:numFmt w:val="upperLetter"/>
      <w:start w:val="1"/>
    </w:lvl>
  </w:abstractNum>
  <w:abstractNum w:abstractNumId="347">
    <w:nsid w:val="68FA8D0D"/>
    <w:multiLevelType w:val="hybridMultilevel"/>
    <w:lvl w:ilvl="0">
      <w:lvlJc w:val="left"/>
      <w:lvlText w:val="%1."/>
      <w:numFmt w:val="upperLetter"/>
      <w:start w:val="9"/>
    </w:lvl>
  </w:abstractNum>
  <w:abstractNum w:abstractNumId="348">
    <w:nsid w:val="40F2CBD2"/>
    <w:multiLevelType w:val="hybridMultilevel"/>
    <w:lvl w:ilvl="0">
      <w:lvlJc w:val="left"/>
      <w:lvlText w:val="%1."/>
      <w:numFmt w:val="upperLetter"/>
      <w:start w:val="35"/>
    </w:lvl>
  </w:abstractNum>
  <w:abstractNum w:abstractNumId="349">
    <w:nsid w:val="3BD615EB"/>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50">
    <w:nsid w:val="A045AB2"/>
    <w:multiLevelType w:val="hybridMultilevel"/>
    <w:lvl w:ilvl="0">
      <w:lvlJc w:val="left"/>
      <w:lvlText w:val="%1."/>
      <w:numFmt w:val="decimal"/>
      <w:start w:val="2"/>
    </w:lvl>
  </w:abstractNum>
  <w:abstractNum w:abstractNumId="351">
    <w:nsid w:val="1872261F"/>
    <w:multiLevelType w:val="hybridMultilevel"/>
    <w:lvl w:ilvl="0">
      <w:lvlJc w:val="left"/>
      <w:lvlText w:val="%1."/>
      <w:numFmt w:val="decimal"/>
      <w:start w:val="3"/>
    </w:lvl>
  </w:abstractNum>
  <w:abstractNum w:abstractNumId="352">
    <w:nsid w:val="3DE8306C"/>
    <w:multiLevelType w:val="hybridMultilevel"/>
    <w:lvl w:ilvl="0">
      <w:lvlJc w:val="left"/>
      <w:lvlText w:val="%1."/>
      <w:numFmt w:val="decimal"/>
      <w:start w:val="4"/>
    </w:lvl>
  </w:abstractNum>
  <w:abstractNum w:abstractNumId="353">
    <w:nsid w:val="7631573A"/>
    <w:multiLevelType w:val="hybridMultilevel"/>
    <w:lvl w:ilvl="0">
      <w:lvlJc w:val="left"/>
      <w:lvlText w:val="%1."/>
      <w:numFmt w:val="decimal"/>
      <w:start w:val="5"/>
    </w:lvl>
  </w:abstractNum>
  <w:abstractNum w:abstractNumId="354">
    <w:nsid w:val="58DF53B"/>
    <w:multiLevelType w:val="hybridMultilevel"/>
    <w:lvl w:ilvl="0">
      <w:lvlJc w:val="left"/>
      <w:lvlText w:val="%1."/>
      <w:numFmt w:val="decimal"/>
      <w:start w:val="6"/>
    </w:lvl>
  </w:abstractNum>
  <w:abstractNum w:abstractNumId="355">
    <w:nsid w:val="ACDFAC0"/>
    <w:multiLevelType w:val="hybridMultilevel"/>
    <w:lvl w:ilvl="0">
      <w:lvlJc w:val="left"/>
      <w:lvlText w:val="%1."/>
      <w:numFmt w:val="upperLetter"/>
      <w:start w:val="3"/>
    </w:lvl>
  </w:abstractNum>
  <w:abstractNum w:abstractNumId="356">
    <w:nsid w:val="1F578454"/>
    <w:multiLevelType w:val="hybridMultilevel"/>
    <w:lvl w:ilvl="0">
      <w:lvlJc w:val="left"/>
      <w:lvlText w:val="%1."/>
      <w:numFmt w:val="upperLetter"/>
      <w:start w:val="4"/>
    </w:lvl>
  </w:abstractNum>
  <w:abstractNum w:abstractNumId="357">
    <w:nsid w:val="5B0DAD2A"/>
    <w:multiLevelType w:val="hybridMultilevel"/>
    <w:lvl w:ilvl="0">
      <w:lvlJc w:val="left"/>
      <w:lvlText w:val="%1."/>
      <w:numFmt w:val="upperLetter"/>
      <w:start w:val="5"/>
    </w:lvl>
  </w:abstractNum>
  <w:abstractNum w:abstractNumId="358">
    <w:nsid w:val="4E3D26AB"/>
    <w:multiLevelType w:val="hybridMultilevel"/>
    <w:lvl w:ilvl="0">
      <w:lvlJc w:val="left"/>
      <w:lvlText w:val="%1."/>
      <w:numFmt w:val="upperLetter"/>
      <w:start w:val="9"/>
    </w:lvl>
  </w:abstractNum>
  <w:abstractNum w:abstractNumId="359">
    <w:nsid w:val="BE2C8BA"/>
    <w:multiLevelType w:val="hybridMultilevel"/>
    <w:lvl w:ilvl="0">
      <w:lvlJc w:val="left"/>
      <w:lvlText w:val="%1."/>
      <w:numFmt w:val="upperLetter"/>
      <w:start w:val="12"/>
    </w:lvl>
  </w:abstractNum>
  <w:abstractNum w:abstractNumId="360">
    <w:nsid w:val="7B14914E"/>
    <w:multiLevelType w:val="hybridMultilevel"/>
    <w:lvl w:ilvl="0">
      <w:lvlJc w:val="left"/>
      <w:lvlText w:val="%1."/>
      <w:numFmt w:val="upperLetter"/>
      <w:start w:val="1"/>
    </w:lvl>
  </w:abstractNum>
  <w:abstractNum w:abstractNumId="361">
    <w:nsid w:val="6F0939F8"/>
    <w:multiLevelType w:val="hybridMultilevel"/>
    <w:lvl w:ilvl="0">
      <w:lvlJc w:val="left"/>
      <w:lvlText w:val="%1"/>
      <w:numFmt w:val="upperLetter"/>
      <w:start w:val="1"/>
    </w:lvl>
    <w:lvl w:ilvl="1">
      <w:lvlJc w:val="left"/>
      <w:lvlText w:val="%2."/>
      <w:numFmt w:val="upperLetter"/>
      <w:start w:val="3"/>
    </w:lvl>
  </w:abstractNum>
  <w:abstractNum w:abstractNumId="362">
    <w:nsid w:val="154291F6"/>
    <w:multiLevelType w:val="hybridMultilevel"/>
    <w:lvl w:ilvl="0">
      <w:lvlJc w:val="left"/>
      <w:lvlText w:val="%1."/>
      <w:numFmt w:val="upperLetter"/>
      <w:start w:val="22"/>
    </w:lvl>
    <w:lvl w:ilvl="1">
      <w:lvlJc w:val="left"/>
      <w:lvlText w:val="%2"/>
      <w:numFmt w:val="upperLetter"/>
      <w:start w:val="1"/>
    </w:lvl>
  </w:abstractNum>
  <w:abstractNum w:abstractNumId="363">
    <w:nsid w:val="3CEBD7C7"/>
    <w:multiLevelType w:val="hybridMultilevel"/>
    <w:lvl w:ilvl="0">
      <w:lvlJc w:val="left"/>
      <w:lvlText w:val="%1."/>
      <w:numFmt w:val="upperLetter"/>
      <w:start w:val="9"/>
    </w:lvl>
  </w:abstractNum>
  <w:abstractNum w:abstractNumId="364">
    <w:nsid w:val="60EE9C16"/>
    <w:multiLevelType w:val="hybridMultilevel"/>
    <w:lvl w:ilvl="0">
      <w:lvlJc w:val="left"/>
      <w:lvlText w:val="%1."/>
      <w:numFmt w:val="upperLetter"/>
      <w:start w:val="35"/>
    </w:lvl>
  </w:abstractNum>
  <w:abstractNum w:abstractNumId="365">
    <w:nsid w:val="6385489E"/>
    <w:multiLevelType w:val="hybridMultilevel"/>
    <w:lvl w:ilvl="0">
      <w:lvlJc w:val="left"/>
      <w:lvlText w:val="%1."/>
      <w:numFmt w:val="upperLetter"/>
      <w:start w:val="61"/>
    </w:lvl>
    <w:lvl w:ilvl="1">
      <w:lvlJc w:val="left"/>
      <w:lvlText w:val="%2."/>
      <w:numFmt w:val="upperLetter"/>
      <w:start w:val="1"/>
    </w:lvl>
  </w:abstractNum>
  <w:abstractNum w:abstractNumId="366">
    <w:nsid w:val="E4B973"/>
    <w:multiLevelType w:val="hybridMultilevel"/>
    <w:lvl w:ilvl="0">
      <w:lvlJc w:val="left"/>
      <w:lvlText w:val="%1."/>
      <w:numFmt w:val="decimal"/>
      <w:start w:val="1"/>
    </w:lvl>
  </w:abstractNum>
  <w:abstractNum w:abstractNumId="367">
    <w:nsid w:val="4A0FFA11"/>
    <w:multiLevelType w:val="hybridMultilevel"/>
    <w:lvl w:ilvl="0">
      <w:lvlJc w:val="left"/>
      <w:lvlText w:val="%1."/>
      <w:numFmt w:val="decimal"/>
      <w:start w:val="2"/>
    </w:lvl>
  </w:abstractNum>
  <w:abstractNum w:abstractNumId="368">
    <w:nsid w:val="5E446208"/>
    <w:multiLevelType w:val="hybridMultilevel"/>
    <w:lvl w:ilvl="0">
      <w:lvlJc w:val="left"/>
      <w:lvlText w:val="%1."/>
      <w:numFmt w:val="decimal"/>
      <w:start w:val="3"/>
    </w:lvl>
  </w:abstractNum>
  <w:abstractNum w:abstractNumId="369">
    <w:nsid w:val="5F3272DB"/>
    <w:multiLevelType w:val="hybridMultilevel"/>
    <w:lvl w:ilvl="0">
      <w:lvlJc w:val="left"/>
      <w:lvlText w:val="%1."/>
      <w:numFmt w:val="decimal"/>
      <w:start w:val="4"/>
    </w:lvl>
  </w:abstractNum>
  <w:abstractNum w:abstractNumId="370">
    <w:nsid w:val="7616D704"/>
    <w:multiLevelType w:val="hybridMultilevel"/>
    <w:lvl w:ilvl="0">
      <w:lvlJc w:val="left"/>
      <w:lvlText w:val="%1."/>
      <w:numFmt w:val="decimal"/>
      <w:start w:val="5"/>
    </w:lvl>
  </w:abstractNum>
  <w:abstractNum w:abstractNumId="371">
    <w:nsid w:val="C56F860"/>
    <w:multiLevelType w:val="hybridMultilevel"/>
    <w:lvl w:ilvl="0">
      <w:lvlJc w:val="left"/>
      <w:lvlText w:val="%1."/>
      <w:numFmt w:val="decimal"/>
      <w:start w:val="6"/>
    </w:lvl>
  </w:abstractNum>
  <w:abstractNum w:abstractNumId="372">
    <w:nsid w:val="64D17722"/>
    <w:multiLevelType w:val="hybridMultilevel"/>
    <w:lvl w:ilvl="0">
      <w:lvlJc w:val="left"/>
      <w:lvlText w:val="%1."/>
      <w:numFmt w:val="upperLetter"/>
      <w:start w:val="4"/>
    </w:lvl>
  </w:abstractNum>
  <w:abstractNum w:abstractNumId="373">
    <w:nsid w:val="7924CA0A"/>
    <w:multiLevelType w:val="hybridMultilevel"/>
    <w:lvl w:ilvl="0">
      <w:lvlJc w:val="left"/>
      <w:lvlText w:val="(%1)"/>
      <w:numFmt w:val="lowerRoman"/>
      <w:start w:val="1"/>
    </w:lvl>
  </w:abstractNum>
  <w:abstractNum w:abstractNumId="374">
    <w:nsid w:val="CFD4EA7"/>
    <w:multiLevelType w:val="hybridMultilevel"/>
    <w:lvl w:ilvl="0">
      <w:lvlJc w:val="left"/>
      <w:lvlText w:val="(%1)"/>
      <w:numFmt w:val="lowerRoman"/>
      <w:start w:val="2"/>
    </w:lvl>
  </w:abstractNum>
  <w:abstractNum w:abstractNumId="375">
    <w:nsid w:val="232FCF4D"/>
    <w:multiLevelType w:val="hybridMultilevel"/>
    <w:lvl w:ilvl="0">
      <w:lvlJc w:val="left"/>
      <w:lvlText w:val="%1."/>
      <w:numFmt w:val="upperLetter"/>
      <w:start w:val="6"/>
    </w:lvl>
  </w:abstractNum>
  <w:abstractNum w:abstractNumId="376">
    <w:nsid w:val="1EA21031"/>
    <w:multiLevelType w:val="hybridMultilevel"/>
    <w:lvl w:ilvl="0">
      <w:lvlJc w:val="left"/>
      <w:lvlText w:val="%1."/>
      <w:numFmt w:val="upperLetter"/>
      <w:start w:val="7"/>
    </w:lvl>
  </w:abstractNum>
  <w:abstractNum w:abstractNumId="377">
    <w:nsid w:val="67A5A6B5"/>
    <w:multiLevelType w:val="hybridMultilevel"/>
    <w:lvl w:ilvl="0">
      <w:lvlJc w:val="left"/>
      <w:lvlText w:val="%1."/>
      <w:numFmt w:val="upperLetter"/>
      <w:start w:val="8"/>
    </w:lvl>
  </w:abstractNum>
  <w:abstractNum w:abstractNumId="378">
    <w:nsid w:val="C2A5C5B"/>
    <w:multiLevelType w:val="hybridMultilevel"/>
    <w:lvl w:ilvl="0">
      <w:lvlJc w:val="left"/>
      <w:lvlText w:val="§"/>
      <w:numFmt w:val="bullet"/>
      <w:start w:val="1"/>
    </w:lvl>
    <w:lvl w:ilvl="1">
      <w:lvlJc w:val="left"/>
      <w:lvlText w:val="%2."/>
      <w:numFmt w:val="upperLetter"/>
      <w:start w:val="1"/>
    </w:lvl>
  </w:abstractNum>
  <w:abstractNum w:abstractNumId="379">
    <w:nsid w:val="5F94DC03"/>
    <w:multiLevelType w:val="hybridMultilevel"/>
    <w:lvl w:ilvl="0">
      <w:lvlJc w:val="left"/>
      <w:lvlText w:val="%1"/>
      <w:numFmt w:val="decimal"/>
      <w:start w:val="43"/>
    </w:lvl>
  </w:abstractNum>
  <w:abstractNum w:abstractNumId="380">
    <w:nsid w:val="237BBCA0"/>
    <w:multiLevelType w:val="hybridMultilevel"/>
    <w:lvl w:ilvl="0">
      <w:lvlJc w:val="left"/>
      <w:lvlText w:val="%1"/>
      <w:numFmt w:val="decimal"/>
      <w:start w:val="43"/>
    </w:lvl>
  </w:abstractNum>
  <w:abstractNum w:abstractNumId="381">
    <w:nsid w:val="162EB70D"/>
    <w:multiLevelType w:val="hybridMultilevel"/>
    <w:lvl w:ilvl="0">
      <w:lvlJc w:val="left"/>
      <w:lvlText w:val="%1."/>
      <w:numFmt w:val="upperLetter"/>
      <w:start w:val="9"/>
    </w:lvl>
    <w:lvl w:ilvl="1">
      <w:lvlJc w:val="left"/>
      <w:lvlText w:val="%2."/>
      <w:numFmt w:val="upperLetter"/>
      <w:start w:val="1"/>
    </w:lvl>
  </w:abstractNum>
  <w:abstractNum w:abstractNumId="382">
    <w:nsid w:val="78070222"/>
    <w:multiLevelType w:val="hybridMultilevel"/>
    <w:lvl w:ilvl="0">
      <w:lvlJc w:val="left"/>
      <w:lvlText w:val="%1."/>
      <w:numFmt w:val="upperLetter"/>
      <w:start w:val="4"/>
    </w:lvl>
  </w:abstractNum>
  <w:abstractNum w:abstractNumId="383">
    <w:nsid w:val="6163ED0D"/>
    <w:multiLevelType w:val="hybridMultilevel"/>
    <w:lvl w:ilvl="0">
      <w:lvlJc w:val="left"/>
      <w:lvlText w:val="%1"/>
      <w:numFmt w:val="upperLetter"/>
      <w:start w:val="1"/>
    </w:lvl>
    <w:lvl w:ilvl="1">
      <w:lvlJc w:val="left"/>
      <w:lvlText w:val="%2."/>
      <w:numFmt w:val="upperLetter"/>
      <w:start w:val="8"/>
    </w:lvl>
  </w:abstractNum>
  <w:abstractNum w:abstractNumId="384">
    <w:nsid w:val="C600E47"/>
    <w:multiLevelType w:val="hybridMultilevel"/>
    <w:lvl w:ilvl="0">
      <w:lvlJc w:val="left"/>
      <w:lvlText w:val="%1."/>
      <w:numFmt w:val="upperLetter"/>
      <w:start w:val="35"/>
    </w:lvl>
    <w:lvl w:ilvl="1">
      <w:lvlJc w:val="left"/>
      <w:lvlText w:val="%2."/>
      <w:numFmt w:val="upperLetter"/>
      <w:start w:val="1"/>
    </w:lvl>
  </w:abstractNum>
  <w:abstractNum w:abstractNumId="385">
    <w:nsid w:val="7D94F75D"/>
    <w:multiLevelType w:val="hybridMultilevel"/>
    <w:lvl w:ilvl="0">
      <w:lvlJc w:val="left"/>
      <w:lvlText w:val="%1."/>
      <w:numFmt w:val="upperLetter"/>
      <w:start w:val="3"/>
    </w:lvl>
  </w:abstractNum>
  <w:abstractNum w:abstractNumId="386">
    <w:nsid w:val="6C31E7CD"/>
    <w:multiLevelType w:val="hybridMultilevel"/>
    <w:lvl w:ilvl="0">
      <w:lvlJc w:val="left"/>
      <w:lvlText w:val="-"/>
      <w:numFmt w:val="bullet"/>
      <w:start w:val="1"/>
    </w:lvl>
  </w:abstractNum>
  <w:abstractNum w:abstractNumId="387">
    <w:nsid w:val="2BB7929B"/>
    <w:multiLevelType w:val="hybridMultilevel"/>
    <w:lvl w:ilvl="0">
      <w:lvlJc w:val="left"/>
      <w:lvlText w:val="%1."/>
      <w:numFmt w:val="upperLetter"/>
      <w:start w:val="9"/>
    </w:lvl>
  </w:abstractNum>
  <w:abstractNum w:abstractNumId="388">
    <w:nsid w:val="58A2A487"/>
    <w:multiLevelType w:val="hybridMultilevel"/>
    <w:lvl w:ilvl="0">
      <w:lvlJc w:val="left"/>
      <w:lvlText w:val="%1."/>
      <w:numFmt w:val="upperLetter"/>
      <w:start w:val="35"/>
    </w:lvl>
  </w:abstractNum>
  <w:abstractNum w:abstractNumId="389">
    <w:nsid w:val="3A6F0E78"/>
    <w:multiLevelType w:val="hybridMultilevel"/>
    <w:lvl w:ilvl="0">
      <w:lvlJc w:val="left"/>
      <w:lvlText w:val="%1."/>
      <w:numFmt w:val="upperLetter"/>
      <w:start w:val="61"/>
    </w:lvl>
    <w:lvl w:ilvl="1">
      <w:lvlJc w:val="left"/>
      <w:lvlText w:val="%2."/>
      <w:numFmt w:val="upperLetter"/>
      <w:start w:val="1"/>
    </w:lvl>
  </w:abstractNum>
  <w:abstractNum w:abstractNumId="390">
    <w:nsid w:val="379A5B56"/>
    <w:multiLevelType w:val="hybridMultilevel"/>
    <w:lvl w:ilvl="0">
      <w:lvlJc w:val="left"/>
      <w:lvlText w:val="%1."/>
      <w:numFmt w:val="upperLetter"/>
      <w:start w:val="1"/>
    </w:lvl>
  </w:abstractNum>
  <w:abstractNum w:abstractNumId="391">
    <w:nsid w:val="53B735D5"/>
    <w:multiLevelType w:val="hybridMultilevel"/>
    <w:lvl w:ilvl="0">
      <w:lvlJc w:val="left"/>
      <w:lvlText w:val="%1."/>
      <w:numFmt w:val="upperLetter"/>
      <w:start w:val="2"/>
    </w:lvl>
  </w:abstractNum>
  <w:abstractNum w:abstractNumId="392">
    <w:nsid w:val="29784870"/>
    <w:multiLevelType w:val="hybridMultilevel"/>
    <w:lvl w:ilvl="0">
      <w:lvlJc w:val="left"/>
      <w:lvlText w:val="§"/>
      <w:numFmt w:val="bullet"/>
      <w:start w:val="1"/>
    </w:lvl>
    <w:lvl w:ilvl="1">
      <w:lvlJc w:val="left"/>
      <w:lvlText w:val="%2."/>
      <w:numFmt w:val="upperLetter"/>
      <w:start w:val="1"/>
    </w:lvl>
  </w:abstractNum>
  <w:abstractNum w:abstractNumId="393">
    <w:nsid w:val="4CDCED4C"/>
    <w:multiLevelType w:val="hybridMultilevel"/>
    <w:lvl w:ilvl="0">
      <w:lvlJc w:val="left"/>
      <w:lvlText w:val="%1."/>
      <w:numFmt w:val="upperLetter"/>
      <w:start w:val="22"/>
    </w:lvl>
  </w:abstractNum>
  <w:abstractNum w:abstractNumId="394">
    <w:nsid w:val="10A30D9C"/>
    <w:multiLevelType w:val="hybridMultilevel"/>
    <w:lvl w:ilvl="0">
      <w:lvlJc w:val="left"/>
      <w:lvlText w:val="%1."/>
      <w:numFmt w:val="upperLetter"/>
      <w:start w:val="1"/>
    </w:lvl>
  </w:abstractNum>
  <w:abstractNum w:abstractNumId="395">
    <w:nsid w:val="A66E486"/>
    <w:multiLevelType w:val="hybridMultilevel"/>
    <w:lvl w:ilvl="0">
      <w:lvlJc w:val="left"/>
      <w:lvlText w:val="%1."/>
      <w:numFmt w:val="decimal"/>
      <w:start w:val="1"/>
    </w:lvl>
    <w:lvl w:ilvl="1">
      <w:lvlJc w:val="left"/>
      <w:lvlText w:val="(%2)"/>
      <w:numFmt w:val="lowerLetter"/>
      <w:start w:val="1"/>
    </w:lvl>
  </w:abstractNum>
  <w:abstractNum w:abstractNumId="396">
    <w:nsid w:val="306235EA"/>
    <w:multiLevelType w:val="hybridMultilevel"/>
    <w:lvl w:ilvl="0">
      <w:lvlJc w:val="left"/>
      <w:lvlText w:val="%1"/>
      <w:numFmt w:val="decimal"/>
      <w:start w:val="1"/>
    </w:lvl>
    <w:lvl w:ilvl="1">
      <w:lvlJc w:val="left"/>
      <w:lvlText w:val="(%2)"/>
      <w:numFmt w:val="lowerLetter"/>
      <w:start w:val="2"/>
    </w:lvl>
  </w:abstractNum>
  <w:abstractNum w:abstractNumId="397">
    <w:nsid w:val="1187C70F"/>
    <w:multiLevelType w:val="hybridMultilevel"/>
    <w:lvl w:ilvl="0">
      <w:lvlJc w:val="left"/>
      <w:lvlText w:val="%1."/>
      <w:numFmt w:val="decimal"/>
      <w:start w:val="2"/>
    </w:lvl>
    <w:lvl w:ilvl="1">
      <w:lvlJc w:val="left"/>
      <w:lvlText w:val="%2"/>
      <w:numFmt w:val="lowerLetter"/>
      <w:start w:val="1"/>
    </w:lvl>
  </w:abstractNum>
  <w:abstractNum w:abstractNumId="398">
    <w:nsid w:val="5476DE98"/>
    <w:multiLevelType w:val="hybridMultilevel"/>
    <w:lvl w:ilvl="0">
      <w:lvlJc w:val="left"/>
      <w:lvlText w:val="%1."/>
      <w:numFmt w:val="decimal"/>
      <w:start w:val="4"/>
    </w:lvl>
  </w:abstractNum>
  <w:abstractNum w:abstractNumId="399">
    <w:nsid w:val="EA697F2"/>
    <w:multiLevelType w:val="hybridMultilevel"/>
    <w:lvl w:ilvl="0">
      <w:lvlJc w:val="left"/>
      <w:lvlText w:val="%1."/>
      <w:numFmt w:val="decimal"/>
      <w:start w:val="5"/>
    </w:lvl>
  </w:abstractNum>
  <w:abstractNum w:abstractNumId="400">
    <w:nsid w:val="70BA39EB"/>
    <w:multiLevelType w:val="hybridMultilevel"/>
    <w:lvl w:ilvl="0">
      <w:lvlJc w:val="left"/>
      <w:lvlText w:val="%1."/>
      <w:numFmt w:val="decimal"/>
      <w:start w:val="7"/>
    </w:lvl>
    <w:lvl w:ilvl="1">
      <w:lvlJc w:val="left"/>
      <w:lvlText w:val="(%2)"/>
      <w:numFmt w:val="lowerLetter"/>
      <w:start w:val="1"/>
    </w:lvl>
  </w:abstractNum>
  <w:abstractNum w:abstractNumId="401">
    <w:nsid w:val="4A8DB59C"/>
    <w:multiLevelType w:val="hybridMultilevel"/>
    <w:lvl w:ilvl="0">
      <w:lvlJc w:val="left"/>
      <w:lvlText w:val="%1."/>
      <w:numFmt w:val="decimal"/>
      <w:start w:val="8"/>
    </w:lvl>
  </w:abstractNum>
  <w:abstractNum w:abstractNumId="402">
    <w:nsid w:val="1AFD9053"/>
    <w:multiLevelType w:val="hybridMultilevel"/>
    <w:lvl w:ilvl="0">
      <w:lvlJc w:val="left"/>
      <w:lvlText w:val="%1."/>
      <w:numFmt w:val="decimal"/>
      <w:start w:val="10"/>
    </w:lvl>
  </w:abstractNum>
  <w:abstractNum w:abstractNumId="403">
    <w:nsid w:val="558BB10D"/>
    <w:multiLevelType w:val="hybridMultilevel"/>
    <w:lvl w:ilvl="0">
      <w:lvlJc w:val="left"/>
      <w:lvlText w:val="%1."/>
      <w:numFmt w:val="decimal"/>
      <w:start w:val="11"/>
    </w:lvl>
  </w:abstractNum>
  <w:abstractNum w:abstractNumId="404">
    <w:nsid w:val="43B27FA7"/>
    <w:multiLevelType w:val="hybridMultilevel"/>
    <w:lvl w:ilvl="0">
      <w:lvlJc w:val="left"/>
      <w:lvlText w:val="%1."/>
      <w:numFmt w:val="decimal"/>
      <w:start w:val="15"/>
    </w:lvl>
  </w:abstractNum>
  <w:abstractNum w:abstractNumId="405">
    <w:nsid w:val="27FADEFA"/>
    <w:multiLevelType w:val="hybridMultilevel"/>
    <w:lvl w:ilvl="0">
      <w:lvlJc w:val="left"/>
      <w:lvlText w:val="•"/>
      <w:numFmt w:val="bullet"/>
      <w:start w:val="1"/>
    </w:lvl>
  </w:abstractNum>
  <w:abstractNum w:abstractNumId="406">
    <w:nsid w:val="78BB805A"/>
    <w:multiLevelType w:val="hybridMultilevel"/>
    <w:lvl w:ilvl="0">
      <w:lvlJc w:val="left"/>
      <w:lvlText w:val="•"/>
      <w:numFmt w:val="bullet"/>
      <w:start w:val="1"/>
    </w:lvl>
  </w:abstractNum>
  <w:abstractNum w:abstractNumId="407">
    <w:nsid w:val="62548FD8"/>
    <w:multiLevelType w:val="hybridMultilevel"/>
    <w:lvl w:ilvl="0">
      <w:lvlJc w:val="left"/>
      <w:lvlText w:val="•"/>
      <w:numFmt w:val="bullet"/>
      <w:start w:val="1"/>
    </w:lvl>
  </w:abstractNum>
  <w:abstractNum w:abstractNumId="408">
    <w:nsid w:val="FA085B0"/>
    <w:multiLevelType w:val="hybridMultilevel"/>
    <w:lvl w:ilvl="0">
      <w:lvlJc w:val="left"/>
      <w:lvlText w:val="%1."/>
      <w:numFmt w:val="decimal"/>
      <w:start w:val="1"/>
    </w:lvl>
  </w:abstractNum>
  <w:abstractNum w:abstractNumId="409">
    <w:nsid w:val="4E5DCB5"/>
    <w:multiLevelType w:val="hybridMultilevel"/>
    <w:lvl w:ilvl="0">
      <w:lvlJc w:val="left"/>
      <w:lvlText w:val="•"/>
      <w:numFmt w:val="bullet"/>
      <w:start w:val="1"/>
    </w:lvl>
  </w:abstractNum>
  <w:abstractNum w:abstractNumId="410">
    <w:nsid w:val="41E96BDB"/>
    <w:multiLevelType w:val="hybridMultilevel"/>
    <w:lvl w:ilvl="0">
      <w:lvlJc w:val="left"/>
      <w:lvlText w:val="•"/>
      <w:numFmt w:val="bullet"/>
      <w:start w:val="1"/>
    </w:lvl>
  </w:abstractNum>
  <w:abstractNum w:abstractNumId="411">
    <w:nsid w:val="331C4250"/>
    <w:multiLevelType w:val="hybridMultilevel"/>
    <w:lvl w:ilvl="0">
      <w:lvlJc w:val="left"/>
      <w:lvlText w:val="•"/>
      <w:numFmt w:val="bullet"/>
      <w:start w:val="1"/>
    </w:lvl>
  </w:abstractNum>
  <w:abstractNum w:abstractNumId="412">
    <w:nsid w:val="1B1493C2"/>
    <w:multiLevelType w:val="hybridMultilevel"/>
    <w:lvl w:ilvl="0">
      <w:lvlJc w:val="left"/>
      <w:lvlText w:val="%1."/>
      <w:numFmt w:val="decimal"/>
      <w:start w:val="2"/>
    </w:lvl>
  </w:abstractNum>
  <w:abstractNum w:abstractNumId="413">
    <w:nsid w:val="39F06DFD"/>
    <w:multiLevelType w:val="hybridMultilevel"/>
    <w:lvl w:ilvl="0">
      <w:lvlJc w:val="left"/>
      <w:lvlText w:val="a"/>
      <w:numFmt w:val="bullet"/>
      <w:start w:val="1"/>
    </w:lvl>
  </w:abstractNum>
  <w:abstractNum w:abstractNumId="414">
    <w:nsid w:val="14802F5D"/>
    <w:multiLevelType w:val="hybridMultilevel"/>
    <w:lvl w:ilvl="0">
      <w:lvlJc w:val="left"/>
      <w:lvlText w:val="b"/>
      <w:numFmt w:val="bullet"/>
      <w:start w:val="1"/>
    </w:lvl>
  </w:abstractNum>
  <w:abstractNum w:abstractNumId="415">
    <w:nsid w:val="2774A209"/>
    <w:multiLevelType w:val="hybridMultilevel"/>
    <w:lvl w:ilvl="0">
      <w:lvlJc w:val="left"/>
      <w:lvlText w:val="c"/>
      <w:numFmt w:val="bullet"/>
      <w:start w:val="1"/>
    </w:lvl>
    <w:lvl w:ilvl="1">
      <w:lvlJc w:val="left"/>
      <w:lvlText w:val="•"/>
      <w:numFmt w:val="bullet"/>
      <w:start w:val="1"/>
    </w:lvl>
  </w:abstractNum>
  <w:abstractNum w:abstractNumId="416">
    <w:nsid w:val="3785655A"/>
    <w:multiLevelType w:val="hybridMultilevel"/>
    <w:lvl w:ilvl="0">
      <w:lvlJc w:val="left"/>
      <w:lvlText w:val="•"/>
      <w:numFmt w:val="bullet"/>
      <w:start w:val="1"/>
    </w:lvl>
  </w:abstractNum>
  <w:abstractNum w:abstractNumId="417">
    <w:nsid w:val="B2172A"/>
    <w:multiLevelType w:val="hybridMultilevel"/>
    <w:lvl w:ilvl="0">
      <w:lvlJc w:val="left"/>
      <w:lvlText w:val="d"/>
      <w:numFmt w:val="bullet"/>
      <w:start w:val="1"/>
    </w:lvl>
  </w:abstractNum>
  <w:abstractNum w:abstractNumId="418">
    <w:nsid w:val="532C34A5"/>
    <w:multiLevelType w:val="hybridMultilevel"/>
    <w:lvl w:ilvl="0">
      <w:lvlJc w:val="left"/>
      <w:lvlText w:val="e"/>
      <w:numFmt w:val="bullet"/>
      <w:start w:val="1"/>
    </w:lvl>
  </w:abstractNum>
  <w:abstractNum w:abstractNumId="419">
    <w:nsid w:val="102809E2"/>
    <w:multiLevelType w:val="hybridMultilevel"/>
    <w:lvl w:ilvl="0">
      <w:lvlJc w:val="left"/>
      <w:lvlText w:val="f"/>
      <w:numFmt w:val="bullet"/>
      <w:start w:val="1"/>
    </w:lvl>
  </w:abstractNum>
  <w:abstractNum w:abstractNumId="420">
    <w:nsid w:val="3B2125A3"/>
    <w:multiLevelType w:val="hybridMultilevel"/>
    <w:lvl w:ilvl="0">
      <w:lvlJc w:val="left"/>
      <w:lvlText w:val="g"/>
      <w:numFmt w:val="bullet"/>
      <w:start w:val="1"/>
    </w:lvl>
  </w:abstractNum>
  <w:abstractNum w:abstractNumId="421">
    <w:nsid w:val="AC68FFB"/>
    <w:multiLevelType w:val="hybridMultilevel"/>
    <w:lvl w:ilvl="0">
      <w:lvlJc w:val="left"/>
      <w:lvlText w:val="h"/>
      <w:numFmt w:val="bullet"/>
      <w:start w:val="1"/>
    </w:lvl>
  </w:abstractNum>
  <w:abstractNum w:abstractNumId="422">
    <w:nsid w:val="63DF3FB7"/>
    <w:multiLevelType w:val="hybridMultilevel"/>
    <w:lvl w:ilvl="0">
      <w:lvlJc w:val="left"/>
      <w:lvlText w:val="i"/>
      <w:numFmt w:val="bullet"/>
      <w:start w:val="1"/>
    </w:lvl>
  </w:abstractNum>
  <w:abstractNum w:abstractNumId="423">
    <w:nsid w:val="64996E13"/>
    <w:multiLevelType w:val="hybridMultilevel"/>
    <w:lvl w:ilvl="0">
      <w:lvlJc w:val="left"/>
      <w:lvlText w:val="j"/>
      <w:numFmt w:val="bullet"/>
      <w:start w:val="1"/>
    </w:lvl>
  </w:abstractNum>
  <w:abstractNum w:abstractNumId="424">
    <w:nsid w:val="57A37D47"/>
    <w:multiLevelType w:val="hybridMultilevel"/>
    <w:lvl w:ilvl="0">
      <w:lvlJc w:val="left"/>
      <w:lvlText w:val="k"/>
      <w:numFmt w:val="bullet"/>
      <w:start w:val="1"/>
    </w:lvl>
  </w:abstractNum>
  <w:abstractNum w:abstractNumId="425">
    <w:nsid w:val="74824D54"/>
    <w:multiLevelType w:val="hybridMultilevel"/>
    <w:lvl w:ilvl="0">
      <w:lvlJc w:val="left"/>
      <w:lvlText w:val="l"/>
      <w:numFmt w:val="bullet"/>
      <w:start w:val="1"/>
    </w:lvl>
  </w:abstractNum>
  <w:abstractNum w:abstractNumId="426">
    <w:nsid w:val="6F00529A"/>
    <w:multiLevelType w:val="hybridMultilevel"/>
    <w:lvl w:ilvl="0">
      <w:lvlJc w:val="left"/>
      <w:lvlText w:val="%1"/>
      <w:numFmt w:val="lowerLetter"/>
      <w:start w:val="27"/>
    </w:lvl>
  </w:abstractNum>
  <w:abstractNum w:abstractNumId="427">
    <w:nsid w:val="805B331"/>
    <w:multiLevelType w:val="hybridMultilevel"/>
    <w:lvl w:ilvl="0">
      <w:lvlJc w:val="left"/>
      <w:lvlText w:val="%1."/>
      <w:numFmt w:val="decimal"/>
      <w:start w:val="3"/>
    </w:lvl>
  </w:abstractNum>
  <w:abstractNum w:abstractNumId="428">
    <w:nsid w:val="60A14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jpe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27" Type="http://schemas.openxmlformats.org/officeDocument/2006/relationships/hyperlink" Target="https://www.sec.gov/Archives/edgar/data/1779474/000095010320024045/dp142700_ex0201.htm" TargetMode="External"/><Relationship Id="rId28" Type="http://schemas.openxmlformats.org/officeDocument/2006/relationships/hyperlink" Target="https://www.sec.gov/Archives/edgar/data/1779474/000095010319010751/dp111173_ex0401.htm" TargetMode="External"/><Relationship Id="rId29" Type="http://schemas.openxmlformats.org/officeDocument/2006/relationships/hyperlink" Target="https://www.sec.gov/Archives/edgar/data/1779474/000095010320024045/dp142700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2021-06-22T05:14:48Z</dcterms:created>
  <dcterms:modified xsi:type="dcterms:W3CDTF">2021-06-22T05:14:48Z</dcterms:modified>
</cp:coreProperties>
</file>