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June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1"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54"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27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On June 21, 2022, WM Technology, Inc, (the “Company”) held its 2022 Annual Meeting of Stockholders (the “Annual Meeting”). As of April 28, 2022, the record date for the Annual Meeting (the “Record Date”), 144,397,402 shares of the Company’s common stock were outstanding and entitled to vote at the Annual Meeting. A summary of the matters voted upon by stockholders at the Annual Meeting is set forth below.</w:t>
      </w:r>
    </w:p>
    <w:p>
      <w:pPr>
        <w:spacing w:after="0" w:line="19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 total of 92,473,430 shares of the Company’s common stock were present at the Annual Meeting in person, by virtual attendance, or by proxy, which represents 64.04% of the shares of the Company’s common stock outstanding as of the Record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Company’s stockholders elected the three persons listed below as Class I Directors, each to serve until the Company’s 2025 Annual Meeting of Stockholders or until his or her successor has been duly elected and qualified, or, if sooner, until his or her earlier death, resignation or removal. The final voting results are as follows:</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Name</w:t>
            </w:r>
          </w:p>
        </w:tc>
        <w:tc>
          <w:tcPr>
            <w:tcW w:w="29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Withheld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9"/>
              </w:rPr>
              <w:t>Christopher Beals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72,693,786</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8,674,123</w:t>
            </w:r>
          </w:p>
        </w:tc>
        <w:tc>
          <w:tcPr>
            <w:tcW w:w="7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11,105,521</w:t>
            </w:r>
          </w:p>
        </w:tc>
      </w:tr>
      <w:tr>
        <w:trPr>
          <w:trHeight w:val="243"/>
        </w:trPr>
        <w:tc>
          <w:tcPr>
            <w:tcW w:w="29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Fiona Tan</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72,670,396</w:t>
            </w:r>
          </w:p>
        </w:tc>
        <w:tc>
          <w:tcPr>
            <w:tcW w:w="7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8,697,513</w:t>
            </w:r>
          </w:p>
        </w:tc>
        <w:tc>
          <w:tcPr>
            <w:tcW w:w="7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11,105,521</w:t>
            </w:r>
          </w:p>
        </w:tc>
      </w:tr>
      <w:tr>
        <w:trPr>
          <w:trHeight w:val="27"/>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29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4"/>
              </w:rPr>
              <w:t>Anthony Bay</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81,284,796</w:t>
            </w:r>
          </w:p>
        </w:tc>
        <w:tc>
          <w:tcPr>
            <w:tcW w:w="7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83,113</w:t>
            </w:r>
          </w:p>
        </w:tc>
        <w:tc>
          <w:tcPr>
            <w:tcW w:w="7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Proposal 2. Advisory Vote, on a Non-Binding Basis, to approve the Compensation of the Company’s Named Executive Officers for the Year Ended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approved, on a non-binding advisory basis, the compensation of the Company’s named executive officers as disclosed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definitive proxy statement relating to the Annual Meeting. The final voting results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Votes Against</w:t>
            </w:r>
          </w:p>
        </w:tc>
        <w:tc>
          <w:tcPr>
            <w:tcW w:w="29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Abstentions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74,455,079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6,864,399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48,431</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Proposal 3. Advisory Vote, on a Non-Binding Basis, on the Frequency of Solicitation of Advisory Stockholder Approval of Executive Compensation.</w:t>
      </w:r>
    </w:p>
    <w:p>
      <w:pPr>
        <w:spacing w:after="0" w:line="26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Company’s stockholders indicated, on a non-binding advisory basis, the preferred frequency of one year for future stockholder advisory votes on the compensation of the Company’s named executive officers. In light of this result and consistent with the Company’s recommendation, the Company’s Board of Directors (the “Board”) has determined to hold future advisory votes on executive compensation every year. Under Section 14a-21(b) of the Securities Exchange Act of 1934, as amended, the Company will hold the next advisory vote on the frequency of such stockholder votes no later than its 2028 Annual Meeting of Stockholders. The final voting results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2"/>
              </w:rPr>
              <w:t>1 Year</w:t>
            </w:r>
          </w:p>
        </w:tc>
        <w:tc>
          <w:tcPr>
            <w:tcW w:w="29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7"/>
              </w:rPr>
              <w:t>2 Years</w:t>
            </w:r>
          </w:p>
        </w:tc>
        <w:tc>
          <w:tcPr>
            <w:tcW w:w="29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7"/>
              </w:rPr>
              <w:t>3 Years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81,246,621</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29,216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70,534</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21,538</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4. Ratification of the Selection of Independent Registered Public Accounting Firm.</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Company’s stockholders ratified the selection of Baker Tilly US, LLP by the Audit Committee of the Board as the Company’s independent registered public accounting firm for the fiscal year ending December 31, 2022. The final voting results are as follows:</w:t>
      </w:r>
    </w:p>
    <w:p>
      <w:pPr>
        <w:spacing w:after="0" w:line="260"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29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Votes Against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6"/>
        </w:trPr>
        <w:tc>
          <w:tcPr>
            <w:tcW w:w="2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92,353,685</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71,576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48,169</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2022-06-27T19:33:55Z</dcterms:created>
  <dcterms:modified xsi:type="dcterms:W3CDTF">2022-06-27T19:33:55Z</dcterms:modified>
</cp:coreProperties>
</file>