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526415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318135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476"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342" w:lineRule="auto"/>
        <w:rPr>
          <w:sz w:val="20"/>
          <w:szCs w:val="20"/>
          <w:color w:val="auto"/>
        </w:rPr>
      </w:pPr>
      <w:r>
        <w:rPr>
          <w:rFonts w:ascii="Arial" w:cs="Arial" w:eastAsia="Arial" w:hAnsi="Arial"/>
          <w:sz w:val="16"/>
          <w:szCs w:val="16"/>
          <w:color w:val="auto"/>
        </w:rPr>
        <w:t>On March 16, 2023, WM Technology, Inc. announced its financial results for the fourth quarter ended December 31, 2022. The full text of the press release issued in connection with the announcement is furnished as Exhibit 99.1 to this Current Report on Form 8-K and is incorporated by reference.</w:t>
      </w:r>
    </w:p>
    <w:p>
      <w:pPr>
        <w:spacing w:after="0" w:line="218"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9" w:right="55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 Fourth Quarter and Full Year 2022 Financial Results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Fourth Quarter 2022 Financial Results with Revenue of $49.3 million with Full Year Revenue of $215.5 million</w:t>
      </w:r>
    </w:p>
    <w:p>
      <w:pPr>
        <w:spacing w:after="0" w:line="200" w:lineRule="exact"/>
        <w:rPr>
          <w:sz w:val="20"/>
          <w:szCs w:val="20"/>
          <w:color w:val="auto"/>
        </w:rPr>
      </w:pP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Irvine, Calif. -- March 16, 2023 -- </w:t>
      </w:r>
      <w:r>
        <w:rPr>
          <w:rFonts w:ascii="Arial" w:cs="Arial" w:eastAsia="Arial" w:hAnsi="Arial"/>
          <w:sz w:val="17"/>
          <w:szCs w:val="17"/>
          <w:color w:val="auto"/>
        </w:rPr>
        <w:t>WM Technology, Inc. (“WM Technology” or the “Company”) (Nasdaq: MAPS), a leading technology and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provider to the cannabis industry, today announced its financial results for the fourth quarter ending December 31, 2022.</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fourth quarter results, consistent with our prior guidance, reflect both the continued importance of WM Technology to our clients and users as well as the challenging operating environment that exists today in cannabis,” said Doug Francis, Executive Chair of WM Technology. “Having returned in November to an operating role at Weedmaps, I have spent the past four months listening to our clients’ needs and working actively with our teams to build an achievable plan for 2023. This plan will enable Weedmaps to expand our leadership role, help drive market stability, and allow our clients to experience profitable and sustainable growth. Further, we now have a financial outlook that returns us to our roots of top-line growth as well as positive Adjusted EBITDA and cash flow.”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Highlights</w:t>
      </w:r>
    </w:p>
    <w:p>
      <w:pPr>
        <w:spacing w:after="0" w:line="13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was $49.3 million as compared to $54.2 million in the fourth quarter of 2021.</w:t>
      </w:r>
    </w:p>
    <w:p>
      <w:pPr>
        <w:spacing w:after="0" w:line="80"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5,689, as compared to 4,766 in the prior year period.</w:t>
      </w:r>
    </w:p>
    <w:p>
      <w:pPr>
        <w:spacing w:after="0" w:line="48"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$2,888, as compared to $3,789 in the prior year period.</w:t>
      </w:r>
    </w:p>
    <w:p>
      <w:pPr>
        <w:spacing w:after="0" w:line="32" w:lineRule="exact"/>
        <w:rPr>
          <w:rFonts w:ascii="Arial" w:cs="Arial" w:eastAsia="Arial" w:hAnsi="Arial"/>
          <w:sz w:val="22"/>
          <w:szCs w:val="22"/>
          <w:color w:val="auto"/>
        </w:rPr>
      </w:pPr>
    </w:p>
    <w:p>
      <w:pPr>
        <w:ind w:left="660" w:right="240" w:hanging="328"/>
        <w:spacing w:after="0" w:line="303"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was $60.8 million as compared to net income of $78.4 million in the prior year period. The net loss included the impact of severance payments related to headcount reductions as well as a non-cash charge related to a full valuation allowance recorded against deferred tax assets.</w:t>
      </w:r>
    </w:p>
    <w:p>
      <w:pPr>
        <w:ind w:left="660" w:hanging="328"/>
        <w:spacing w:after="0" w:line="23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was $1.5 million as compared to $3.8 million in the prior year period. Prior to provision for doubtful accounts (non-cash), 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was $3.9 million as compared to $6.3 million in the prior year period.</w:t>
      </w: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Basic and diluted net loss per share were $1.19 based on 91.4 million weighted average shares of Class A Common Stock outstanding.</w:t>
      </w:r>
    </w:p>
    <w:p>
      <w:pPr>
        <w:spacing w:after="0" w:line="58" w:lineRule="exact"/>
        <w:rPr>
          <w:rFonts w:ascii="Arial" w:cs="Arial" w:eastAsia="Arial" w:hAnsi="Arial"/>
          <w:sz w:val="17"/>
          <w:szCs w:val="17"/>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shares outstanding across Class A and Class V Common Stock were 147.5 million as of December 31,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totaled $28.6 million as of December 31, 2022, with no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 Financial Highlights</w:t>
      </w:r>
    </w:p>
    <w:p>
      <w:pPr>
        <w:spacing w:after="0" w:line="13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Revenue was $215.5 million for the year ended December 31, 2022, as compared to $193.1 million in the prior year.</w:t>
      </w:r>
    </w:p>
    <w:p>
      <w:pPr>
        <w:spacing w:after="0" w:line="74" w:lineRule="exact"/>
        <w:rPr>
          <w:rFonts w:ascii="Arial" w:cs="Arial" w:eastAsia="Arial" w:hAnsi="Arial"/>
          <w:sz w:val="22"/>
          <w:szCs w:val="22"/>
          <w:color w:val="auto"/>
        </w:rPr>
      </w:pPr>
    </w:p>
    <w:p>
      <w:pPr>
        <w:ind w:left="1300" w:hanging="320"/>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5,457, as compared to 4,337 in the prior year.</w:t>
      </w:r>
    </w:p>
    <w:p>
      <w:pPr>
        <w:spacing w:after="0" w:line="46" w:lineRule="exact"/>
        <w:rPr>
          <w:rFonts w:ascii="Arial" w:cs="Arial" w:eastAsia="Arial" w:hAnsi="Arial"/>
          <w:sz w:val="22"/>
          <w:szCs w:val="22"/>
          <w:color w:val="auto"/>
        </w:rPr>
      </w:pPr>
    </w:p>
    <w:p>
      <w:pPr>
        <w:ind w:left="1300" w:hanging="320"/>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$3,291, as compared to $3,711 in the prior year.</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was $82.7 million as compared to net income of $152.2 million in the prior year.</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was $(9.6) million as compared to $31.7 million in the prior year.</w:t>
      </w:r>
    </w:p>
    <w:p>
      <w:pPr>
        <w:spacing w:after="0" w:line="21" w:lineRule="exact"/>
        <w:rPr>
          <w:rFonts w:ascii="Arial" w:cs="Arial" w:eastAsia="Arial" w:hAnsi="Arial"/>
          <w:sz w:val="18"/>
          <w:szCs w:val="18"/>
          <w:b w:val="1"/>
          <w:bCs w:val="1"/>
          <w:color w:val="auto"/>
        </w:rPr>
      </w:pPr>
    </w:p>
    <w:p>
      <w:pPr>
        <w:ind w:right="900" w:firstLine="332"/>
        <w:spacing w:after="0" w:line="354" w:lineRule="auto"/>
        <w:tabs>
          <w:tab w:leader="none" w:pos="643"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Basic and diluted net loss per share were $1.36 based on 85.0 million weighted average shares of Class A Common Stock outstanding. Reconciliations of GAAP to non-GAAP financial measures have been provided in the tables included in this release.</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______________________________</w:t>
      </w:r>
    </w:p>
    <w:p>
      <w:pPr>
        <w:spacing w:after="0" w:line="24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Average monthly revenue per paying client is defined as the average monthly revenue for any particular period divided by the average monthly paying clients in the same respective period.</w:t>
      </w:r>
    </w:p>
    <w:p>
      <w:pPr>
        <w:spacing w:after="0" w:line="26" w:lineRule="exact"/>
        <w:rPr>
          <w:rFonts w:ascii="Arial" w:cs="Arial" w:eastAsia="Arial" w:hAnsi="Arial"/>
          <w:sz w:val="13"/>
          <w:szCs w:val="13"/>
          <w:color w:val="auto"/>
        </w:rPr>
      </w:pPr>
    </w:p>
    <w:p>
      <w:pPr>
        <w:jc w:val="both"/>
        <w:ind w:left="340" w:hanging="332"/>
        <w:spacing w:after="0" w:line="262"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Adjusted EBITDA, and Adjusted EBITDA before Provision for Doubtful Accounts as well as limitations of their use and a reconciliation of EBITDA, Adjusted EBITDA and Adjusted EBITDA before Provision for Doubtful Accounts to net (loss) income, see “Reconciliation of Net (Loss) Income to EBITDA, Adjusted EBITDA, and Adjusted EBITDA before Provision for Doubtful Accounts”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information available as of March 16, 2023, WM Technology is issuing guidance for the first quarter of 2023 as follows: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is estimated to be $47 million.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Non-GAAP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estimated to be approximately $4 million.</w:t>
      </w:r>
    </w:p>
    <w:p>
      <w:pPr>
        <w:spacing w:after="0" w:line="3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guidance provided above is only an estimate of what we believe is realizable as of the date of this release. We are not readily able to provide a reconciliation of projected Non-GAAP Adjusted EBITDA to projected net income without unreasonable effort. This guidance assumes that no business acquisitions, investments, restructurings, or legal settlements are concluded in the periods.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and Webcasts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host a conference call and webcast today, Thursday, March 16, 2023, at 2:00 p.m. Pacific Time (5:00 p.m. Eastern Time) at https://edge.media-server.com/mmc/p/nbphbmfy. A webcast replay will also be archived at ir.weedmaps.com.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1" w:lineRule="exact"/>
        <w:rPr>
          <w:sz w:val="20"/>
          <w:szCs w:val="20"/>
          <w:color w:val="auto"/>
        </w:rPr>
      </w:pPr>
    </w:p>
    <w:p>
      <w:pPr>
        <w:ind w:right="480" w:firstLine="8"/>
        <w:spacing w:after="0" w:line="266"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For further information about how we calculate EBITDA, Adjusted EBITDA, and Adjusted EBITDA before Provision for Doubtful Accounts as well as limitations of their use and a reconciliation of EBITDA, Adjusted EBITDA and Adjusted EBITDA before Provision for Doubtful Accounts to net (loss) income, see “Reconciliation of Net (Loss) Income to EBITDA, Adjusted EBITDA, and Adjusted EBITDA before Provision for Doubtful Accounts”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WM Technology</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retailers and brands in the United States state-legal and Canadian cannabis markets. The Company’s comprehensive business-to-consumer (“B2C”) and business-to-business (“B2B”) suite of products afford cannabis retailers and brands of all sizes integrated tools to compliantly run their businesses and to reach, convert, and retain consumers.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mission is to power a transparent and inclusive global cannabis economy. The Company’s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WM Technology, Inc. holds a strong belief in the importance of enabling safe, legal access to cannabis for consumers worldwide. The Company believes it offers the only comprehensive software platform that allows cannabis retailers to reach their target audience, quickly and cost effectively, addressing a wide range of needs. The Company is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WM Technology, Inc. supports remote work for all eligible employees. Visit us at www.weedmaps.com.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including the CEO transition; the possibility that we may be adversely affected by other economic, business or competitive factors; the possibility that the Company may be adversely affected by other economic, business or competitive and those factors discussed in the Company’s 2022 Annual Report on Form 10-K to be filed with Securities and Exchange Commission (the “SEC”)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9"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statements, including net income (loss), are prepared in accordance with principles generally accepted in the United States of America (“GAAP”).</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Adjusted EBITDA and Adjusted EBITDA before Provision for Doubtful Accounts, all of which are non-GAAP financial measures that we calculate as net income (loss) before interest, taxes and depreciation and amortization expense in the case of EBITDA and further adjusted to exclude stock-based compensation, change in fair value of warrant liability, change in tax receivable agreement liability, impairment charges, transaction related bonuses, transaction costs, legal settlements and other legal costs, reduction in force and executive departures and other non-cash, unusual and/or infrequent costs in the case of Adjusted EBITDA. Adjusted EBITDA is further adjusted to exclude provision for doubtful accounts for the case of Adjusted EBITDA before Provision for Doubtful Accounts. Below we have provided a reconciliation of net (loss) income (the most directly comparable GAAP financial measure) to EBITDA; from EBITDA to Adjusted EBITDA; and from Adjusted EBITDA to Adjusted EBITDA before Provision for Doubtful Accounts.</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present EBITDA, Adjusted EBITDA, and Adjusted EBITDA before Provision for Doubtful Accounts because these metrics are a key measure used by our management to evaluate our operating performance, generate future operating plans and make strategic decisions regarding the allocation of investment capacity. Accordingly, we believe that EBITDA, Adjusted EBITDA and Adjusted EBITDA before Provision for Doubtful Accounts provide useful information to investors and others in understanding and evaluating our operating results in the same manner as our management.</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Each of EBITDA, Adjusted EBITDA and Adjusted EBITDA before Provision for Doubtful Accounts has limitations as an analytical tool, and you should not consider any of these non-GAAP financial measures in isolation or as a substitute for analysis of our results as reported under GAAP. Some of these limitations are as follows:</w:t>
      </w:r>
    </w:p>
    <w:p>
      <w:pPr>
        <w:spacing w:after="0" w:line="76"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EBITDA, Adjusted EBITDA and Adjusted EBITDA before Provision for Doubtful Accounts do not reflect cash capital expenditure requirements for such replacements or for new capital expenditure requirements;</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changes in, or cash requirements for, our working capital needs;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tax payments that may represent a reduction in cash available to us.</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Because of these limitations, you should consider EBITDA, Adjusted EBITDA and Adjusted EBITDA before Provision for Doubtful Accounts alongside other financial performance measures, including net income (loss) and our other GAAP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158" w:lineRule="exact"/>
        <w:rPr>
          <w:sz w:val="20"/>
          <w:szCs w:val="20"/>
          <w:color w:val="auto"/>
        </w:rPr>
      </w:pPr>
    </w:p>
    <w:p>
      <w:pPr>
        <w:jc w:val="both"/>
        <w:ind w:left="660" w:hanging="328"/>
        <w:spacing w:after="0" w:line="244"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129"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3" w:right="33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54,983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98,934</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31,447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net</w:t>
            </w:r>
          </w:p>
        </w:tc>
        <w:tc>
          <w:tcPr>
            <w:tcW w:w="1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152,097</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199,035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128,567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31, 2022 and December 31, 2021</w:t>
            </w:r>
          </w:p>
        </w:tc>
        <w:tc>
          <w:tcPr>
            <w:tcW w:w="1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92,062,468</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60"/>
              <w:spacing w:after="0" w:line="189" w:lineRule="exact"/>
              <w:rPr>
                <w:sz w:val="20"/>
                <w:szCs w:val="20"/>
                <w:color w:val="auto"/>
              </w:rPr>
            </w:pPr>
            <w:r>
              <w:rPr>
                <w:rFonts w:ascii="Arial" w:cs="Arial" w:eastAsia="Arial" w:hAnsi="Arial"/>
                <w:sz w:val="18"/>
                <w:szCs w:val="18"/>
                <w:color w:val="auto"/>
                <w:w w:val="96"/>
              </w:rPr>
              <w:t>shares issued and outstanding at December 31, 2022 and 65,677,361 shares issued and</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outstanding at December 31, 2021</w:t>
            </w: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55,486,361 shares</w:t>
            </w: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issued and outstanding at December 31, 2022 and 65,502,347 shares issued and outstanding</w:t>
            </w: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2021</w:t>
            </w: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67,986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 retained earnings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(54,620)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101,397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114,777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199,035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Pr>
          <w:p>
            <w:pPr>
              <w:spacing w:after="0"/>
              <w:rPr>
                <w:sz w:val="17"/>
                <w:szCs w:val="17"/>
                <w:color w:val="auto"/>
              </w:rPr>
            </w:pPr>
          </w:p>
        </w:tc>
      </w:tr>
      <w:tr>
        <w:trPr>
          <w:trHeight w:val="243"/>
        </w:trPr>
        <w:tc>
          <w:tcPr>
            <w:tcW w:w="5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8"/>
                <w:szCs w:val="18"/>
                <w:b w:val="1"/>
                <w:bCs w:val="1"/>
                <w:color w:val="auto"/>
                <w:w w:val="97"/>
              </w:rPr>
              <w:t>Three Months Ended December 31,</w:t>
            </w: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1"/>
                <w:szCs w:val="2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193,146</w:t>
            </w:r>
          </w:p>
        </w:tc>
      </w:tr>
      <w:tr>
        <w:trPr>
          <w:trHeight w:val="257"/>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6"/>
        </w:trPr>
        <w:tc>
          <w:tcPr>
            <w:tcW w:w="5180" w:type="dxa"/>
            <w:vAlign w:val="bottom"/>
          </w:tcPr>
          <w:p>
            <w:pPr>
              <w:ind w:left="140"/>
              <w:spacing w:after="0" w:line="176" w:lineRule="exact"/>
              <w:rPr>
                <w:sz w:val="20"/>
                <w:szCs w:val="20"/>
                <w:color w:val="auto"/>
              </w:rPr>
            </w:pPr>
            <w:r>
              <w:rPr>
                <w:rFonts w:ascii="Arial" w:cs="Arial" w:eastAsia="Arial" w:hAnsi="Arial"/>
                <w:sz w:val="18"/>
                <w:szCs w:val="18"/>
                <w:color w:val="auto"/>
                <w:w w:val="93"/>
              </w:rPr>
              <w:t>Cost of revenues (exclusive of depreciation and amortization shown</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5180" w:type="dxa"/>
            <w:vAlign w:val="bottom"/>
          </w:tcPr>
          <w:p>
            <w:pPr>
              <w:ind w:left="140"/>
              <w:spacing w:after="0"/>
              <w:rPr>
                <w:sz w:val="20"/>
                <w:szCs w:val="20"/>
                <w:color w:val="auto"/>
              </w:rPr>
            </w:pPr>
            <w:r>
              <w:rPr>
                <w:rFonts w:ascii="Arial" w:cs="Arial" w:eastAsia="Arial" w:hAnsi="Arial"/>
                <w:sz w:val="18"/>
                <w:szCs w:val="18"/>
                <w:color w:val="auto"/>
              </w:rPr>
              <w:t>separately below)</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7,938</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56,119</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35,395</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97,447</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r>
      <w:tr>
        <w:trPr>
          <w:trHeight w:val="223"/>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201,324</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(8,178)</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166,518</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tax receivable agreement liability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r>
      <w:tr>
        <w:trPr>
          <w:trHeight w:val="223"/>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151,617</w:t>
            </w:r>
          </w:p>
        </w:tc>
      </w:tr>
      <w:tr>
        <w:trPr>
          <w:trHeight w:val="23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23"/>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152,218</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91,835</w:t>
            </w: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WM Technology,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Basic (loss)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57"/>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91,421,796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66,018,175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85,027,120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65,013,517</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91,421,796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66,279,845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85,027,120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66,813,417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-4173855</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-4173855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23"/>
        </w:trPr>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(82,651)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152,218</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4,425</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(166,518)</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Change in tax receivable agreement liability</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29,324</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5,487</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(13,609)</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r>
      <w:tr>
        <w:trPr>
          <w:trHeight w:val="236"/>
        </w:trPr>
        <w:tc>
          <w:tcPr>
            <w:tcW w:w="8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(7,935)</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acquisitions, net of cash acquired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r>
      <w:tr>
        <w:trPr>
          <w:trHeight w:val="229"/>
        </w:trPr>
        <w:tc>
          <w:tcPr>
            <w:tcW w:w="8280" w:type="dxa"/>
            <w:vAlign w:val="bottom"/>
          </w:tcPr>
          <w:p>
            <w:pPr>
              <w:ind w:left="240"/>
              <w:spacing w:after="0"/>
              <w:rPr>
                <w:sz w:val="20"/>
                <w:szCs w:val="20"/>
                <w:color w:val="auto"/>
              </w:rPr>
            </w:pPr>
            <w:r>
              <w:rPr>
                <w:rFonts w:ascii="Arial" w:cs="Arial" w:eastAsia="Arial" w:hAnsi="Arial"/>
                <w:sz w:val="18"/>
                <w:szCs w:val="18"/>
                <w:color w:val="auto"/>
              </w:rPr>
              <w:t>Cash paid for acquisition holdback release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other investments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(30,435)</w:t>
            </w:r>
          </w:p>
        </w:tc>
      </w:tr>
      <w:tr>
        <w:trPr>
          <w:trHeight w:val="237"/>
        </w:trPr>
        <w:tc>
          <w:tcPr>
            <w:tcW w:w="8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Repayment of insurance premium financing</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(7,098)</w:t>
            </w:r>
          </w:p>
        </w:tc>
      </w:tr>
      <w:tr>
        <w:trPr>
          <w:trHeight w:val="230"/>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Proceeds from business combination</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79,969</w:t>
            </w:r>
          </w:p>
        </w:tc>
      </w:tr>
      <w:tr>
        <w:trPr>
          <w:trHeight w:val="229"/>
        </w:trPr>
        <w:tc>
          <w:tcPr>
            <w:tcW w:w="8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note payable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8280" w:type="dxa"/>
            <w:vAlign w:val="bottom"/>
          </w:tcPr>
          <w:p>
            <w:pPr>
              <w:ind w:left="240"/>
              <w:spacing w:after="0"/>
              <w:rPr>
                <w:sz w:val="20"/>
                <w:szCs w:val="20"/>
                <w:color w:val="auto"/>
              </w:rPr>
            </w:pPr>
            <w:r>
              <w:rPr>
                <w:rFonts w:ascii="Arial" w:cs="Arial" w:eastAsia="Arial" w:hAnsi="Arial"/>
                <w:sz w:val="18"/>
                <w:szCs w:val="18"/>
                <w:color w:val="auto"/>
              </w:rPr>
              <w:t>Repurchase of Class B Units</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(5,565)</w:t>
            </w:r>
          </w:p>
        </w:tc>
      </w:tr>
      <w:tr>
        <w:trPr>
          <w:trHeight w:val="22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-4876800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(decrease) increase in cash</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year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end of year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980" w:type="dxa"/>
            <w:vAlign w:val="bottom"/>
          </w:tcPr>
          <w:p>
            <w:pPr>
              <w:jc w:val="center"/>
              <w:ind w:left="210"/>
              <w:spacing w:after="0"/>
              <w:rPr>
                <w:sz w:val="20"/>
                <w:szCs w:val="20"/>
                <w:color w:val="auto"/>
              </w:rPr>
            </w:pPr>
            <w:r>
              <w:rPr>
                <w:rFonts w:ascii="Arial" w:cs="Arial" w:eastAsia="Arial" w:hAnsi="Arial"/>
                <w:sz w:val="18"/>
                <w:szCs w:val="18"/>
                <w:color w:val="auto"/>
                <w:w w:val="89"/>
              </w:rPr>
              <w:t>(39,194)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47,858</w:t>
            </w:r>
          </w:p>
        </w:tc>
      </w:tr>
      <w:tr>
        <w:trPr>
          <w:trHeight w:val="230"/>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67,777</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0"/>
              </w:rPr>
              <w:t>28,583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-479425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NET (LOSS) INCOME TO EBITDA, ADJUSTED EBITDA, AND ADJUSTED EBITDA BEFORE PROVISION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DOUBTFUL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Years Ended</w:t>
            </w:r>
          </w:p>
        </w:tc>
        <w:tc>
          <w:tcPr>
            <w:tcW w:w="1060" w:type="dxa"/>
            <w:vAlign w:val="bottom"/>
          </w:tcPr>
          <w:p>
            <w:pPr>
              <w:spacing w:after="0"/>
              <w:rPr>
                <w:sz w:val="20"/>
                <w:szCs w:val="20"/>
                <w:color w:val="auto"/>
              </w:rPr>
            </w:pPr>
          </w:p>
        </w:tc>
      </w:tr>
      <w:tr>
        <w:trPr>
          <w:trHeight w:val="239"/>
        </w:trPr>
        <w:tc>
          <w:tcPr>
            <w:tcW w:w="4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r>
      <w:tr>
        <w:trPr>
          <w:trHeight w:val="227"/>
        </w:trPr>
        <w:tc>
          <w:tcPr>
            <w:tcW w:w="45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152,218</w:t>
            </w: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184,776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179,077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expenses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126,556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107,924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156,042</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(25,370)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(166,518)</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 transaction costs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related bonus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29"/>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Legal settlement and other legal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Change in Tax Receivable Agreement liability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(142,352)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(142,352)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Reduction in force and executive departures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(9,633)</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31,698</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Adjusted EBITDA before Provision for Doubtful Accounts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-2579370</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-2579370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hanging="332"/>
        <w:spacing w:after="0" w:line="261" w:lineRule="auto"/>
        <w:tabs>
          <w:tab w:leader="none" w:pos="382" w:val="left"/>
        </w:tabs>
        <w:numPr>
          <w:ilvl w:val="0"/>
          <w:numId w:val="9"/>
        </w:numPr>
        <w:rPr>
          <w:rFonts w:ascii="Arial" w:cs="Arial" w:eastAsia="Arial" w:hAnsi="Arial"/>
          <w:sz w:val="14"/>
          <w:szCs w:val="14"/>
          <w:color w:val="auto"/>
        </w:rPr>
      </w:pPr>
      <w:r>
        <w:rPr>
          <w:rFonts w:ascii="Arial" w:cs="Arial" w:eastAsia="Arial" w:hAnsi="Arial"/>
          <w:sz w:val="18"/>
          <w:szCs w:val="18"/>
          <w:color w:val="auto"/>
        </w:rPr>
        <w:t>Stock-based compensation expense is recorded in the following expense categories on the accompanying consolidated statements of income for the three months and year ended December 31, 2022:</w:t>
      </w:r>
    </w:p>
    <w:p>
      <w:pPr>
        <w:spacing w:after="0" w:line="8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3100" w:type="dxa"/>
            <w:vAlign w:val="bottom"/>
            <w:gridSpan w:val="6"/>
            <w:vMerge w:val="restart"/>
          </w:tcPr>
          <w:p>
            <w:pPr>
              <w:ind w:left="140"/>
              <w:spacing w:after="0"/>
              <w:rPr>
                <w:sz w:val="20"/>
                <w:szCs w:val="20"/>
                <w:color w:val="auto"/>
              </w:rPr>
            </w:pPr>
            <w:r>
              <w:rPr>
                <w:rFonts w:ascii="Arial" w:cs="Arial" w:eastAsia="Arial" w:hAnsi="Arial"/>
                <w:sz w:val="18"/>
                <w:szCs w:val="18"/>
                <w:b w:val="1"/>
                <w:bCs w:val="1"/>
                <w:color w:val="auto"/>
                <w:w w:val="97"/>
              </w:rPr>
              <w:t>Three Months Ended December 31,</w:t>
            </w:r>
          </w:p>
        </w:tc>
        <w:tc>
          <w:tcPr>
            <w:tcW w:w="340" w:type="dxa"/>
            <w:vAlign w:val="bottom"/>
          </w:tcPr>
          <w:p>
            <w:pPr>
              <w:spacing w:after="0"/>
              <w:rPr>
                <w:sz w:val="18"/>
                <w:szCs w:val="18"/>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3100" w:type="dxa"/>
            <w:vAlign w:val="bottom"/>
            <w:gridSpan w:val="6"/>
            <w:vMerge w:val="continue"/>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Product development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23"/>
        </w:trPr>
        <w:tc>
          <w:tcPr>
            <w:tcW w:w="462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6,243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5,699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23,493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Total stock-based compensation cost</w:t>
            </w: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62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-1499870</wp:posOffset>
            </wp:positionV>
            <wp:extent cx="603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-1499870</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KEY OPERATING AND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240" w:type="dxa"/>
            <w:vAlign w:val="bottom"/>
          </w:tcPr>
          <w:p>
            <w:pPr>
              <w:spacing w:after="0"/>
              <w:rPr>
                <w:sz w:val="18"/>
                <w:szCs w:val="18"/>
                <w:color w:val="auto"/>
              </w:rPr>
            </w:pPr>
          </w:p>
        </w:tc>
        <w:tc>
          <w:tcPr>
            <w:tcW w:w="2160" w:type="dxa"/>
            <w:vAlign w:val="bottom"/>
            <w:gridSpan w:val="3"/>
          </w:tcPr>
          <w:p>
            <w:pPr>
              <w:ind w:left="440"/>
              <w:spacing w:after="0"/>
              <w:rPr>
                <w:sz w:val="20"/>
                <w:szCs w:val="20"/>
                <w:color w:val="auto"/>
              </w:rPr>
            </w:pPr>
            <w:r>
              <w:rPr>
                <w:rFonts w:ascii="Arial" w:cs="Arial" w:eastAsia="Arial" w:hAnsi="Arial"/>
                <w:sz w:val="18"/>
                <w:szCs w:val="18"/>
                <w:b w:val="1"/>
                <w:bCs w:val="1"/>
                <w:color w:val="auto"/>
              </w:rPr>
              <w:t>Years Ended</w:t>
            </w:r>
          </w:p>
        </w:tc>
      </w:t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16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33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2,888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3,291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r>
      <w:tr>
        <w:trPr>
          <w:trHeight w:val="310"/>
        </w:trPr>
        <w:tc>
          <w:tcPr>
            <w:tcW w:w="6360" w:type="dxa"/>
            <w:vAlign w:val="bottom"/>
          </w:tcPr>
          <w:p>
            <w:pPr>
              <w:ind w:left="20"/>
              <w:spacing w:after="0"/>
              <w:rPr>
                <w:sz w:val="20"/>
                <w:szCs w:val="20"/>
                <w:color w:val="auto"/>
              </w:rPr>
            </w:pPr>
            <w:r>
              <w:rPr>
                <w:rFonts w:ascii="Arial" w:cs="Arial" w:eastAsia="Arial" w:hAnsi="Arial"/>
                <w:sz w:val="18"/>
                <w:szCs w:val="18"/>
                <w:color w:val="auto"/>
              </w:rPr>
              <w:t>Average monthly paying clients</w:t>
            </w:r>
          </w:p>
        </w:tc>
        <w:tc>
          <w:tcPr>
            <w:tcW w:w="220" w:type="dxa"/>
            <w:vAlign w:val="bottom"/>
          </w:tcPr>
          <w:p>
            <w:pPr>
              <w:spacing w:after="0"/>
              <w:rPr>
                <w:sz w:val="24"/>
                <w:szCs w:val="24"/>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5,689</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5,457</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2023-03-16T16:46:40Z</dcterms:created>
  <dcterms:modified xsi:type="dcterms:W3CDTF">2023-03-16T16:46:40Z</dcterms:modified>
</cp:coreProperties>
</file>