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26"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September 3, 2024</w:t>
      </w:r>
    </w:p>
    <w:p>
      <w:pPr>
        <w:spacing w:after="0" w:line="5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333-257774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94615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5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47625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POST-EFFECTIVE AMENDMENT NO. 5</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FORM S-1</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REGISTRATION STATEMENT</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UNDER</w:t>
      </w:r>
    </w:p>
    <w:p>
      <w:pPr>
        <w:jc w:val="center"/>
        <w:spacing w:after="0"/>
        <w:rPr>
          <w:sz w:val="20"/>
          <w:szCs w:val="20"/>
          <w:color w:val="auto"/>
        </w:rPr>
      </w:pPr>
      <w:r>
        <w:rPr>
          <w:rFonts w:ascii="Times New Roman" w:cs="Times New Roman" w:eastAsia="Times New Roman" w:hAnsi="Times New Roman"/>
          <w:sz w:val="20"/>
          <w:szCs w:val="20"/>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43180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3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WM Technology, Inc.</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43180</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7372</w:t>
            </w:r>
          </w:p>
        </w:tc>
        <w:tc>
          <w:tcPr>
            <w:tcW w:w="200" w:type="dxa"/>
            <w:vAlign w:val="bottom"/>
          </w:tcPr>
          <w:p>
            <w:pPr>
              <w:spacing w:after="0"/>
              <w:rPr>
                <w:sz w:val="16"/>
                <w:szCs w:val="16"/>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98-1605615</w:t>
            </w:r>
          </w:p>
        </w:tc>
      </w:tr>
      <w:tr>
        <w:trPr>
          <w:trHeight w:val="37"/>
        </w:trPr>
        <w:tc>
          <w:tcPr>
            <w:tcW w:w="31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r>
      <w:tr>
        <w:trPr>
          <w:trHeight w:val="236"/>
        </w:trPr>
        <w:tc>
          <w:tcPr>
            <w:tcW w:w="3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(Primary Standard Industrial</w:t>
            </w: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Classification Code No.)</w:t>
            </w: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bl>
    <w:p>
      <w:pPr>
        <w:spacing w:after="0" w:line="17" w:lineRule="exact"/>
        <w:rPr>
          <w:sz w:val="24"/>
          <w:szCs w:val="24"/>
          <w:color w:val="auto"/>
        </w:rPr>
      </w:pPr>
    </w:p>
    <w:p>
      <w:pPr>
        <w:ind w:left="4600" w:hanging="199"/>
        <w:spacing w:after="0"/>
        <w:tabs>
          <w:tab w:leader="none" w:pos="4600"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Discovery</w:t>
      </w:r>
    </w:p>
    <w:p>
      <w:pPr>
        <w:spacing w:after="0" w:line="28" w:lineRule="exact"/>
        <w:rPr>
          <w:rFonts w:ascii="Times New Roman" w:cs="Times New Roman" w:eastAsia="Times New Roman" w:hAnsi="Times New Roman"/>
          <w:sz w:val="16"/>
          <w:szCs w:val="16"/>
          <w:b w:val="1"/>
          <w:bCs w:val="1"/>
          <w:color w:val="auto"/>
        </w:rPr>
      </w:pPr>
    </w:p>
    <w:p>
      <w:pPr>
        <w:ind w:left="402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Irvine, California 92618</w:t>
      </w:r>
    </w:p>
    <w:p>
      <w:pPr>
        <w:spacing w:after="0" w:line="18" w:lineRule="exact"/>
        <w:rPr>
          <w:rFonts w:ascii="Times New Roman" w:cs="Times New Roman" w:eastAsia="Times New Roman" w:hAnsi="Times New Roman"/>
          <w:sz w:val="16"/>
          <w:szCs w:val="16"/>
          <w:b w:val="1"/>
          <w:bCs w:val="1"/>
          <w:color w:val="auto"/>
        </w:rPr>
      </w:pPr>
    </w:p>
    <w:p>
      <w:pPr>
        <w:ind w:left="418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Tel: (844) 933-3627</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i w:val="1"/>
          <w:iCs w:val="1"/>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4600" w:hanging="199"/>
        <w:spacing w:after="0"/>
        <w:tabs>
          <w:tab w:leader="none" w:pos="460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Discovery</w:t>
      </w:r>
    </w:p>
    <w:p>
      <w:pPr>
        <w:spacing w:after="0" w:line="28" w:lineRule="exact"/>
        <w:rPr>
          <w:rFonts w:ascii="Times New Roman" w:cs="Times New Roman" w:eastAsia="Times New Roman" w:hAnsi="Times New Roman"/>
          <w:sz w:val="16"/>
          <w:szCs w:val="16"/>
          <w:b w:val="1"/>
          <w:bCs w:val="1"/>
          <w:color w:val="auto"/>
        </w:rPr>
      </w:pPr>
    </w:p>
    <w:p>
      <w:pPr>
        <w:ind w:left="4200" w:right="4040" w:hanging="192"/>
        <w:spacing w:after="0" w:line="2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Irvine, California 92618 Tel: (844) 933-3627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23495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57150</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Copies to:</w:t>
      </w:r>
    </w:p>
    <w:p>
      <w:pPr>
        <w:spacing w:after="0" w:line="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Dave Peinsipp</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Kristin VanderPas</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Peter Byrne</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Cooley LLP</w:t>
      </w:r>
    </w:p>
    <w:p>
      <w:pPr>
        <w:jc w:val="center"/>
        <w:ind w:right="40"/>
        <w:spacing w:after="0" w:line="218" w:lineRule="auto"/>
        <w:rPr>
          <w:sz w:val="20"/>
          <w:szCs w:val="20"/>
          <w:color w:val="auto"/>
        </w:rPr>
      </w:pPr>
      <w:r>
        <w:rPr>
          <w:rFonts w:ascii="Times New Roman" w:cs="Times New Roman" w:eastAsia="Times New Roman" w:hAnsi="Times New Roman"/>
          <w:sz w:val="16"/>
          <w:szCs w:val="16"/>
          <w:b w:val="1"/>
          <w:bCs w:val="1"/>
          <w:color w:val="auto"/>
        </w:rPr>
        <w:t>3 Embarcadero Center, 20</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6"/>
          <w:szCs w:val="16"/>
          <w:b w:val="1"/>
          <w:bCs w:val="1"/>
          <w:color w:val="auto"/>
        </w:rPr>
        <w:t xml:space="preserve"> Floor</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San Francisco, California 94111</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 (415) 693-2000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58420</wp:posOffset>
            </wp:positionV>
            <wp:extent cx="1097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7" w:lineRule="exact"/>
        <w:rPr>
          <w:sz w:val="24"/>
          <w:szCs w:val="24"/>
          <w:color w:val="auto"/>
        </w:rPr>
      </w:pPr>
    </w:p>
    <w:p>
      <w:pPr>
        <w:jc w:val="both"/>
        <w:ind w:firstLine="360"/>
        <w:spacing w:after="0" w:line="291" w:lineRule="auto"/>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 From time to time after the effective date of this registration statement.</w:t>
      </w:r>
    </w:p>
    <w:p>
      <w:pPr>
        <w:spacing w:after="0" w:line="1"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jc w:val="both"/>
        <w:ind w:firstLine="360"/>
        <w:spacing w:after="0" w:line="264" w:lineRule="auto"/>
        <w:rPr>
          <w:sz w:val="20"/>
          <w:szCs w:val="20"/>
          <w:color w:val="auto"/>
        </w:rPr>
      </w:pPr>
      <w:r>
        <w:rPr>
          <w:rFonts w:ascii="Times New Roman" w:cs="Times New Roman" w:eastAsia="Times New Roman" w:hAnsi="Times New Roman"/>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jc w:val="both"/>
        <w:ind w:firstLine="36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8"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7" w:lineRule="exact"/>
        <w:rPr>
          <w:sz w:val="24"/>
          <w:szCs w:val="24"/>
          <w:color w:val="auto"/>
        </w:rPr>
      </w:pPr>
    </w:p>
    <w:p>
      <w:pPr>
        <w:jc w:val="both"/>
        <w:ind w:firstLine="36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820" w:type="dxa"/>
            <w:vAlign w:val="bottom"/>
          </w:tcPr>
          <w:p>
            <w:pPr>
              <w:ind w:left="1560"/>
              <w:spacing w:after="0" w:line="161" w:lineRule="exact"/>
              <w:rPr>
                <w:sz w:val="20"/>
                <w:szCs w:val="20"/>
                <w:color w:val="auto"/>
              </w:rPr>
            </w:pPr>
            <w:r>
              <w:rPr>
                <w:rFonts w:ascii="MS PGothic" w:cs="MS PGothic" w:eastAsia="MS PGothic" w:hAnsi="MS PGothic"/>
                <w:sz w:val="16"/>
                <w:szCs w:val="16"/>
                <w:color w:val="auto"/>
              </w:rPr>
              <w:t>☐</w:t>
            </w:r>
          </w:p>
        </w:tc>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Accelerated filer</w:t>
            </w:r>
          </w:p>
        </w:tc>
        <w:tc>
          <w:tcPr>
            <w:tcW w:w="1560" w:type="dxa"/>
            <w:vAlign w:val="bottom"/>
          </w:tcPr>
          <w:p>
            <w:pPr>
              <w:ind w:left="14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6"/>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820" w:type="dxa"/>
            <w:vAlign w:val="bottom"/>
          </w:tcPr>
          <w:p>
            <w:pPr>
              <w:ind w:left="1560"/>
              <w:spacing w:after="0" w:line="161" w:lineRule="exact"/>
              <w:rPr>
                <w:sz w:val="20"/>
                <w:szCs w:val="20"/>
                <w:color w:val="auto"/>
              </w:rPr>
            </w:pPr>
            <w:r>
              <w:rPr>
                <w:rFonts w:ascii="MS PGothic" w:cs="MS PGothic" w:eastAsia="MS PGothic" w:hAnsi="MS PGothic"/>
                <w:sz w:val="16"/>
                <w:szCs w:val="16"/>
                <w:color w:val="auto"/>
              </w:rPr>
              <w:t>☐</w:t>
            </w:r>
          </w:p>
        </w:tc>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560" w:type="dxa"/>
            <w:vAlign w:val="bottom"/>
          </w:tcPr>
          <w:p>
            <w:pPr>
              <w:ind w:left="14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30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560" w:type="dxa"/>
            <w:vAlign w:val="bottom"/>
          </w:tcPr>
          <w:p>
            <w:pPr>
              <w:ind w:left="14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1"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jc w:val="both"/>
        <w:ind w:firstLine="360"/>
        <w:spacing w:after="0" w:line="272" w:lineRule="auto"/>
        <w:rPr>
          <w:sz w:val="20"/>
          <w:szCs w:val="20"/>
          <w:color w:val="auto"/>
        </w:rPr>
      </w:pPr>
      <w:r>
        <w:rPr>
          <w:rFonts w:ascii="Times New Roman" w:cs="Times New Roman" w:eastAsia="Times New Roman" w:hAnsi="Times New Roman"/>
          <w:sz w:val="16"/>
          <w:szCs w:val="16"/>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323215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134620</wp:posOffset>
            </wp:positionV>
            <wp:extent cx="6172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194945</wp:posOffset>
            </wp:positionV>
            <wp:extent cx="61722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223" w:right="1099" w:bottom="349"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WM Technology, Inc., a Delaware corporation (the “Company”), filed a Registration Statement on Form S-1 on July 8, 2021, which was declared effective on July 20, 2021, as amended by (i) Post-Effective Amendment No. 1 to Form S-1, which was filed on March 7, 2022, as further amended by (ii) Post-Effective Amendment No. 2 to Form S-1, which was filed on March 11, 2022, and subsequently declared effective by the Securities and Exchange Commission (the “SEC”) on March 15, 2022 (as amended and supplemented, the “Form S-1 Registration Statement”). On October 5, 2022, the Company filed Post-Effective Amendment No. 3 to the Form S-1 Registration Statement on Form S-3 to convert the Form S-1 Registration Statement into a registration statement on Form S-3, which was subsequently declared effective by the SEC on October 19, 2022 (the “Form S-3 Registration Statement”).</w:t>
      </w:r>
    </w:p>
    <w:p>
      <w:pPr>
        <w:spacing w:after="0" w:line="80"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Post-Effective Amendment No. 4 to the Form S-3 Registration Statement on Form S-1 was filed by the Company on July 29, 2024 to convert the Form S-3 Registration Statement into a registration statement on Form S-1 (“Post-Effective Amendment No. 4”). This Post-Effective Amendment No. 5 (“Post-Effective Amendment No. 5”) is being filed to include our unaudited condensed consolidated financial statements as of and for the three and six months ended June 30, 2024.</w:t>
      </w:r>
    </w:p>
    <w:p>
      <w:pPr>
        <w:spacing w:after="0" w:line="7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filing amends the Form S-3 Registration Statement and the prospectus contained therein. No additional securities are being registered under this Post-Effective Amendment No. 5. All applicable registration fees were paid at the time of the original filing of the Form S-1 Registration Statement.</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On May 24, 2024, the Company filed its Annual Report on Form 10-K for the fiscal year ended December 31, 2023, as amended on August 30, 2024 (the “Annual Report on Form 10-K”) and its Quarterly Report on Form 10-Q for the quarter ended March 31, 2024 (the “Q1 Quarterly Report on Form 10-Q”), and on August 8, 2024, the Company filed its Quarterly Report on Form 10-Q for the quarter ended June 30, 2024 (the “Q2 Quarterly Report on Form 10-Q” and together with the Q1 Quarterly Report on Form 10-Q, the “Quarterly Reports on Form 10-Q”). Interested parties should refer to such Annual Report on Form 10-K and the Quarterly Reports on Form 10-Q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114300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400" w:right="439"/>
        <w:spacing w:after="0" w:line="246"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Neither we nor the selling securityholders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272" w:lineRule="exact"/>
        <w:rPr>
          <w:sz w:val="20"/>
          <w:szCs w:val="20"/>
          <w:color w:val="auto"/>
        </w:rPr>
      </w:pPr>
    </w:p>
    <w:p>
      <w:pPr>
        <w:ind w:left="400"/>
        <w:spacing w:after="0"/>
        <w:tabs>
          <w:tab w:leader="none" w:pos="3560" w:val="left"/>
        </w:tabs>
        <w:rPr>
          <w:sz w:val="20"/>
          <w:szCs w:val="20"/>
          <w:color w:val="auto"/>
        </w:rPr>
      </w:pPr>
      <w:r>
        <w:rPr>
          <w:rFonts w:ascii="Times New Roman" w:cs="Times New Roman" w:eastAsia="Times New Roman" w:hAnsi="Times New Roman"/>
          <w:sz w:val="18"/>
          <w:szCs w:val="18"/>
          <w:b w:val="1"/>
          <w:bCs w:val="1"/>
          <w:color w:val="FC0014"/>
        </w:rPr>
        <w:t>PRELIMINARY PROSPECTUS</w:t>
      </w:r>
      <w:r>
        <w:rPr>
          <w:sz w:val="20"/>
          <w:szCs w:val="20"/>
          <w:color w:val="auto"/>
        </w:rPr>
        <w:tab/>
      </w:r>
      <w:r>
        <w:rPr>
          <w:rFonts w:ascii="Times New Roman" w:cs="Times New Roman" w:eastAsia="Times New Roman" w:hAnsi="Times New Roman"/>
          <w:sz w:val="17"/>
          <w:szCs w:val="17"/>
          <w:b w:val="1"/>
          <w:bCs w:val="1"/>
          <w:color w:val="FC0014"/>
        </w:rPr>
        <w:t>SUBJECT TO COMPLETION — DATED SEPTEMBER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242570</wp:posOffset>
            </wp:positionV>
            <wp:extent cx="3429000" cy="1020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0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Up to 110,898,382 Shares of Class A Common Stock</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and</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Up to 105,014,011 Shares of Class A Common Stock</w:t>
      </w:r>
    </w:p>
    <w:p>
      <w:pPr>
        <w:jc w:val="center"/>
        <w:ind w:right="59"/>
        <w:spacing w:after="0" w:line="231" w:lineRule="auto"/>
        <w:rPr>
          <w:sz w:val="20"/>
          <w:szCs w:val="20"/>
          <w:color w:val="auto"/>
        </w:rPr>
      </w:pPr>
      <w:r>
        <w:rPr>
          <w:rFonts w:ascii="Times New Roman" w:cs="Times New Roman" w:eastAsia="Times New Roman" w:hAnsi="Times New Roman"/>
          <w:sz w:val="22"/>
          <w:szCs w:val="22"/>
          <w:b w:val="1"/>
          <w:bCs w:val="1"/>
          <w:color w:val="auto"/>
        </w:rPr>
        <w:t>Up to 7,000,000 Warrants</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Offered by the Selling Securityholders</w:t>
      </w:r>
    </w:p>
    <w:p>
      <w:pPr>
        <w:spacing w:after="0" w:line="191" w:lineRule="exact"/>
        <w:rPr>
          <w:sz w:val="20"/>
          <w:szCs w:val="20"/>
          <w:color w:val="auto"/>
        </w:rPr>
      </w:pPr>
    </w:p>
    <w:p>
      <w:pPr>
        <w:jc w:val="both"/>
        <w:ind w:left="400" w:right="419"/>
        <w:spacing w:after="0" w:line="253" w:lineRule="auto"/>
        <w:rPr>
          <w:sz w:val="20"/>
          <w:szCs w:val="20"/>
          <w:color w:val="auto"/>
        </w:rPr>
      </w:pPr>
      <w:r>
        <w:rPr>
          <w:rFonts w:ascii="Times New Roman" w:cs="Times New Roman" w:eastAsia="Times New Roman" w:hAnsi="Times New Roman"/>
          <w:sz w:val="18"/>
          <w:szCs w:val="18"/>
          <w:color w:val="auto"/>
        </w:rPr>
        <w:t>This prospectus relates to the issuance by us of an aggregate of up to 110,898,382 shares of our Class A Common Stock, $0.0001 par value per share (“Class A Common Stock”), consisting of (i) 7,000,000 shares of Class A Common Stock issuable upon exercise of warrants originally issued in a private placement (the “Private Placement Warrants”) in connection with the initial public offering of Silver Spike Acquisition Corp. (“Silver Spike”) by the holders thereof, (ii) 12,499,993 shares of Class A Common Stock issuable upon exercise of the public warrants originally issued in the initial public offering of Silver Spike (the “Public Warrants” and together with the Private Placement Warrants, the “Warrants”) by the holders thereof, (iii) 65,502,347 shares of Class A Common Stock issuable upon exchange of Class A units representing limited liability company interests of WM Holding Company, LLC (“WMH LLC” and such units, the “Class A Units”) combined with an equivalent number of shares of Class V Common Stock, par value $0.0001 per share (together with the Class A Units, the “Paired Interests”) and (iv) 25,896,042 shares of Class A Common Stock issuable upon exchange of Class P units representing limited liability company interests WMH LLC (“Class P Units” and together with the Class A Units, the “Units”). We will receive the proceeds from any exercise of any Warrants for cash.</w:t>
      </w:r>
    </w:p>
    <w:p>
      <w:pPr>
        <w:spacing w:after="0" w:line="79" w:lineRule="exact"/>
        <w:rPr>
          <w:sz w:val="20"/>
          <w:szCs w:val="20"/>
          <w:color w:val="auto"/>
        </w:rPr>
      </w:pPr>
    </w:p>
    <w:p>
      <w:pPr>
        <w:jc w:val="both"/>
        <w:ind w:left="400" w:right="419"/>
        <w:spacing w:after="0" w:line="255" w:lineRule="auto"/>
        <w:rPr>
          <w:sz w:val="20"/>
          <w:szCs w:val="20"/>
          <w:color w:val="auto"/>
        </w:rPr>
      </w:pPr>
      <w:r>
        <w:rPr>
          <w:rFonts w:ascii="Times New Roman" w:cs="Times New Roman" w:eastAsia="Times New Roman" w:hAnsi="Times New Roman"/>
          <w:sz w:val="18"/>
          <w:szCs w:val="18"/>
          <w:color w:val="auto"/>
        </w:rPr>
        <w:t>This prospectus also relates to the offer and sale from time to time by the selling securityholders named in this prospectus (the “Selling Securityholders”) of up to (a) 105,014,011 shares of Class A Common Stock, consisting of (i) 38,750,000 issued and outstanding shares of Class A Common Stock, (ii) 59,264,011 shares of Class A Common Stock issuable upon exchange of such Selling Securityholder’s Paired Interests or Class P Units, and</w:t>
      </w:r>
    </w:p>
    <w:p>
      <w:pPr>
        <w:spacing w:after="0" w:line="3" w:lineRule="exact"/>
        <w:rPr>
          <w:sz w:val="20"/>
          <w:szCs w:val="20"/>
          <w:color w:val="auto"/>
        </w:rPr>
      </w:pPr>
    </w:p>
    <w:p>
      <w:pPr>
        <w:ind w:left="740" w:hanging="340"/>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shares of Class A Common Stock issuable upon exercise of the Private Placement Warrants and</w:t>
      </w:r>
    </w:p>
    <w:p>
      <w:pPr>
        <w:spacing w:after="0" w:line="9" w:lineRule="exact"/>
        <w:rPr>
          <w:rFonts w:ascii="Times New Roman" w:cs="Times New Roman" w:eastAsia="Times New Roman" w:hAnsi="Times New Roman"/>
          <w:sz w:val="18"/>
          <w:szCs w:val="18"/>
          <w:color w:val="auto"/>
        </w:rPr>
      </w:pPr>
    </w:p>
    <w:p>
      <w:pPr>
        <w:jc w:val="both"/>
        <w:ind w:left="400" w:right="419"/>
        <w:spacing w:after="0" w:line="253" w:lineRule="auto"/>
        <w:tabs>
          <w:tab w:leader="none" w:pos="6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Private Placement Warrants. We will not receive any proceeds from the sale of shares of Class A Common Stock or Warrants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79" w:lineRule="exact"/>
        <w:rPr>
          <w:sz w:val="20"/>
          <w:szCs w:val="20"/>
          <w:color w:val="auto"/>
        </w:rPr>
      </w:pPr>
    </w:p>
    <w:p>
      <w:pPr>
        <w:jc w:val="both"/>
        <w:ind w:left="400" w:right="419"/>
        <w:spacing w:after="0" w:line="255"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the Selling Securityholders will offer or sell any of the shares of Class A Common Stock or Warrants. The Selling Securityholders may offer, sell or distribute all or a portion of their shares of Class A Common Stock or Warrants publicly or through private transactions at prevailing market prices or at negotiated prices. We will not receive any proceeds from the sale of shares of Class A Common Stock or Warrants by the Selling Securityholders pursuant to this prospectus. We provide more information about how the Selling Securityholders may sell the shares or Warrants in the section entitled “Plan of Distribution.”</w:t>
      </w:r>
    </w:p>
    <w:p>
      <w:pPr>
        <w:spacing w:after="0" w:line="81" w:lineRule="exact"/>
        <w:rPr>
          <w:sz w:val="20"/>
          <w:szCs w:val="20"/>
          <w:color w:val="auto"/>
        </w:rPr>
      </w:pPr>
    </w:p>
    <w:p>
      <w:pPr>
        <w:jc w:val="both"/>
        <w:ind w:left="400" w:right="419"/>
        <w:spacing w:after="0" w:line="266"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The Nasdaq Global Select Market (“Nasdaq”) under the symbols “MAPS” and “MAPSW,” respectively. On August 29, 2024, the closing price of our Class A Common Stock was $0.9889 and the closing price for our Public Warrants was $0.037.</w:t>
      </w:r>
    </w:p>
    <w:p>
      <w:pPr>
        <w:spacing w:after="0" w:line="68" w:lineRule="exact"/>
        <w:rPr>
          <w:sz w:val="20"/>
          <w:szCs w:val="20"/>
          <w:color w:val="auto"/>
        </w:rPr>
      </w:pPr>
    </w:p>
    <w:p>
      <w:pPr>
        <w:jc w:val="both"/>
        <w:ind w:left="400" w:right="419"/>
        <w:spacing w:after="0" w:line="282" w:lineRule="auto"/>
        <w:rPr>
          <w:sz w:val="20"/>
          <w:szCs w:val="20"/>
          <w:color w:val="auto"/>
        </w:rPr>
      </w:pPr>
      <w:r>
        <w:rPr>
          <w:rFonts w:ascii="Times New Roman" w:cs="Times New Roman" w:eastAsia="Times New Roman" w:hAnsi="Times New Roman"/>
          <w:sz w:val="18"/>
          <w:szCs w:val="18"/>
          <w:color w:val="auto"/>
        </w:rPr>
        <w:t xml:space="preserve">See the section entitled “Risk Factors” beginning on page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 xml:space="preserve"> of this prospectus to read about certain risks and uncertainties you should consider before investing in our securities.</w:t>
      </w:r>
    </w:p>
    <w:p>
      <w:pPr>
        <w:spacing w:after="0" w:line="54" w:lineRule="exact"/>
        <w:rPr>
          <w:sz w:val="20"/>
          <w:szCs w:val="20"/>
          <w:color w:val="auto"/>
        </w:rPr>
      </w:pPr>
    </w:p>
    <w:p>
      <w:pPr>
        <w:jc w:val="both"/>
        <w:ind w:left="400" w:right="419"/>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0"/>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ii</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w w:val="92"/>
              </w:rPr>
              <w:t>iii</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THE OFFERING</w:t>
            </w: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44</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MARKET INFORMATION FOR COMMON STOCK AND DIVIDEND POLICY</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45</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7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9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28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color w:val="0000EE"/>
              </w:rPr>
              <w:t>46</w:t>
            </w:r>
          </w:p>
        </w:tc>
        <w:tc>
          <w:tcPr>
            <w:tcW w:w="20" w:type="dxa"/>
            <w:vAlign w:val="bottom"/>
          </w:tcPr>
          <w:p>
            <w:pPr>
              <w:spacing w:after="0"/>
              <w:rPr>
                <w:sz w:val="17"/>
                <w:szCs w:val="17"/>
                <w:color w:val="auto"/>
              </w:rPr>
            </w:pPr>
          </w:p>
        </w:tc>
      </w:tr>
      <w:tr>
        <w:trPr>
          <w:trHeight w:val="75"/>
        </w:trPr>
        <w:tc>
          <w:tcPr>
            <w:tcW w:w="18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BUSINESS</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70</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MANAGEMENT</w:t>
            </w: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83</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92</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106</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2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1"/>
              </w:rPr>
              <w:t>111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SELLING SECURITYHOLDERS</w:t>
            </w: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w w:val="96"/>
              </w:rPr>
              <w:t>113</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SECURITIES</w:t>
            </w:r>
          </w:p>
        </w:tc>
        <w:tc>
          <w:tcPr>
            <w:tcW w:w="30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6"/>
              </w:rPr>
              <w:t>120</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MATERIAL UNITED STATES FEDERAL INCOME TAX CONSEQUENCES</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128</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6"/>
              </w:rPr>
              <w:t>133</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135</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30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6"/>
              </w:rPr>
              <w:t>135</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135</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INDEX TO FINANCIAL STATEMENTS</w:t>
            </w:r>
          </w:p>
        </w:tc>
        <w:tc>
          <w:tcPr>
            <w:tcW w:w="20" w:type="dxa"/>
            <w:vAlign w:val="bottom"/>
            <w:shd w:val="clear" w:color="auto" w:fill="CCEEFF"/>
          </w:tcPr>
          <w:p>
            <w:pPr>
              <w:spacing w:after="0"/>
              <w:rPr>
                <w:sz w:val="19"/>
                <w:szCs w:val="19"/>
                <w:color w:val="auto"/>
              </w:rPr>
            </w:pPr>
          </w:p>
        </w:tc>
        <w:tc>
          <w:tcPr>
            <w:tcW w:w="2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F-1</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PART II INFORMATION NOT REQUIRED IN PROSPECTUS</w:t>
            </w:r>
          </w:p>
        </w:tc>
        <w:tc>
          <w:tcPr>
            <w:tcW w:w="3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EE"/>
                <w:w w:val="96"/>
              </w:rPr>
              <w:t>II-1</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30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96"/>
              </w:rPr>
              <w:t>II-7</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-4885690</wp:posOffset>
            </wp:positionV>
            <wp:extent cx="111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6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provided in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our business, financial condition, results of operations and prospects may have changed.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Class A Common Stock issuable upon exercise of any Warrants, Paired Interests and Class P Units. We will not receive any proceeds from the sale of shares of Class A Common Stock issuable upon exercise of the Warrants, or upon exchange of the Paired Interests or the Class P Units pursuant to this prospectus, except with respect to amounts received by us upon exercise of the Warrants for cash.</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“Where You Can Find More Information.”</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June 16, 2021 (the “Closing Date”), Silver Spike, our predecessor company, consummated the Business Combination,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in its pre-Business Combination (as defined below) capacity, “Legacy WMH”), and Ghost Media Group, LLC, a Nevada limited liability company, solely in its capacity as the initial holder representative (the “Holder Representative”). Pursuant to the Merger Agreement, Merger Sub merged with and into WMH, whereupon the separate limited liability company existence of Merger Sub ceased and WMH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8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“WMH,”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and Section 21E of the Securities Exchange Act of 1934, as amended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Forward-looking statements in this prospectus may include, for example, statements about:</w:t>
      </w:r>
    </w:p>
    <w:p>
      <w:pPr>
        <w:spacing w:after="0" w:line="117" w:lineRule="exact"/>
        <w:rPr>
          <w:sz w:val="20"/>
          <w:szCs w:val="20"/>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clients and retain existing clients;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material weaknesses in our internal controls and our ability to remediate any such material weakness on the timing we anticipate, or at all;</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restatement on our reputation and investor confidence in us and the increased possibility of legal proceedings and regulatory inquiries;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conditions, including but not limited to inflation, uncertain credit and global financial markets, recent and potential future disruptions in access to bank deposits or lending commitments due to bank failures; recent and potential future geopolitical events, including the military conflicts between Russia and Ukraine and Israel and Hamas; and the occurrence of a catastrophic event, including but not limited to severe weather, war, or terrorist attack;</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anticipate and address changes in the end-user market in the cannabis industry;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29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two-sided marketplace, including our ability to acquire and retain paying clients;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Should one or more of the risks or uncertainties described in this prospectus actually occur,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05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3405" cy="81051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Silver Spike was domesticated and continues as a Delaware corporation, and changed its name to WM Technology, Inc.</w:t>
      </w:r>
    </w:p>
    <w:p>
      <w:pPr>
        <w:spacing w:after="0" w:line="84"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by our user base makes the Weedmaps marketplace highly valuable to our clients.</w:t>
      </w:r>
    </w:p>
    <w:p>
      <w:pPr>
        <w:spacing w:after="0" w:line="3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spacing w:after="0" w:line="68" w:lineRule="exact"/>
        <w:rPr>
          <w:sz w:val="20"/>
          <w:szCs w:val="20"/>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costs increase, we may not be able to generate sufficient revenue to achieve profitability in the future.</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our existing clients and consumers or to acquire new clients and consumers in a cost-effective manner, our revenue may decrease and our business may be harmed.</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offer the optimal pricing of our products and solutions.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expand effectively into new markets, our revenue and business will be adversely affected.</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the illicit cannabis market could impact our ability to succeed.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856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3405" cy="785622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right="299" w:hanging="350"/>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concentrated in California, and, as a result, our performance may be affected by factors unique to the California market.</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80"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80"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U.S. state laws and regulations.</w:t>
      </w:r>
    </w:p>
    <w:p>
      <w:pPr>
        <w:spacing w:after="0" w:line="11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 changes in the cannabis industry and applicable laws and regulations make predicting and evaluating our future prospects difficult, and may increase the risk that we will not be successful.</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business is dependent, in part, upon continued market acceptance of cannabis by consumers, any negative trends could adversely affect our business operations.</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business is dependent on the continued legalization of cannabis.</w:t>
      </w:r>
    </w:p>
    <w:p>
      <w:pPr>
        <w:spacing w:after="0" w:line="11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clients and consumers using our platform fail to provide high-quality content that attracts consumers, we may not be able to generate sufficient consumer traffic to remain competitive.</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face intense competition in the cannabis information market, and we expect competition to further intensify as the cannabis industry continues to evolve.</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employee operations and organization effectively, our brand, business and operating results could be harmed.</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recruit, train, retain and motivate key personnel, we may not achieve our business objectives.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333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3405" cy="73336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020" w:right="299" w:hanging="350"/>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 system and the payment systems of our clients depend on third-party providers and are subject to evolving laws and regulations.</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banking relations, and we may have difficulty accessing or consistently maintaining banking or other financial services due to our connection with the cannabis industry.</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drive engagement on our platform, as well as changes to our user engagement and advertising strategy and practices, pose risks to our business.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incident, including 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of the internet continues to develop, and unfavorable changes could substantially harm our business and operating results.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5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as of December 31, 2023.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5"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prior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Common Stock and certain of our Public Warrants have been, and may continue to be, volatile, and the value of our Class A Common Stock and such Warrants may decline.</w:t>
      </w: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w:t>
      </w:r>
    </w:p>
    <w:p>
      <w:pPr>
        <w:spacing w:after="0" w:line="86" w:lineRule="exact"/>
        <w:rPr>
          <w:sz w:val="20"/>
          <w:szCs w:val="20"/>
          <w:color w:val="auto"/>
        </w:rPr>
      </w:pPr>
    </w:p>
    <w:p>
      <w:pPr>
        <w:jc w:val="both"/>
        <w:ind w:left="320" w:right="299"/>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41 Discovery, Irvine, California 92618. Our telephone number is (844) 933-3627.</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86023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3405" cy="86023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1020"/>
          </w:cols>
          <w:pgMar w:left="440" w:top="263" w:right="439" w:bottom="1440" w:gutter="0" w:footer="0" w:header="0"/>
        </w:sectPr>
      </w:pP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333" w:lineRule="exact"/>
        <w:rPr>
          <w:sz w:val="20"/>
          <w:szCs w:val="20"/>
          <w:color w:val="auto"/>
        </w:rPr>
      </w:pPr>
    </w:p>
    <w:p>
      <w:pPr>
        <w:ind w:left="1480" w:right="6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Issuance of Class A Common Stock Shares of Class A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8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Shares of Class A Common Stock Outstanding Prior to Exercise of All Warrants and Exchange of Paired Interests and Class P Units</w:t>
      </w:r>
    </w:p>
    <w:p>
      <w:pPr>
        <w:spacing w:after="0" w:line="103" w:lineRule="exact"/>
        <w:rPr>
          <w:sz w:val="20"/>
          <w:szCs w:val="20"/>
          <w:color w:val="auto"/>
        </w:rPr>
      </w:pPr>
    </w:p>
    <w:p>
      <w:pPr>
        <w:ind w:left="1480" w:right="14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Shares of Class A Common Stock Outstanding Assuming Exercise of All Warrants and Exchange of Paired Interests and Class P Units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both"/>
        <w:ind w:right="1280"/>
        <w:spacing w:after="0" w:line="282" w:lineRule="auto"/>
        <w:rPr>
          <w:sz w:val="20"/>
          <w:szCs w:val="20"/>
          <w:color w:val="auto"/>
        </w:rPr>
      </w:pPr>
      <w:r>
        <w:rPr>
          <w:rFonts w:ascii="Times New Roman" w:cs="Times New Roman" w:eastAsia="Times New Roman" w:hAnsi="Times New Roman"/>
          <w:sz w:val="18"/>
          <w:szCs w:val="18"/>
          <w:color w:val="auto"/>
        </w:rPr>
        <w:t>WM Technology, Inc. (f/k/a Silver Spike Acquisition Corp.).</w:t>
      </w:r>
    </w:p>
    <w:p>
      <w:pPr>
        <w:spacing w:after="0" w:line="270" w:lineRule="exact"/>
        <w:rPr>
          <w:sz w:val="20"/>
          <w:szCs w:val="20"/>
          <w:color w:val="auto"/>
        </w:rPr>
      </w:pPr>
    </w:p>
    <w:p>
      <w:pPr>
        <w:jc w:val="both"/>
        <w:ind w:right="1280"/>
        <w:spacing w:after="0" w:line="255" w:lineRule="auto"/>
        <w:rPr>
          <w:sz w:val="20"/>
          <w:szCs w:val="20"/>
          <w:color w:val="auto"/>
        </w:rPr>
      </w:pPr>
      <w:r>
        <w:rPr>
          <w:rFonts w:ascii="Times New Roman" w:cs="Times New Roman" w:eastAsia="Times New Roman" w:hAnsi="Times New Roman"/>
          <w:sz w:val="18"/>
          <w:szCs w:val="18"/>
          <w:color w:val="auto"/>
        </w:rPr>
        <w:t>Up to 110,898,382 shares of our Class A Common Stock consisting of (i) 7,000,000 shares of Class A Common Stock issuable upon exercise of the Private Placement Warrants by the holders thereof,</w:t>
      </w:r>
    </w:p>
    <w:p>
      <w:pPr>
        <w:spacing w:after="0" w:line="3" w:lineRule="exact"/>
        <w:rPr>
          <w:sz w:val="20"/>
          <w:szCs w:val="20"/>
          <w:color w:val="auto"/>
        </w:rPr>
      </w:pPr>
    </w:p>
    <w:p>
      <w:pPr>
        <w:jc w:val="both"/>
        <w:ind w:right="1280"/>
        <w:spacing w:after="0" w:line="252" w:lineRule="auto"/>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97,376,026 shares (as of August 26, 2024).</w:t>
      </w:r>
    </w:p>
    <w:p>
      <w:pPr>
        <w:spacing w:after="0" w:line="200" w:lineRule="exact"/>
        <w:rPr>
          <w:sz w:val="20"/>
          <w:szCs w:val="20"/>
          <w:color w:val="auto"/>
        </w:rPr>
      </w:pPr>
    </w:p>
    <w:p>
      <w:pPr>
        <w:spacing w:after="0" w:line="349" w:lineRule="exact"/>
        <w:rPr>
          <w:sz w:val="20"/>
          <w:szCs w:val="20"/>
          <w:color w:val="auto"/>
        </w:rPr>
      </w:pPr>
    </w:p>
    <w:p>
      <w:pPr>
        <w:ind w:right="1280"/>
        <w:spacing w:after="0" w:line="282" w:lineRule="auto"/>
        <w:rPr>
          <w:sz w:val="20"/>
          <w:szCs w:val="20"/>
          <w:color w:val="auto"/>
        </w:rPr>
      </w:pPr>
      <w:r>
        <w:rPr>
          <w:rFonts w:ascii="Times New Roman" w:cs="Times New Roman" w:eastAsia="Times New Roman" w:hAnsi="Times New Roman"/>
          <w:sz w:val="18"/>
          <w:szCs w:val="18"/>
          <w:color w:val="auto"/>
        </w:rPr>
        <w:t>187,041,867 shares (based on total shares outstanding as of August 26, 2024).</w:t>
      </w:r>
    </w:p>
    <w:p>
      <w:pPr>
        <w:spacing w:after="0" w:line="77" w:lineRule="exact"/>
        <w:rPr>
          <w:sz w:val="20"/>
          <w:szCs w:val="20"/>
          <w:color w:val="auto"/>
        </w:rPr>
      </w:pPr>
    </w:p>
    <w:p>
      <w:pPr>
        <w:sectPr>
          <w:pgSz w:w="11900" w:h="16838" w:orient="portrait"/>
          <w:cols w:equalWidth="0" w:num="2">
            <w:col w:w="5460" w:space="260"/>
            <w:col w:w="5300"/>
          </w:cols>
          <w:pgMar w:left="440" w:top="263" w:right="439" w:bottom="1440" w:gutter="0" w:footer="0" w:header="0"/>
          <w:type w:val="continuous"/>
        </w:sectPr>
      </w:pPr>
    </w:p>
    <w:p>
      <w:pPr>
        <w:ind w:left="132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Exercise Price of Warrants</w:t>
      </w:r>
      <w:r>
        <w:rPr>
          <w:sz w:val="20"/>
          <w:szCs w:val="20"/>
          <w:color w:val="auto"/>
        </w:rPr>
        <w:tab/>
      </w:r>
      <w:r>
        <w:rPr>
          <w:rFonts w:ascii="Times New Roman" w:cs="Times New Roman" w:eastAsia="Times New Roman" w:hAnsi="Times New Roman"/>
          <w:sz w:val="18"/>
          <w:szCs w:val="18"/>
          <w:color w:val="auto"/>
        </w:rPr>
        <w:t>$11.50 per share, subject to adjustment as described</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herein.</w:t>
      </w:r>
    </w:p>
    <w:p>
      <w:pPr>
        <w:sectPr>
          <w:pgSz w:w="11900" w:h="16838" w:orient="portrait"/>
          <w:cols w:equalWidth="0" w:num="1">
            <w:col w:w="11020"/>
          </w:cols>
          <w:pgMar w:left="440" w:top="263" w:right="439" w:bottom="1440" w:gutter="0" w:footer="0" w:header="0"/>
          <w:type w:val="continuous"/>
        </w:sectPr>
      </w:pP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8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Resale of Class A Common Stock and Warrants Shares of Class A Common Stock Offered by the Selling Securityholders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both"/>
        <w:ind w:right="1300"/>
        <w:spacing w:after="0" w:line="256" w:lineRule="auto"/>
        <w:rPr>
          <w:sz w:val="20"/>
          <w:szCs w:val="20"/>
          <w:color w:val="auto"/>
        </w:rPr>
      </w:pPr>
      <w:r>
        <w:rPr>
          <w:rFonts w:ascii="Times New Roman" w:cs="Times New Roman" w:eastAsia="Times New Roman" w:hAnsi="Times New Roman"/>
          <w:sz w:val="18"/>
          <w:szCs w:val="18"/>
          <w:color w:val="auto"/>
        </w:rPr>
        <w:t>We will receive up to an aggregate of approximately $224.3 million from the exercise of the Warrants, assuming the exercise in full of all of the Warrants for cash. We expect to use the net proceeds from the exercise of the Warrants for general corporate purposes. See the section entitled “Use of Proceeds.”</w:t>
      </w:r>
    </w:p>
    <w:p>
      <w:pPr>
        <w:spacing w:after="0" w:line="200" w:lineRule="exact"/>
        <w:rPr>
          <w:sz w:val="20"/>
          <w:szCs w:val="20"/>
          <w:color w:val="auto"/>
        </w:rPr>
      </w:pPr>
    </w:p>
    <w:p>
      <w:pPr>
        <w:spacing w:after="0" w:line="311" w:lineRule="exact"/>
        <w:rPr>
          <w:sz w:val="20"/>
          <w:szCs w:val="20"/>
          <w:color w:val="auto"/>
        </w:rPr>
      </w:pPr>
    </w:p>
    <w:p>
      <w:pPr>
        <w:jc w:val="both"/>
        <w:ind w:right="1300"/>
        <w:spacing w:after="0" w:line="257" w:lineRule="auto"/>
        <w:rPr>
          <w:sz w:val="20"/>
          <w:szCs w:val="20"/>
          <w:color w:val="auto"/>
        </w:rPr>
      </w:pPr>
      <w:r>
        <w:rPr>
          <w:rFonts w:ascii="Times New Roman" w:cs="Times New Roman" w:eastAsia="Times New Roman" w:hAnsi="Times New Roman"/>
          <w:sz w:val="18"/>
          <w:szCs w:val="18"/>
          <w:color w:val="auto"/>
        </w:rPr>
        <w:t>Up to (i) 105,014,011 shares of Class A Common Stock, consisting of (i) 38,750,000 issued and outstanding shares of Class A Common Stock,</w:t>
      </w:r>
    </w:p>
    <w:p>
      <w:pPr>
        <w:spacing w:after="0" w:line="1" w:lineRule="exact"/>
        <w:rPr>
          <w:sz w:val="20"/>
          <w:szCs w:val="20"/>
          <w:color w:val="auto"/>
        </w:rPr>
      </w:pPr>
    </w:p>
    <w:p>
      <w:pPr>
        <w:jc w:val="both"/>
        <w:ind w:right="1280"/>
        <w:spacing w:after="0" w:line="250"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59,264,011 shares of Class A Common Stock issuable upon exchange of such Selling Securityholder’s Paired Interests or Class P Units and</w:t>
      </w:r>
    </w:p>
    <w:p>
      <w:pPr>
        <w:spacing w:after="0" w:line="1" w:lineRule="exact"/>
        <w:rPr>
          <w:rFonts w:ascii="Times New Roman" w:cs="Times New Roman" w:eastAsia="Times New Roman" w:hAnsi="Times New Roman"/>
          <w:sz w:val="18"/>
          <w:szCs w:val="18"/>
          <w:color w:val="auto"/>
        </w:rPr>
      </w:pPr>
    </w:p>
    <w:p>
      <w:pPr>
        <w:jc w:val="both"/>
        <w:ind w:right="1300"/>
        <w:spacing w:after="0" w:line="255" w:lineRule="auto"/>
        <w:tabs>
          <w:tab w:leader="none" w:pos="3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shares of Class A Common Stock issuable upon exercise of the Private Placement Warrants.</w:t>
      </w:r>
    </w:p>
    <w:p>
      <w:pPr>
        <w:spacing w:after="0" w:line="114" w:lineRule="exact"/>
        <w:rPr>
          <w:sz w:val="20"/>
          <w:szCs w:val="20"/>
          <w:color w:val="auto"/>
        </w:rPr>
      </w:pPr>
    </w:p>
    <w:p>
      <w:pPr>
        <w:sectPr>
          <w:pgSz w:w="11900" w:h="16838" w:orient="portrait"/>
          <w:cols w:equalWidth="0" w:num="2">
            <w:col w:w="5220" w:space="500"/>
            <w:col w:w="5300"/>
          </w:cols>
          <w:pgMar w:left="440" w:top="263" w:right="439" w:bottom="1440" w:gutter="0" w:footer="0" w:header="0"/>
          <w:type w:val="continuous"/>
        </w:sectPr>
      </w:pPr>
    </w:p>
    <w:p>
      <w:pPr>
        <w:ind w:left="1320"/>
        <w:spacing w:after="0" w:line="490" w:lineRule="auto"/>
        <w:rPr>
          <w:sz w:val="20"/>
          <w:szCs w:val="20"/>
          <w:color w:val="auto"/>
        </w:rPr>
      </w:pPr>
      <w:r>
        <w:rPr>
          <w:rFonts w:ascii="Times New Roman" w:cs="Times New Roman" w:eastAsia="Times New Roman" w:hAnsi="Times New Roman"/>
          <w:sz w:val="18"/>
          <w:szCs w:val="18"/>
          <w:b w:val="1"/>
          <w:bCs w:val="1"/>
          <w:color w:val="auto"/>
        </w:rPr>
        <w:t>Warrants Offered by the Selling Securityholders Redemption</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7,000,000 Private Placement Warrants.</w:t>
      </w:r>
    </w:p>
    <w:p>
      <w:pPr>
        <w:spacing w:after="0" w:line="158" w:lineRule="exact"/>
        <w:rPr>
          <w:sz w:val="20"/>
          <w:szCs w:val="20"/>
          <w:color w:val="auto"/>
        </w:rPr>
      </w:pPr>
    </w:p>
    <w:p>
      <w:pPr>
        <w:jc w:val="both"/>
        <w:ind w:right="1280"/>
        <w:spacing w:after="0" w:line="266" w:lineRule="auto"/>
        <w:rPr>
          <w:sz w:val="20"/>
          <w:szCs w:val="20"/>
          <w:color w:val="auto"/>
        </w:rPr>
      </w:pPr>
      <w:r>
        <w:rPr>
          <w:rFonts w:ascii="Times New Roman" w:cs="Times New Roman" w:eastAsia="Times New Roman" w:hAnsi="Times New Roman"/>
          <w:sz w:val="18"/>
          <w:szCs w:val="18"/>
          <w:color w:val="auto"/>
        </w:rPr>
        <w:t>The Warrants are redeemable in certain circumstances. See the section entitled “Description of Securities— Warrants” for further discussion.</w:t>
      </w:r>
    </w:p>
    <w:p>
      <w:pPr>
        <w:spacing w:after="0" w:line="104" w:lineRule="exact"/>
        <w:rPr>
          <w:sz w:val="20"/>
          <w:szCs w:val="20"/>
          <w:color w:val="auto"/>
        </w:rPr>
      </w:pPr>
    </w:p>
    <w:p>
      <w:pPr>
        <w:sectPr>
          <w:pgSz w:w="11900" w:h="16838" w:orient="portrait"/>
          <w:cols w:equalWidth="0" w:num="2">
            <w:col w:w="5040" w:space="680"/>
            <w:col w:w="5300"/>
          </w:cols>
          <w:pgMar w:left="440" w:top="263" w:right="4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Market for Class A Common Stock and Warrants</w:t>
            </w:r>
          </w:p>
        </w:tc>
        <w:tc>
          <w:tcPr>
            <w:tcW w:w="5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Our Class A Common Stock and Public Warrants are</w:t>
            </w: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currently traded on Nasdaq under the symbols “MAPS”</w:t>
            </w:r>
          </w:p>
        </w:tc>
      </w:tr>
      <w:tr>
        <w:trPr>
          <w:trHeight w:val="234"/>
        </w:trPr>
        <w:tc>
          <w:tcPr>
            <w:tcW w:w="10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and “MAPSW,” respectively.</w:t>
            </w:r>
          </w:p>
        </w:tc>
      </w:tr>
      <w:tr>
        <w:trPr>
          <w:trHeight w:val="333"/>
        </w:trPr>
        <w:tc>
          <w:tcPr>
            <w:tcW w:w="1080" w:type="dxa"/>
            <w:vAlign w:val="bottom"/>
          </w:tcPr>
          <w:p>
            <w:pPr>
              <w:spacing w:after="0"/>
              <w:rPr>
                <w:sz w:val="24"/>
                <w:szCs w:val="24"/>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5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See  the  section  entitled  “Risk  Factors”  and  other</w:t>
            </w: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information included in this prospectus, and under</w:t>
            </w: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similar headings in any amendments or supplements to</w:t>
            </w: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this prospectus, for a discussion of factors you should</w:t>
            </w:r>
          </w:p>
        </w:tc>
      </w:tr>
      <w:tr>
        <w:trPr>
          <w:trHeight w:val="234"/>
        </w:trPr>
        <w:tc>
          <w:tcPr>
            <w:tcW w:w="10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consider before investing in our securities.</w:t>
            </w:r>
          </w:p>
        </w:tc>
      </w:tr>
      <w:tr>
        <w:trPr>
          <w:trHeight w:val="226"/>
        </w:trPr>
        <w:tc>
          <w:tcPr>
            <w:tcW w:w="1080" w:type="dxa"/>
            <w:vAlign w:val="bottom"/>
          </w:tcPr>
          <w:p>
            <w:pPr>
              <w:spacing w:after="0"/>
              <w:rPr>
                <w:sz w:val="19"/>
                <w:szCs w:val="19"/>
                <w:color w:val="auto"/>
              </w:rPr>
            </w:pPr>
          </w:p>
        </w:tc>
        <w:tc>
          <w:tcPr>
            <w:tcW w:w="422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0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4220" w:type="dxa"/>
            <w:vAlign w:val="bottom"/>
            <w:tcBorders>
              <w:bottom w:val="single" w:sz="8" w:color="auto"/>
            </w:tcBorders>
          </w:tcPr>
          <w:p>
            <w:pPr>
              <w:spacing w:after="0"/>
              <w:rPr>
                <w:sz w:val="15"/>
                <w:szCs w:val="15"/>
                <w:color w:val="auto"/>
              </w:rPr>
            </w:pPr>
          </w:p>
        </w:tc>
        <w:tc>
          <w:tcPr>
            <w:tcW w:w="4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type w:val="continuous"/>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 our costs increase, we may not be able to generate sufficient revenue to achieve profitability in the future.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revenue declined in 2023 compared with 2022 and remained relatively flat when compared with 2021. Our revenue may continue to decline due to a number of factors including, but not limited to, slowdowns in the pace of issuance of new licenses to cannabis retailers and brands, and the decline in the number of new major geographic markets in which the sale of cannabis is permitted and to which we have not already expanded. Accordingly, we may not be able to generate sufficient revenue to offset potential cost increases and our ability to achieve and sustain profitability may be impacted. Additionally, we expect our costs to increase in future periods as we expend substantial financial and other resources on, among other things:</w:t>
      </w:r>
    </w:p>
    <w:p>
      <w:pPr>
        <w:spacing w:after="0" w:line="81" w:lineRule="exact"/>
        <w:rPr>
          <w:sz w:val="20"/>
          <w:szCs w:val="20"/>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including continued investment in our current marketing efforts and future marketing initiatives;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additional employees, including in our product and engineering teams;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domestically and internationally in an effort to increase our consumer and client usage, client base and our sales to our clients;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products, and increased investment in the ongoing development of our existing products;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any acquired companies into our operations;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continued compliance with various regulations applicable to public companies and cannabis industry businesses and other work arising from the growth and maturity of our company.</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These expenditures may not result in additional revenue or the growth of our business. If we fail to continue to grow revenue or to achieve profitability, the market price of our securities could decline, and our business, operating results and financial condition could be adversely affected.</w:t>
      </w:r>
    </w:p>
    <w:p>
      <w:pPr>
        <w:spacing w:after="0" w:line="172"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compete in a dynamic, innovative market, which we expect will continue to evolve rapidly. We believe that our success is dependent on our ability to continue identifying and anticipating the needs of our clients and consumers and growing our two-sided marketplace by retaining our existing clients and consumers and adding new clients and consumers. This two-sided marketplace may grow more slowly than we expect or than it has grown in the past. As we have become larger through organic growth, the number of paying clients and monthly revenue per client have at times slowed or declined and may similarly slow or decline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marketplace will be diminished.</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the costs associated with client and consumer retention are substantially lower than costs associated with the acquisition of new clients or consumers. We have incurred significant costs to attract clients and consumers to our platform and expect to incur significant additional costs to attract and retain clients and consumers for the foreseeable future. Because expenditures on our platform can represent a significant financial investment for our clients, our ability to retain clients depends in part on our ability to create and maintain high levels of client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consumer satisfaction, which we may not always be capable of providing, including for reasons outside of our control. Additionally, in order to retain our clients, we may be required to identify ways to help our clients convert consumers more effectively. Our clients generally do not have long-term obligations to purchase our products and solutions and generally may cancel their use of our products and solutions at any time without penalty. Thus, any decrease in client satisfaction or other change negatively affecting our ability to retain existing clients or consumers, even if such losses are offset by an increase in revenue resulting from the acquisition of new clients or consumers, could have rapid, concentrated and adverse effect on our business and operating results.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fail to offer the optimal pricing of our products and solutions.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have limited experience in determining the optimal pricing of our products and solutions, and we have in the past changed and may in the future change our pricing model. We also have historically priced our add-on premium offerings in a bid-auction format. Our ability to continue growing depends on our ability to maintain and expand our client base. If our clients do not believe the incremental additional cost we are charging for Weedmaps for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If we fail to expand effectively into new markets, our revenue and business will be adversely affected.</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While a key part of our business strategy is to add clients and consumers in our existing geographic markets, we also intend to expand our operations into new markets if and as cannabis continues to be legalized. Any such expansion places us in competitive markets with which we may be unfamiliar, requires us to invest significant time and resources, including to analyze the potential applicability of new and complicated regulations regarding the usage, sale and marketing of cannabis in such markets, and involves various risks, including the possibility that returns on such investments will not be achieved for several years, if at all. As a result of new market expansions,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Competition from the illicit cannabis market could impact our ability to succeed.</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clients face competition from illegal market operators that are unlicensed and unregulated including illegal dispensaries and illicit market suppliers selling cannabis and cannabis-based products, particularly in states like California. Because these illegal market participants do not comply with the regulations governing the cannabis industry, their operations may have significantly lower costs. The perpetuation of the illegal market for cannabis may have a material adverse effect on our clients and our business, results of operations, as well as the perception of cannabis use. Furthermore, given the restrictions on regulated cannabis retail, it is possible that legal cannabis consumers revert to the illicit market as a matter of convenience. In particular, we rely on licensed cannabis businesses to drive the growth of our revenue and the use of our products, and the failure of the licensed cannabis markets to sufficiently overtake or eliminate the illegal market may have an adverse effect on our ability to grow our revenue, particularly if the slow pace of licensing allows the illegal market to gain a foothold, which may be more likely to occur in jurisdictions with an extended period of time between the authorization of consumer possession and the time at which licensed retailers become operational. In such jurisdictions, the timeline for licensed cannabis businesses overtaking the illegal market may be extended.</w:t>
      </w:r>
    </w:p>
    <w:p>
      <w:pPr>
        <w:spacing w:after="0" w:line="18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concentrated in California, and, as a result, our performance may be affected by factors unique to the California market.</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California represents one of the largest state legal cannabis markets in the United States, and approximately 52%, 56% and 61% of our revenue for the years ended December 31, 2023, 2022 and 2021, were generated in California. As new markets develop and our current markets expand, we anticipate that there will be a further reduction in the percentage of our revenue 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As a result, our business and results of operations are particularly susceptible to, and may be disproportionately impacted by, trends in the California cannabis market, as well as adverse economic, regulatory, political and other conditions in California.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impact on our reputation or business.</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From time to time, we may be party to various claims and legal proceedings. For example, in August 2022, our board of directors determined to voluntarily report an internal complaint and subsequent internal investigation to the SEC. Since that date, we have responded to subpoenas from the SEC’s Division of Enforcement and on July 22, 2024, we reached an agreement in principle with the SEC staff to resolve the SEC staff’s investigation with respect to the Company, which remains subject to approval by the SEC. Regardless of the outcome, such proceedings can have an adverse impact on us because of legal costs, penalties and other sanctions, diversion of management resources, negative publicity and reputational harm and other factors. See the section titled “Business—Legal Proceedings” for more information.</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Even when not merited, the defense of any lawsuits or legal proceedings, including potential securities litigation, is expensive and may divert management’s attention, and we may incur significant expenses in defending any lawsuits or legal proceedings.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We evaluate all claims and proceedings to assess the likelihood of unfavorable outcomes and to estimate, if probable and estimable,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 In addition, any claims or litigation, even if fully indemnified or insured, could damage our reputation and make it more difficult to compete effectively or to obtain adequate insurance in the future.</w:t>
      </w:r>
    </w:p>
    <w:p>
      <w:pPr>
        <w:spacing w:after="0" w:line="332"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On August 4, 2021, the U.S. Attorney’s Office for the Eastern District of California withdrew a subpoena served on us in September 2019, and informed us that it had no present plan to exercise its discretion to proceed further in the matter. The U.S. Attorney’s Office for the Eastern District of California also stated that its decision was not a grant of immunity, however, and there can be no assurance that the U.S. Attorney’s Office for the Eastern District of California — either the U.S. Attorney’s Office for the Eastern District of California or another Department of Justice (“DOJ”) entity — will not initiate another investigation in the future.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8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licensing information of our clients operating cannabis retail businesses, where we currently require such clients to provide evidence of a valid state or provincial cannabis license prior to their initial access and from time to time during the term of their use of such products. We require all operational cannabis retailer clients, including storefronts and delivery services, to display on their listing a valid, unexpired state-issued license number. We also currently require cannabis brand clients to provide evidence of a valid state or provincial license in order to get access to our listings and premium placement products. Additionally, many states do not require a license to sell CBD products at retail, and the illicit market could fraudulently attempt to use our CBD listings product to sell products containing THC. While we periodically audit and respond to reports related to our CBD listings, it is difficult to monitor the individual products listed, and marketing claims contained, in the listings of our CBD clients. As a result, some of our clients or their listings currently and in the future may not be in compliance with licensing and related requirements under applicable state or provincial laws and regulations. There could be legal enforcement actions against unlicensed or insufficiently licensed entities selling cannabis or CBD, which could negatively impact us.</w:t>
      </w:r>
    </w:p>
    <w:p>
      <w:pPr>
        <w:spacing w:after="0" w:line="8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1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generally do not, and cannot, ensure that our clients will conduct their business activities in a manner compliant with certain regulations and other legal requirements applicable to the cannabis industry, in whole or in part, even if our solutions provide features to support our clients’ compliance with such regulations and requirements. Their legal noncompliance could result in regulatory and even criminal actions against them, which could have a material adverse impact on our business and operating results or financial condition. For additional information, see the other risk factors in this section entitled “Risk Factors—Risks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on U.S. state laws and regulations.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Although cannabis is a restricted controlled substance under the federal CSA, U.S. states have legalized cannabis to varying degrees through state-specific regulatory frameworks.</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Laws and regulations affecting the cannabis industry in states and territories of the United States are continually changing. Any change or even the speed of changes could require us to incur substantial costs associated with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compliance or alter our business plan, and could detrimentally affect our operations, revenue and profitability. Similarly, if the pace of issuance of new cannabis licenses is slower than expected, our ability to acquire new clients and grow our revenue could be harmed.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Given the concentration of our revenue from the sale of listing products, any increase in the stringency of any applicable laws, including U.S. state, or Canadian federal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Additionally, in some jurisdictions we may be required to seek and obtain a blanket approval of our platform in order to enable potential clients to access our services, and such approval may be subject to significant regulatory discretion. U.S. state, or Canadian federal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350"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5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cannabis industry, and the complex regulatory regime applicable to it,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72" w:lineRule="exact"/>
        <w:rPr>
          <w:sz w:val="20"/>
          <w:szCs w:val="20"/>
          <w:color w:val="auto"/>
        </w:rPr>
      </w:pPr>
    </w:p>
    <w:p>
      <w:pPr>
        <w:jc w:val="both"/>
        <w:ind w:left="1000" w:right="29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complex, disparate and rapidly evolving regulatory regimes imposed by U.S. federal, state and local and other non-U.S. governments around the world applicable to cannabis and cannabis-related businesses;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rapidly evolving trends in the cannabis industry and the way consumers and cannabis industry businesses interact with technology;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increasing our base of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preserve and build our brand while upgrading our existing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attracting, hiring and retaining qualified personnel to manage operations;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changes in the cannabis industry if sales of cannabis expand significantly beyond a regulated model;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commodification of the cannabis industry;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implementing and executing our business and marketing strategies;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expanding our business into new and existing cannabis markets.</w:t>
      </w:r>
    </w:p>
    <w:p>
      <w:pPr>
        <w:spacing w:after="0" w:line="11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If the demand for our platform and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is dependent, in part, upon continued market acceptance of cannabis by consumers, any negative trends could adversely affect our business operations.</w:t>
      </w:r>
    </w:p>
    <w:p>
      <w:pPr>
        <w:spacing w:after="0" w:line="5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We are dependent on public support, continued market acceptance and the proliferation of consumers in the legalized cannabis markets in states and territories of the United States.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Expansion of our business is dependent on the continued legalization of cannabis.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Expansion of our business is in part dependent upon continued legislative authorization, including by voter initiatives and referendums, of cannabis in various jurisdictions worldwide. Any number of factors could slow, halt, or even reverse progress in this area. For example, in 2023, ballot measures to allow for adult use succeeded in Ohio, but failed in Oklahoma. In addition, implementation of state laws is often a multi-year process following a ballot initiative or legislation.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w:t>
      </w:r>
    </w:p>
    <w:p>
      <w:pPr>
        <w:spacing w:after="0" w:line="8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w:t>
      </w:r>
    </w:p>
    <w:p>
      <w:pPr>
        <w:spacing w:after="0" w:line="3"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18"/>
          <w:szCs w:val="18"/>
          <w:color w:val="auto"/>
        </w:rPr>
        <w:t>Control</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regulation that allowed cannabis businesses to deliver products in local jurisdictions which had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While a recent amendment (S.B. 1186), which became effective in January 2024, prevents local governments from banning the delivery of medical cannabis to patients, adult-use cannabis storefront retail and delivery operations may continue to be restricted by some cities and counties. The imposition or potential enforcement of local jurisdiction delivery bans may negatively impact the viability and attractiveness of our offerings in California going forward. We generated approximately 52%, 56% and 61% of our revenue for the years ended December 31, 2023, 2022 and 2021 in California, and such developments may in turn have a material adverse effect on our business, operating results and financial condition. For more information, see “—Our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196"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6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paying clients face challenges including, among other factors, limited access to capital (relative to other industries) and the impact of Section 280E of the Code (which, as applied to certain cannabis businesses, disallows the deduction of “ordinary and necessary” business expenses, such as below-the-line deductions, essentially resulting in federal income tax liability calculated based on gross income), limiting cash flow and liquidity of many industry participants. Additionally, the cannabis industry faced price deflation in 2023 and 2022 further pressuring many of our paying clients. This resulted in financial hardship for certain cannabis companies, including some of our paying clients which caused elevated churn and bad debt expense in 2023 and 2022. If our clients struggle financially or do not remain viable, it can negatively impact our ability to generate new revenue, maintain existing revenue or collect on outstanding receivables. We have customers with past due balances and our failure to collect a significant portion of such balances could adversely affect our cash and provision for doubtful accounts. See “Accounts Receivable, Net” of Note 2, “Summary of Significant Accounting Policies” to the audited consolidated financial statements included in this prospectus for additional information.</w:t>
      </w:r>
    </w:p>
    <w:p>
      <w:pPr>
        <w:spacing w:after="0" w:line="91" w:lineRule="exact"/>
        <w:rPr>
          <w:sz w:val="20"/>
          <w:szCs w:val="20"/>
          <w:color w:val="auto"/>
        </w:rPr>
      </w:pPr>
    </w:p>
    <w:p>
      <w:pPr>
        <w:ind w:left="460" w:right="299" w:hanging="168"/>
        <w:spacing w:after="0" w:line="195" w:lineRule="auto"/>
        <w:tabs>
          <w:tab w:leader="none" w:pos="46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 2021, the Bureau of Cannabis Control merged with two other state agencies regulating California cannabis to form the Department of Cannabis Control, which presently regulates all California commercial cannabis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-241300</wp:posOffset>
            </wp:positionV>
            <wp:extent cx="8229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5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if we filter out helpful content or fail to filter out unhelpful content, clients and consumers alike may stop or reduce their use of our platform and products, which could negatively impact our business.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 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w:t>
      </w:r>
    </w:p>
    <w:p>
      <w:pPr>
        <w:spacing w:after="0" w:line="346"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that our business is highly dependent on our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75"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marketing efforts;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high-quality, innovative and error- and bug-free platform;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high satisfaction among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perceived value of our platform;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implementing and developing new features, including alternative revenue streams;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enforce trademarks and other indicia of origin that are valuable to our brand;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differentiate our platform from competitors’ products;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laws and regulations, including those applicable to any political action committees affiliated with us and to our registered lobbying activities;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client support;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perceived data breach or data loss, or misuse or perceived misuse of our platform.</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addition, our brand recognition and reputation may be affected by factors that are outside our control, such as:</w:t>
      </w:r>
    </w:p>
    <w:p>
      <w:pPr>
        <w:spacing w:after="0" w:line="117"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competitors or other third parties;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timeliness of our clients’ delivery businesses;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experiences with clients or products identified through our platform;</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regarding our company or operations, as well as with respect to events or activities attributed to us, our employees, partners, including celebrities who endorse or promote our brand, or others associated with any of these parties;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delays or attacks on our platform;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regulatory developments.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176"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face intense competition in the cannabis information market, and we expect competition to further intensify as the cannabis industry continues to evolve.</w:t>
      </w:r>
    </w:p>
    <w:p>
      <w:pPr>
        <w:spacing w:after="0" w:line="51"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or parts of our platform include cannabis-focused, two-sided networks like Leafly (for retailer listing pages) and Dutchie and Jane Technologies (for menu embed and orders functionality).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For example, Uber Eats announced a partnership with a Canadian retailer in November 2021 to allow consumers to place cannabis orders for pickup via Uber Eats. If the regulatory regime for cannabis becomes more settled and the legal market for cannabis becomes more accepted, competition may further intensify as new participants may be encouraged to enter the cannabis information market, including established companies, such as tobacco and alcohol companies. Such companies may have substantially greater financial, technical and other resources than us or existing market participants. Additionally, as consumers and cannabis industry clients demand richer data, 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budgets. Some of our competitors previously raised significant amounts of capital. For example, in August 2021, Jane announced the closing of a $100 million Series C round of funding; in October 2021, Dutchie announced the closing of a $350 million Series D round of funding at a valuation of $3.75 billion; and in February of 2022, Leafly became a public company and began trading on Nasdaq via SPAC business combination. Our competitors may be able to use such capital infusions to more successfully enter new markets opening up.</w:t>
      </w:r>
    </w:p>
    <w:p>
      <w:pPr>
        <w:spacing w:after="0" w:line="9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as the legalization of cannabis continues, cannabis cultivators, distributors and retailers have and likely will continue to experience consolidation as existing cannabis businesses seek to obtain greater market share and purchasing power and new entrants seek to establish a significant market presence. Consolidation of retailers in the cannabis industry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May 16, 2024, President Biden announced that the U.S. Attorney General initiated proceedings to transfer cannabis from Schedule I to Schedule III, through an NPRM published on May 21, 2024. This decision is expected to have far-reaching implications that are not yet fully understood. For example, rescheduling may increase competitors in this space if non-cannabis technology companies who have previously avoided the space now decide to enter the market.</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15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employee operations and organization effectively, our brand, business and operating results could be harmed.</w:t>
      </w:r>
    </w:p>
    <w:p>
      <w:pPr>
        <w:spacing w:after="0" w:line="5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experienced rapid organic growth in our headcount and operations, which placed substantial demands on management and our operational infrastructure. As a result of both macroeconomic and industry challenges, as well as misalignment between our organizational growth and business growth, we completed a substantial reduction 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force in 2022 and experienced significant executive departures during 2023 and 2022. As a result of these changes, many of our current employees have been with us for less than 24 months. To execute on our growth strategy, we will need to continue to increase the productivity of our current employees as well as hire, train and manage new employees, as well as improve existing, and implement new, transaction processing, operational and financial systems, procedures and controls. We intend to continue making substantial investments in our technology, sales and data infrastructure. As our business matures, we may make periodic changes and adjustments to our organization in response to various internal and external considerations, including market opportunities, the competitive landscape, new and enhanced products, acquisitions, sales performance, availability of employee talent and costs, while maintaining the beneficial aspects of our existing corporate culture, which we believe fosters innovation, teamwork and a passion for our products and clients. In some instances, these changes have resulted in a temporary lack of focus and reduced productivity, which may occur again in connection with any future changes to our organization and may negatively affect our results of operations. If we are unable to adapt quickly and effectively to changes or adjustments to our organization, our business will be harmed. If we are unable to manage our employee operations and organization effectively, the quality of our platform, efficiency of our operations, and management of our expenses could suffer, which could negatively impact our brand, business, profitability and operating results.</w:t>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recruit, train, retain and motivate key personnel, we may not achieve our business objectives.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Our future success depends on our continued ability to recruit, train, retain and motivate key personnel, including Doug Francis, our Executive Chair and Principal Executive Officer, and Brian Camire, our General Counsel.</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Competition for qualified personnel in the technology industry is intense, particularly in Southern California, where we are headquartered. Additionally, we face additional challenges in attracting, retaining and motivating highly qualified personnel due to our relationship to the cannabis industry, which is rapidly evolving and has varying levels of social acceptance. The loss of the services of a significant portion of our workforce or any member of our senior management or the inability to hire or retain qualified personnel could adversely affect our ability to execute our business plan and harm our operating results. We generally do not maintain fixed term employment contracts or key man life insurance with any of our employees.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particular, Doug Francis, co-founder and Executive Chair, has been and will continue to take a more active role in leading WM Technology until we appoint our next chief executive officer. In addition, since July 2023 we have had and continue to have an interim Chief Financial Officer, which, as noted in our Notification of Late Filing on Form 12b-25 with the SEC, has had an impact on our ability to complete our financial statements. If we are unable to recruit and retain a qualified replacement in a timely manner it could result in management, operating and financial reporting difficulties, which could have an adverse effect on our business.</w:t>
      </w:r>
    </w:p>
    <w:p>
      <w:pPr>
        <w:spacing w:after="0" w:line="305"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Many consumers locate our website through internet search engines, like Google, and paid digital advertisements in certain jurisdictions. The prominence of our website in response to internet searches is a critical 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Visits to our website could also decline if our accounts on Facebook, Instagram, X, formerly known as Twitter or LinkedIn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 suspended from December 2021 to February 2022, in March 2022 and in November 2022 for a short period. Our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172"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have significantly invested in our enterprise and field sales teams, and we may need to further employ more resource-intensive sales methods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18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6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platform is available for download on iOS and Android, and is also accessible online.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For example, we have at times been unable to offer our WM Orders functionality in our iOS Weedmaps mobile application and are currently unable to offer such functionality in our Android Weedmaps mobile application due to restrictions imposed by the Apple iTunes App Store and Google Play, respectively. While our platform is still available in the Apple iTunes App Store and on Google Play for 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iTunes App Store or the Google Play Store,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190"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6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 our platform is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8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expect to continue making significant investments in the functionality, performance, reliability, design, security and scalability of our platform. We may experience difficulties with the development of our platform that could delay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or prevent the implementation of new solutions and enhancements. Software development involves a significant amount of time and resources for our product development team, and we may not be able to continue making those investments in the future. To the extent we are not able to continue successfully improving and enhancing our platform, our business could be adversely affected.</w:t>
      </w:r>
    </w:p>
    <w:p>
      <w:pPr>
        <w:spacing w:after="0" w:line="176"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payment system and the payment systems of our clients depend on third-party providers and are subject to evolving laws and regulations.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have engaged third-party service providers to perform credit and debit card processing services for client’s payments to us, and we understand that some of our clients use those services. We also may engage third-party service providers in the future to provide fraud analysis services and we may integrate with third-party service providers used by our clients to process payments made by consumers if done in a manner compliant with applicable federal and local law. If these service providers do not perform adequately or if our relationships, or the relationships of our clients, with these current or future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cannabis, hemp and cannabis accessories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w:t>
      </w:r>
    </w:p>
    <w:p>
      <w:pPr>
        <w:spacing w:after="0" w:line="8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 plans for expansion. For more information, see “—We are subject to industry standards, governmental laws, regulations and other legal obligations, particularly related to privacy, data protection and information security and any actual or perceived failure to comply with such obligations could harm our business” below.</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Further, through our agreement with our third-party credit card processors, we are subject to payment card association operating rules and certification requirements, including restrictions on product mix and the Payment Card Industry Data Security Standard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183"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6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and how we define such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Additionally, a user could also use technology (such as incognito browsing, blocking or deleting cookies and IP addresses or other similar methods) that may decrease our ability to obtain useful information with respect to the number of and behavior of users, and as a result, we may include users who are not actively engaging with our platform in the manner in which we assume, and/or we may count as unique users multiple visits by the same underlying user. As a result, the data we report may not be accurate, and we believe unique user statistics could include a significant number of repeat underlying users. Our internal tools and processes we use to identify multiple accounts or fraudulent accounts have a number of limitations, and our methodologies for tracking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performance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For example, we determined to discontinue reporting monthly active users as a key operational metric as a result of our reevaluation of the value of this metric to investors in light of its significant quarterly fluctuations that we do not believe necessarily reflect the underlying and most important trends in our business. If our performance metrics, including any key metrics we disclose in the future, are not accurate measurements of our business, user or client base, or traffic levels; if we discover material inaccuracies in such metrics, we may not be able to effectively implement our business strategy, our reputation may be harmed, and our operating and financial results could be adversely affected.</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clients, analysts and investors may rely on our metrics, including additional metrics we may disclose in the future, as a representation of our performance. If these third parties do not perceive such metrics to be accurate representations of our business,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32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drive engagement on our platform, as well as changes to our user engagement and advertising strategy and practices, pose risks to our business.</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clients use our products and services as they believe the value received from paying for our products and services justifies the cost of those services. We believe the overall level of engagement of our users with our clients is critical to our success and our long-term financial performance. As we evolve our user engagement and advertising strategy and practices, we may not be successful in improving user engagement in a cost-efficient manner, or at all. Certain operating decisions, including our substantially decreased usage of pop-under advertisements, may significantly decrease our user engagement and/or traffic, increase the cost of generating user engagement and/or traffic or decrease our overall success rate in promoting engagement on our platform. Declining user growth, engagement or traffic could make us less attractive to our clients, which may seriously harm our business. In addition, we continue to compete with other companies to attract and retain consumer attention. A number of factors have affected and could potentially negatively affect our reported user engagement and/or traffic and our overall user engagement with our clients, including if:</w:t>
      </w:r>
    </w:p>
    <w:p>
      <w:pPr>
        <w:spacing w:after="0" w:line="84" w:lineRule="exact"/>
        <w:rPr>
          <w:sz w:val="20"/>
          <w:szCs w:val="20"/>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a compelling consumer experience to entice consumers to use our products and services, or our consumers don’t have the ability to maximize the consumer experience;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convince consumers and clients of the value and usefulness of our platform and services;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find cost-effective marketing channels or other strategies to drive traffic to our website, including replacing any pop-under advertisements that we have decreased our usage of or discontinued;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fail to operate effectively on the iOS or Android mobile operating systems;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continue to develop products that work with a variety of mobile operating systems, networks and smartphones;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a compelling consumer experience because of the decisions we make regarding the type and frequency of advertisements that we display or the structure and design of our products;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engage more with competing platforms or products at the expense of ours or those of our clients;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manner in which we promote engagement or traffic is seen by consumers or clients as unappealing or harm our brand image or reputation;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concerns about the privacy implications, safety, or security of our products;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are subject to increased regulatory scrutiny or approvals, or there are changes in our products that are mandated or prompted by legislation, regulatory authorities, executive actions, or litigation, including settlements or consent decrees, that adversely affect the consumer experience;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frustrate the consumer experience, including by providers that host our platforms, particularly if those problems prevent us from delivering our product experience in a fast and reliable manner;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partners, or other companies in our industry segment are the subject of adverse media reports or other negative publicity, some of which may be inaccurate or include confidential information that we are unable to correct or retract; 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reduce consumer activity on our website or our applications by making it easier for our consumers to interact directly with our clients.</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Any decrease to consumer retention, growth, or engagement could render our products less attractive to consumers, advertisers, or partners, and could seriously harm our business.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prevent others from aggregating or misappropriating data from our websites.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325"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may collect, receive, store, generate, use, protect, secure, dispose of, transmit, disclose, or otherwise make accessible (collectively “process”) proprietary, confidential, and sensitive data, including personal data, intellectual property, and trade secrets. We rely upon third parties (such as service providers) for certain data processing-related activities, such as data centers, cloud hosting platforms, marketing communications, and application providers. For example, 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We may also share or receive sensitive data with or from third parties.</w:t>
      </w:r>
    </w:p>
    <w:p>
      <w:pPr>
        <w:spacing w:after="0" w:line="8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81" w:lineRule="exact"/>
        <w:rPr>
          <w:sz w:val="20"/>
          <w:szCs w:val="20"/>
          <w:color w:val="auto"/>
        </w:rPr>
      </w:pPr>
    </w:p>
    <w:p>
      <w:pPr>
        <w:jc w:val="both"/>
        <w:ind w:left="300" w:right="319"/>
        <w:spacing w:after="0" w:line="289" w:lineRule="auto"/>
        <w:rPr>
          <w:sz w:val="20"/>
          <w:szCs w:val="20"/>
          <w:color w:val="auto"/>
        </w:rPr>
      </w:pPr>
      <w:r>
        <w:rPr>
          <w:rFonts w:ascii="Times New Roman" w:cs="Times New Roman" w:eastAsia="Times New Roman" w:hAnsi="Times New Roman"/>
          <w:sz w:val="17"/>
          <w:szCs w:val="17"/>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 particularly for companies like ours that are engaged in critical infrastructure or manufacturing –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For example, 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 In addition to bugs, we may not detect and remediate all identified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8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Any actual or perceived security incident could damage our reputation and brand, result in decreased utilization of our platform or prevent users from using our platform, expose us to fines and penalties, government investigations and a risk of litigation and possible liability, require us to expend significant capital and other resources (including management’s attention) to alleviate any resulting problems and otherwise to remediate the incident, and require us to expend increased cybersecurity protection costs. We may incur significant costs in an effort to detect and prevent security incidents. Numerous state, federal and foreign laws and regulations require companies to notify individuals, regulatory authorities, or other stakeholders of certain security involving incidents, including those that involve certain types of personal data. Any disclosures of security incidents,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Any of these impacts or circumstances arising from an actual or perceived security incident could materially and adversely affect our business, financial condition, reputation and relationships with clients and consumers.</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insurance requirements, could have a material and adverse effect on our business, including our financial condition, operating results, and reputation.</w:t>
      </w:r>
    </w:p>
    <w:p>
      <w:pPr>
        <w:spacing w:after="0" w:line="188"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employees face risks related to macroeconomic conditions and catastrophic events, including health crises, such as outbreaks of contagious disease that have adversely impacted and could in the future adversely impact our business, financial condition and operating results.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Macroeconomic conditions, including but not limited to inflation, uncertain credit and global financial markets, recent and potential future disruptions in access to bank deposits or lending commitments due to bank failures; geopolitical events, including the military conflicts between Russia and Ukraine and Israel and Hamas; and the occurrence of a catastrophic event, including but not limited to severe weather, war, or terrorist attack, could adversely impact our business, financial condition and operating results. We also face risks related to health epidemics, like the COVID-19 pandemic and other adverse health developments. For example, in connection with the COVID-19 pandemic, governments implemented significant measures intended to control the spread of the virus, including closures, quarantines, travel restrictions and other social distancing directives.</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To the extent that restrictions or prevention and mitigation measures are implemented in connection with any future pandemic or outbreak of disease, there may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Shelter-in-place orders and similar regulations resulting from catastrophic events could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any future catastrophic events. Further, these conditions may impact our ability to access financial markets to obtain the necessary funding to expand our business, which may adversely affect our liquidity and working capital.</w:t>
      </w:r>
    </w:p>
    <w:p>
      <w:pPr>
        <w:spacing w:after="0" w:line="86"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It is not currently possible to ascertain the overall impact of such an event on our business. However, if such an event occurs, the event may harm our business, and may also have the effect of heightening many of the other risks described in this “Risk Factors” section.</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quarterly and annual operating results may adversely affect our business and prospects.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75"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clients and consumers and retain existing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revenue and appropriately plan our expenses;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changes in search engine placement and prominence;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on our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 existing markets and successfully enter new markets;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regional or economic conditions;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licensed cannabis markets to successfully grow and out compete illegal cannabis markets;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effectively manage an adequate rate of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traffic to our platform;</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defending claims, including intellectual property infringement claims and related judgments or settlements;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or other regulation affecting our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platform availability and any related impact on our business, reputation or brand;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personnel;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natural or man-made catastrophic events;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 including the material weakness that we have identified.</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improve our products and solutions in ways that forego short-term gains.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328"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and anti-corruption laws and regulations. Compliance with these legal standards could impair our ability to compete in domestic and international markets. We can face criminal liability and other serious consequences for violations which can harm our business.</w:t>
      </w:r>
    </w:p>
    <w:p>
      <w:pPr>
        <w:spacing w:after="0" w:line="72"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w:t>
      </w:r>
    </w:p>
    <w:p>
      <w:pPr>
        <w:spacing w:after="0" w:line="7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sell our Weedmaps for Business offering in the United States and have a limited number of non-monetized listings in several other countries including Austria, Canada, Germany, the Netherlands, Spain and Switzerland.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80"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legal and regulatory environment in foreign jurisdictions, including with respect to privacy and data protection, and unexpected changes in laws, regulatory requirements and enforcement;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levels of credit risk and payment fraud;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tax requirements of multiple jurisdictions;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difficulties of integrating any foreign acquisitions;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present our content effectively in foreign languages;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global operations and the increased travel, infrastructure and compliance costs associated with multiple foreign locations;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might add difficulties in repatriating cash earned outside the United States and otherwise preventing us from freely moving cash;</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restrictions and changes in trade regulation;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statutory equity requirements;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the U.S. Foreign Corrupt Practices Act of 1977, as amended, the U.K. Bribery Act 2010, the Corruption of Public Officials Act (Canada), and similar laws in other jurisdictions;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controls and economic sanctions administered by the U.S. Department of Commerce Bureau of Industry and Security and the U.S. Treasury Department’s Office of Foreign Assets Control.</w:t>
      </w:r>
    </w:p>
    <w:p>
      <w:pPr>
        <w:spacing w:after="0" w:line="293"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industry standards, governmental laws and regulations, contractual obligations, industry standards, policies, and other obligations governing privacy, data protection and information security, and any actual or perceived failure to comply with such obligations could harm our business.</w:t>
      </w:r>
    </w:p>
    <w:p>
      <w:pPr>
        <w:spacing w:after="0" w:line="6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process personal data and other sensitive information, including proprietary and confidential business data, intellectual property, and sensitive third-party data. Our data processing subjects us to various federal, state, provincial and foreign laws and regulations, as well as other obligations including contractual obligations, industry standards and internal and external policies related to privacy, data protection, and information security.</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Controlling the Assault of Non-Solicited Pornography and Marketing Act of 2003 and the Telephone Consumer Protection Act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1991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w:t>
      </w:r>
    </w:p>
    <w:p>
      <w:pPr>
        <w:spacing w:after="0" w:line="75"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for certain data breaches. A number of other proposals are being considered or have passed at the federal, state, and local levels, and we expect more states to pass similar laws in the future. Many foreign countries and governmental bodies, including Canada, the United Kingdom (“UK”), and the European Union (“E.U.”) and other relevant jurisdictions where we conduct business, have laws and regulations concerning the processing of personal information. For example, in Canada, the federal Personal Information Protection and Electronic Documents Act, or PIPEDA and various related provincial laws may apply to our operations. Further, Canada has robust anti-spam legislation, the Anti-Spam Legislation, or CASL. The penalties for non-compliance under CASL are significant. In addition, the E.U.’s General Data Protection Regulation, or the EU GDPR, and the United Kingdom’s GDPR, or UK GDPR (collectively, “GDPR”), may also apply to our operations. The GDPR provides for substantial penalties for noncompliance.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9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may be subject to new laws governing the privacy of consumer health data. For example, Washington’s My Health My Data Act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 We are also bound by contractual obligations related to data privacy and security, and our efforts to comply with such obligations may not be successful. For example, certain privacy laws, such as the CCPA, require our customers to impose specific contractual restrictions on their service providers.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increased exposure to regulatory actions, substantial fines and penalties, the inability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transfer data and work with partners, vendors and other third parties, and injunctions against our processing or transferring of personal data related to our EU users.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72"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evolving, becoming increasingly stringent, and creating uncertainty. These obligations may be modified, interpreted and applied in an inconsistent manner from one jurisdiction to another, and may conflict with one another, other requirements or legal obligations. Future laws, regulations, standards and other obligations, or amendments or changes in the interpretation of existing laws, regulations, standards and other obligations, could impair our or (or the third parties upon whom we rely) ability to collect, use, disclose or otherwise process information relating to employees or consumers, which could decrease demand for our applications, increase our costs and impair our ability to maintain and grow our client and consumer bases and increase revenue.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Any failure or perceived failure by us or the third parties upon whom we rely to comply with federal, state, provincial or foreign laws or regulations, industry standards, contractual obligations or other legal obligations may result in governmental enforcement actions (e.g., investigations, fines, penalties, audits, inspections, and similar) and prosecutions, private litigation (including class actions) and mass arbitration demands, adverse publicity that could cause employees, clients and consumers to lose trust in us,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01"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regulation of the internet continues to develop, and unfavorable changes could substantially harm our business and operating results.</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and libel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brought against us as a result of content we provide.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legal claims based on the content published to our platform.</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184"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investments in alternative revenue streams or acquisitions could disrupt our business and adversely affect our operating results, financial condition and cash flows.</w:t>
      </w:r>
    </w:p>
    <w:p>
      <w:pPr>
        <w:spacing w:after="0" w:line="5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68" w:lineRule="exact"/>
        <w:rPr>
          <w:sz w:val="20"/>
          <w:szCs w:val="20"/>
          <w:color w:val="auto"/>
        </w:rPr>
      </w:pPr>
    </w:p>
    <w:p>
      <w:pPr>
        <w:jc w:val="both"/>
        <w:ind w:left="1000" w:right="319" w:hanging="348"/>
        <w:spacing w:after="0" w:line="258"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disrupt our ongoing business, divert resources, increase our expenses and distract our management;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a delay or reduction of sales for both us and the company we acquired due to uncertainty about continuity and effectiveness of products or support from either company;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or may be unable to, successfully sell any acquired products;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involve the entry into geographic or business markets in which we have little or no prior experience or where competitors have stronger market positions;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strain on our financial and managerial controls and reporting systems and procedures;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known and unknown liabilities associated with an acquired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such acquisitions, such debt may subject us to material restrictions on our ability to conduct our business as well as financial maintenance covenants;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impairment charges related to potential write-downs of acquired assets or goodwill in future acquisitions;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issue a significant amount of equity or convertible debt securities in connection with future acquisitions, existing equity holders may be diluted and earnings per share may decrease;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varying intellectual property protection strategies and other activities of an acquired company.</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17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19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may be harmed if we are deemed responsible for the collection and remittance of state sales taxes or other indirect taxes.</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do not collect sales and value-added tax as part of our client agreements in the United States or Canada, based on our determination that such tax is not applicable to our platform. Sales and use, value-added and similar tax laws and rates vary greatly by jurisdiction. If we are deemed an agent for the clients on our platform under state or other applicable tax law, we may be deemed responsible for collecting and remitting sales taxes directly to certain states or jurisdictions. It is possible that one or more states or other jurisdictions could seek to impose sales, use or other tax obligations on us with regard to the ordering functionality that we offer our clients. These taxes may be applicable to past sales. In addition, the U.S. Supreme Court’s ruling in South Dakota v. Wayfair that a U.S. state may require an online retailer with no in-state property or personnel to collect and remit sales tax on sales to the state’s residents may permit wider enforcement of sales tax collection requirements, which may increase the jurisdictions in which we may be required to collect and/or remit taxes. A successful assertion that we should be collecting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potential adverse tax consequences both domestically and in foreign jurisdictions.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taxes paid is subject to our interpretation of applicable tax laws in the jurisdictions in which we operate and to changes in tax laws.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standards or other factors could negatively impact our future effective tax rate.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future effective tax rate may be affected by such factors as changes in tax laws,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 Although we believe that our tax estimates are reasonable, we cannot ensure that the final determination of tax audits or tax disputes will not be different from what is reflected in our historical income tax provisions and accruals.</w:t>
      </w:r>
    </w:p>
    <w:p>
      <w:pPr>
        <w:spacing w:after="0" w:line="18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in our Annual Report on Form 10-K,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176"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as of December 31, 2023.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Effective internal controls are necessary for us to provide reliable financial reports and prevent fraud.</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we assessed the effectiveness of our internal control over financial reporting as of December 31, 2023, using the criteria set forth by the Committee of Sponsoring Organizations of the Treadway Commission (COSO) in Internal Control — Integrated Framework (2013). Based on management’s assessment of our internal control over financial reporting, under the criteria described in the preceding sentence, management has identified material weaknesses in internal control during the year ended December 31, 2023.</w:t>
      </w:r>
    </w:p>
    <w:p>
      <w:pPr>
        <w:spacing w:after="0" w:line="79" w:lineRule="exact"/>
        <w:rPr>
          <w:sz w:val="20"/>
          <w:szCs w:val="20"/>
          <w:color w:val="auto"/>
        </w:rPr>
      </w:pPr>
    </w:p>
    <w:p>
      <w:pPr>
        <w:jc w:val="both"/>
        <w:ind w:left="300" w:right="319"/>
        <w:spacing w:after="0" w:line="281" w:lineRule="auto"/>
        <w:rPr>
          <w:sz w:val="20"/>
          <w:szCs w:val="20"/>
          <w:color w:val="auto"/>
        </w:rPr>
      </w:pPr>
      <w:r>
        <w:rPr>
          <w:rFonts w:ascii="Times New Roman" w:cs="Times New Roman" w:eastAsia="Times New Roman" w:hAnsi="Times New Roman"/>
          <w:sz w:val="17"/>
          <w:szCs w:val="17"/>
          <w:color w:val="auto"/>
        </w:rPr>
        <w:t>The following entity-level material weaknesses have been identified: We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to the achievement of objectives, including technology, across the entity, and (iii) sufficiency of selecting and developing control activities that contribute to the mitigation of risks to the achievement of objectives to acceptable levels.</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entity-level material weaknesses contributed to other material weaknesses within our system of internal control over financial reporting as follow:</w:t>
      </w:r>
    </w:p>
    <w:p>
      <w:pPr>
        <w:spacing w:after="0" w:line="54" w:lineRule="exact"/>
        <w:rPr>
          <w:sz w:val="20"/>
          <w:szCs w:val="20"/>
          <w:color w:val="auto"/>
        </w:rPr>
      </w:pPr>
    </w:p>
    <w:p>
      <w:pPr>
        <w:jc w:val="both"/>
        <w:ind w:left="1000" w:right="299" w:hanging="348"/>
        <w:spacing w:after="0" w:line="253"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information technology (IT) general controls for certain information systems supporting our key financial reporting processes. Specifically, we did not design, implement and maintain (a) change management controls to ensure that program and data changes affecting financial applications and underlying accounting records are identified, tested, authorized and implemented appropriately, (b)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our financial statement account balances and disclosures.</w:t>
      </w:r>
    </w:p>
    <w:p>
      <w:pPr>
        <w:spacing w:after="0" w:line="8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information technology (IT) general controls for certain information systems supporting our key financial reporting processes. Specifically, we did not design, implement and maintain sufficient change management, security, and operations controls for certain in-scope on-premise applications and vendor-supported applications.</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capitalized software, and long-term assets. The material weakness related to the order-to-cash cycle resulted in an inadequate policy associated with our revenue recognition policies related to the cash collection of a certain subset of our customers that had been placed on a cash basis and, in turn, the restatement of our unaudited condensed consolidated financial statements in its prior three quarters reported in 2023 as of and for the three months ended March 31, 2023, six months ended June 30, 2023 and nine months ended September 30, 2023 included in our quarterly reports on Form 10-Q for the corresponding periods. Additionally, this material weakness could result in a misstatement of any account balances or disclosures that would result in a material misstatement to the annual or interim consolidated financial statements that would not be prevented or detected.</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Additionally, these material weaknesses could result in a misstatement of any account balances or disclosures that would result in a material misstatement to the annual or interim consolidated financial statements that would not be prevented or detected.</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Management has been implementing and continues to implement measures to remediate the material weaknesses. However, until the remediation plan is implemented, tested, and deemed effective, we cannot assure that our actions will adequately remediate the material weaknesses or that additional material weaknesses in our internal controls will not be identified in the future. Additionally, these remediation measures may be time consuming and costly and there is no assurance that these initiatives will ultimately have the intended effects. For example, in the year ended December 31, 2022, we identified a material weakness in internal control related to ineffective information technology general controls in the areas of user access and program change-management over certain information technology systems that support our financial reporting processes. We took measures to remediate this material weakness and our remediation efforts concluded as of June 30, 2023 when it was affirmed such measures had been implemented. However, as of July 2023, administrative access to the sandbox environment where development activities take place was extended to users with administrative access to the production environment, thereby negating the remediation efforts taken. This access was not subject to our monthly monitoring control activity and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persisted through the remainder of the year ended December 31, 2023. The lack of successful completion of our remediation efforts related to this material weakness identified for the year ended December 31, 2022 is reflected in the first bullet of our 2023 material weaknesses discussed above.</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As a result, investors may lose confidence in the accuracy and completeness of our financial reporting, access to capital markets and perceptions of our creditworthiness could be adversely affected and our stock price may decline as a result. Also, the existence of any current or future material weakness could require management to devote significant time and incur significant expense to remediate any such material weakness, and management may not be able to remediate any such material weakness in a timely manner, or at all. These events could have a material and adverse effect on our business, operating results, financial condition and prospects. We cannot assure you that the measures we have taken to date, or any measures we may take in the future, will be sufficient to avoid potential future material weaknesses.</w:t>
      </w:r>
    </w:p>
    <w:p>
      <w:pPr>
        <w:spacing w:after="0" w:line="186"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restatement of our prior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spacing w:after="0" w:line="67" w:lineRule="exact"/>
        <w:rPr>
          <w:sz w:val="20"/>
          <w:szCs w:val="20"/>
          <w:color w:val="auto"/>
        </w:rPr>
      </w:pPr>
    </w:p>
    <w:p>
      <w:pPr>
        <w:jc w:val="both"/>
        <w:ind w:left="300" w:right="299"/>
        <w:spacing w:after="0" w:line="270" w:lineRule="auto"/>
        <w:rPr>
          <w:sz w:val="20"/>
          <w:szCs w:val="20"/>
          <w:color w:val="auto"/>
        </w:rPr>
      </w:pPr>
      <w:r>
        <w:rPr>
          <w:rFonts w:ascii="Times New Roman" w:cs="Times New Roman" w:eastAsia="Times New Roman" w:hAnsi="Times New Roman"/>
          <w:sz w:val="17"/>
          <w:szCs w:val="17"/>
          <w:color w:val="auto"/>
        </w:rPr>
        <w:t>As discussed in Note 2 to our audited consolidated financial statements included in this prospectus, we determined to restate our unaudited condensed consolidated financial statements as of and for the three months ended March 31, 2023, six months ended June 30, 2023 and nine months ended September 30, 2023 after we identified errors in the application of our revenue recognition policies related to the cash collection of a certain subset of our customers that had been placed on a cash basis. As a result of this error and the resulting restatement of our unaudited condensed consolidated financial statements for the impacted periods, we have incurred, and may continue to incur, unanticipated costs for accounting and legal fees in connection with or related to the restatement, and have become subject to a number of additional risks and uncertainties, including the increased possibility of litigation and regulatory inquiries. Any of the foregoing may affect investor confidence in the accuracy of our financial disclosures and may raise reputational risks for our business, both of which could harm our business and financial results.</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19" w:lineRule="exact"/>
        <w:rPr>
          <w:sz w:val="20"/>
          <w:szCs w:val="20"/>
          <w:color w:val="auto"/>
        </w:rPr>
      </w:pPr>
    </w:p>
    <w:p>
      <w:pPr>
        <w:jc w:val="both"/>
        <w:ind w:left="300" w:right="319"/>
        <w:spacing w:after="0" w:line="284" w:lineRule="auto"/>
        <w:rPr>
          <w:sz w:val="20"/>
          <w:szCs w:val="20"/>
          <w:color w:val="auto"/>
        </w:rPr>
      </w:pPr>
      <w:r>
        <w:rPr>
          <w:rFonts w:ascii="Times New Roman" w:cs="Times New Roman" w:eastAsia="Times New Roman" w:hAnsi="Times New Roman"/>
          <w:sz w:val="18"/>
          <w:szCs w:val="18"/>
          <w:i w:val="1"/>
          <w:iCs w:val="1"/>
          <w:color w:val="auto"/>
        </w:rPr>
        <w:t>In this discussion of risks related to our organizational structure, references to “we,” “us” and “our” generally refer to WM Technology Inc.</w:t>
      </w:r>
    </w:p>
    <w:p>
      <w:pPr>
        <w:spacing w:after="0" w:line="156"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only material asset is our interest in WMH LLC, and we are accordingly dependent upon distributions made by WMH LLC and its subsidiaries to pay taxes, make payments under the tax receivable agreement and pay dividends.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a holding company with no material assets other than our ownership of units of WMH LLC (“WMH Units”) and our managing member interest in WMH LLC. As a result, we have no independent means of generating revenue or cash flow. Our ability to pay taxes, make payments under the tax receivable agreement (the “TRA”) and pay dividends will depend on the financial results and cash flows of WMH LLC and its subsidiaries and the distributions we receive from WMH LLC. Deterioration in the financial condition, earnings or cash flow of WMH LLC and its subsidiaries for any reason could limit or impair WMH LLC’s ability to pay such distributions. Additionally, to the extent that we need funds and WMH LLC and/or any of its subsidiaries are restricted from making such distributions under applicable law or regulation or under the terms of any financing arrangements, or WMH LLC is otherwise unable to provide such funds, it could materially adversely affect our liquidity and financial condition.</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WMH LLC will continue to be treated as a partnership for U.S. federal income tax purposes and, as such, generally will not be subject to any entity-level U.S. federal income tax. Instead, WMH LLC’s taxable income will be allocated to holders of WMH Units, including us. Accordingly, we will be required to pay income taxes on our allocable share of any net taxable income of WMH LLC. Under the terms of the amended operating agreement, WMH LLC is obligated to make tax distributions to holders of WMH Units (including us) calculated at certain assumed tax rates. In addition to tax expenses, we will also incur expenses related to our operations, including payment obligations under the TRA agreement (and the cost of administering such payment obligations), which could be significant. We intend to cause WMH LLC to make distributions to holders of WMH Units in amounts sufficient to cover all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applicable taxes (calculated at assumed tax rates), relevant operating expenses, payments under the TRA and dividends, if any, declared by us. However, as discussed below, WMH LLC’s ability to make such distributions may be subject to various limitations and restrictions including, but not limited to, restrictions on distributions that would either violate any contract or agreement to which WMH LLC is then a party, including debt agreements, or any applicable law, or that would have the effect of rendering WMH LLC insolvent. If our cash resources are insufficient to meet our obligations under the TRA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TRA for any reason, such payments will be deferred and will accrue interest until paid; provided, however, that nonpayment for a specified period may constitute a material breach of a material obligation under the TRA and therefore accelerate payments due under the TRA.</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Additionally, although WMH LLC generally will not be subject to any entity-level U.S. federal income tax, it may be liable under the Code and related guidance for adjustments to its tax return, absent an election to the contrary. In the event WMH LLC’s calculations of taxable income are incorrect, its members, including us, in later years may be subject to material liabilities pursuant to these provisions.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Dividends on our Class A Common Stock, if any, will be paid at the discretion of our board of directors,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WMH LLC is generally prohibited under Delaware law from making a distribution to a member to the extent that, at the time of the distribution, after giving effect to the distribution, the liabilities of WMH LLC (with certain exceptions) exceed the fair value of its assets. WMH LLC’s subsidiaries are generally subject to similar legal limitations on their ability to make distributions to WMH LLC. If WMH LLC does not have sufficient funds to make distributions, our ability to declare and pay cash dividends may also be restricted or impaired.</w:t>
      </w:r>
    </w:p>
    <w:p>
      <w:pPr>
        <w:spacing w:after="0" w:line="19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WMH LLC will be required to make distributions to us and the other holders of WMH Units, and the distributions that WMH LLC will be required to make may be substantial.</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As discussed above, WMH LLC will generally be required from time to time to make pro rata distributions in cash to us and the other holders of WMH Units at certain assumed tax rates in amounts that are intended to be sufficient to cover the taxes on our and the other WMH equity holders’ respective allocable shares of the taxable income of WMH LLC. As a result of (i) potential differences in the amount of net taxable income allocable to us and the other holders of WMH Units, (ii) the lower tax rate applicable to corporations than individuals and (iii) the use of an assumed tax rate (based on the tax rate applicable to individuals) in calculating WMH LLC’s distribution obligations, we may receive tax distributions significantly in excess of our tax liabilities and obligations to make payments under the TRA. We will determine in our sole discretion the appropriate uses for any excess cash so accumulated, which may include, among other uses, dividends, the payment of obligations under the TRA and the payment of other expenses. We will have no obligation to distribute such excess cash (or other available cash other than any declared dividend) to the holders of Class A Common Stock. No adjustments to the redemption or exchange ratio of WMH Units for shares of Class A Common Stock will be made as a result of either (i) any cash dividend by us or (ii) any cash that we retain and do not distribute to our stockholders. To the extent that we do not distribute such excess cash as dividends on Class A Common Stock and instead, for example, hold such cash balances or lend them to WMH LLC, other holders of WMH Units would benefit from any value attributable to such cash balances as a result of their ownership of Class A Common Stock following a redemption or exchange of their WMH Units.</w:t>
      </w:r>
    </w:p>
    <w:p>
      <w:pPr>
        <w:spacing w:after="0" w:line="189"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to pay the WMH LLC Class A equity holders and any other persons that become parties to the tax receivable agreement for certain tax benefits we may receive and the amounts payable may be substantial.</w:t>
      </w:r>
    </w:p>
    <w:p>
      <w:pPr>
        <w:spacing w:after="0" w:line="5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Acquisitions by us of Legacy WMH common units in the Business Combination and subsequent taxable redemptions or exchanges of Class A units representing limited liability company interests of WMH LLC (the “Class A Units”) by the WMH LLC equity holders for shares of Class A Common Stock or cash pursuant to the exchange agreement have resulted, and are expected to continue to result in, favorable tax attributes for us.</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the TRA with WMH Class A equity holders and their representative. Under the TRA, we generally are required to pay to the WMH LLC Class A equity holders, in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aggregate, 85% of the amount of cash savings, if any, in U.S. federal, state and local income tax or franchise tax that we actually realize as a result of (i) increases to the tax basis of WMH LLC’s assets resulting from acquisitions by us of Legacy WMH 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the TRA. The payment obligations under the TRA are our obligations and not obligations of WMH LLC.</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payments we will be required to make under the TRA may be substantial. Potential payments will depend on the future tax savings that we will be realize (or, in certain circumstances, are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WMH LLC Class A equity holders’ continued ownership of us. See Note 16, “Income Taxes,” to our audited consolidated financial statements included in this prospectus.</w:t>
      </w:r>
    </w:p>
    <w:p>
      <w:pPr>
        <w:spacing w:after="0" w:line="18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5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Payments under the TRA will be based on the tax reporting positions we determine, and the U.S. Internal Revenue Service (“IRS”) or another tax authority may challenge all or a part of the existing tax basis, tax basis increases, or other tax attributes subject to the TRA, and a court could sustain such challenge. The parties to the TRA will not reimburse us for any payments previously made if such tax basis, or other tax benefits are subsequently disallowed, except that any excess payments made to a party under the TRA will be netted against future payments otherwise to be made under the TRA, if any, after the determination of such excess.</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addition, the TRA provides that if (1) we breach any of our material obligations under the TRA (including in the event that we are more than three months late making a payment that is due under the TRA, except in the case of certain liquidity exceptions) (2) we are subject to certain bankruptcy, insolvency or similar proceedings, or (3) at any time, we elect an early termination of the TRA, our obligations under the TRA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TRA. The TRA also provides that, upon certain mergers, asset sales or other forms of business combination, or certain other changes of control, (x) our obligations under the TRA with respect to Class A Units that have been exchanged or redeemed prior to or in connection with such change of control transaction would accelerate and become payable in a lump sum as described above and (y) with respect to Class A Units that have not been exchanged as of such change of control transaction, our or our successor’s obligations under the TRA would be based on certain assumptions, including that we or our successor would have sufficient taxable income to fully utilize the increased tax deductions and tax basis and other benefits covered by the TRA As a result, upon any acceleration of our obligations under the TRA (including upon a change of control), we could be required to make payments under the TRA that are greater than 85% of our actual cash tax savings, which could negatively impact our liquidity. The change of control provisions in the TRA may also result in situations where the WMH LLC Class A equity holders have interests that differ from or are in addition to those of the holders of our Class A Common Stock.</w:t>
      </w:r>
    </w:p>
    <w:p>
      <w:pPr>
        <w:spacing w:after="0" w:line="83"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TRA depends on the ability of WMH LLC to make distributions to us. To the extent that we are unable to make payments under the TRA for any reason, such payments will be deferred and will accrue interest until paid, which could negatively impact our results of operations and could also affect our liquidity in periods in which such payments are made.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Risks Related to the Cannabis Industry</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Cannabis remains prohibited under federal law, and therefore, strict enforcement of federal laws regarding cannabis would likely result in our inability to execute our business plan.</w:t>
      </w:r>
    </w:p>
    <w:p>
      <w:pPr>
        <w:spacing w:after="0" w:line="49"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8"/>
          <w:szCs w:val="18"/>
          <w:color w:val="auto"/>
        </w:rPr>
        <w:t xml:space="preserve">Cannabis, other than hemp (defined by the U.S. government as </w:t>
      </w:r>
      <w:r>
        <w:rPr>
          <w:rFonts w:ascii="Times New Roman" w:cs="Times New Roman" w:eastAsia="Times New Roman" w:hAnsi="Times New Roman"/>
          <w:sz w:val="18"/>
          <w:szCs w:val="18"/>
          <w:i w:val="1"/>
          <w:iCs w:val="1"/>
          <w:color w:val="auto"/>
        </w:rPr>
        <w:t>Cannabis sativa</w:t>
      </w:r>
      <w:r>
        <w:rPr>
          <w:rFonts w:ascii="Times New Roman" w:cs="Times New Roman" w:eastAsia="Times New Roman" w:hAnsi="Times New Roman"/>
          <w:sz w:val="18"/>
          <w:szCs w:val="18"/>
          <w:color w:val="auto"/>
        </w:rPr>
        <w:t xml:space="preserve"> L. with a THC concentration of not more than 0.3% on a dry weight basis), is a prohibited controlled substance under the CSA. Even in states or territories that have legalized cannabis to some extent, the cultivation, possession and sale of cannabis all violate the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Since 2014, however, the U.S. government has not prioritized the enforcement of those laws against cannabis companies complying with state law and their vendors. No reversal of that policy of prosecutorial discretion is expected under a Biden administration given his actions on cannabis to date, and statements of Attorney General Merrick Garland discussed further below, although prosecutions against state-legal entities cannot be ruled out entirely at this time.</w:t>
      </w:r>
    </w:p>
    <w:p>
      <w:pPr>
        <w:spacing w:after="0" w:line="86"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 legal cannabis activities. Since the Sessions Memo was issued over five years ago, however, U.S. Attorneys have generally not prioritized the targeting of state law compliant entities. In March 2023, Attorney General Merrick Garland testified in a Congressional hearing that the Department of Justice was continuing its work on a new memorandum regarding cannabis enforcement. Garland stated that the policy will be “very close to what was done in the Cole memorandum” but was yet to be finalized. Though no official timeline has been announced, industry participants expect such a memorandum to be issued in 2024.</w:t>
      </w:r>
    </w:p>
    <w:p>
      <w:pPr>
        <w:spacing w:after="0" w:line="8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DEA, from using appropriated funds to prevent states from implementing their medical-use cannabis laws (formerly known as the Rohrabacher-Bluemnauer Amendment, and now known as the Joyce Amendment). In 2021, President Joe Biden became the first president to propose a budget with the Joyce amendment included. The amendment most recently was renewed through the signing of the stopgap spending bill. While the Joyce Amendment has continuously been renewed since its inception with little fanfare, there is no assurance that Congress will approve inclusion of a similar prohibition on DOJ spending in future appropriations bills.</w:t>
      </w:r>
    </w:p>
    <w:p>
      <w:pPr>
        <w:spacing w:after="0" w:line="8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USA vs. McIntosh</w:t>
      </w:r>
      <w:r>
        <w:rPr>
          <w:rFonts w:ascii="Times New Roman" w:cs="Times New Roman" w:eastAsia="Times New Roman" w:hAnsi="Times New Roman"/>
          <w:sz w:val="18"/>
          <w:szCs w:val="18"/>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 (and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 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financial transactions involving proceeds generated by cannabis-related conduct can form the basis for prosecution under the federal money laundering statutes, unlicensed money transmitter statutes and the Bank Secrecy Act of 1970, as amended (the “Bank Secrecy Act”). The penalties for violation of these laws include imprisonment, substantial fines and forfeiture. Prior to the DOJ’s rescission of the Cole Memo, supplemental guidance from the DOJ issued under the Obama Administration directed federal prosecutors to consider the federal enforcement priorities enumerated in the Cole Memo when determining whether to charge institutions or individuals with any of the financial crimes described above based upon cannabis-related activity. With the rescission of the Cole Memo, there is increased uncertainty and added risk that federal law enforcement authorities could seek to pursue money laundering charges against entities or individuals engaged in supporting the cannabis industry.</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Federal prosecutors have significant discretion and no assurance can be given that the federal prosecutor in each judicial district where we operate will not choose to strictly enforce the federal laws governing cannabis production or distribution. Any change in the federal government’s enforcement posture with respect to state-licensed cultivation of cannabis, including the enforcement postures of individual federal prosecutors in judicial districts where we operate, would result in our inability to execute our business plan, and we would likely suffer significant losses with respect to our investment in cannabis facilities in the United States. Furthermore, following any such change in the federal government’s enforcement position, we could be subject to prosecution, which could lead to imprisonment and/or the imposition of penalties, fines, or forfeiture.</w:t>
      </w:r>
    </w:p>
    <w:p>
      <w:pPr>
        <w:spacing w:after="0" w:line="8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During his campaign, President Biden promised federal reform on cannabis, including decriminalization generally. In 2022, President Biden signed into law the “Medical Marijuana and Cannabidiol Research Expansion Act,” a bill aimed at easing restrictions on cannabis research – bipartisan legislation which is the 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(“HHS”) and the Attorney General initiate an administrative process to review cannabis’s Schedule I classification under the CSA. On August 29, 2023, HHS issued a letter to the DEA recommending that cannabis be reclassified as a Schedule III controlled substance under the CSA. On May 16, 2024, President Biden announced that the U.S. Attorney General initiated proceedings to transfer cannabis from Schedule I to Schedule III, through an NPRM published on May 21, 2024. This is a momentous change whose full implications are currently unknown. The DEA’s decision to reclassify cannabis would neither legalize nor likely eliminate current state cannabis programs. If placed under Schedule III, cannabis will remain a controlled substance and state-legal programs will continue to operate outside of federally legal channels in their distribution of the substance particularly because no state operator holds a DEA registration to possess or distribute cannabis. However, some fear that the DEA or FDA may impose additional requirements or begin to target enforcement of state cannabis programs. If our clients are ultimately negatively impacted by rescheduling, we would likely be unable to execute our business plan, and our business and financial results would be adversely affected.</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Additionally, although the current U.S. Attorney General is expected to issue policy guidance to federal prosecutors that they should not interfere with cannabis businesses operating in compliance with states’ laws, any such guidance would not have the force of law, and could not be enforced by the courts. The President alone cannot legalize medical cannabis, and as states have demonstrated, legalizing medical cannabis can take many different forms.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January 20, 2021, President Biden formally nominated Merrick Garland to his cabinet as the U.S. Attorney General. Confirmation hearings for Attorney General Garland began on February 22, 2021. On the first date of his confirmation hearing, Attorney General Garland stated that he did not see enforcement of federal cannabis law as a high priority use of resources for the DOJ: “This is a question of the prioritization of our resources and prosecutorial discretion. It does not seem to me a useful use of limited resources that we have, to be pursuing prosecutions in states that have legalized and that are regulating the use of marijuana, either medically or otherwise. I don’t think that’s a useful use. I do think we need to be sure there are no end-runs around the state laws that criminal enterprises are doing. So that kind of enforcement should be continued. But I don’t think it’s a good use of our resources, where states have already authorized. That only confuses people, obviously, within the state.” In April 2022, Attorney General Garland reiterated that prosecuting the possession of cannabis is “not an efficient use” of federal resources, especially “given the ongoing opioid and methamphetamine epidemic[s]” facing the nation. And, in March 2023,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Attorney General Garland testified that the Department of Justice was continuing its progress on a new cannabis enforcement guidance, which he described as “very close to what was done in the Cole memorandum.” While the statement is not a promise to avoid federal interference with state cannabis laws, it does continue to signal that the enforcement priorities of DOJ lie elsewhere.</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Furthermore, while industry observers are hopeful that there will continue to be incremental federal cannabis policy reform, we cannot provide assurances about the content, timing or chances of passage of a bill legalizing cannabis. In recent years, members of the U.S. Congress from both parties have introduced bills to end the federal cannabis prohibition, by de-scheduling cannabis completely and regulating it, as well as incremental reform bills, including the “Medical Marijuana and Cannabidiol Research Expansion Act” described above. While the timing of federal reform remains unknown, it is expected that federal policy on cannabis will continue becoming more, rather than less, permissive, and legislative efforts to legalize cannabis or cannabis banking at the national level are likely to continue in 2024. However, the outcome of the 2024 presidential election could impact reform in ways that are unpredictable. Accordingly,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34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 rescission of the DOJ’s guidance on the state cannabis programs in early 2018 increased uncertainty and heightened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Biden’s stance on cannabis enforcement and current and foreseeable decriminalization and legalization initiatives, can be found in the “U.S. and Territories” section.</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176"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5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6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are dependent on the banking industry to support the financial functions of our products and solutions. Our business operating functions including payroll for our employees and other expenses are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spacing w:after="0" w:line="8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8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do not sell cannabis, or products that contain cannabis; accordingly, our company is not part of the cannabis industry that generally has been restricted from using federal and federally insured banks. However, because of “weed” in our name and the fact that our revenue is generated largely from companies licensed as operators in the cannabis industry, banks have and may continue to consider us to be subject to banking restrictions related to cannabis.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 banks and financial</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institutions, merchant processors may take a similar view of the risks of working with us since we provide services to cannabis businesses, and loss of any of our merchant processor relationships could have similar results. Moreover, Visa and Mastercard currently prohibit processing of transactions involving the sale of cannabis on their networks, and Mastercard has reportedly issued cease-and-desist letters to certain banks and payment processors to stop allowing such transactions on its debit cards. Although consumers cannot currently purchase products on the Weedmaps 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 Furthermore, our clients may be adversely impacted by Visa’s or Mastercard’s policies, which could in turn have a material adverse effect on our business and results of operations.</w:t>
      </w:r>
    </w:p>
    <w:p>
      <w:pPr>
        <w:spacing w:after="0" w:line="35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Participating in transactions involving proceeds derived from cannabis may constitute criminal money laundering.</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Participating in transactions involving proceeds derived from cannabis may constitute criminal money laundering. It is a federal crime to engage in certain transactions involving the proceeds of a “specified unlawful activity” (a “SUA”) when those transactions are designed to promote an underlying SUA, or conceal the source of the funds. Violations of the CSA and violations of a state’s laws may be deemed to be SUAs. In the event that any of our investments, or any proceeds thereof, any dividends or distributions therefrom, or any profits or revenues were found to be in violation of anti-money laundering legislation or otherwise, such transactions may be viewed as proceeds of crime under one or more of statutes of the United States or any other applicable jurisdiction. This could restrict or otherwise jeopardize our ability to declare or pay dividends, effect other distributions, or subsequently require us to repatriate such funds back to the United States from Canada or other foreign jurisdictions.</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any of our clients’ business activities, any dividends or distributions therefrom, or any profits or revenue accruing thereby are found to be in violation of money laundering statutes, we and our investors could be subject to criminal liability and significant penalties and fines. Any violations of these laws, or allegations of such violations could disrupt our operations and involve significant management distraction and expenses. Facing money laundering charges could materially affect our business, operations and financial condition. Additionally, proceeds from our clients’ business activities, if found to be in violation of anti-money laundering laws, could subject payments we have received from those clients to seizure or forfeiture, if they are found to be illegal proceeds of a crime committed by a client, which could have a material adverse effect on our business and our investors. Finally, if we or any of our clients are found to be violating the above statutes, this could have a material adverse effect on our ability to access or maintain financial services, as discussed in detail below, which could, in turn, have a material adverse effect on our business.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using bankruptcy courts due to our involvement in the regulated cannabis industry.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conduct of third parties may jeopardize our business.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Policy &amp; Compliance Operations team that reviews cannabis license information for operational cannabis retail clients, both on submission and on an ongoing basis, to ensure validity and accuracy. We require all operational cannabis retailer clients, including storefronts and delivery services, to display on their WMH listing a valid, unexpired state-issued license number. For certain of our products or services, we request additional verification and documentation. We cannot ensure that the conduct of our clients, who are third parties, and their actions could expose them to legal sanctions and costs, which would in turn, adversely affect our business and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conduct of third parties may jeopardize our regulatory compliance.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Policy &amp; Compliance Operations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w:t>
      </w:r>
    </w:p>
    <w:p>
      <w:pPr>
        <w:spacing w:after="0" w:line="18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FDA regulation of adult-use and medical-use cannabis, as well as e-cigarettes and other vaping products, could negatively affect the cannabis industry, which would directly affect our financial condition.</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Should the federal government legalize cannabis for adult-use and/or medical-use, it is possible that the U.S. Food and Drug Administration (the “FDA”) would seek to regulate it under the Food, Drug and Cosmetics Act of 1938, as it has with federally legal hemp. Additionally, the FDA may issue rules and regulations including certified good manufacturing practices related to the growth, cultivation, harvesting and processing of adult-use and medical-use cannabis. Clinical trials may be needed to verify efficacy and safety. It is also possible that the FDA would require that facilities where adult-use and medical-use cannabis is grown register with the FDA and comply with certain federally prescribed regulations.</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as a result of the recent lung injuries and deaths associated with e-cigarettes and other vaping products, the FDA and the U.S. Centers for Disease Control and Prevention (the “CDC”) have warned consumers not to use vaping products containing tetrahydrocannabinol (“THC”). While the FDA and the CDC continue to conduct ongoing investigations, it is currently unknown when and whether the FDA will impose additional rules and regulations on e-cigarettes and other vaping products.</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the event that some or all of these regulations are imposed, we do not know what the impact would be on the adult-use and medical-use cannabis industry, including what costs, requirements and possible prohibitions may be enforced. If our clients are unable to comply with any new rules, regulations or registration as prescribed by the FDA, or are unable to do so in a cost-effective manner, our clients may be unable to continue to operate their respective business in its current form, or at all, which may also result in our clients being unable to continue engaging our technology services.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Synthetic or hemp-derived products may compete with cannabis use and products.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hemp and pharmaceutical industry may attempt to compete with or dominate the cannabis industry, and in particular, legal cannabis, through the development and distribution of hemp-derived or synthetic products which emulate the effects and treatment of cannabis. If they are successful, the widespread popularity of such products could change the demand, volume and profitability of the cannabis industry. This could adversely affect the ability of our clients to secure long-term profitability and success.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Recently, there has been a proliferation of the extraction of delta-8-THC and other intoxicating cannabinoids from industrial hemp and infusion of these isomers into various saleable and finished products. Utilizing the legality of industrial hemp under U.S. federal law, many such products are available for sale through unlicensed channels and are shipped in interstate commerce. Additionally, some hemp companies sell hemp-derived THC products with state authorization. Given the similar intoxicating effects to cannabis-derived THC, which is an illegal substance under the CSA, and its substantially lower price point, patients and consumers may choose to consume hemp-derived products in lieu of cannabis-derived products. In light of the substantial investment our clients have made and continue to make in state-licensed cannabis facilities, the widespread use of hemp-derived THC or synthetic products could adversely impact our clients, which could, in turn, have a material adverse effect on our business and results of operations.</w:t>
      </w:r>
    </w:p>
    <w:p>
      <w:pPr>
        <w:spacing w:after="0" w:line="19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believe that Section 230(c)(1) of the Communications Decency Act (“CDA”) provides immunity from civil and state criminal liability, but it is possible that it does not.</w:t>
      </w:r>
    </w:p>
    <w:p>
      <w:pPr>
        <w:spacing w:after="0" w:line="5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WM Learn and WM Policy. All of these sections are general news and information, and none of these sections are advertisements for, or listing pages of, cannabis businesses, except in limited circumstances related to descriptions of certain cannabis strains. For additional information about Section 230, see the section captioned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 risks. In addition, there 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continue to be subject to constraints on marketing our products.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are subject to unfavorable U.S. tax treatment.</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Until and unless cannabis is rescheduled to Schedule III, Section 280E of the Code may continue to apply to cannabis and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may have a lesser impact on cannabis cultivation and manufacturing operations than on sales operations, which directly affects our clients, who are cannabis retailers. However, Section 280E and related IRS enforcement activity have had a significant impact on the operations of all cannabis companies. While the Section does not directly affect our Company, it lowers our clients’ profitability, and could result in decreased demand for our listing and marketing services. An otherwise profitable cannabis business may operate at a loss after taking into account its U.S. income tax expenses. This affects us because our sales and operating results could be adversely affected if our clients decrease their marketing budgets and are operating on lower profit margins as a result of unfavorable treatment by the Code.</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Service providers to cannabis businesses may also be subject to unfavorable U.S. tax treatment.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believe that Section 280E does not apply to our business, or ancillary service providers that work with state-licensed cannabis businesses, if the IRS interprets the section to apply, it would significantly and materially affect our profitability and financial condition.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may be subject to civil asset forfeiture.</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Any property owned by participants in the cannabis industry used in the course of conducting such business, or that represents proceeds of such business or is traceable to proceeds of such business, could be subject to seizure by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enforcement and subsequent civil asset forfeiture because of the illegality of the cannabis industry under federal law. Even if the owner of the property or the assets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341"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There may be difficulty enforcing certain of our commercial agreements and contracts.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336"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directors, officers, employees and investors who are not U.S. citizens may face constraints on cross-border travel into the United States.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 duty of the U.S. Customs and Border Protection (“CBP”), and these officers have wide latitude to ask questions to determine the admissibility of a foreign national. The government of Canada has started warning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 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 facilitating the proliferation of the legal marijuana industry in U.S. states where it is deemed legal or in Canada may affect admissibility to the United States. CBP updated its stated policy on October 9, 2018 to clarify that a Canadian citizen coming to the United States for reasons unrelated to the cannabis industry will generally be admissible to the United States.</w:t>
      </w:r>
    </w:p>
    <w:p>
      <w:pPr>
        <w:spacing w:after="0" w:line="8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a result, CBP has affirmed that employees, directors, officers, managers and investors of companies involved in business activities related to cannabis in the United States or Canada (such as us), who are not U.S. citizens, face the risk of being barred from entry into the United States for life. On October 9, 2018, CBP released an additional policy statement indicating that Canadian citizens working in or facilitating the proliferation of the legal cannabis industry in Canada, if travelling to the United 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of June 30, 2024, our affiliates, executive officers, directors and their respective affiliates as a group beneficially own approximately 22.6% of our outstanding Class A Common Stock and Class V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spacing w:after="0" w:line="18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under the U.S. federal securities laws, and the reduced reporting requirements applicable to smaller reporting companies could make our common stock less attractive to investors.</w:t>
      </w:r>
    </w:p>
    <w:p>
      <w:pPr>
        <w:spacing w:after="0" w:line="6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under U.S. federal securities laws. For as long as we continue to be a smaller reporting company, we may take advantage of exemptions from various reporting requirements that are applicable to other public companies that are not smaller reporting companies, including reduced disclosure obligations regarding executive compensation in our periodic reports and proxy statements. Investors may not find our common stock attractive because we may rely on these exemptions. If some investors find our common stock less attractive as a result, there may be a less active trading market for our common stock and our stock price may be more volatile.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declare any dividends in the foreseeable future.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172"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6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Delaware General Corporation Law (the “DGCL”) confers jurisdiction to the Court of Chancery of the State of 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the ability of our stockholders to bring a claim in a judicial forum that such stockholder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 provision could have the effect of discouraging claims or limiting investors’ ability to bring claims in a judicial forum that they find favorable.</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In March 2020, the Delaware Supreme Court issued a decision in </w:t>
      </w:r>
      <w:r>
        <w:rPr>
          <w:rFonts w:ascii="Times New Roman" w:cs="Times New Roman" w:eastAsia="Times New Roman" w:hAnsi="Times New Roman"/>
          <w:sz w:val="18"/>
          <w:szCs w:val="18"/>
          <w:i w:val="1"/>
          <w:iCs w:val="1"/>
          <w:color w:val="auto"/>
        </w:rPr>
        <w:t>Salzburg et al. v. Sciabacucchi</w:t>
      </w:r>
      <w:r>
        <w:rPr>
          <w:rFonts w:ascii="Times New Roman" w:cs="Times New Roman" w:eastAsia="Times New Roman" w:hAnsi="Times New Roman"/>
          <w:sz w:val="18"/>
          <w:szCs w:val="18"/>
          <w:color w:val="auto"/>
        </w:rPr>
        <w:t>,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 of a substantial number of our shares in the public market could cause the market price of our Class A Common Stock to drop significantly, even if our business is doing well.</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the public warrants originally issued in the initial public offering of Silver Spike (the “Public Warrants”).</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 the extent the Public Warrants or other exercisable securities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 holders could increase the volatility of the market price of our Class A Common Stock or adversely affect the market price of our Class A Common Stock.</w:t>
      </w:r>
    </w:p>
    <w:p>
      <w:pPr>
        <w:spacing w:after="0" w:line="179"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5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68" w:lineRule="exact"/>
        <w:rPr>
          <w:sz w:val="20"/>
          <w:szCs w:val="20"/>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interests of our investors;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Class A Common Stock if preferred stock is issued with rights senior to those afforded our Class A Common Stock;</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Class A Common Stock and/or Warrants.</w:t>
      </w:r>
    </w:p>
    <w:p>
      <w:pPr>
        <w:spacing w:after="0" w:line="221" w:lineRule="exact"/>
        <w:rPr>
          <w:sz w:val="20"/>
          <w:szCs w:val="20"/>
          <w:color w:val="auto"/>
        </w:rPr>
      </w:pPr>
    </w:p>
    <w:p>
      <w:pPr>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and the Public Warrants have been, and may continue to be, volatile, and the value of our Class A Common Stock and Warrants may decline.</w:t>
      </w:r>
    </w:p>
    <w:p>
      <w:pPr>
        <w:spacing w:after="0" w:line="5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and the Public Warrants have been and may continue to be subject to wide fluctuations in response to numerous factors, many of which are beyond our control, including:</w:t>
      </w:r>
    </w:p>
    <w:p>
      <w:pPr>
        <w:spacing w:after="0" w:line="54" w:lineRule="exact"/>
        <w:rPr>
          <w:sz w:val="20"/>
          <w:szCs w:val="20"/>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projected operational and financial results;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or conclusion of legal proceedings that involve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services by us or our competitors;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joint ventures;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capital-raising activities or commitments;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by investors or analysts of third-party data regarding our business that may not reflect our financial performance;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securities, including short selling of our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civil unrest, war, foreign invasions, terrorism, or public health crises, or responses to such events.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Furthermore, the stock markets frequently experience extreme price and volume fluctuations that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elections, interest rate changes, or international currency fluctuations, may negatively impact the market price of our Class A Common Stock and the Public Warrants. As a result of such fluctuations, you may not realize any return on your investment in us and may lose some or all of your investment. In the past, companies that have experienced volatility in the market price of their stock have been subject to securities class action litigation or derivative litigation. For example, stockholders have filed or threatened to file derivative lawsuits, purportedly on our behalf, in the past and may do so in the future. Such litigation could result in substantial costs and divert our management’s attention from other business concerns.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global, regional or local economic and market conditions may adversely affect our business, operating results and financial condition.</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have been and may be further disproportionately affected by economic downturns.</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Clients may choose to allocate their spending to items other than our platform, especially during economic downturns. 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75"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179"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operations depend, in part, on our ability to protect our facilities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advertising placements, any of which could harm our business.</w:t>
      </w:r>
    </w:p>
    <w:p>
      <w:pPr>
        <w:spacing w:after="0" w:line="18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increased costs and administrative burden as a result of operating as a public company, and our management will continue to devote substantial time to new compliance initiatives.</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the Nasdaq Stock Market (“Nasdaq”). Our management and other personnel devote a substantial amount of time to these compliance initiatives. Moreover, we expect these rules and regulations to substantially increase our legal and financial compliance costs and to make some activities more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time-consuming and costly. The increased costs will increase our net loss or reduce our net income. Compliance with public company requirements will increase costs and make certain activities more time-consuming. A number of those requirements will require us to carry out activities we have not done previously. 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our recent identification of material weaknesses in our internal controls over financial reporting and any additional material weaknesses or significant deficiency in the internal control over financial reporting that we or our independent registered public accounting firm may identify in the future), we could incur additional costs rectifying those issues, and the existence of those issues could adversely affect our reputation or investor perceptions of it. It may also be more expensive to obtain director and officer liability insurance. We cannot predict or estimate the amount or timing of additional costs it may incur to respond to these requirements. The impact of these requirements could also make it more difficult for us to attract and retain qualified persons to serve on our board of directors, our board committees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191"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securities and industry analysts may not publish, have in the past ceased publishing, or may in the future cease publishing research or reports about us, our business or our market, or may adversely change their recommendations regarding our Class A Common Stock, which could cause the price and trading volume of our Class A Common Stock to decline.</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funds to satisfy indemnification claims of our directors and executive officers.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agreed to indemnify our officers and directors to the fullest extent permitted by law. Accordingly,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benefit us and our shareholders. Furthermore, a shareholder’s investment may be adversely affected to the extent we pay the costs of settlement and damage awards against our officers and directors pursuant to these indemnification provisions.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All of the Class A Common Stock and Warrants offered by the Selling Securityholders pursuant to this prospectus will be sold by the Selling Securityholders for their respective accounts. We will not receive any of the proceeds from these sales.</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will receive up to an aggregate of approximately $224.3 million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 AND DIVIDEND POLICY</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Our Class A Common Stock and Public Warrants are currently listed on Nasdaq under the symbols “MAPS” and “MAPSW”, respectively. As of August 26, 2024, there were 97,376,026 shares of Class A Common Stock issued and outstanding and 55,486,361 shares of our Class V common stock (the “Class V Common Stock”) issued and outstanding. No market exists for the Class V Common Stock.</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As of August 26, 2024, there were 115 holders of record of our Class A Common Stock, 12 holders of record of our Class V Common Stock and 2 holders of record of our Public Warrants.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not paid any cash dividends on the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we or our subsidiaries incur. We do not anticipate declaring any cash dividends to holders of Common Stock in the foreseeable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7"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notes to those statements included in this prospectus. Certain information contained in the discussion and analysis set forth below contains forward-looking statements that involve risks and uncertainties. Our actual results may differ materially from those anticipated in these forward-looking statements as a result of many factors. Please see the sections entitled “Cautionary Note Regarding Forward-Looking Statements” and “Risk Factors” and elsewhere in this prospectus.</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Second Quarter 2024 Financial Highlights</w:t>
      </w:r>
    </w:p>
    <w:p>
      <w:pPr>
        <w:spacing w:after="0" w:line="121" w:lineRule="exact"/>
        <w:rPr>
          <w:sz w:val="20"/>
          <w:szCs w:val="20"/>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$45.9 million as compared to $48.4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paying clients was 5,045, as compared to 5,609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net revenues per paying client was $3,033, as compared to $2,878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$1.2 million as compared to $2.0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$10.1 million as compared to $10.2 million in the prior year.</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Fiscal Year 2023 Financial Highlights</w:t>
      </w:r>
    </w:p>
    <w:p>
      <w:pPr>
        <w:spacing w:after="0" w:line="121" w:lineRule="exact"/>
        <w:rPr>
          <w:sz w:val="20"/>
          <w:szCs w:val="20"/>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was $188.0 million as compared to $215.5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paying clients was 5,419, as compared to 5,457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net revenue per paying client was $2,891, as compared to $3,291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$15.7 million as compared to $82.7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$36.9 million.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totaled $34.4 million as of December 31, 2023, with no long-term debt.</w:t>
      </w:r>
    </w:p>
    <w:p>
      <w:pPr>
        <w:spacing w:after="0" w:line="11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further information about how we calculate EBITDA and Adjusted EBITDA as well as limitations of its use and a reconciliation of EBITDA and Adjusted EBITDA to net income (loss), see “Net Income (Loss) to EBITDA and Adjusted EBITDA” under the heading Non-GAAP Financial Measures below.</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is a premier destination for cannabis consumers to discover and browse information regarding cannabis and cannabis products with 5,045 average monthly paying clients during the three months ended June 30, 2024 on the supply-side of our marketplace. These paying clients include retailers, brands and other client types (such as doctors). Further, these clients, who can choose to purchase multiple listings solutions for each business, had purchased approximately 8,000 listing pages as of June 30, 2024.</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sell our Weedmaps for Business suite in the United States and have a limited number of non-monetized listings in several other countries including Austria, Canada, Germany, the Netherlands, Spain and Switzerland. We operate in the United States, Canada and other foreign jurisdictions where medical and/or adult cannabis use is legal under state or national law. As of June 30, 2024, we actively operated in over 35 U.S. states and territories that have adult-use and/or medical-use regulations in place. Substantially all of our revenue was generated in the United States during the periods presented. We define actively operated markets as those U.S. states or territories with greater than $1,000 monthly revenue.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to evaluate our business, measure our performance, identify trends affecting our business, formulate business plans, and make strategic decisions.</w:t>
      </w:r>
    </w:p>
    <w:p>
      <w:pPr>
        <w:spacing w:after="0" w:line="54"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following tables summarize our financial performance for the three and six months ended June 30, 2024 compared with the same period in 2023 and for the year ended December 31, 2023 compared to our financial performance for the years ended December 31, 2022 and 2021. For a detailed discussion of our results of operations, see “Results of Operations for the Three and Six Months Ended June 30, 2024 and 2023” and “Results of Operations for the Years Ended December 31, 2023, 2022 and 2021” below.</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 the Three and Six Months Ended June 30, 2024 and 2023</w:t>
      </w:r>
    </w:p>
    <w:p>
      <w:pPr>
        <w:spacing w:after="0" w:line="236" w:lineRule="exact"/>
        <w:rPr>
          <w:sz w:val="20"/>
          <w:szCs w:val="20"/>
          <w:color w:val="auto"/>
        </w:rPr>
      </w:pPr>
    </w:p>
    <w:tbl>
      <w:tblPr>
        <w:tblLayout w:type="fixed"/>
        <w:tblInd w:w="4740" w:type="dxa"/>
        <w:tblCellMar>
          <w:top w:w="0" w:type="dxa"/>
          <w:left w:w="0" w:type="dxa"/>
          <w:bottom w:w="0" w:type="dxa"/>
          <w:right w:w="0" w:type="dxa"/>
        </w:tblCellMar>
      </w:tblPr>
      <w:tr>
        <w:trPr>
          <w:trHeight w:val="190"/>
        </w:trPr>
        <w:tc>
          <w:tcPr>
            <w:tcW w:w="21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50"/>
        </w:trPr>
        <w:tc>
          <w:tcPr>
            <w:tcW w:w="10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27"/>
        </w:trPr>
        <w:tc>
          <w:tcPr>
            <w:tcW w:w="10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9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31750</wp:posOffset>
            </wp:positionV>
            <wp:extent cx="25203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(dollars in thousands, except for net revenues per paying client)</w:t>
      </w:r>
    </w:p>
    <w:p>
      <w:pPr>
        <w:spacing w:after="0" w:line="80" w:lineRule="exact"/>
        <w:rPr>
          <w:sz w:val="20"/>
          <w:szCs w:val="20"/>
          <w:color w:val="auto"/>
        </w:rPr>
      </w:pPr>
    </w:p>
    <w:tbl>
      <w:tblPr>
        <w:tblLayout w:type="fixed"/>
        <w:tblInd w:w="300" w:type="dxa"/>
        <w:tblCellMar>
          <w:top w:w="0" w:type="dxa"/>
          <w:left w:w="0" w:type="dxa"/>
          <w:bottom w:w="0" w:type="dxa"/>
          <w:right w:w="0" w:type="dxa"/>
        </w:tblCellMar>
      </w:tblPr>
      <w:tr>
        <w:trPr>
          <w:trHeight w:val="378"/>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9"/>
                <w:szCs w:val="29"/>
                <w:color w:val="auto"/>
                <w:vertAlign w:val="superscript"/>
              </w:rPr>
              <w:t>(1)</w:t>
            </w:r>
          </w:p>
        </w:tc>
        <w:tc>
          <w:tcPr>
            <w:tcW w:w="12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$45,903</w:t>
            </w:r>
          </w:p>
        </w:tc>
        <w:tc>
          <w:tcPr>
            <w:tcW w:w="10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$48,423</w:t>
            </w:r>
          </w:p>
        </w:tc>
        <w:tc>
          <w:tcPr>
            <w:tcW w:w="9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$90,292</w:t>
            </w:r>
          </w:p>
        </w:tc>
        <w:tc>
          <w:tcPr>
            <w:tcW w:w="9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$94,839</w:t>
            </w:r>
          </w:p>
        </w:tc>
      </w:tr>
      <w:tr>
        <w:trPr>
          <w:trHeight w:val="27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1,194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1,983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3,153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(1,986)</w:t>
            </w:r>
          </w:p>
        </w:tc>
      </w:tr>
      <w:tr>
        <w:trPr>
          <w:trHeight w:val="54"/>
        </w:trPr>
        <w:tc>
          <w:tcPr>
            <w:tcW w:w="4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365"/>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9"/>
                <w:szCs w:val="29"/>
                <w:color w:val="auto"/>
                <w:vertAlign w:val="superscript"/>
              </w:rPr>
              <w:t>(2)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4,383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4,826</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9,277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4,024</w:t>
            </w:r>
          </w:p>
        </w:tc>
      </w:tr>
      <w:tr>
        <w:trPr>
          <w:trHeight w:val="365"/>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(2)</w:t>
            </w: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$10,090</w:t>
            </w: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$10,227</w:t>
            </w: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$19,689</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$17,357</w:t>
            </w:r>
          </w:p>
        </w:tc>
      </w:tr>
      <w:tr>
        <w:trPr>
          <w:trHeight w:val="36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net revenues per paying client</w:t>
            </w:r>
            <w:r>
              <w:rPr>
                <w:rFonts w:ascii="Times New Roman" w:cs="Times New Roman" w:eastAsia="Times New Roman" w:hAnsi="Times New Roman"/>
                <w:sz w:val="29"/>
                <w:szCs w:val="29"/>
                <w:color w:val="auto"/>
                <w:vertAlign w:val="superscript"/>
              </w:rPr>
              <w:t>(1)(3)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3,033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2,878</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3,015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2,810</w:t>
            </w:r>
          </w:p>
        </w:tc>
      </w:tr>
      <w:tr>
        <w:trPr>
          <w:trHeight w:val="43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9"/>
                <w:szCs w:val="29"/>
                <w:color w:val="auto"/>
                <w:vertAlign w:val="superscript"/>
              </w:rPr>
              <w:t>(4)</w:t>
            </w:r>
          </w:p>
        </w:tc>
        <w:tc>
          <w:tcPr>
            <w:tcW w:w="540" w:type="dxa"/>
            <w:vAlign w:val="bottom"/>
          </w:tcPr>
          <w:p>
            <w:pPr>
              <w:spacing w:after="0"/>
              <w:rPr>
                <w:sz w:val="24"/>
                <w:szCs w:val="24"/>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5,045</w:t>
            </w:r>
          </w:p>
        </w:tc>
        <w:tc>
          <w:tcPr>
            <w:tcW w:w="360" w:type="dxa"/>
            <w:vAlign w:val="bottom"/>
          </w:tcPr>
          <w:p>
            <w:pPr>
              <w:spacing w:after="0"/>
              <w:rPr>
                <w:sz w:val="24"/>
                <w:szCs w:val="24"/>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5,609</w:t>
            </w:r>
          </w:p>
        </w:tc>
        <w:tc>
          <w:tcPr>
            <w:tcW w:w="340" w:type="dxa"/>
            <w:vAlign w:val="bottom"/>
          </w:tcPr>
          <w:p>
            <w:pPr>
              <w:spacing w:after="0"/>
              <w:rPr>
                <w:sz w:val="24"/>
                <w:szCs w:val="24"/>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4,991</w:t>
            </w:r>
          </w:p>
        </w:tc>
        <w:tc>
          <w:tcPr>
            <w:tcW w:w="300" w:type="dxa"/>
            <w:vAlign w:val="bottom"/>
          </w:tcPr>
          <w:p>
            <w:pPr>
              <w:spacing w:after="0"/>
              <w:rPr>
                <w:sz w:val="24"/>
                <w:szCs w:val="24"/>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110490</wp:posOffset>
            </wp:positionV>
            <wp:extent cx="8229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9" w:lineRule="exact"/>
        <w:rPr>
          <w:sz w:val="20"/>
          <w:szCs w:val="20"/>
          <w:color w:val="auto"/>
        </w:rPr>
      </w:pPr>
    </w:p>
    <w:p>
      <w:pPr>
        <w:jc w:val="both"/>
        <w:ind w:left="640" w:right="299" w:hanging="348"/>
        <w:spacing w:after="0" w:line="241"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six ended June 30, 2023, net revenues has been retrospectively adjusted to reflect the restatement of previously reported revenue. See Note 2, “Summary of Significant Accounting Policies,” to our unaudited condensed consolidated financial statements included in this prospectus for further information.</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about how we calculate EBITDA and Adjusted EBITDA as well as limitations of its use and a reconciliation of EBITDA and Adjusted EBITDA to net income (loss), see “Net Income (Loss) to EBITDA and Adjusted EBITDA” below.</w:t>
      </w:r>
    </w:p>
    <w:p>
      <w:pPr>
        <w:jc w:val="both"/>
        <w:ind w:left="640" w:right="299" w:hanging="348"/>
        <w:spacing w:after="0" w:line="236"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net revenues per paying client is defined as the average monthly net revenues for any particular period divided by the average monthly paying clients in the same respective period. Average monthly net revenues per paying client is calculated in the same manner as our previously-reported “average monthly revenue per paying client,” and the description of the metric is being updated solely to clarify that it is calculated using net revenues.</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paying clients are defined as the average of the number of paying clients billed in a month across a particular period (and for which services were provided).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December 31, 2023, 2022 and 2021</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2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0"/>
        </w:trPr>
        <w:tc>
          <w:tcPr>
            <w:tcW w:w="45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7"/>
        </w:trPr>
        <w:tc>
          <w:tcPr>
            <w:tcW w:w="4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9"/>
                <w:szCs w:val="19"/>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7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0"/>
        </w:trPr>
        <w:tc>
          <w:tcPr>
            <w:tcW w:w="4520" w:type="dxa"/>
            <w:vAlign w:val="bottom"/>
          </w:tcPr>
          <w:p>
            <w:pPr>
              <w:spacing w:after="0"/>
              <w:rPr>
                <w:sz w:val="4"/>
                <w:szCs w:val="4"/>
                <w:color w:val="auto"/>
              </w:rPr>
            </w:pPr>
          </w:p>
        </w:tc>
        <w:tc>
          <w:tcPr>
            <w:tcW w:w="3900" w:type="dxa"/>
            <w:vAlign w:val="bottom"/>
            <w:tcBorders>
              <w:bottom w:val="single" w:sz="8" w:color="auto"/>
            </w:tcBorders>
            <w:gridSpan w:val="6"/>
          </w:tcPr>
          <w:p>
            <w:pPr>
              <w:spacing w:after="0"/>
              <w:rPr>
                <w:sz w:val="4"/>
                <w:szCs w:val="4"/>
                <w:color w:val="auto"/>
              </w:rPr>
            </w:pPr>
          </w:p>
        </w:tc>
      </w:tr>
      <w:tr>
        <w:trPr>
          <w:trHeight w:val="227"/>
        </w:trPr>
        <w:tc>
          <w:tcPr>
            <w:tcW w:w="4520" w:type="dxa"/>
            <w:vAlign w:val="bottom"/>
          </w:tcPr>
          <w:p>
            <w:pPr>
              <w:spacing w:after="0"/>
              <w:rPr>
                <w:sz w:val="19"/>
                <w:szCs w:val="19"/>
                <w:color w:val="auto"/>
              </w:rPr>
            </w:pPr>
          </w:p>
        </w:tc>
        <w:tc>
          <w:tcPr>
            <w:tcW w:w="3900" w:type="dxa"/>
            <w:vAlign w:val="bottom"/>
            <w:gridSpan w:val="6"/>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(dollars in thousands, except for revenue per paying client)</w:t>
            </w:r>
          </w:p>
        </w:tc>
      </w:tr>
      <w:tr>
        <w:trPr>
          <w:trHeight w:val="51"/>
        </w:trPr>
        <w:tc>
          <w:tcPr>
            <w:tcW w:w="452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1820" w:type="dxa"/>
            <w:vAlign w:val="bottom"/>
            <w:gridSpan w:val="2"/>
          </w:tcPr>
          <w:p>
            <w:pPr>
              <w:spacing w:after="0"/>
              <w:rPr>
                <w:sz w:val="4"/>
                <w:szCs w:val="4"/>
                <w:color w:val="auto"/>
              </w:rPr>
            </w:pPr>
          </w:p>
        </w:tc>
        <w:tc>
          <w:tcPr>
            <w:tcW w:w="1020" w:type="dxa"/>
            <w:vAlign w:val="bottom"/>
            <w:gridSpan w:val="2"/>
          </w:tcPr>
          <w:p>
            <w:pPr>
              <w:spacing w:after="0"/>
              <w:rPr>
                <w:sz w:val="4"/>
                <w:szCs w:val="4"/>
                <w:color w:val="auto"/>
              </w:rPr>
            </w:pPr>
          </w:p>
        </w:tc>
      </w:tr>
      <w:tr>
        <w:trPr>
          <w:trHeight w:val="318"/>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060" w:type="dxa"/>
            <w:vAlign w:val="bottom"/>
            <w:tcBorders>
              <w:bottom w:val="single" w:sz="8" w:color="CCEEFF"/>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$187,993</w:t>
            </w:r>
          </w:p>
        </w:tc>
        <w:tc>
          <w:tcPr>
            <w:tcW w:w="1820" w:type="dxa"/>
            <w:vAlign w:val="bottom"/>
            <w:tcBorders>
              <w:bottom w:val="single" w:sz="8" w:color="CCEEFF"/>
            </w:tcBorders>
            <w:gridSpan w:val="2"/>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$215,531</w:t>
            </w:r>
          </w:p>
        </w:tc>
        <w:tc>
          <w:tcPr>
            <w:tcW w:w="1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$193,146</w:t>
            </w:r>
          </w:p>
        </w:tc>
      </w:tr>
      <w:tr>
        <w:trPr>
          <w:trHeight w:val="27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(15,727)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w w:val="97"/>
              </w:rPr>
              <w:t>(82,651)</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$152,218</w:t>
            </w:r>
          </w:p>
        </w:tc>
      </w:tr>
      <w:tr>
        <w:trPr>
          <w:trHeight w:val="54"/>
        </w:trPr>
        <w:tc>
          <w:tcPr>
            <w:tcW w:w="4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20" w:type="dxa"/>
            <w:vAlign w:val="bottom"/>
            <w:gridSpan w:val="2"/>
          </w:tcPr>
          <w:p>
            <w:pPr>
              <w:spacing w:after="0"/>
              <w:rPr>
                <w:sz w:val="4"/>
                <w:szCs w:val="4"/>
                <w:color w:val="auto"/>
              </w:rPr>
            </w:pPr>
          </w:p>
        </w:tc>
        <w:tc>
          <w:tcPr>
            <w:tcW w:w="1020" w:type="dxa"/>
            <w:vAlign w:val="bottom"/>
            <w:gridSpan w:val="2"/>
          </w:tcPr>
          <w:p>
            <w:pPr>
              <w:spacing w:after="0"/>
              <w:rPr>
                <w:sz w:val="4"/>
                <w:szCs w:val="4"/>
                <w:color w:val="auto"/>
              </w:rPr>
            </w:pPr>
          </w:p>
        </w:tc>
      </w:tr>
      <w:tr>
        <w:trPr>
          <w:trHeight w:val="365"/>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9"/>
                <w:szCs w:val="29"/>
                <w:color w:val="auto"/>
                <w:vertAlign w:val="superscript"/>
              </w:rPr>
              <w:t>(1)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820" w:type="dxa"/>
            <w:vAlign w:val="bottom"/>
            <w:gridSpan w:val="2"/>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$107,924</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$156,042</w:t>
            </w:r>
          </w:p>
        </w:tc>
      </w:tr>
      <w:tr>
        <w:trPr>
          <w:trHeight w:val="36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36,907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(9,633)</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31,698</w:t>
            </w:r>
          </w:p>
        </w:tc>
      </w:tr>
      <w:tr>
        <w:trPr>
          <w:trHeight w:val="365"/>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net revenue per paying client</w:t>
            </w:r>
            <w:r>
              <w:rPr>
                <w:rFonts w:ascii="Times New Roman" w:cs="Times New Roman" w:eastAsia="Times New Roman" w:hAnsi="Times New Roman"/>
                <w:sz w:val="29"/>
                <w:szCs w:val="29"/>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2,891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3,291</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3,711</w:t>
            </w:r>
          </w:p>
        </w:tc>
      </w:tr>
      <w:tr>
        <w:trPr>
          <w:trHeight w:val="43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9"/>
                <w:szCs w:val="29"/>
                <w:color w:val="auto"/>
                <w:vertAlign w:val="superscript"/>
              </w:rPr>
              <w:t>(3)</w:t>
            </w:r>
          </w:p>
        </w:tc>
        <w:tc>
          <w:tcPr>
            <w:tcW w:w="36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5,419</w:t>
            </w:r>
          </w:p>
        </w:tc>
        <w:tc>
          <w:tcPr>
            <w:tcW w:w="680" w:type="dxa"/>
            <w:vAlign w:val="bottom"/>
          </w:tcPr>
          <w:p>
            <w:pPr>
              <w:spacing w:after="0"/>
              <w:rPr>
                <w:sz w:val="24"/>
                <w:szCs w:val="24"/>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5,457</w:t>
            </w:r>
          </w:p>
        </w:tc>
        <w:tc>
          <w:tcPr>
            <w:tcW w:w="240" w:type="dxa"/>
            <w:vAlign w:val="bottom"/>
          </w:tcPr>
          <w:p>
            <w:pPr>
              <w:spacing w:after="0"/>
              <w:rPr>
                <w:sz w:val="24"/>
                <w:szCs w:val="24"/>
                <w:color w:val="auto"/>
              </w:rPr>
            </w:pP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4,337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4677410</wp:posOffset>
            </wp:positionH>
            <wp:positionV relativeFrom="paragraph">
              <wp:posOffset>-1577340</wp:posOffset>
            </wp:positionV>
            <wp:extent cx="1289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-1577340</wp:posOffset>
            </wp:positionV>
            <wp:extent cx="137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50800</wp:posOffset>
            </wp:positionV>
            <wp:extent cx="8229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04" w:lineRule="exact"/>
        <w:rPr>
          <w:sz w:val="20"/>
          <w:szCs w:val="20"/>
          <w:color w:val="auto"/>
        </w:rPr>
      </w:pPr>
    </w:p>
    <w:p>
      <w:pPr>
        <w:jc w:val="both"/>
        <w:ind w:left="640" w:right="299" w:hanging="348"/>
        <w:spacing w:after="0" w:line="24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about how we calculate EBITDA and Adjusted EBITDA as well as limitations of its use and a reconciliation of EBITDA and Adjusted EBITDA to net income (loss), see “Net Income (Loss) to EBITDA and Adjusted EBITDA” under the heading “Non-GAAP Financial Measures” below.</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net revenues per paying client is defined as the average monthly net revenues for any particular period divided by the average monthly paying clients in the same respective period. Average monthly net revenues per paying client is calculated in the same manner as our previously-reported “average monthly revenue per paying client,” and the description of the metric is being updated solely to clarify that it is calculated using net revenues.</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paying clients are defined as the average of the number of paying clients billed in a month across a particular period (and for which services were provided).</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Income (Loss) to EBITDA and Adjusted EBITDA</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financial statements, including net income (loss), are prepared in accordance with GAAP. For more information regarding the components within our net income (loss), see “Components of Our Results of Operations” below.</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income for the three months ended June 30, 2024 and 2023 was $1.2 million and $2.0 million, respectively. The change in net income was primarily due to a decrease in revenue of $2.5 million, partially offset by change in fair value of warrant liability of $1.5 million, change in tax receivable agreement (“TRA”) liability of $0.1 million and a decrease in other expense, net of $0.2 million.</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income for the six months ended June 30, 2024 was $3.2 million compared with a net loss for the six months ended June 30, 2023 of $2.0 million. The increase in net income was primarily due to a decrease in total costs and expenses of $9.9 million, partially offset by a decrease in revenue of $4.5 million and change in tax receivable agreement (“TRA”) liability of $0.3 million.</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Net loss for the year ended December 31, 2023 was $15.7 million compared to a net loss of $82.7 million for the year ended December 31, 2022. The decrease in net loss of $66.9 million was primarily due to a decrease in revenue of $27.5 million, a decrease in comparatively favorable change in fair value of warrant liability of $23.9 million, a decrease in income from the change in tax receivables agreement liability of $143.6 million resulting from the remeasurement of the TRA liability, a decrease in total costs and expenses of $78.7 million, a decrease in provision from income taxes of $179.0 million resulting from the full valuation recorded against our deferred tax assets during the year ended December 31, 2022 and an increase in other expense of $4.2 million.</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 legal settlements and other legal costs, discharge of holdback obligation related to prior acquisition, reduction in force, asset impairment charges, transaction costs, change in TRA liability and other non-cash, unusual and/or infrequent costs in the case of Adjusted EBITDA. Below we have provided a reconciliation of net income (loss) (the most directly comparable GAAP financial measure) to EBITDA; and from EBITDA to Adjusted EBITDA.</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68" w:lineRule="exact"/>
        <w:rPr>
          <w:sz w:val="20"/>
          <w:szCs w:val="20"/>
          <w:color w:val="auto"/>
        </w:rPr>
      </w:pPr>
    </w:p>
    <w:p>
      <w:pPr>
        <w:jc w:val="both"/>
        <w:ind w:left="2000" w:right="1320" w:hanging="348"/>
        <w:spacing w:after="0" w:line="266" w:lineRule="auto"/>
        <w:tabs>
          <w:tab w:leader="none" w:pos="2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67" w:lineRule="exact"/>
        <w:rPr>
          <w:rFonts w:ascii="Times New Roman" w:cs="Times New Roman" w:eastAsia="Times New Roman" w:hAnsi="Times New Roman"/>
          <w:sz w:val="18"/>
          <w:szCs w:val="18"/>
          <w:color w:val="auto"/>
        </w:rPr>
      </w:pPr>
    </w:p>
    <w:p>
      <w:pPr>
        <w:ind w:left="2000" w:right="1320" w:hanging="348"/>
        <w:spacing w:after="0" w:line="282" w:lineRule="auto"/>
        <w:tabs>
          <w:tab w:leader="none" w:pos="2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53" w:lineRule="exact"/>
        <w:rPr>
          <w:rFonts w:ascii="Times New Roman" w:cs="Times New Roman" w:eastAsia="Times New Roman" w:hAnsi="Times New Roman"/>
          <w:sz w:val="18"/>
          <w:szCs w:val="18"/>
          <w:color w:val="auto"/>
        </w:rPr>
      </w:pPr>
    </w:p>
    <w:p>
      <w:pPr>
        <w:ind w:left="2000" w:right="1300" w:hanging="348"/>
        <w:spacing w:after="0" w:line="282" w:lineRule="auto"/>
        <w:tabs>
          <w:tab w:leader="none" w:pos="2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 to us.</w:t>
      </w:r>
    </w:p>
    <w:p>
      <w:pPr>
        <w:spacing w:after="0" w:line="54" w:lineRule="exact"/>
        <w:rPr>
          <w:sz w:val="20"/>
          <w:szCs w:val="20"/>
          <w:color w:val="auto"/>
        </w:rPr>
      </w:pPr>
    </w:p>
    <w:p>
      <w:pPr>
        <w:ind w:left="1300" w:right="1320"/>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income (loss) and our other GAAP results.</w:t>
      </w:r>
    </w:p>
    <w:p>
      <w:pPr>
        <w:spacing w:after="0" w:line="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reconciliation of net income (loss) to non-GAAP EBITDA and Adjusted EBITDA is as follows:</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For the Three and Six Months Ended June 30, 2024 and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6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120" w:type="dxa"/>
            <w:vAlign w:val="bottom"/>
            <w:gridSpan w:val="11"/>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51"/>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3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3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40" w:type="dxa"/>
            <w:vAlign w:val="bottom"/>
            <w:gridSpan w:val="9"/>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$ 1,983</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$ 3,153</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(1,986)</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20" w:type="dxa"/>
            <w:vAlign w:val="bottom"/>
            <w:gridSpan w:val="5"/>
          </w:tcPr>
          <w:p>
            <w:pPr>
              <w:jc w:val="right"/>
              <w:ind w:right="1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6,022</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9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2"/>
                <w:szCs w:val="22"/>
                <w:color w:val="auto"/>
              </w:rPr>
            </w:pPr>
          </w:p>
        </w:tc>
        <w:tc>
          <w:tcPr>
            <w:tcW w:w="9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4,024</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240" w:type="dxa"/>
            <w:vAlign w:val="bottom"/>
          </w:tcPr>
          <w:p>
            <w:pPr>
              <w:spacing w:after="0"/>
              <w:rPr>
                <w:sz w:val="22"/>
                <w:szCs w:val="22"/>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8,092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(460)</w:t>
            </w: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related bonus (recovery) expense</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2,567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1,533</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Reduction in force (recovery) expense</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gridSpan w:val="2"/>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620</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10,090</w:t>
            </w:r>
          </w:p>
        </w:tc>
        <w:tc>
          <w:tcPr>
            <w:tcW w:w="240" w:type="dxa"/>
            <w:vAlign w:val="bottom"/>
          </w:tcPr>
          <w:p>
            <w:pPr>
              <w:spacing w:after="0"/>
              <w:rPr>
                <w:sz w:val="23"/>
                <w:szCs w:val="23"/>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10,227</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19,689</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17,357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For the Years Ended December 31, 2023, 2022 and 2021</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300" w:type="dxa"/>
            <w:vAlign w:val="bottom"/>
          </w:tcPr>
          <w:p>
            <w:pPr>
              <w:spacing w:after="0"/>
              <w:rPr>
                <w:sz w:val="24"/>
                <w:szCs w:val="24"/>
                <w:color w:val="auto"/>
              </w:rPr>
            </w:pPr>
          </w:p>
        </w:tc>
        <w:tc>
          <w:tcPr>
            <w:tcW w:w="45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3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16"/>
          </w:tcPr>
          <w:p>
            <w:pPr>
              <w:ind w:left="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3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3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45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$(15,727)</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(82,651)</w:t>
            </w:r>
          </w:p>
        </w:tc>
        <w:tc>
          <w:tcPr>
            <w:tcW w:w="7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$ 152,218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179,077</w:t>
            </w:r>
          </w:p>
        </w:tc>
        <w:tc>
          <w:tcPr>
            <w:tcW w:w="8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45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11,498</w:t>
            </w:r>
          </w:p>
        </w:tc>
        <w:tc>
          <w:tcPr>
            <w:tcW w:w="7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gridSpan w:val="5"/>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(3,534)</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107,924</w:t>
            </w:r>
          </w:p>
        </w:tc>
        <w:tc>
          <w:tcPr>
            <w:tcW w:w="860" w:type="dxa"/>
            <w:vAlign w:val="bottom"/>
            <w:tcBorders>
              <w:bottom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156,042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220" w:type="dxa"/>
            <w:vAlign w:val="bottom"/>
          </w:tcPr>
          <w:p>
            <w:pPr>
              <w:spacing w:after="0"/>
              <w:rPr>
                <w:sz w:val="22"/>
                <w:szCs w:val="22"/>
                <w:color w:val="auto"/>
              </w:rPr>
            </w:pP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45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(1,505)</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(25,370)</w:t>
            </w:r>
          </w:p>
        </w:tc>
        <w:tc>
          <w:tcPr>
            <w:tcW w:w="86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(166,518)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 transaction costs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45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related bonus expense</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10,119</w:t>
            </w: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45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7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20" w:type="dxa"/>
            <w:vAlign w:val="bottom"/>
          </w:tcPr>
          <w:p>
            <w:pPr>
              <w:spacing w:after="0"/>
              <w:rPr>
                <w:sz w:val="22"/>
                <w:szCs w:val="22"/>
                <w:color w:val="auto"/>
              </w:rPr>
            </w:pP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45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Discharge of holdback obligation related to prior acquisition</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(3,705)</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(142,352)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20" w:type="dxa"/>
            <w:vAlign w:val="bottom"/>
            <w:gridSpan w:val="5"/>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45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 in force (recovery) expense</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5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$ 36,907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  (9,633)</w:t>
            </w:r>
          </w:p>
        </w:tc>
        <w:tc>
          <w:tcPr>
            <w:tcW w:w="86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  31,698</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580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58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-7002780</wp:posOffset>
            </wp:positionV>
            <wp:extent cx="1028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-7002780</wp:posOffset>
            </wp:positionV>
            <wp:extent cx="1028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-7002780</wp:posOffset>
            </wp:positionV>
            <wp:extent cx="1028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5526405</wp:posOffset>
            </wp:positionH>
            <wp:positionV relativeFrom="paragraph">
              <wp:posOffset>-3702685</wp:posOffset>
            </wp:positionV>
            <wp:extent cx="137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-3702685</wp:posOffset>
            </wp:positionV>
            <wp:extent cx="137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1020"/>
          </w:cols>
          <w:pgMar w:left="440" w:top="263" w:right="439" w:bottom="109"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Net Revenues Per Paying Client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Average monthly net revenues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net revenues for any particular period by the average monthly number of paying clients in the same respective period. The increase in our average monthly net revenues per paying client was due to sunset of certain products, which had lower average monthly spending clients, in the fourth quarter of 2023.</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21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51"/>
        </w:trPr>
        <w:tc>
          <w:tcPr>
            <w:tcW w:w="45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27"/>
        </w:trPr>
        <w:tc>
          <w:tcPr>
            <w:tcW w:w="4500" w:type="dxa"/>
            <w:vAlign w:val="bottom"/>
          </w:tcPr>
          <w:p>
            <w:pPr>
              <w:spacing w:after="0"/>
              <w:rPr>
                <w:sz w:val="19"/>
                <w:szCs w:val="19"/>
                <w:color w:val="auto"/>
              </w:rPr>
            </w:pPr>
          </w:p>
        </w:tc>
        <w:tc>
          <w:tcPr>
            <w:tcW w:w="9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9"/>
                <w:szCs w:val="19"/>
                <w:color w:val="auto"/>
              </w:rPr>
            </w:pPr>
          </w:p>
        </w:tc>
        <w:tc>
          <w:tcPr>
            <w:tcW w:w="8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9"/>
                <w:szCs w:val="19"/>
                <w:color w:val="auto"/>
              </w:rPr>
            </w:pPr>
          </w:p>
        </w:tc>
        <w:tc>
          <w:tcPr>
            <w:tcW w:w="84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9"/>
                <w:szCs w:val="19"/>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45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7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net revenues per paying client</w:t>
            </w:r>
          </w:p>
        </w:tc>
        <w:tc>
          <w:tcPr>
            <w:tcW w:w="9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$3,033</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$2,878</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$3,015</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$2,810</w:t>
            </w:r>
          </w:p>
        </w:tc>
      </w:tr>
      <w:tr>
        <w:trPr>
          <w:trHeight w:val="54"/>
        </w:trPr>
        <w:tc>
          <w:tcPr>
            <w:tcW w:w="45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-222250</wp:posOffset>
            </wp:positionV>
            <wp:extent cx="1028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-222250</wp:posOffset>
            </wp:positionV>
            <wp:extent cx="1028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-222250</wp:posOffset>
            </wp:positionV>
            <wp:extent cx="1028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-222250</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decline in our average monthly net revenue per paying client for the year ended December 31, 2023, as compared to the prior year, was due to spend declines in established markets. We expected these pressures given the continued liquidity challenges that clients are facing.</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Paying Clients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define average monthly paying clients as the monthly average of clients billed each month over a particular period (and for which services were provided). Our paying clients include both individual cannabis businesses as well as retail websites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websites or businesses.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Average monthly paying clients for the three months ended June 30, 2024 decreased 10% to 5,045 average monthly paying clients from 5,609 average monthly paying clients in the same period in 2023. Average monthly paying clients for the six months ended June 30, 2024 decreased 11% to 4,991 average monthly paying clients from 5,625 average monthly paying clients in the same period in 2023. The decrease in average monthly paying clients compared to the same periods in 2023 was primarily due to the removal of paying clients from our platform who have become delinquent, the impact on client count related to the sunset of certain products in December 2023, as well as expected client churn due to continued industry challenges, such as price deflation and ongoing consolidation.</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21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50"/>
        </w:trPr>
        <w:tc>
          <w:tcPr>
            <w:tcW w:w="45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27"/>
        </w:trPr>
        <w:tc>
          <w:tcPr>
            <w:tcW w:w="4500" w:type="dxa"/>
            <w:vAlign w:val="bottom"/>
          </w:tcPr>
          <w:p>
            <w:pPr>
              <w:spacing w:after="0"/>
              <w:rPr>
                <w:sz w:val="19"/>
                <w:szCs w:val="19"/>
                <w:color w:val="auto"/>
              </w:rPr>
            </w:pPr>
          </w:p>
        </w:tc>
        <w:tc>
          <w:tcPr>
            <w:tcW w:w="9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9"/>
                <w:szCs w:val="19"/>
                <w:color w:val="auto"/>
              </w:rPr>
            </w:pPr>
          </w:p>
        </w:tc>
        <w:tc>
          <w:tcPr>
            <w:tcW w:w="8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9"/>
                <w:szCs w:val="19"/>
                <w:color w:val="auto"/>
              </w:rPr>
            </w:pPr>
          </w:p>
        </w:tc>
        <w:tc>
          <w:tcPr>
            <w:tcW w:w="84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9"/>
                <w:szCs w:val="19"/>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45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7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paying clients</w:t>
            </w:r>
          </w:p>
        </w:tc>
        <w:tc>
          <w:tcPr>
            <w:tcW w:w="9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5,045</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5,609</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4,991</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5,625</w:t>
            </w:r>
          </w:p>
        </w:tc>
      </w:tr>
      <w:tr>
        <w:trPr>
          <w:trHeight w:val="54"/>
        </w:trPr>
        <w:tc>
          <w:tcPr>
            <w:tcW w:w="45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-222250</wp:posOffset>
            </wp:positionV>
            <wp:extent cx="1028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-222250</wp:posOffset>
            </wp:positionV>
            <wp:extent cx="1028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-222250</wp:posOffset>
            </wp:positionV>
            <wp:extent cx="1028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-222250</wp:posOffset>
            </wp:positionV>
            <wp:extent cx="514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Average monthly paying clients for the year ended December 31, 2023 decreased by approximately 1% to 5,419 average monthly paying clients from 5,457 average monthly paying clients in the same period in 2022. The decrease in average monthly paying clients in 2023 as compared to the same period in 2022 was primarily due to elevated churn as a result of the cannabis industry facing price deflation in 2023.</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Growth of Our Two-Sided Weedmaps Marketplace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Growth and Retention of Our Paying Clients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inflation, the military conflict between Russia and Ukraine and the recent state of war between Israel and Hamas and the related risk of a larger regional conflict. Increasing prices in the component materials for the goods or services of our clients may impact their ability to maintain or increase their spend with us and their ability to pay their invoices on time. Rapid and significant changes in commodity prices may negatively affect our revenue if our clients are unable to mitigate inflationary increases through various customer pricing actions and cost reduction initiatives. This could also negatively impact our net dollar retention and our collections on accounts receivable.</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Regulation and Maturation of Cannabis Markets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believe that we will have significant opportunities for greater growth as more jurisdictions legalize cannabis for medical and/or adult-use and the regulatory environment continues to develop. Currently, thirty-nine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We intend to explore new expansion opportunities as additional jurisdictions legalize cannabis for medical or adult use and leverage our business model informed by our 15-year operating history to enter new markets.</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also have a significant opportunity to monetize transactions originating from users engaging with a retailer on the Weedmaps marketplace or tracked via one of our Weedmaps for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Weedmaps for Business solutions. A change in U.S. federal regulations could result in our ability to engage in such monetization efforts without adverse consequences to our business. A change in U.S. federal regulations could also increase access to capital and remove limitations of Section 280E of the Internal Revenue Code of 1986, as amended, thus allowing deduction or credit for certain expenses of cannabis business to increase our cash flow and liquidity, as well as those of many industry participants.</w:t>
      </w:r>
    </w:p>
    <w:p>
      <w:pPr>
        <w:spacing w:after="0" w:line="86"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Brand Recognition and Reputation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 Further, we have begun reinvesting in our own on-the-ground and field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marketing presence and are increasing the types and cadence of client events. These events and in-store activations allow Weedmaps to engage with consumers at the point of purchase and also afford Weedmaps with the opportunity to engage directly with our clients, understand their needs and challenges and foster goodwill.</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Growth</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intend to continue to make focused organic and inorganic investments to grow our revenue and scale operations to support that growth.</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Weedmaps for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8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operating expenses and capital expenditures fluctuate over time, we may accordingly experience short-term, negative impacts to our operating results and cash flows.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to Weedmaps for Business, featured and deal listings, other ad solutions and WM Dispatch. Our Weedmaps for Business subscriptions generally have one-month terms that automatically renew unless notice of cancellation is provided in advance. Featured and deal listings and other ad solutions are offered as add-on products to the Weedmaps for Business subscriptions. Featured and deal listings provide customers with premium placement ad solutions and discount and promotion pricing tools. Other ad solutions include banner ads and promotion tiles on the Company’s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w:t>
      </w:r>
    </w:p>
    <w:p>
      <w:pPr>
        <w:spacing w:after="0" w:line="3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Our cost structure has two components: cost of revenues and operating expenses. Our operating expenses include costs related to selling and marketing, product development, general and administrative functions and depreciation and amortization. Certain of our costs and expenses, including those associated with the operation of our technical infrastructure as well as components of our operating expenses, are generally less variable in nature and may not correlate to changes in revenue.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Cost of revenues excludes depreciation and amortization expense and primarily consists of web hosting, internet service and credit card processing costs. Cost of revenues is primarily driven by fluctuations in revenue leading to increases or decreases in credit card processing and web hosting cost. We expect our cost of revenue to continue to increase on an absolute basis and remain relatively flat as a percentage of revenue as we scale our business and inventory costs related to multi-media offerings.</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Selling and marketing expenses consist of salaries and benefits, stock-based compensation expense, travel expense and incentive compensation for our sales and marketing employees. In addition, sales and marketing expenses include customer acquisition marketing, events cost and branding and advertising costs.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Product development costs consist of salaries and benefits and stock-based compensation expense for employees, including engineering and technical teams who are responsible for building new products, as well as maintaining and improving existing products. Product development costs that do not meet the criteria for capitalization are expensed as incurred. Amortization expense related to capitalized software development cost is included in depreciation, amortization and asset impairment expense in the consolidated statements of operations. We believe that continued investment in our platform is important for our growth and expect our product development expenses will increase in a manner consistent with revenue growth as our operations grow.</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benefit costs and stock-based compensation expense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provision for credit losses and professional and outside services related to legal and other consulting services. General and administrative expenses are primarily driven by headcount required to support our business and meet our obligations as a public company. We expect general and administrative expenses to decline as percentage of revenue as we scale our business and leverage investments in these areas.</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primarily consist of depreciation on computer equipment, furniture and fixtures, leasehold improvements, capitalized software development costs and amortization of intangibles. We expect depreciation and amortization expenses to increase on an absolute basis for the foreseeable future as we scale our business.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change in fair value of warrant liability, TRA liability remeasurement, interest income and other tax related expenses.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more-likely-than-not that all or a portion of a deferred tax asset will not be recognized. In making such determination, we consider all available evidence, including scheduled reversals of deferred tax liabilities, projected future taxable income, tax planning strategies and recent and expected future results of operation. See Note 2, “Summary of Significant Accounting Policies” to our unaudited condensed consolidated financial statements included in this prospectus for further information.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Six Months Ended June 30, 2024 and 2023</w:t>
      </w:r>
    </w:p>
    <w:p>
      <w:pPr>
        <w:spacing w:after="0" w:line="121"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210"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200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760" w:type="dxa"/>
            <w:vAlign w:val="bottom"/>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50"/>
        </w:trPr>
        <w:tc>
          <w:tcPr>
            <w:tcW w:w="46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195"/>
        </w:trPr>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71"/>
        </w:trPr>
        <w:tc>
          <w:tcPr>
            <w:tcW w:w="46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6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r>
      <w:tr>
        <w:trPr>
          <w:trHeight w:val="227"/>
        </w:trPr>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50"/>
        </w:trPr>
        <w:tc>
          <w:tcPr>
            <w:tcW w:w="4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318"/>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0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$45,903</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$48,423</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$90,292</w:t>
            </w: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$94,839</w:t>
            </w:r>
          </w:p>
        </w:tc>
        <w:tc>
          <w:tcPr>
            <w:tcW w:w="180" w:type="dxa"/>
            <w:vAlign w:val="bottom"/>
            <w:tcBorders>
              <w:bottom w:val="single" w:sz="8" w:color="CCEEFF"/>
            </w:tcBorders>
            <w:shd w:val="clear" w:color="auto" w:fill="CCEEFF"/>
          </w:tcPr>
          <w:p>
            <w:pPr>
              <w:spacing w:after="0"/>
              <w:rPr>
                <w:sz w:val="24"/>
                <w:szCs w:val="24"/>
                <w:color w:val="auto"/>
              </w:rPr>
            </w:pPr>
          </w:p>
        </w:tc>
      </w:tr>
      <w:tr>
        <w:trPr>
          <w:trHeight w:val="27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54"/>
        </w:trPr>
        <w:tc>
          <w:tcPr>
            <w:tcW w:w="4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2"/>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68"/>
        </w:trPr>
        <w:tc>
          <w:tcPr>
            <w:tcW w:w="4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2,245</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3,239</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70"/>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2"/>
              </w:rPr>
              <w:t>11,069</w:t>
            </w:r>
          </w:p>
        </w:tc>
        <w:tc>
          <w:tcPr>
            <w:tcW w:w="180" w:type="dxa"/>
            <w:vAlign w:val="bottom"/>
          </w:tcPr>
          <w:p>
            <w:pPr>
              <w:spacing w:after="0"/>
              <w:rPr>
                <w:sz w:val="23"/>
                <w:szCs w:val="23"/>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12,567</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160" w:type="dxa"/>
            <w:vAlign w:val="bottom"/>
          </w:tcPr>
          <w:p>
            <w:pPr>
              <w:spacing w:after="0"/>
              <w:rPr>
                <w:sz w:val="23"/>
                <w:szCs w:val="23"/>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24,627</w:t>
            </w:r>
          </w:p>
        </w:tc>
        <w:tc>
          <w:tcPr>
            <w:tcW w:w="180" w:type="dxa"/>
            <w:vAlign w:val="bottom"/>
          </w:tcPr>
          <w:p>
            <w:pPr>
              <w:spacing w:after="0"/>
              <w:rPr>
                <w:sz w:val="23"/>
                <w:szCs w:val="23"/>
                <w:color w:val="auto"/>
              </w:rPr>
            </w:pPr>
          </w:p>
        </w:tc>
      </w:tr>
      <w:tr>
        <w:trPr>
          <w:trHeight w:val="54"/>
        </w:trPr>
        <w:tc>
          <w:tcPr>
            <w:tcW w:w="4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304"/>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9,642</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9,200</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20,134</w:t>
            </w:r>
          </w:p>
        </w:tc>
        <w:tc>
          <w:tcPr>
            <w:tcW w:w="180" w:type="dxa"/>
            <w:vAlign w:val="bottom"/>
            <w:tcBorders>
              <w:bottom w:val="single" w:sz="8" w:color="CCEEFF"/>
            </w:tcBorders>
            <w:shd w:val="clear" w:color="auto" w:fill="CCEEFF"/>
          </w:tcPr>
          <w:p>
            <w:pPr>
              <w:spacing w:after="0"/>
              <w:rPr>
                <w:sz w:val="24"/>
                <w:szCs w:val="24"/>
                <w:color w:val="auto"/>
              </w:rPr>
            </w:pPr>
          </w:p>
        </w:tc>
      </w:tr>
      <w:tr>
        <w:trPr>
          <w:trHeight w:val="270"/>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16,779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35,055</w:t>
            </w:r>
          </w:p>
        </w:tc>
        <w:tc>
          <w:tcPr>
            <w:tcW w:w="160" w:type="dxa"/>
            <w:vAlign w:val="bottom"/>
          </w:tcPr>
          <w:p>
            <w:pPr>
              <w:spacing w:after="0"/>
              <w:rPr>
                <w:sz w:val="23"/>
                <w:szCs w:val="23"/>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37,688</w:t>
            </w:r>
          </w:p>
        </w:tc>
        <w:tc>
          <w:tcPr>
            <w:tcW w:w="180" w:type="dxa"/>
            <w:vAlign w:val="bottom"/>
          </w:tcPr>
          <w:p>
            <w:pPr>
              <w:spacing w:after="0"/>
              <w:rPr>
                <w:sz w:val="23"/>
                <w:szCs w:val="23"/>
                <w:color w:val="auto"/>
              </w:rPr>
            </w:pPr>
          </w:p>
        </w:tc>
      </w:tr>
      <w:tr>
        <w:trPr>
          <w:trHeight w:val="54"/>
        </w:trPr>
        <w:tc>
          <w:tcPr>
            <w:tcW w:w="4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7"/>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3,187</w:t>
            </w:r>
          </w:p>
        </w:tc>
        <w:tc>
          <w:tcPr>
            <w:tcW w:w="18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2,855</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6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80" w:type="dxa"/>
            <w:vAlign w:val="bottom"/>
            <w:shd w:val="clear" w:color="auto" w:fill="CCEEFF"/>
          </w:tcPr>
          <w:p>
            <w:pPr>
              <w:spacing w:after="0"/>
              <w:rPr>
                <w:sz w:val="22"/>
                <w:szCs w:val="22"/>
                <w:color w:val="auto"/>
              </w:rPr>
            </w:pPr>
          </w:p>
        </w:tc>
      </w:tr>
      <w:tr>
        <w:trPr>
          <w:trHeight w:val="61"/>
        </w:trPr>
        <w:tc>
          <w:tcPr>
            <w:tcW w:w="46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r>
      <w:tr>
        <w:trPr>
          <w:trHeight w:val="270"/>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44,672</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44,640</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85,300</w:t>
            </w:r>
          </w:p>
        </w:tc>
        <w:tc>
          <w:tcPr>
            <w:tcW w:w="160" w:type="dxa"/>
            <w:vAlign w:val="bottom"/>
          </w:tcPr>
          <w:p>
            <w:pPr>
              <w:spacing w:after="0"/>
              <w:rPr>
                <w:sz w:val="23"/>
                <w:szCs w:val="23"/>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95,204</w:t>
            </w:r>
          </w:p>
        </w:tc>
        <w:tc>
          <w:tcPr>
            <w:tcW w:w="180" w:type="dxa"/>
            <w:vAlign w:val="bottom"/>
          </w:tcPr>
          <w:p>
            <w:pPr>
              <w:spacing w:after="0"/>
              <w:rPr>
                <w:sz w:val="23"/>
                <w:szCs w:val="23"/>
                <w:color w:val="auto"/>
              </w:rPr>
            </w:pPr>
          </w:p>
        </w:tc>
      </w:tr>
      <w:tr>
        <w:trPr>
          <w:trHeight w:val="61"/>
        </w:trPr>
        <w:tc>
          <w:tcPr>
            <w:tcW w:w="4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318"/>
        </w:trPr>
        <w:tc>
          <w:tcPr>
            <w:tcW w:w="4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1,231</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3,783</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(365)</w:t>
            </w:r>
          </w:p>
        </w:tc>
      </w:tr>
      <w:tr>
        <w:trPr>
          <w:trHeight w:val="27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54"/>
        </w:trPr>
        <w:tc>
          <w:tcPr>
            <w:tcW w:w="4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304"/>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c>
          <w:tcPr>
            <w:tcW w:w="9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w:t>
            </w:r>
          </w:p>
        </w:tc>
      </w:tr>
      <w:tr>
        <w:trPr>
          <w:trHeight w:val="270"/>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(395)</w:t>
            </w: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3"/>
                <w:szCs w:val="23"/>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(938)</w:t>
            </w:r>
          </w:p>
        </w:tc>
        <w:tc>
          <w:tcPr>
            <w:tcW w:w="9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(620)</w:t>
            </w:r>
          </w:p>
        </w:tc>
      </w:tr>
      <w:tr>
        <w:trPr>
          <w:trHeight w:val="54"/>
        </w:trPr>
        <w:tc>
          <w:tcPr>
            <w:tcW w:w="4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10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9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(681)</w:t>
            </w:r>
          </w:p>
        </w:tc>
      </w:tr>
      <w:tr>
        <w:trPr>
          <w:trHeight w:val="61"/>
        </w:trPr>
        <w:tc>
          <w:tcPr>
            <w:tcW w:w="46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r>
      <w:tr>
        <w:trPr>
          <w:trHeight w:val="284"/>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1,236</w:t>
            </w:r>
          </w:p>
        </w:tc>
        <w:tc>
          <w:tcPr>
            <w:tcW w:w="18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1,983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60" w:type="dxa"/>
            <w:vAlign w:val="bottom"/>
          </w:tcPr>
          <w:p>
            <w:pPr>
              <w:spacing w:after="0"/>
              <w:rPr>
                <w:sz w:val="24"/>
                <w:szCs w:val="24"/>
                <w:color w:val="auto"/>
              </w:rPr>
            </w:pPr>
          </w:p>
        </w:tc>
        <w:tc>
          <w:tcPr>
            <w:tcW w:w="9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(1,986)</w:t>
            </w:r>
          </w:p>
        </w:tc>
      </w:tr>
      <w:tr>
        <w:trPr>
          <w:trHeight w:val="54"/>
        </w:trPr>
        <w:tc>
          <w:tcPr>
            <w:tcW w:w="4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spacing w:after="0"/>
              <w:rPr>
                <w:sz w:val="22"/>
                <w:szCs w:val="22"/>
                <w:color w:val="auto"/>
              </w:rPr>
            </w:pPr>
          </w:p>
        </w:tc>
        <w:tc>
          <w:tcPr>
            <w:tcW w:w="9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46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r>
      <w:tr>
        <w:trPr>
          <w:trHeight w:val="283"/>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1,194</w:t>
            </w:r>
          </w:p>
        </w:tc>
        <w:tc>
          <w:tcPr>
            <w:tcW w:w="18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1,983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60" w:type="dxa"/>
            <w:vAlign w:val="bottom"/>
          </w:tcPr>
          <w:p>
            <w:pPr>
              <w:spacing w:after="0"/>
              <w:rPr>
                <w:sz w:val="24"/>
                <w:szCs w:val="24"/>
                <w:color w:val="auto"/>
              </w:rPr>
            </w:pPr>
          </w:p>
        </w:tc>
        <w:tc>
          <w:tcPr>
            <w:tcW w:w="9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(1,986)</w:t>
            </w:r>
          </w:p>
        </w:tc>
      </w:tr>
      <w:tr>
        <w:trPr>
          <w:trHeight w:val="54"/>
        </w:trPr>
        <w:tc>
          <w:tcPr>
            <w:tcW w:w="4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757</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60" w:type="dxa"/>
            <w:vAlign w:val="bottom"/>
            <w:shd w:val="clear" w:color="auto" w:fill="CCEEFF"/>
          </w:tcPr>
          <w:p>
            <w:pPr>
              <w:spacing w:after="0"/>
              <w:rPr>
                <w:sz w:val="22"/>
                <w:szCs w:val="22"/>
                <w:color w:val="auto"/>
              </w:rPr>
            </w:pPr>
          </w:p>
        </w:tc>
        <w:tc>
          <w:tcPr>
            <w:tcW w:w="9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(737)</w:t>
            </w:r>
          </w:p>
        </w:tc>
      </w:tr>
      <w:tr>
        <w:trPr>
          <w:trHeight w:val="61"/>
        </w:trPr>
        <w:tc>
          <w:tcPr>
            <w:tcW w:w="46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r>
      <w:tr>
        <w:trPr>
          <w:trHeight w:val="270"/>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$ 1,226</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$ 1,956</w:t>
            </w:r>
          </w:p>
        </w:tc>
        <w:tc>
          <w:tcPr>
            <w:tcW w:w="160" w:type="dxa"/>
            <w:vAlign w:val="bottom"/>
          </w:tcPr>
          <w:p>
            <w:pPr>
              <w:spacing w:after="0"/>
              <w:rPr>
                <w:sz w:val="23"/>
                <w:szCs w:val="23"/>
                <w:color w:val="auto"/>
              </w:rPr>
            </w:pPr>
          </w:p>
        </w:tc>
        <w:tc>
          <w:tcPr>
            <w:tcW w:w="9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 (1,249)</w:t>
            </w:r>
          </w:p>
        </w:tc>
      </w:tr>
      <w:tr>
        <w:trPr>
          <w:trHeight w:val="21"/>
        </w:trPr>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5509260</wp:posOffset>
            </wp:positionH>
            <wp:positionV relativeFrom="paragraph">
              <wp:posOffset>-4114165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-4114165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4283710</wp:posOffset>
            </wp:positionH>
            <wp:positionV relativeFrom="paragraph">
              <wp:posOffset>-4114165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120015</wp:posOffset>
            </wp:positionV>
            <wp:extent cx="8229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4" w:lineRule="exact"/>
        <w:rPr>
          <w:sz w:val="20"/>
          <w:szCs w:val="20"/>
          <w:color w:val="auto"/>
        </w:rPr>
      </w:pPr>
    </w:p>
    <w:p>
      <w:pPr>
        <w:jc w:val="both"/>
        <w:ind w:left="1640" w:right="1320" w:hanging="348"/>
        <w:spacing w:after="0" w:line="241" w:lineRule="auto"/>
        <w:tabs>
          <w:tab w:leader="none" w:pos="1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six months ended June 30, 2023, net revenues and general and administrative expenses have been retrospectively adjusted to reflect the restatement of previously reported revenue and credit losses. See Note 2, “Summary of Significant Accounting Policies,” to our unaudited condensed consolidated financial statements included in this prospectus for further information.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4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8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50"/>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195"/>
        </w:trPr>
        <w:tc>
          <w:tcPr>
            <w:tcW w:w="13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71"/>
        </w:trPr>
        <w:tc>
          <w:tcPr>
            <w:tcW w:w="1300" w:type="dxa"/>
            <w:vAlign w:val="bottom"/>
          </w:tcPr>
          <w:p>
            <w:pPr>
              <w:spacing w:after="0"/>
              <w:rPr>
                <w:sz w:val="23"/>
                <w:szCs w:val="23"/>
                <w:color w:val="auto"/>
              </w:rPr>
            </w:pPr>
          </w:p>
        </w:tc>
        <w:tc>
          <w:tcPr>
            <w:tcW w:w="386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300" w:type="dxa"/>
            <w:vAlign w:val="bottom"/>
          </w:tcPr>
          <w:p>
            <w:pPr>
              <w:spacing w:after="0"/>
              <w:rPr>
                <w:sz w:val="23"/>
                <w:szCs w:val="23"/>
                <w:color w:val="auto"/>
              </w:rPr>
            </w:pPr>
          </w:p>
        </w:tc>
      </w:tr>
      <w:tr>
        <w:trPr>
          <w:trHeight w:val="311"/>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4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2"/>
        </w:trPr>
        <w:tc>
          <w:tcPr>
            <w:tcW w:w="1300" w:type="dxa"/>
            <w:vAlign w:val="bottom"/>
          </w:tcPr>
          <w:p>
            <w:pPr>
              <w:spacing w:after="0"/>
              <w:rPr>
                <w:sz w:val="21"/>
                <w:szCs w:val="21"/>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68"/>
        </w:trPr>
        <w:tc>
          <w:tcPr>
            <w:tcW w:w="130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14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1300" w:type="dxa"/>
            <w:vAlign w:val="bottom"/>
          </w:tcPr>
          <w:p>
            <w:pPr>
              <w:spacing w:after="0"/>
              <w:rPr>
                <w:sz w:val="23"/>
                <w:szCs w:val="23"/>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3"/>
                <w:szCs w:val="23"/>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3"/>
                <w:szCs w:val="23"/>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3"/>
                <w:szCs w:val="23"/>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14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3"/>
                <w:szCs w:val="23"/>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3"/>
                <w:szCs w:val="23"/>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3"/>
                <w:szCs w:val="23"/>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8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3"/>
                <w:szCs w:val="23"/>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3"/>
                <w:szCs w:val="23"/>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3"/>
                <w:szCs w:val="23"/>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3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14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4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4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8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3"/>
        </w:trPr>
        <w:tc>
          <w:tcPr>
            <w:tcW w:w="1300" w:type="dxa"/>
            <w:vAlign w:val="bottom"/>
          </w:tcPr>
          <w:p>
            <w:pPr>
              <w:spacing w:after="0"/>
              <w:rPr>
                <w:sz w:val="24"/>
                <w:szCs w:val="24"/>
                <w:color w:val="auto"/>
              </w:rPr>
            </w:pPr>
          </w:p>
        </w:tc>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300" w:type="dxa"/>
            <w:vAlign w:val="bottom"/>
          </w:tcPr>
          <w:p>
            <w:pPr>
              <w:spacing w:after="0"/>
              <w:rPr>
                <w:sz w:val="24"/>
                <w:szCs w:val="24"/>
                <w:color w:val="auto"/>
              </w:rPr>
            </w:pPr>
          </w:p>
        </w:tc>
      </w:tr>
      <w:tr>
        <w:trPr>
          <w:trHeight w:val="486"/>
        </w:trPr>
        <w:tc>
          <w:tcPr>
            <w:tcW w:w="13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5432425</wp:posOffset>
            </wp:positionH>
            <wp:positionV relativeFrom="paragraph">
              <wp:posOffset>-3488055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-3488055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4171950</wp:posOffset>
            </wp:positionH>
            <wp:positionV relativeFrom="paragraph">
              <wp:posOffset>-3488055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-3488055</wp:posOffset>
            </wp:positionV>
            <wp:extent cx="342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020"/>
          </w:cols>
          <w:pgMar w:left="440" w:top="263" w:right="439" w:bottom="150" w:gutter="0" w:footer="0" w:header="0"/>
        </w:sectPr>
      </w:pPr>
    </w:p>
    <w:bookmarkStart w:id="61" w:name="page62"/>
    <w:bookmarkEnd w:id="61"/>
    <w:tbl>
      <w:tblPr>
        <w:tblLayout w:type="fixed"/>
        <w:tblInd w:w="300" w:type="dxa"/>
        <w:tblCellMar>
          <w:top w:w="0" w:type="dxa"/>
          <w:left w:w="0" w:type="dxa"/>
          <w:bottom w:w="0" w:type="dxa"/>
          <w:right w:w="0" w:type="dxa"/>
        </w:tblCellMar>
      </w:tblPr>
      <w:tr>
        <w:trPr>
          <w:trHeight w:val="161"/>
        </w:trPr>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402"/>
        </w:trPr>
        <w:tc>
          <w:tcPr>
            <w:tcW w:w="1540" w:type="dxa"/>
            <w:vAlign w:val="bottom"/>
            <w:tcBorders>
              <w:top w:val="single" w:sz="8" w:color="0000EE"/>
            </w:tcBorders>
          </w:tcPr>
          <w:p>
            <w:pPr>
              <w:spacing w:after="0"/>
              <w:rPr>
                <w:sz w:val="24"/>
                <w:szCs w:val="24"/>
                <w:color w:val="auto"/>
              </w:rPr>
            </w:pPr>
          </w:p>
        </w:tc>
        <w:tc>
          <w:tcPr>
            <w:tcW w:w="3140" w:type="dxa"/>
            <w:vAlign w:val="bottom"/>
          </w:tcPr>
          <w:p>
            <w:pPr>
              <w:spacing w:after="0"/>
              <w:rPr>
                <w:sz w:val="24"/>
                <w:szCs w:val="24"/>
                <w:color w:val="auto"/>
              </w:rPr>
            </w:pPr>
          </w:p>
        </w:tc>
        <w:tc>
          <w:tcPr>
            <w:tcW w:w="200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74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50"/>
        </w:trPr>
        <w:tc>
          <w:tcPr>
            <w:tcW w:w="154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195"/>
        </w:trPr>
        <w:tc>
          <w:tcPr>
            <w:tcW w:w="15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6"/>
                <w:szCs w:val="16"/>
                <w:color w:val="auto"/>
              </w:rPr>
            </w:pPr>
          </w:p>
        </w:tc>
      </w:tr>
      <w:tr>
        <w:trPr>
          <w:trHeight w:val="271"/>
        </w:trPr>
        <w:tc>
          <w:tcPr>
            <w:tcW w:w="1540" w:type="dxa"/>
            <w:vAlign w:val="bottom"/>
            <w:tcBorders>
              <w:bottom w:val="single" w:sz="8" w:color="CCEEFF"/>
            </w:tcBorders>
          </w:tcPr>
          <w:p>
            <w:pPr>
              <w:spacing w:after="0"/>
              <w:rPr>
                <w:sz w:val="23"/>
                <w:szCs w:val="23"/>
                <w:color w:val="auto"/>
              </w:rPr>
            </w:pPr>
          </w:p>
        </w:tc>
        <w:tc>
          <w:tcPr>
            <w:tcW w:w="314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277"/>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24"/>
                <w:szCs w:val="24"/>
                <w:color w:val="auto"/>
              </w:rPr>
            </w:pPr>
          </w:p>
        </w:tc>
        <w:tc>
          <w:tcPr>
            <w:tcW w:w="5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5"/>
              </w:rPr>
              <w:t>    0%</w:t>
            </w:r>
          </w:p>
        </w:tc>
        <w:tc>
          <w:tcPr>
            <w:tcW w:w="124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0%</w:t>
            </w:r>
          </w:p>
        </w:tc>
        <w:tc>
          <w:tcPr>
            <w:tcW w:w="140" w:type="dxa"/>
            <w:vAlign w:val="bottom"/>
            <w:shd w:val="clear" w:color="auto" w:fill="CCEEFF"/>
          </w:tcPr>
          <w:p>
            <w:pPr>
              <w:spacing w:after="0"/>
              <w:rPr>
                <w:sz w:val="24"/>
                <w:szCs w:val="24"/>
                <w:color w:val="auto"/>
              </w:rPr>
            </w:pPr>
          </w:p>
        </w:tc>
        <w:tc>
          <w:tcPr>
            <w:tcW w:w="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5"/>
              </w:rPr>
              <w:t>    0%</w:t>
            </w:r>
          </w:p>
        </w:tc>
        <w:tc>
          <w:tcPr>
            <w:tcW w:w="4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5"/>
              </w:rPr>
              <w:t>    0%</w:t>
            </w: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r>
      <w:tr>
        <w:trPr>
          <w:trHeight w:val="283"/>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24"/>
                <w:szCs w:val="24"/>
                <w:color w:val="auto"/>
              </w:rPr>
            </w:pP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r>
      <w:tr>
        <w:trPr>
          <w:trHeight w:val="54"/>
        </w:trPr>
        <w:tc>
          <w:tcPr>
            <w:tcW w:w="154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70"/>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80" w:type="dxa"/>
            <w:vAlign w:val="bottom"/>
            <w:shd w:val="clear" w:color="auto" w:fill="CCEEFF"/>
          </w:tcPr>
          <w:p>
            <w:pPr>
              <w:spacing w:after="0"/>
              <w:rPr>
                <w:sz w:val="23"/>
                <w:szCs w:val="23"/>
                <w:color w:val="auto"/>
              </w:rPr>
            </w:pPr>
          </w:p>
        </w:tc>
        <w:tc>
          <w:tcPr>
            <w:tcW w:w="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3"/>
                <w:szCs w:val="23"/>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r>
      <w:tr>
        <w:trPr>
          <w:trHeight w:val="270"/>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180" w:type="dxa"/>
            <w:vAlign w:val="bottom"/>
          </w:tcPr>
          <w:p>
            <w:pPr>
              <w:spacing w:after="0"/>
              <w:rPr>
                <w:sz w:val="23"/>
                <w:szCs w:val="23"/>
                <w:color w:val="auto"/>
              </w:rPr>
            </w:pP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3"/>
                <w:szCs w:val="23"/>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r>
      <w:tr>
        <w:trPr>
          <w:trHeight w:val="21"/>
        </w:trPr>
        <w:tc>
          <w:tcPr>
            <w:tcW w:w="15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-864870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-864870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-864870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-864870</wp:posOffset>
            </wp:positionV>
            <wp:extent cx="431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jc w:val="both"/>
        <w:ind w:left="640" w:right="319" w:hanging="348"/>
        <w:spacing w:after="0" w:line="241"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six months ended June 30, 2023, net revenues and general and administrative expenses have been retrospectively adjusted to reflect the restatement of previously reported revenue and credit losses. See Note 2, “Summary of Significant Accounting Policies,” to our unaudited condensed consolidated financial statements included in this prospectus for further information.</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2024 and 2023</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6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1"/>
        </w:trPr>
        <w:tc>
          <w:tcPr>
            <w:tcW w:w="1280" w:type="dxa"/>
            <w:vAlign w:val="bottom"/>
          </w:tcPr>
          <w:p>
            <w:pPr>
              <w:spacing w:after="0"/>
              <w:rPr>
                <w:sz w:val="4"/>
                <w:szCs w:val="4"/>
                <w:color w:val="auto"/>
              </w:rPr>
            </w:pPr>
          </w:p>
        </w:tc>
        <w:tc>
          <w:tcPr>
            <w:tcW w:w="39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195"/>
        </w:trPr>
        <w:tc>
          <w:tcPr>
            <w:tcW w:w="12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71"/>
        </w:trPr>
        <w:tc>
          <w:tcPr>
            <w:tcW w:w="128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8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7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7"/>
        </w:trPr>
        <w:tc>
          <w:tcPr>
            <w:tcW w:w="12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9"/>
                <w:szCs w:val="19"/>
                <w:color w:val="auto"/>
              </w:rPr>
            </w:pPr>
          </w:p>
        </w:tc>
      </w:tr>
      <w:tr>
        <w:trPr>
          <w:trHeight w:val="50"/>
        </w:trPr>
        <w:tc>
          <w:tcPr>
            <w:tcW w:w="1280" w:type="dxa"/>
            <w:vAlign w:val="bottom"/>
          </w:tcPr>
          <w:p>
            <w:pPr>
              <w:spacing w:after="0"/>
              <w:rPr>
                <w:sz w:val="4"/>
                <w:szCs w:val="4"/>
                <w:color w:val="auto"/>
              </w:rPr>
            </w:pPr>
          </w:p>
        </w:tc>
        <w:tc>
          <w:tcPr>
            <w:tcW w:w="3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318"/>
        </w:trPr>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$45,903</w:t>
            </w:r>
          </w:p>
        </w:tc>
        <w:tc>
          <w:tcPr>
            <w:tcW w:w="1100" w:type="dxa"/>
            <w:vAlign w:val="bottom"/>
            <w:tcBorders>
              <w:bottom w:val="single" w:sz="8" w:color="CCEEFF"/>
            </w:tcBorders>
            <w:shd w:val="clear" w:color="auto" w:fill="CCEEFF"/>
          </w:tcPr>
          <w:p>
            <w:pPr>
              <w:jc w:val="center"/>
              <w:ind w:left="44"/>
              <w:spacing w:after="0"/>
              <w:rPr>
                <w:sz w:val="20"/>
                <w:szCs w:val="20"/>
                <w:color w:val="auto"/>
              </w:rPr>
            </w:pPr>
            <w:r>
              <w:rPr>
                <w:rFonts w:ascii="Times New Roman" w:cs="Times New Roman" w:eastAsia="Times New Roman" w:hAnsi="Times New Roman"/>
                <w:sz w:val="18"/>
                <w:szCs w:val="18"/>
                <w:color w:val="auto"/>
                <w:w w:val="99"/>
              </w:rPr>
              <w:t>$48,423</w:t>
            </w: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94"/>
              </w:rPr>
              <w:t>$(2,520)</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48"/>
        </w:trPr>
        <w:tc>
          <w:tcPr>
            <w:tcW w:w="1280" w:type="dxa"/>
            <w:vAlign w:val="bottom"/>
            <w:tcBorders>
              <w:bottom w:val="single" w:sz="8" w:color="auto"/>
            </w:tcBorders>
          </w:tcPr>
          <w:p>
            <w:pPr>
              <w:spacing w:after="0"/>
              <w:rPr>
                <w:sz w:val="12"/>
                <w:szCs w:val="12"/>
                <w:color w:val="auto"/>
              </w:rPr>
            </w:pPr>
          </w:p>
        </w:tc>
        <w:tc>
          <w:tcPr>
            <w:tcW w:w="3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5191760</wp:posOffset>
            </wp:positionH>
            <wp:positionV relativeFrom="paragraph">
              <wp:posOffset>-505460</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-505460</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-505460</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 w:lineRule="exact"/>
        <w:rPr>
          <w:sz w:val="20"/>
          <w:szCs w:val="20"/>
          <w:color w:val="auto"/>
        </w:rPr>
      </w:pPr>
    </w:p>
    <w:p>
      <w:pPr>
        <w:jc w:val="both"/>
        <w:ind w:left="640" w:right="299" w:hanging="348"/>
        <w:spacing w:after="0" w:line="241"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June 30, 2023, net revenues has been retrospectively adjusted to reflect the restatement of previously reported revenue. See Note 2, “Summary of Significant Accounting Policies,” to our unaudited condensed consolidated financial statements included in this prospectus for further information.</w:t>
      </w:r>
    </w:p>
    <w:p>
      <w:pPr>
        <w:spacing w:after="0" w:line="73"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Net revenues decreased by $2.5 million or 5% for the three months ended June 30, 2024 compared to the same period in 2023. The decrease was primarily due to a decrease in net revenues from our Featured Listing and WM Deal products of $4.6 million driven by our clients continuing to face constrained marketing budgets, the ongoing consolidation of our industry, partially offset by an increase in net revenues from our Weedmaps for Business and other SaaS solutions of $2.1 million driven by favorable pricing changes partially offset by a loss in revenue from products that were sunset in December 2023.</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Featured Listing and WM Deal products, Weedmaps for Business and other ad solutions represented approximately 62%, 29% and 9% of our total net revenues, respectively.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shows our total costs and expenses: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9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6"/>
                <w:szCs w:val="16"/>
                <w:color w:val="auto"/>
              </w:rPr>
            </w:pPr>
          </w:p>
        </w:tc>
        <w:tc>
          <w:tcPr>
            <w:tcW w:w="11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51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195"/>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71"/>
        </w:trPr>
        <w:tc>
          <w:tcPr>
            <w:tcW w:w="5160" w:type="dxa"/>
            <w:vAlign w:val="bottom"/>
          </w:tcPr>
          <w:p>
            <w:pPr>
              <w:spacing w:after="0"/>
              <w:rPr>
                <w:sz w:val="23"/>
                <w:szCs w:val="23"/>
                <w:color w:val="auto"/>
              </w:rPr>
            </w:pPr>
          </w:p>
        </w:tc>
        <w:tc>
          <w:tcPr>
            <w:tcW w:w="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20" w:type="dxa"/>
            <w:vAlign w:val="bottom"/>
            <w:tcBorders>
              <w:bottom w:val="single" w:sz="8" w:color="auto"/>
            </w:tcBorders>
            <w:gridSpan w:val="3"/>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c>
          <w:tcPr>
            <w:tcW w:w="62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7"/>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8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6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3,239</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(994)</w:t>
            </w: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(31)%</w:t>
            </w: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320" w:type="dxa"/>
            <w:vAlign w:val="bottom"/>
            <w:gridSpan w:val="3"/>
          </w:tcPr>
          <w:p>
            <w:pPr>
              <w:jc w:val="center"/>
              <w:ind w:left="216"/>
              <w:spacing w:after="0"/>
              <w:rPr>
                <w:sz w:val="20"/>
                <w:szCs w:val="20"/>
                <w:color w:val="auto"/>
              </w:rPr>
            </w:pPr>
            <w:r>
              <w:rPr>
                <w:rFonts w:ascii="Times New Roman" w:cs="Times New Roman" w:eastAsia="Times New Roman" w:hAnsi="Times New Roman"/>
                <w:sz w:val="18"/>
                <w:szCs w:val="18"/>
                <w:color w:val="auto"/>
              </w:rPr>
              <w:t>12,567</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(1,498)</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(12)%</w:t>
            </w:r>
          </w:p>
        </w:tc>
      </w:tr>
      <w:tr>
        <w:trPr>
          <w:trHeight w:val="54"/>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6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9,200</w:t>
            </w: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1320" w:type="dxa"/>
            <w:vAlign w:val="bottom"/>
            <w:gridSpan w:val="3"/>
          </w:tcPr>
          <w:p>
            <w:pPr>
              <w:jc w:val="center"/>
              <w:ind w:left="216"/>
              <w:spacing w:after="0"/>
              <w:rPr>
                <w:sz w:val="20"/>
                <w:szCs w:val="20"/>
                <w:color w:val="auto"/>
              </w:rPr>
            </w:pPr>
            <w:r>
              <w:rPr>
                <w:rFonts w:ascii="Times New Roman" w:cs="Times New Roman" w:eastAsia="Times New Roman" w:hAnsi="Times New Roman"/>
                <w:sz w:val="18"/>
                <w:szCs w:val="18"/>
                <w:color w:val="auto"/>
              </w:rPr>
              <w:t>16,779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40" w:type="dxa"/>
            <w:vAlign w:val="bottom"/>
          </w:tcPr>
          <w:p>
            <w:pPr>
              <w:spacing w:after="0"/>
              <w:rPr>
                <w:sz w:val="23"/>
                <w:szCs w:val="23"/>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54"/>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2,855</w:t>
            </w:r>
          </w:p>
        </w:tc>
        <w:tc>
          <w:tcPr>
            <w:tcW w:w="2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r>
      <w:tr>
        <w:trPr>
          <w:trHeight w:val="61"/>
        </w:trPr>
        <w:tc>
          <w:tcPr>
            <w:tcW w:w="5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right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270"/>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44,672</w:t>
            </w:r>
          </w:p>
        </w:tc>
        <w:tc>
          <w:tcPr>
            <w:tcW w:w="1320" w:type="dxa"/>
            <w:vAlign w:val="bottom"/>
            <w:gridSpan w:val="3"/>
          </w:tcPr>
          <w:p>
            <w:pPr>
              <w:jc w:val="center"/>
              <w:ind w:left="216"/>
              <w:spacing w:after="0"/>
              <w:rPr>
                <w:sz w:val="20"/>
                <w:szCs w:val="20"/>
                <w:color w:val="auto"/>
              </w:rPr>
            </w:pPr>
            <w:r>
              <w:rPr>
                <w:rFonts w:ascii="Times New Roman" w:cs="Times New Roman" w:eastAsia="Times New Roman" w:hAnsi="Times New Roman"/>
                <w:sz w:val="18"/>
                <w:szCs w:val="18"/>
                <w:color w:val="auto"/>
              </w:rPr>
              <w:t>44,640</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(16)%</w:t>
            </w: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5140325</wp:posOffset>
            </wp:positionH>
            <wp:positionV relativeFrom="paragraph">
              <wp:posOffset>-1413510</wp:posOffset>
            </wp:positionV>
            <wp:extent cx="1028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-1413510</wp:posOffset>
            </wp:positionV>
            <wp:extent cx="1028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-1413510</wp:posOffset>
            </wp:positionV>
            <wp:extent cx="1028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27" w:lineRule="exact"/>
        <w:rPr>
          <w:sz w:val="20"/>
          <w:szCs w:val="20"/>
          <w:color w:val="auto"/>
        </w:rPr>
      </w:pPr>
    </w:p>
    <w:p>
      <w:pPr>
        <w:jc w:val="both"/>
        <w:ind w:left="640" w:right="319" w:hanging="348"/>
        <w:spacing w:after="0" w:line="241"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June 30, 2023, general and administrative expenses have been retrospectively adjusted to reflect the restatement of previously reported credit losses. See Note 2, “Summary of Significant Accounting Policies,” to our unaudited condensed consolidated financial statements included in this prospectus for further information.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cost of revenues was primarily related to a decrease of $0.7 million for cost of revenues associated with multi-channel marketing and cloud communication platforms, primarily due to the sunset in December 2023 of WM CRM, WM Screens and WM AdSuite and a decrease of $0.2 million in server costs.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related to decreases in personnel-related costs of $1.5 million and outside services expense of $0.3 million partially offset by increases in advertising of $0.3 million. The decrease in personnel-related costs was primarily driven by lower headcount resulting in decreases in salaries and wages of $1.0 million, stock-based compensation expense of $0.3 million, bonus and commission expense of $0.1 million and payroll tax expense of $0.1 million.</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increase in product development expenses was primarily due to an increase in contracted outside services expense of $0.7 million, partially offset by a decrease in personnel-related costs of $0.4 million. The decrease in personnel-related costs was primarily driven by lower headcount resulting in decreases in salaries and wages of $0.6 million and stock-based compensation expense of $0.1 million, partially offset by an increase in bonus and commission expense of $0.3 million.</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increase in general and administrative expenses was primarily due to a charge recorded in the second quarter of 2024 related to the potential settlement of an SEC matter of $1.5 million, increases in professional legal and audit services of $1.4 million, provision for credit losses of $0.8 million, outside service expense of $0.3 million, bonus expense of 0.2 million, partially offset by decreases in salaries and wages of $0.4 million, stock-based compensation expense of $0.5 million, severance expense of $0.5 million, insurance expense of $0.6 million, facilities expense of $0.4 million and rent expense of 0.2 million. See Note 4, “Commitments and Contingencies” to our unaudited condensed consolidated financial statements included in this prospectus for additional information related to the potential settlement of an SEC matter.</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expense was primarily due to an increase in capitalized software amortization, partially offset by a decrease in amortization of intangible assets.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04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12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48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86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720" w:type="dxa"/>
            <w:vAlign w:val="bottom"/>
            <w:gridSpan w:val="2"/>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48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gridSpan w:val="2"/>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4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$(1,045)</w:t>
            </w:r>
          </w:p>
        </w:tc>
        <w:tc>
          <w:tcPr>
            <w:tcW w:w="98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6"/>
              </w:rPr>
              <w:t>$1,505</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(144)%</w:t>
            </w:r>
          </w:p>
        </w:tc>
      </w:tr>
      <w:tr>
        <w:trPr>
          <w:trHeight w:val="257"/>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9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(395)</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Pr>
          <w:p>
            <w:pPr>
              <w:spacing w:after="0"/>
              <w:rPr>
                <w:sz w:val="22"/>
                <w:szCs w:val="2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40"/>
        </w:trPr>
        <w:tc>
          <w:tcPr>
            <w:tcW w:w="4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r>
      <w:tr>
        <w:trPr>
          <w:trHeight w:val="48"/>
        </w:trPr>
        <w:tc>
          <w:tcPr>
            <w:tcW w:w="48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84"/>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4"/>
                <w:szCs w:val="24"/>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$(1,800)</w:t>
            </w:r>
          </w:p>
        </w:tc>
        <w:tc>
          <w:tcPr>
            <w:tcW w:w="9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6"/>
              </w:rPr>
              <w:t>$1,805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-967740</wp:posOffset>
            </wp:positionV>
            <wp:extent cx="1543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-967740</wp:posOffset>
            </wp:positionV>
            <wp:extent cx="1543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-967740</wp:posOffset>
            </wp:positionV>
            <wp:extent cx="1543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decrease in other income (expense) net was primarily due to favorable changes in fair value of warrant liability of $1.5 million, a decrease in TRA liability of $0.1 million and a decrease in other expense of $0.2 million.</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54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27"/>
        </w:trPr>
        <w:tc>
          <w:tcPr>
            <w:tcW w:w="5400" w:type="dxa"/>
            <w:vAlign w:val="bottom"/>
          </w:tcPr>
          <w:p>
            <w:pPr>
              <w:spacing w:after="0"/>
              <w:rPr>
                <w:sz w:val="19"/>
                <w:szCs w:val="19"/>
                <w:color w:val="auto"/>
              </w:rPr>
            </w:pPr>
          </w:p>
        </w:tc>
        <w:tc>
          <w:tcPr>
            <w:tcW w:w="7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9"/>
                <w:szCs w:val="19"/>
                <w:color w:val="auto"/>
              </w:rPr>
            </w:pPr>
          </w:p>
        </w:tc>
        <w:tc>
          <w:tcPr>
            <w:tcW w:w="3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54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26"/>
        </w:trPr>
        <w:tc>
          <w:tcPr>
            <w:tcW w:w="5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51"/>
        </w:trPr>
        <w:tc>
          <w:tcPr>
            <w:tcW w:w="5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8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$42</w:t>
            </w: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96"/>
              </w:rPr>
              <w:t>$42</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r>
      <w:tr>
        <w:trPr>
          <w:trHeight w:val="54"/>
        </w:trPr>
        <w:tc>
          <w:tcPr>
            <w:tcW w:w="54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5191760</wp:posOffset>
            </wp:positionH>
            <wp:positionV relativeFrom="paragraph">
              <wp:posOffset>-402590</wp:posOffset>
            </wp:positionV>
            <wp:extent cx="1200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-402590</wp:posOffset>
            </wp:positionV>
            <wp:extent cx="1200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-402590</wp:posOffset>
            </wp:positionV>
            <wp:extent cx="1371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0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we recorded forty-two in income tax provisions due to the impact of the full valuation allowance on its net deferred assets. See Note 2, “Summary of Significant Accounting Policies,” to our unaudited condensed consolidated financial statements included in this prospectus for further information.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2024 and 2023</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6"/>
                <w:szCs w:val="16"/>
                <w:color w:val="auto"/>
              </w:rPr>
            </w:pPr>
          </w:p>
        </w:tc>
      </w:tr>
      <w:tr>
        <w:trPr>
          <w:trHeight w:val="50"/>
        </w:trPr>
        <w:tc>
          <w:tcPr>
            <w:tcW w:w="52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195"/>
        </w:trPr>
        <w:tc>
          <w:tcPr>
            <w:tcW w:w="5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71"/>
        </w:trPr>
        <w:tc>
          <w:tcPr>
            <w:tcW w:w="5200" w:type="dxa"/>
            <w:vAlign w:val="bottom"/>
          </w:tcPr>
          <w:p>
            <w:pPr>
              <w:spacing w:after="0"/>
              <w:rPr>
                <w:sz w:val="23"/>
                <w:szCs w:val="23"/>
                <w:color w:val="auto"/>
              </w:rPr>
            </w:pPr>
          </w:p>
        </w:tc>
        <w:tc>
          <w:tcPr>
            <w:tcW w:w="8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c>
          <w:tcPr>
            <w:tcW w:w="8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7"/>
        </w:trPr>
        <w:tc>
          <w:tcPr>
            <w:tcW w:w="5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9"/>
                <w:szCs w:val="19"/>
                <w:color w:val="auto"/>
              </w:rPr>
            </w:pPr>
          </w:p>
        </w:tc>
      </w:tr>
      <w:tr>
        <w:trPr>
          <w:trHeight w:val="50"/>
        </w:trPr>
        <w:tc>
          <w:tcPr>
            <w:tcW w:w="5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8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$90,292</w:t>
            </w:r>
          </w:p>
        </w:tc>
        <w:tc>
          <w:tcPr>
            <w:tcW w:w="1020" w:type="dxa"/>
            <w:vAlign w:val="bottom"/>
            <w:shd w:val="clear" w:color="auto" w:fill="CCEEFF"/>
          </w:tcPr>
          <w:p>
            <w:pPr>
              <w:jc w:val="center"/>
              <w:ind w:left="4"/>
              <w:spacing w:after="0"/>
              <w:rPr>
                <w:sz w:val="20"/>
                <w:szCs w:val="20"/>
                <w:color w:val="auto"/>
              </w:rPr>
            </w:pPr>
            <w:r>
              <w:rPr>
                <w:rFonts w:ascii="Times New Roman" w:cs="Times New Roman" w:eastAsia="Times New Roman" w:hAnsi="Times New Roman"/>
                <w:sz w:val="18"/>
                <w:szCs w:val="18"/>
                <w:color w:val="auto"/>
                <w:w w:val="99"/>
              </w:rPr>
              <w:t>$94,839</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w w:val="97"/>
              </w:rPr>
              <w:t>$(4,547)</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w:t>
            </w:r>
          </w:p>
        </w:tc>
      </w:tr>
      <w:tr>
        <w:trPr>
          <w:trHeight w:val="54"/>
        </w:trPr>
        <w:tc>
          <w:tcPr>
            <w:tcW w:w="52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5157470</wp:posOffset>
            </wp:positionH>
            <wp:positionV relativeFrom="paragraph">
              <wp:posOffset>-401955</wp:posOffset>
            </wp:positionV>
            <wp:extent cx="1200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-401955</wp:posOffset>
            </wp:positionV>
            <wp:extent cx="1200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-401955</wp:posOffset>
            </wp:positionV>
            <wp:extent cx="1200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jc w:val="both"/>
        <w:ind w:left="640" w:right="299" w:hanging="348"/>
        <w:spacing w:after="0" w:line="24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six months ended June 30, 2023, net revenues has been retrospectively adjusted to reflect the restatement of previously reported revenue. See Note 2, “Summary of Significant Accounting Policies,” to our unaudited condensed consolidated financial statements included in this prospectus for further information.</w:t>
      </w:r>
    </w:p>
    <w:p>
      <w:pPr>
        <w:spacing w:after="0" w:line="73"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Net revenues decreased by $4.5 million, or 5%, for the six months ended June 30, 2024 compared to the same period in 2023. The decrease was primarily due to a decrease in net revenues from our Featured Listing and WM Deal products of $8.3 million driven by our clients continuing to face constrained marketing budgets, the ongoing consolidation of our industry, partially offset by an increase in net revenues from our Weedmaps for Business and other SaaS solutions of $3.7 million driven by favorable pricing changes partially offset by a loss in revenue from products that were sunset in December 2023.</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For six months ended June 30, 2024, Featured Listing and WM Deal products, Weedmaps for Business and other ad solutions represented approximately 63%, 29% and 8% of our total net revenues, respectively.</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shows our total costs and expenses: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16"/>
                <w:szCs w:val="16"/>
                <w:color w:val="auto"/>
              </w:rPr>
            </w:pPr>
          </w:p>
        </w:tc>
        <w:tc>
          <w:tcPr>
            <w:tcW w:w="120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51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195"/>
        </w:trPr>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71"/>
        </w:trPr>
        <w:tc>
          <w:tcPr>
            <w:tcW w:w="5160" w:type="dxa"/>
            <w:vAlign w:val="bottom"/>
          </w:tcPr>
          <w:p>
            <w:pPr>
              <w:spacing w:after="0"/>
              <w:rPr>
                <w:sz w:val="23"/>
                <w:szCs w:val="23"/>
                <w:color w:val="auto"/>
              </w:rPr>
            </w:pPr>
          </w:p>
        </w:tc>
        <w:tc>
          <w:tcPr>
            <w:tcW w:w="66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68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7"/>
        </w:trPr>
        <w:tc>
          <w:tcPr>
            <w:tcW w:w="5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1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5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6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$ 4,547</w:t>
            </w:r>
          </w:p>
        </w:tc>
        <w:tc>
          <w:tcPr>
            <w:tcW w:w="10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$ 6,733</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(2,186)</w:t>
            </w: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(32)%</w:t>
            </w: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160" w:type="dxa"/>
            <w:vAlign w:val="bottom"/>
          </w:tcPr>
          <w:p>
            <w:pPr>
              <w:spacing w:after="0"/>
              <w:rPr>
                <w:sz w:val="23"/>
                <w:szCs w:val="23"/>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(3,924)</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(16)%</w:t>
            </w:r>
          </w:p>
        </w:tc>
      </w:tr>
      <w:tr>
        <w:trPr>
          <w:trHeight w:val="54"/>
        </w:trPr>
        <w:tc>
          <w:tcPr>
            <w:tcW w:w="5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6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10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20,134</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(1,263)</w:t>
            </w: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35,055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37,688</w:t>
            </w:r>
          </w:p>
        </w:tc>
        <w:tc>
          <w:tcPr>
            <w:tcW w:w="160" w:type="dxa"/>
            <w:vAlign w:val="bottom"/>
          </w:tcPr>
          <w:p>
            <w:pPr>
              <w:spacing w:after="0"/>
              <w:rPr>
                <w:sz w:val="23"/>
                <w:szCs w:val="23"/>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(2,633)</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54"/>
        </w:trPr>
        <w:tc>
          <w:tcPr>
            <w:tcW w:w="5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61"/>
        </w:trPr>
        <w:tc>
          <w:tcPr>
            <w:tcW w:w="5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auto"/>
              <w:right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auto"/>
              <w:right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270"/>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85,300</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95,204</w:t>
            </w:r>
          </w:p>
        </w:tc>
        <w:tc>
          <w:tcPr>
            <w:tcW w:w="160" w:type="dxa"/>
            <w:vAlign w:val="bottom"/>
          </w:tcPr>
          <w:p>
            <w:pPr>
              <w:spacing w:after="0"/>
              <w:rPr>
                <w:sz w:val="23"/>
                <w:szCs w:val="23"/>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(9,904)</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(59)%</w:t>
            </w:r>
          </w:p>
        </w:tc>
      </w:tr>
      <w:tr>
        <w:trPr>
          <w:trHeight w:val="20"/>
        </w:trPr>
        <w:tc>
          <w:tcPr>
            <w:tcW w:w="5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5106035</wp:posOffset>
            </wp:positionH>
            <wp:positionV relativeFrom="paragraph">
              <wp:posOffset>-1414145</wp:posOffset>
            </wp:positionV>
            <wp:extent cx="1371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-1414145</wp:posOffset>
            </wp:positionV>
            <wp:extent cx="137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-1414145</wp:posOffset>
            </wp:positionV>
            <wp:extent cx="1371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08" w:lineRule="exact"/>
        <w:rPr>
          <w:sz w:val="20"/>
          <w:szCs w:val="20"/>
          <w:color w:val="auto"/>
        </w:rPr>
      </w:pPr>
    </w:p>
    <w:p>
      <w:pPr>
        <w:jc w:val="both"/>
        <w:ind w:left="640" w:right="319" w:hanging="348"/>
        <w:spacing w:after="0" w:line="241"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six months ended June 30, 2023, general and administrative expenses have been retrospectively adjusted to reflect the restatement of previously reported credit losses. See Note 2, “Summary of Significant Accounting Policies,” to our unaudited condensed consolidated financial statements included in this prospectus for further information.</w:t>
      </w:r>
    </w:p>
    <w:p>
      <w:pPr>
        <w:spacing w:after="0" w:line="2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cost of revenue was primarily related to a decrease of $1.6 million for cost of revenues associated with multi-channel marketing and cloud communication platforms primarily due to the sunset in December 2023 of WM CRM, WM Screens and WM AdSuite and a decrease of $0.5 million in server costs.</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due to a decrease in personnel-related costs of $5.1 million, a decrease in outside services of $0.5 million and a decrease in branding, advertising and endorsement expense of $2.0 million, partially offset by an increase in event expense of $0.5 million, an increase in print and products expense of $0.8 million and an increase in web advertising of $2.5 million. The decrease in personnel-related costs was primarily driven by lower headcount resulting in decreases in salaries and wages of $2.0 million, bonus expense of $2.1 million, payroll taxes of $0.2 million and $0.8 million in stock-based compensation expense.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decrease in product development expenses was due to a decrease in personnel-related costs of $2.2 million, partially offset by an increase in outside service expense of $1.1 million. The decrease in personnel-related costs was primarily due to decreases in salaries and wages of $1.5 million, bonus expense of $0.2 million and stock-based compensation expense of $0.4 million.</w:t>
      </w:r>
    </w:p>
    <w:p>
      <w:pPr>
        <w:spacing w:after="0" w:line="2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a decrease in personnel-related costs of $2.7 million, a decrease in facilities expense of $0.6 million, a decrease in insurance expense of $1.1 million, a decrease in rent expense of $0.3 million, a decrease in software expense of $0.7 million and a decrease in provision for credit losses of $0.2 million, partially offset by $1.5 million charge recorded in the second quarter of 2024 related to potential settlement of an SEC matter, increases in professional legal and audit services of $0.8 million and an increase in outside service expense of $0.5 million. The decrease in personnel-related costs was primarily driven by lower headcount resulting into a decrease in salaries and wages of $1.0 million, a decrease in severance costs of $0.6 million, a decrease in stock-based compensation expense of $1.2 million, a decrease in employee benefit expense of $0.2 million, partially offset by an increase in bonus expense of $0.3 million. See Note 4, “Commitments and Contingencies” to our unaudited condensed consolidated financial statements included in this prospectus for additional information related to the potential settlement of an SEC matter.</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decrease in depreciation and amortization expense was primarily due to an increase in capitalized software amortization, partially offset by a decrease in amortization of intangible assets.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060" w:type="dxa"/>
            <w:vAlign w:val="bottom"/>
            <w:gridSpan w:val="9"/>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52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5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52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5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5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c>
          <w:tcPr>
            <w:tcW w:w="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(620)</w:t>
            </w:r>
          </w:p>
        </w:tc>
        <w:tc>
          <w:tcPr>
            <w:tcW w:w="2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(318)</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r>
      <w:tr>
        <w:trPr>
          <w:trHeight w:val="54"/>
        </w:trPr>
        <w:tc>
          <w:tcPr>
            <w:tcW w:w="5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(681)</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(32)%</w:t>
            </w:r>
          </w:p>
        </w:tc>
      </w:tr>
      <w:tr>
        <w:trPr>
          <w:trHeight w:val="61"/>
        </w:trPr>
        <w:tc>
          <w:tcPr>
            <w:tcW w:w="5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284"/>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$(1,788)</w:t>
            </w: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$(1,621)</w:t>
            </w:r>
          </w:p>
        </w:tc>
        <w:tc>
          <w:tcPr>
            <w:tcW w:w="22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$(167)</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5106035</wp:posOffset>
            </wp:positionH>
            <wp:positionV relativeFrom="paragraph">
              <wp:posOffset>-1002665</wp:posOffset>
            </wp:positionV>
            <wp:extent cx="137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-1002665</wp:posOffset>
            </wp:positionV>
            <wp:extent cx="137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-1002665</wp:posOffset>
            </wp:positionV>
            <wp:extent cx="137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decrease in other income (expense) net was primarily due to unfavorable changes in fair value of warrant liability of $0.1 million and an increase in change in TRA liability of $0.3 million, partially offset by a decrease in other expense of $0.2 million.</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Pr>
          <w:p>
            <w:pPr>
              <w:spacing w:after="0"/>
              <w:rPr>
                <w:sz w:val="16"/>
                <w:szCs w:val="16"/>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544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27"/>
        </w:trPr>
        <w:tc>
          <w:tcPr>
            <w:tcW w:w="5440" w:type="dxa"/>
            <w:vAlign w:val="bottom"/>
          </w:tcPr>
          <w:p>
            <w:pPr>
              <w:spacing w:after="0"/>
              <w:rPr>
                <w:sz w:val="19"/>
                <w:szCs w:val="19"/>
                <w:color w:val="auto"/>
              </w:rPr>
            </w:pPr>
          </w:p>
        </w:tc>
        <w:tc>
          <w:tcPr>
            <w:tcW w:w="68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544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27"/>
        </w:trPr>
        <w:tc>
          <w:tcPr>
            <w:tcW w:w="5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00" w:type="dxa"/>
            <w:vAlign w:val="bottom"/>
          </w:tcPr>
          <w:p>
            <w:pPr>
              <w:spacing w:after="0"/>
              <w:rPr>
                <w:sz w:val="19"/>
                <w:szCs w:val="19"/>
                <w:color w:val="auto"/>
              </w:rPr>
            </w:pPr>
          </w:p>
        </w:tc>
      </w:tr>
      <w:tr>
        <w:trPr>
          <w:trHeight w:val="50"/>
        </w:trPr>
        <w:tc>
          <w:tcPr>
            <w:tcW w:w="5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84"/>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$51</w:t>
            </w:r>
          </w:p>
        </w:tc>
        <w:tc>
          <w:tcPr>
            <w:tcW w:w="1180" w:type="dxa"/>
            <w:vAlign w:val="bottom"/>
            <w:shd w:val="clear" w:color="auto" w:fill="CCEEFF"/>
          </w:tcPr>
          <w:p>
            <w:pPr>
              <w:jc w:val="center"/>
              <w:ind w:left="282"/>
              <w:spacing w:after="0"/>
              <w:rPr>
                <w:sz w:val="20"/>
                <w:szCs w:val="20"/>
                <w:color w:val="auto"/>
              </w:rPr>
            </w:pPr>
            <w:r>
              <w:rPr>
                <w:rFonts w:ascii="Times New Roman" w:cs="Times New Roman" w:eastAsia="Times New Roman" w:hAnsi="Times New Roman"/>
                <w:sz w:val="18"/>
                <w:szCs w:val="18"/>
                <w:color w:val="auto"/>
                <w:w w:val="96"/>
              </w:rPr>
              <w:t>$—</w:t>
            </w:r>
          </w:p>
        </w:tc>
        <w:tc>
          <w:tcPr>
            <w:tcW w:w="6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8"/>
                <w:szCs w:val="18"/>
                <w:color w:val="auto"/>
                <w:w w:val="99"/>
              </w:rPr>
              <w:t>N/M</w:t>
            </w:r>
          </w:p>
        </w:tc>
      </w:tr>
      <w:tr>
        <w:trPr>
          <w:trHeight w:val="54"/>
        </w:trPr>
        <w:tc>
          <w:tcPr>
            <w:tcW w:w="54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-401955</wp:posOffset>
            </wp:positionV>
            <wp:extent cx="1543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-401955</wp:posOffset>
            </wp:positionV>
            <wp:extent cx="1543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-401955</wp:posOffset>
            </wp:positionV>
            <wp:extent cx="1543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0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we recorded fifty-one in income tax provisions due to the impact of the full valuation allowance on its net deferred assets. See Note 2, “Summary of Significant Accounting Policies,” to our unaudited condensed consolidated financial statements included in this prospectus for further information.</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cannabis industry has certain industry holidays that in recent years have resulted in increased purchases by cannabis consumers. Such “holidays” include, but are not limited to 420, July 10th and the Wednesday before Thanksgiving (“Green Wednesday”). Likewise, our clients will typically increase their spend heading into these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tables show our cash, accounts receivable and working capital as of the dates indicated:</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  December 31, 2023</w:t>
            </w:r>
          </w:p>
        </w:tc>
      </w:tr>
      <w:tr>
        <w:trPr>
          <w:trHeight w:val="51"/>
        </w:trPr>
        <w:tc>
          <w:tcPr>
            <w:tcW w:w="6220" w:type="dxa"/>
            <w:vAlign w:val="bottom"/>
          </w:tcPr>
          <w:p>
            <w:pPr>
              <w:spacing w:after="0"/>
              <w:rPr>
                <w:sz w:val="4"/>
                <w:szCs w:val="4"/>
                <w:color w:val="auto"/>
              </w:rPr>
            </w:pPr>
          </w:p>
        </w:tc>
        <w:tc>
          <w:tcPr>
            <w:tcW w:w="2200" w:type="dxa"/>
            <w:vAlign w:val="bottom"/>
            <w:tcBorders>
              <w:bottom w:val="single" w:sz="8" w:color="auto"/>
            </w:tcBorders>
            <w:gridSpan w:val="2"/>
          </w:tcPr>
          <w:p>
            <w:pPr>
              <w:spacing w:after="0"/>
              <w:rPr>
                <w:sz w:val="4"/>
                <w:szCs w:val="4"/>
                <w:color w:val="auto"/>
              </w:rPr>
            </w:pPr>
          </w:p>
        </w:tc>
      </w:tr>
      <w:tr>
        <w:trPr>
          <w:trHeight w:val="227"/>
        </w:trPr>
        <w:tc>
          <w:tcPr>
            <w:tcW w:w="6220" w:type="dxa"/>
            <w:vAlign w:val="bottom"/>
          </w:tcPr>
          <w:p>
            <w:pPr>
              <w:spacing w:after="0"/>
              <w:rPr>
                <w:sz w:val="19"/>
                <w:szCs w:val="19"/>
                <w:color w:val="auto"/>
              </w:rPr>
            </w:pP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50"/>
        </w:trPr>
        <w:tc>
          <w:tcPr>
            <w:tcW w:w="6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318"/>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$41,292</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$34,350</w:t>
            </w: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$ 7,000</w:t>
            </w: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$11,158</w:t>
            </w:r>
          </w:p>
        </w:tc>
      </w:tr>
      <w:tr>
        <w:trPr>
          <w:trHeight w:val="54"/>
        </w:trPr>
        <w:tc>
          <w:tcPr>
            <w:tcW w:w="6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7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$23,506</w:t>
            </w:r>
          </w:p>
        </w:tc>
        <w:tc>
          <w:tcPr>
            <w:tcW w:w="11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$17,771</w:t>
            </w:r>
          </w:p>
        </w:tc>
      </w:tr>
      <w:tr>
        <w:trPr>
          <w:trHeight w:val="54"/>
        </w:trPr>
        <w:tc>
          <w:tcPr>
            <w:tcW w:w="622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-813435</wp:posOffset>
            </wp:positionV>
            <wp:extent cx="1028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of June 30, 2024 and December 31, 2023, we had cash of $41.3 million and $34.4 million, respectively. Our funds are being used for funding our current operations and potential strategic acquisitions in the future. We also intend to increase our capital expenditures to support the organic growth in our business and operations. We expect to fund our liquidity requirements from cash and working capital on hand at June 30, 2024,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2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50"/>
        </w:trPr>
        <w:tc>
          <w:tcPr>
            <w:tcW w:w="644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27"/>
        </w:trPr>
        <w:tc>
          <w:tcPr>
            <w:tcW w:w="6440" w:type="dxa"/>
            <w:vAlign w:val="bottom"/>
          </w:tcPr>
          <w:p>
            <w:pPr>
              <w:spacing w:after="0"/>
              <w:rPr>
                <w:sz w:val="19"/>
                <w:szCs w:val="19"/>
                <w:color w:val="auto"/>
              </w:rPr>
            </w:pPr>
          </w:p>
        </w:tc>
        <w:tc>
          <w:tcPr>
            <w:tcW w:w="10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6440" w:type="dxa"/>
            <w:vAlign w:val="bottom"/>
          </w:tcPr>
          <w:p>
            <w:pPr>
              <w:spacing w:after="0"/>
              <w:rPr>
                <w:sz w:val="4"/>
                <w:szCs w:val="4"/>
                <w:color w:val="auto"/>
              </w:rPr>
            </w:pPr>
          </w:p>
        </w:tc>
        <w:tc>
          <w:tcPr>
            <w:tcW w:w="1980" w:type="dxa"/>
            <w:vAlign w:val="bottom"/>
            <w:tcBorders>
              <w:bottom w:val="single" w:sz="8" w:color="auto"/>
            </w:tcBorders>
            <w:gridSpan w:val="2"/>
          </w:tcPr>
          <w:p>
            <w:pPr>
              <w:spacing w:after="0"/>
              <w:rPr>
                <w:sz w:val="4"/>
                <w:szCs w:val="4"/>
                <w:color w:val="auto"/>
              </w:rPr>
            </w:pPr>
          </w:p>
        </w:tc>
      </w:tr>
      <w:tr>
        <w:trPr>
          <w:trHeight w:val="227"/>
        </w:trPr>
        <w:tc>
          <w:tcPr>
            <w:tcW w:w="6440" w:type="dxa"/>
            <w:vAlign w:val="bottom"/>
          </w:tcPr>
          <w:p>
            <w:pPr>
              <w:spacing w:after="0"/>
              <w:rPr>
                <w:sz w:val="19"/>
                <w:szCs w:val="19"/>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50"/>
        </w:trPr>
        <w:tc>
          <w:tcPr>
            <w:tcW w:w="6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318"/>
        </w:trPr>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$20,054</w:t>
            </w:r>
          </w:p>
        </w:tc>
        <w:tc>
          <w:tcPr>
            <w:tcW w:w="9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$ 4,092</w:t>
            </w:r>
          </w:p>
        </w:tc>
      </w:tr>
      <w:tr>
        <w:trPr>
          <w:trHeight w:val="27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(7,140)</w:t>
            </w:r>
          </w:p>
        </w:tc>
        <w:tc>
          <w:tcPr>
            <w:tcW w:w="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$(5,806)</w:t>
            </w:r>
          </w:p>
        </w:tc>
      </w:tr>
      <w:tr>
        <w:trPr>
          <w:trHeight w:val="54"/>
        </w:trPr>
        <w:tc>
          <w:tcPr>
            <w:tcW w:w="6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(5,972)</w:t>
            </w:r>
          </w:p>
        </w:tc>
        <w:tc>
          <w:tcPr>
            <w:tcW w:w="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$(2,266)</w:t>
            </w:r>
          </w:p>
        </w:tc>
      </w:tr>
      <w:tr>
        <w:trPr>
          <w:trHeight w:val="54"/>
        </w:trPr>
        <w:tc>
          <w:tcPr>
            <w:tcW w:w="644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-814070</wp:posOffset>
            </wp:positionV>
            <wp:extent cx="2228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(loss) adjusted for certain non-cash items, including depreciation and amortization, change in fair value of warrant liability, change in TRA liability, amortization of right-of-use lease assets, stock-based compensation, gain on lease termination, provision (benefit) for credit losses, net of recoveries and the effect of changes in working capital.</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2024 was $20.1 million, which resulted from a net income of $3.2 million, together with net cash inflows of $2.2 million from changes in operating assets and liabilities, and non-cash items of $14.7 million, consisting of depreciation and amortization of $6.1 million, fair value of warrant liability of $0.4 million, change in TRA of $0.9 million, amortization of right-of-use lease assets of $2.4 million, stock-based compensation of $5.6 million, partially offset by gain on lease termination of $0.1 million and provision (benefit) for credit losses, net of recoveries of $0.6 million. Net cash inflows from changes in operating assets and liabilities was primarily due to a decrease in accounts receivable of $4.8 million, a decrease in prepaid expenses and other current assets of $0.3 million, a decrease in other assets of $0.1 million and an increase in accounts payable and accrued expenses of $0.6 million, partially offset by a decrease in deferred revenue of $0.1 million and a decrease in operating lease liabilities of $3.5 million. The changes in operating assets and liabilities are mostly due to fluctuations in timing of cash receipts and payments.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2023 was $4.1 million, which resulted from net loss of $2.0 million, together with net cash outflows of $11.0 million from changes in operating assets and liabilities, and non-cash items of $17.1 million, consisting of depreciation and amortization of $6.0 million, fair value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00"/>
        <w:spacing w:after="0" w:line="255" w:lineRule="auto"/>
        <w:rPr>
          <w:sz w:val="20"/>
          <w:szCs w:val="20"/>
          <w:color w:val="auto"/>
        </w:rPr>
      </w:pPr>
      <w:r>
        <w:rPr>
          <w:rFonts w:ascii="Times New Roman" w:cs="Times New Roman" w:eastAsia="Times New Roman" w:hAnsi="Times New Roman"/>
          <w:sz w:val="18"/>
          <w:szCs w:val="18"/>
          <w:color w:val="auto"/>
        </w:rPr>
        <w:t>of warrant liability of $0.3 million, change in TRA of $0.6 million, amortization of right-of-use lease assets of $2.4 million and stock-based compensation of $8.1 million, partially offset by provision (benefit) for credit losses, net of recoveries of $0.4 million. Net cash outflows from changes in operating assets and liabilities were primarily due to a decrease in accounts payables and accrued expenses of $12.9 million and a decrease in operating lease liabilities of $3.1 million, partially offset by a decrease in accounts receivables of $2.9 million, a decrease in prepaid expenses and other current assets of $1.6 million and an increase in deferred revenue of $0.4 million. The changes in operating assets and liabilities are mostly due to fluctuations in timing of cash receipts and payments.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was $7.1 million, which resulted from $7.1 million cash paid for capital expenditures which includes purchases of property and equipment, including certain capitalized software development cost.</w:t>
      </w:r>
    </w:p>
    <w:p>
      <w:pPr>
        <w:spacing w:after="0" w:line="68"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2023 was $5.8 million, which resulted from $5.8 million cash paid for capital expenditures which includes purchases of property and equipment, including certain capitalized software development cost.</w:t>
      </w:r>
    </w:p>
    <w:p>
      <w:pPr>
        <w:spacing w:after="0" w:line="2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1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Net cash outflows from financing activities for the six months ended June 30, 2024 was $6.0 million, which primarily consists of $6.0 million in distributions payments to members of WMH LLC, $0.1 million in TRA payments and $0.1 million in proceeds from collection of related party note receivable.</w:t>
      </w:r>
    </w:p>
    <w:p>
      <w:pPr>
        <w:spacing w:after="0" w:line="68"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Net cash outflows from financing activities for six months ended June 30, 2023 was $2.3 million, which primarily consists of $1.5 million in repayments of insurance premium financing and $1.0 million in distributions payments to members of WMH LLC and $0.2 million in proceeds from collection of related party note receivable.</w:t>
      </w:r>
    </w:p>
    <w:p>
      <w:pPr>
        <w:spacing w:after="0" w:line="1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2023 and 2022</w:t>
      </w:r>
    </w:p>
    <w:p>
      <w:pPr>
        <w:spacing w:after="0" w:line="121"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 and expresses the relationship of certain line items as a percentage of net revenues for those periods. The period-to-period comparison of financial results is not necessarily indicative of future results.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60" w:type="dxa"/>
            <w:vAlign w:val="bottom"/>
            <w:gridSpan w:val="7"/>
          </w:tcPr>
          <w:p>
            <w:pPr>
              <w:jc w:val="center"/>
              <w:ind w:left="21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0"/>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0"/>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Revenue</w:t>
            </w:r>
          </w:p>
        </w:tc>
        <w:tc>
          <w:tcPr>
            <w:tcW w:w="2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 Revenue</w:t>
            </w:r>
          </w:p>
        </w:tc>
      </w:tr>
      <w:tr>
        <w:trPr>
          <w:trHeight w:val="50"/>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80" w:type="dxa"/>
            <w:vAlign w:val="bottom"/>
            <w:gridSpan w:val="12"/>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r>
      <w:tr>
        <w:trPr>
          <w:trHeight w:val="50"/>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$187,993</w:t>
            </w:r>
          </w:p>
        </w:tc>
        <w:tc>
          <w:tcPr>
            <w:tcW w:w="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$215,531</w:t>
            </w:r>
          </w:p>
        </w:tc>
        <w:tc>
          <w:tcPr>
            <w:tcW w:w="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2"/>
        </w:trPr>
        <w:tc>
          <w:tcPr>
            <w:tcW w:w="1300" w:type="dxa"/>
            <w:vAlign w:val="bottom"/>
          </w:tcPr>
          <w:p>
            <w:pPr>
              <w:spacing w:after="0"/>
              <w:rPr>
                <w:sz w:val="21"/>
                <w:szCs w:val="21"/>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8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68"/>
        </w:trPr>
        <w:tc>
          <w:tcPr>
            <w:tcW w:w="130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1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12,527</w:t>
            </w:r>
          </w:p>
        </w:tc>
        <w:tc>
          <w:tcPr>
            <w:tcW w:w="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1300" w:type="dxa"/>
            <w:vAlign w:val="bottom"/>
          </w:tcPr>
          <w:p>
            <w:pPr>
              <w:spacing w:after="0"/>
              <w:rPr>
                <w:sz w:val="23"/>
                <w:szCs w:val="23"/>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47,073</w:t>
            </w:r>
          </w:p>
        </w:tc>
        <w:tc>
          <w:tcPr>
            <w:tcW w:w="40" w:type="dxa"/>
            <w:vAlign w:val="bottom"/>
          </w:tcPr>
          <w:p>
            <w:pPr>
              <w:spacing w:after="0"/>
              <w:rPr>
                <w:sz w:val="23"/>
                <w:szCs w:val="23"/>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82,624</w:t>
            </w:r>
          </w:p>
        </w:tc>
        <w:tc>
          <w:tcPr>
            <w:tcW w:w="60" w:type="dxa"/>
            <w:vAlign w:val="bottom"/>
          </w:tcPr>
          <w:p>
            <w:pPr>
              <w:spacing w:after="0"/>
              <w:rPr>
                <w:sz w:val="23"/>
                <w:szCs w:val="23"/>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38.3%</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1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36,001</w:t>
            </w:r>
          </w:p>
        </w:tc>
        <w:tc>
          <w:tcPr>
            <w:tcW w:w="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50,520</w:t>
            </w:r>
          </w:p>
        </w:tc>
        <w:tc>
          <w:tcPr>
            <w:tcW w:w="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23.4%</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74,313</w:t>
            </w:r>
          </w:p>
        </w:tc>
        <w:tc>
          <w:tcPr>
            <w:tcW w:w="40" w:type="dxa"/>
            <w:vAlign w:val="bottom"/>
          </w:tcPr>
          <w:p>
            <w:pPr>
              <w:spacing w:after="0"/>
              <w:rPr>
                <w:sz w:val="23"/>
                <w:szCs w:val="23"/>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39.5%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120,787</w:t>
            </w:r>
          </w:p>
        </w:tc>
        <w:tc>
          <w:tcPr>
            <w:tcW w:w="60" w:type="dxa"/>
            <w:vAlign w:val="bottom"/>
          </w:tcPr>
          <w:p>
            <w:pPr>
              <w:spacing w:after="0"/>
              <w:rPr>
                <w:sz w:val="23"/>
                <w:szCs w:val="23"/>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56.0%</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12,133</w:t>
            </w:r>
          </w:p>
        </w:tc>
        <w:tc>
          <w:tcPr>
            <w:tcW w:w="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24,403</w:t>
            </w:r>
          </w:p>
        </w:tc>
        <w:tc>
          <w:tcPr>
            <w:tcW w:w="40" w:type="dxa"/>
            <w:vAlign w:val="bottom"/>
          </w:tcPr>
          <w:p>
            <w:pPr>
              <w:spacing w:after="0"/>
              <w:rPr>
                <w:sz w:val="22"/>
                <w:szCs w:val="22"/>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60" w:type="dxa"/>
            <w:vAlign w:val="bottom"/>
          </w:tcPr>
          <w:p>
            <w:pPr>
              <w:spacing w:after="0"/>
              <w:rPr>
                <w:sz w:val="22"/>
                <w:szCs w:val="22"/>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206,450</w:t>
            </w:r>
          </w:p>
        </w:tc>
        <w:tc>
          <w:tcPr>
            <w:tcW w:w="40" w:type="dxa"/>
            <w:vAlign w:val="bottom"/>
            <w:shd w:val="clear" w:color="auto" w:fill="CCEEFF"/>
          </w:tcPr>
          <w:p>
            <w:pPr>
              <w:spacing w:after="0"/>
              <w:rPr>
                <w:sz w:val="23"/>
                <w:szCs w:val="23"/>
                <w:color w:val="auto"/>
              </w:rPr>
            </w:pP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285,153</w:t>
            </w:r>
          </w:p>
        </w:tc>
        <w:tc>
          <w:tcPr>
            <w:tcW w:w="60" w:type="dxa"/>
            <w:vAlign w:val="bottom"/>
            <w:shd w:val="clear" w:color="auto" w:fill="CCEEFF"/>
          </w:tcPr>
          <w:p>
            <w:pPr>
              <w:spacing w:after="0"/>
              <w:rPr>
                <w:sz w:val="23"/>
                <w:szCs w:val="23"/>
                <w:color w:val="auto"/>
              </w:rPr>
            </w:pP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132.3%</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38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3"/>
        </w:trPr>
        <w:tc>
          <w:tcPr>
            <w:tcW w:w="1300" w:type="dxa"/>
            <w:vAlign w:val="bottom"/>
          </w:tcPr>
          <w:p>
            <w:pPr>
              <w:spacing w:after="0"/>
              <w:rPr>
                <w:sz w:val="24"/>
                <w:szCs w:val="24"/>
                <w:color w:val="auto"/>
              </w:rPr>
            </w:pPr>
          </w:p>
        </w:tc>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(18,457)</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(32.3)%</w:t>
            </w: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40" w:type="dxa"/>
            <w:vAlign w:val="bottom"/>
          </w:tcPr>
          <w:p>
            <w:pPr>
              <w:spacing w:after="0"/>
              <w:rPr>
                <w:sz w:val="23"/>
                <w:szCs w:val="23"/>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60" w:type="dxa"/>
            <w:vAlign w:val="bottom"/>
          </w:tcPr>
          <w:p>
            <w:pPr>
              <w:spacing w:after="0"/>
              <w:rPr>
                <w:sz w:val="23"/>
                <w:szCs w:val="23"/>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5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142,352</w:t>
            </w:r>
          </w:p>
        </w:tc>
        <w:tc>
          <w:tcPr>
            <w:tcW w:w="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66.0%</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40" w:type="dxa"/>
            <w:vAlign w:val="bottom"/>
          </w:tcPr>
          <w:p>
            <w:pPr>
              <w:spacing w:after="0"/>
              <w:rPr>
                <w:sz w:val="22"/>
                <w:szCs w:val="22"/>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5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(15,634)</w:t>
            </w: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96,426</w:t>
            </w:r>
          </w:p>
        </w:tc>
        <w:tc>
          <w:tcPr>
            <w:tcW w:w="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44.7%</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5535295</wp:posOffset>
            </wp:positionH>
            <wp:positionV relativeFrom="paragraph">
              <wp:posOffset>-3874135</wp:posOffset>
            </wp:positionV>
            <wp:extent cx="1371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-3874135</wp:posOffset>
            </wp:positionV>
            <wp:extent cx="1371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-3874135</wp:posOffset>
            </wp:positionV>
            <wp:extent cx="1371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67" w:name="page68"/>
    <w:bookmarkEnd w:id="67"/>
    <w:tbl>
      <w:tblPr>
        <w:tblLayout w:type="fixed"/>
        <w:tblInd w:w="300" w:type="dxa"/>
        <w:tblCellMar>
          <w:top w:w="0" w:type="dxa"/>
          <w:left w:w="0" w:type="dxa"/>
          <w:bottom w:w="0" w:type="dxa"/>
          <w:right w:w="0" w:type="dxa"/>
        </w:tblCellMar>
      </w:tblPr>
      <w:tr>
        <w:trPr>
          <w:trHeight w:val="161"/>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402"/>
        </w:trPr>
        <w:tc>
          <w:tcPr>
            <w:tcW w:w="1540" w:type="dxa"/>
            <w:vAlign w:val="bottom"/>
            <w:tcBorders>
              <w:top w:val="single" w:sz="8" w:color="0000EE"/>
            </w:tcBorders>
          </w:tcPr>
          <w:p>
            <w:pPr>
              <w:spacing w:after="0"/>
              <w:rPr>
                <w:sz w:val="24"/>
                <w:szCs w:val="24"/>
                <w:color w:val="auto"/>
              </w:rPr>
            </w:pPr>
          </w:p>
        </w:tc>
        <w:tc>
          <w:tcPr>
            <w:tcW w:w="3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0"/>
        </w:trPr>
        <w:tc>
          <w:tcPr>
            <w:tcW w:w="1540" w:type="dxa"/>
            <w:vAlign w:val="bottom"/>
          </w:tcPr>
          <w:p>
            <w:pPr>
              <w:spacing w:after="0"/>
              <w:rPr>
                <w:sz w:val="4"/>
                <w:szCs w:val="4"/>
                <w:color w:val="auto"/>
              </w:rPr>
            </w:pPr>
          </w:p>
        </w:tc>
        <w:tc>
          <w:tcPr>
            <w:tcW w:w="32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15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16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1"/>
        </w:trPr>
        <w:tc>
          <w:tcPr>
            <w:tcW w:w="1540" w:type="dxa"/>
            <w:vAlign w:val="bottom"/>
          </w:tcPr>
          <w:p>
            <w:pPr>
              <w:spacing w:after="0"/>
              <w:rPr>
                <w:sz w:val="4"/>
                <w:szCs w:val="4"/>
                <w:color w:val="auto"/>
              </w:rPr>
            </w:pPr>
          </w:p>
        </w:tc>
        <w:tc>
          <w:tcPr>
            <w:tcW w:w="32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15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Revenue</w:t>
            </w:r>
          </w:p>
        </w:tc>
        <w:tc>
          <w:tcPr>
            <w:tcW w:w="2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 Revenue</w:t>
            </w:r>
          </w:p>
        </w:tc>
      </w:tr>
      <w:tr>
        <w:trPr>
          <w:trHeight w:val="50"/>
        </w:trPr>
        <w:tc>
          <w:tcPr>
            <w:tcW w:w="1540" w:type="dxa"/>
            <w:vAlign w:val="bottom"/>
          </w:tcPr>
          <w:p>
            <w:pPr>
              <w:spacing w:after="0"/>
              <w:rPr>
                <w:sz w:val="4"/>
                <w:szCs w:val="4"/>
                <w:color w:val="auto"/>
              </w:rPr>
            </w:pPr>
          </w:p>
        </w:tc>
        <w:tc>
          <w:tcPr>
            <w:tcW w:w="32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15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4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1540" w:type="dxa"/>
            <w:vAlign w:val="bottom"/>
          </w:tcPr>
          <w:p>
            <w:pPr>
              <w:spacing w:after="0"/>
              <w:rPr>
                <w:sz w:val="4"/>
                <w:szCs w:val="4"/>
                <w:color w:val="auto"/>
              </w:rPr>
            </w:pPr>
          </w:p>
        </w:tc>
        <w:tc>
          <w:tcPr>
            <w:tcW w:w="3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84"/>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179,077</w:t>
            </w:r>
          </w:p>
        </w:tc>
        <w:tc>
          <w:tcPr>
            <w:tcW w:w="32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83.1%</w:t>
            </w: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32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right w:val="single" w:sz="8" w:color="CCEEFF"/>
            </w:tcBorders>
            <w:shd w:val="clear" w:color="auto" w:fill="CCEEFF"/>
          </w:tcPr>
          <w:p>
            <w:pPr>
              <w:spacing w:after="0"/>
              <w:rPr>
                <w:sz w:val="4"/>
                <w:szCs w:val="4"/>
                <w:color w:val="auto"/>
              </w:rPr>
            </w:pPr>
          </w:p>
        </w:tc>
        <w:tc>
          <w:tcPr>
            <w:tcW w:w="680" w:type="dxa"/>
            <w:vAlign w:val="bottom"/>
            <w:tcBorders>
              <w:top w:val="single" w:sz="8" w:color="auto"/>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auto"/>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83"/>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(15,727)</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(82,651)</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r>
      <w:tr>
        <w:trPr>
          <w:trHeight w:val="48"/>
        </w:trPr>
        <w:tc>
          <w:tcPr>
            <w:tcW w:w="1540" w:type="dxa"/>
            <w:vAlign w:val="bottom"/>
          </w:tcPr>
          <w:p>
            <w:pPr>
              <w:spacing w:after="0"/>
              <w:rPr>
                <w:sz w:val="4"/>
                <w:szCs w:val="4"/>
                <w:color w:val="auto"/>
              </w:rPr>
            </w:pPr>
          </w:p>
        </w:tc>
        <w:tc>
          <w:tcPr>
            <w:tcW w:w="32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r>
      <w:tr>
        <w:trPr>
          <w:trHeight w:val="283"/>
        </w:trPr>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(5,829)</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33,338</w:t>
            </w:r>
          </w:p>
        </w:tc>
        <w:tc>
          <w:tcPr>
            <w:tcW w:w="32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32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right w:val="single" w:sz="8" w:color="CCEEFF"/>
            </w:tcBorders>
            <w:shd w:val="clear" w:color="auto" w:fill="CCEEFF"/>
          </w:tcPr>
          <w:p>
            <w:pPr>
              <w:spacing w:after="0"/>
              <w:rPr>
                <w:sz w:val="4"/>
                <w:szCs w:val="4"/>
                <w:color w:val="auto"/>
              </w:rPr>
            </w:pPr>
          </w:p>
        </w:tc>
        <w:tc>
          <w:tcPr>
            <w:tcW w:w="680" w:type="dxa"/>
            <w:vAlign w:val="bottom"/>
            <w:tcBorders>
              <w:top w:val="single" w:sz="8" w:color="auto"/>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auto"/>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83"/>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 attributable to WM Technology, Inc.</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(9,898)</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(115,989)</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(53.8)%</w:t>
            </w:r>
          </w:p>
        </w:tc>
      </w:tr>
      <w:tr>
        <w:trPr>
          <w:trHeight w:val="20"/>
        </w:trPr>
        <w:tc>
          <w:tcPr>
            <w:tcW w:w="15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-1045210</wp:posOffset>
            </wp:positionV>
            <wp:extent cx="137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-1045210</wp:posOffset>
            </wp:positionV>
            <wp:extent cx="137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-1045210</wp:posOffset>
            </wp:positionV>
            <wp:extent cx="137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our disaggregated net revenue information:</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Pr>
          <w:p>
            <w:pPr>
              <w:spacing w:after="0"/>
              <w:rPr>
                <w:sz w:val="16"/>
                <w:szCs w:val="16"/>
                <w:color w:val="auto"/>
              </w:rPr>
            </w:pPr>
          </w:p>
        </w:tc>
        <w:tc>
          <w:tcPr>
            <w:tcW w:w="10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6"/>
                <w:szCs w:val="16"/>
                <w:color w:val="auto"/>
              </w:rPr>
            </w:pPr>
          </w:p>
        </w:tc>
      </w:tr>
      <w:tr>
        <w:trPr>
          <w:trHeight w:val="51"/>
        </w:trPr>
        <w:tc>
          <w:tcPr>
            <w:tcW w:w="47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r>
      <w:tr>
        <w:trPr>
          <w:trHeight w:val="227"/>
        </w:trPr>
        <w:tc>
          <w:tcPr>
            <w:tcW w:w="4780" w:type="dxa"/>
            <w:vAlign w:val="bottom"/>
          </w:tcPr>
          <w:p>
            <w:pPr>
              <w:spacing w:after="0"/>
              <w:rPr>
                <w:sz w:val="19"/>
                <w:szCs w:val="19"/>
                <w:color w:val="auto"/>
              </w:rPr>
            </w:pPr>
          </w:p>
        </w:tc>
        <w:tc>
          <w:tcPr>
            <w:tcW w:w="9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0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47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r>
      <w:tr>
        <w:trPr>
          <w:trHeight w:val="227"/>
        </w:trPr>
        <w:tc>
          <w:tcPr>
            <w:tcW w:w="4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9"/>
                <w:szCs w:val="19"/>
                <w:color w:val="auto"/>
              </w:rPr>
            </w:pPr>
          </w:p>
        </w:tc>
      </w:tr>
      <w:tr>
        <w:trPr>
          <w:trHeight w:val="51"/>
        </w:trPr>
        <w:tc>
          <w:tcPr>
            <w:tcW w:w="4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28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$187,993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$215,531</w:t>
            </w:r>
          </w:p>
        </w:tc>
        <w:tc>
          <w:tcPr>
            <w:tcW w:w="13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$(27,538)</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w:t>
            </w:r>
          </w:p>
        </w:tc>
      </w:tr>
      <w:tr>
        <w:trPr>
          <w:trHeight w:val="54"/>
        </w:trPr>
        <w:tc>
          <w:tcPr>
            <w:tcW w:w="478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-402590</wp:posOffset>
            </wp:positionV>
            <wp:extent cx="1885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-402590</wp:posOffset>
            </wp:positionV>
            <wp:extent cx="1885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-402590</wp:posOffset>
            </wp:positionV>
            <wp:extent cx="1885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revenues decreased by $27.5 million, or 13%, for the year ended December 31, 2023 compared to the same period in 2022. The decrease was primarily driven by a decrease in average monthly net revenue per paying client primarily as a result of a decrease in revenue from our Featured Listings and WM Deal products of $23.1 million, Weedmaps for Business of $3.9 million and other WM Ad solutions of $0.5 million.</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featured and deal listings, Weedmaps for Business and other ad solutions represented 67%, 25% and 8% of our total net revenues, respectively.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we approved plans to reduce our workforce as part of certain cost-reduction initiatives intended to reduce operating expenses and sharpen our focus on key growth priorities. The decreases in our sales and marketing expenses, product development expenses and general and administrative expenses are primarily driven by the reduction in employee headcount. As of December 31, 2023, we had 440 full-time employees and 19 temporary employees, including 196 in engineering, product and design, 181 in sales and marketing and 82 in general and administrative. As of December 31, 2022, we had 580 full-time employees and 3 temporary employees, including 224 in engineering, product and design, 245 in sales and marketing and 114 in general and administrative. Of these employees, 573 are located in the United States and 10 are located in Canada. The following table shows our total costs and expenses:</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50"/>
        </w:trPr>
        <w:tc>
          <w:tcPr>
            <w:tcW w:w="48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840" w:type="dxa"/>
            <w:vAlign w:val="bottom"/>
          </w:tcPr>
          <w:p>
            <w:pPr>
              <w:spacing w:after="0"/>
              <w:rPr>
                <w:sz w:val="19"/>
                <w:szCs w:val="19"/>
                <w:color w:val="auto"/>
              </w:rPr>
            </w:pPr>
          </w:p>
        </w:tc>
        <w:tc>
          <w:tcPr>
            <w:tcW w:w="7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9"/>
                <w:szCs w:val="19"/>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9"/>
                <w:szCs w:val="19"/>
                <w:color w:val="auto"/>
              </w:rPr>
            </w:pPr>
          </w:p>
        </w:tc>
        <w:tc>
          <w:tcPr>
            <w:tcW w:w="9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48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48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$ 12,527</w:t>
            </w:r>
          </w:p>
        </w:tc>
        <w:tc>
          <w:tcPr>
            <w:tcW w:w="3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$ 15,407</w:t>
            </w:r>
          </w:p>
        </w:tc>
        <w:tc>
          <w:tcPr>
            <w:tcW w:w="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(2,880)</w:t>
            </w: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82,624</w:t>
            </w:r>
          </w:p>
        </w:tc>
        <w:tc>
          <w:tcPr>
            <w:tcW w:w="60" w:type="dxa"/>
            <w:vAlign w:val="bottom"/>
          </w:tcPr>
          <w:p>
            <w:pPr>
              <w:spacing w:after="0"/>
              <w:rPr>
                <w:sz w:val="23"/>
                <w:szCs w:val="23"/>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(35,551)</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54"/>
        </w:trPr>
        <w:tc>
          <w:tcPr>
            <w:tcW w:w="48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3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50,520</w:t>
            </w:r>
          </w:p>
        </w:tc>
        <w:tc>
          <w:tcPr>
            <w:tcW w:w="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(14,519)</w:t>
            </w: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74,313</w:t>
            </w:r>
          </w:p>
        </w:tc>
        <w:tc>
          <w:tcPr>
            <w:tcW w:w="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120,787</w:t>
            </w:r>
          </w:p>
        </w:tc>
        <w:tc>
          <w:tcPr>
            <w:tcW w:w="60" w:type="dxa"/>
            <w:vAlign w:val="bottom"/>
          </w:tcPr>
          <w:p>
            <w:pPr>
              <w:spacing w:after="0"/>
              <w:rPr>
                <w:sz w:val="23"/>
                <w:szCs w:val="23"/>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(46,474)</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54"/>
        </w:trPr>
        <w:tc>
          <w:tcPr>
            <w:tcW w:w="48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3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3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38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20,086</w:t>
            </w:r>
          </w:p>
        </w:tc>
        <w:tc>
          <w:tcPr>
            <w:tcW w:w="320" w:type="dxa"/>
            <w:vAlign w:val="bottom"/>
          </w:tcPr>
          <w:p>
            <w:pPr>
              <w:spacing w:after="0"/>
              <w:rPr>
                <w:sz w:val="23"/>
                <w:szCs w:val="23"/>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465%</w:t>
            </w:r>
          </w:p>
        </w:tc>
      </w:tr>
      <w:tr>
        <w:trPr>
          <w:trHeight w:val="48"/>
        </w:trPr>
        <w:tc>
          <w:tcPr>
            <w:tcW w:w="48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r>
      <w:tr>
        <w:trPr>
          <w:trHeight w:val="283"/>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100" w:type="dxa"/>
            <w:vAlign w:val="bottom"/>
            <w:gridSpan w:val="3"/>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206,450</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285,153</w:t>
            </w:r>
          </w:p>
        </w:tc>
        <w:tc>
          <w:tcPr>
            <w:tcW w:w="12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(78,703)</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34"/>
        </w:trPr>
        <w:tc>
          <w:tcPr>
            <w:tcW w:w="48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-1653540</wp:posOffset>
            </wp:positionV>
            <wp:extent cx="1714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-1653540</wp:posOffset>
            </wp:positionV>
            <wp:extent cx="1714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-1653540</wp:posOffset>
            </wp:positionV>
            <wp:extent cx="1714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cost of revenues in 2023 compared with 2022 was primarily related to a decrease of $3.7 million in cost of revenues associated with outside services expense for WM CRM, WM Screens and WM AdSuite which were sunset in December 2023, partially offset by an increase of $0.9 million for server costs.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related to a decrease in personnel-related costs of $27.0 million, a decrease in outside service of $5.7 million, a decrease in web advertising expense of $2.3 million, a decrease in travel expense of $0.4 million, a decrease in print and products expense of $0.4 million and a decrease in events expense of $0.4 million, partially offset by an increase in branding and advertising expense of $0.4 million. The decrease in personnel-related costs of $27.0 million were primarily due to decreased headcount of approximately 26% in 2023 compared to prior year and includes decrease in salaries and wages of $12.1 million, bonus expense of $5.5 million, stock-based compensation expense of $3.7 million and payroll tax expense of $0.7 million and a decrease in transaction related bonuses of $4.9 million.</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decrease in product development expenses was primarily due to decreases in personnel-related costs of $11.7 million, outside services expense of $2.6 million and travel expense of $0.1 million. The decrease in personnel-related costs was primarily due to a decline in headcount of approximately 13% in 2023 compared to prior year and includes decreases in salaries and wages of $6.4 million, bonus expense of $3.8 million, stock-based compensation expense of $1.1 million and payroll tax expense of $0.4 million.</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decreases in provision for credit losses of $15.7 million, severance expense of $5.8 million, stock-based compensation expense of $5.3 million, salaries and wages of $5.2 million, insurance costs of $5.1 million, professional fees of $3.1 million, software expense of $1.9 million, employee benefits expense of $1.9 million, facilities expense of $0.6 million, bonus expense of $0.6 million, outside service expense of $0.6 million, donation expense of $0.5 million and payroll tax expense of $0.5 million. The decrease in compensation expense were due to decreased headcount of approximately 28% in 2023 compared to the prior year.</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increase in depreciation and amortization expense was primarily due to an increase in capitalized software amortization of $2.2 million, partially offset by a decrease in depreciation expense related to other assets of $1.6 million.</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Asset Impairment Charges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increase in asset impairment charges was primarily due to $10.9 million in impairment of operating lease ROU asset and $1.3 million in impairment of leasehold improvement associated with our second headquarter space in Los Angeles, California, $8.7 million in impairment of intangible assets, capitalized software and property and equipment associated with the sunset of certain product offerings in December 2023 and $3.5 million related to the impairment of an equity investment. See Note 2, “Summary of Significant Accounting Policies” and Note 4, “Leases,” to our audited consolidated financial statements included in this prospectus for additional information.</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76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6"/>
                <w:szCs w:val="16"/>
                <w:color w:val="auto"/>
              </w:rPr>
            </w:pPr>
          </w:p>
        </w:tc>
        <w:tc>
          <w:tcPr>
            <w:tcW w:w="15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49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940" w:type="dxa"/>
            <w:vAlign w:val="bottom"/>
          </w:tcPr>
          <w:p>
            <w:pPr>
              <w:spacing w:after="0"/>
              <w:rPr>
                <w:sz w:val="19"/>
                <w:szCs w:val="19"/>
                <w:color w:val="auto"/>
              </w:rPr>
            </w:pP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9"/>
                <w:szCs w:val="19"/>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9"/>
                <w:szCs w:val="19"/>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49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6"/>
        </w:trPr>
        <w:tc>
          <w:tcPr>
            <w:tcW w:w="4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49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$ 1,505</w:t>
            </w:r>
          </w:p>
        </w:tc>
        <w:tc>
          <w:tcPr>
            <w:tcW w:w="3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$ 25,370</w:t>
            </w:r>
          </w:p>
        </w:tc>
        <w:tc>
          <w:tcPr>
            <w:tcW w:w="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(23,865)</w:t>
            </w: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r>
      <w:tr>
        <w:trPr>
          <w:trHeight w:val="27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(1,256)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142,352</w:t>
            </w:r>
          </w:p>
        </w:tc>
        <w:tc>
          <w:tcPr>
            <w:tcW w:w="80" w:type="dxa"/>
            <w:vAlign w:val="bottom"/>
          </w:tcPr>
          <w:p>
            <w:pPr>
              <w:spacing w:after="0"/>
              <w:rPr>
                <w:sz w:val="23"/>
                <w:szCs w:val="23"/>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(143,608)</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r>
      <w:tr>
        <w:trPr>
          <w:trHeight w:val="54"/>
        </w:trPr>
        <w:tc>
          <w:tcPr>
            <w:tcW w:w="49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7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2,574</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2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(254)%</w:t>
            </w:r>
          </w:p>
        </w:tc>
      </w:tr>
      <w:tr>
        <w:trPr>
          <w:trHeight w:val="48"/>
        </w:trPr>
        <w:tc>
          <w:tcPr>
            <w:tcW w:w="4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84"/>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$ 2,823</w:t>
            </w:r>
          </w:p>
        </w:tc>
        <w:tc>
          <w:tcPr>
            <w:tcW w:w="36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166,048</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(163,225)</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-1010920</wp:posOffset>
            </wp:positionV>
            <wp:extent cx="1200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-1010920</wp:posOffset>
            </wp:positionV>
            <wp:extent cx="1200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-1010920</wp:posOffset>
            </wp:positionV>
            <wp:extent cx="1200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1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Other income (expense), net decreased by $163.2 million for the year ended December 31, 2023 compared to the same period in 2022. The decrease was primarily due to changes in TRA liability of $143.6 million and comparatively favorable changes in fair value of warrant liability of $23.9 million partially offset by an increase of $4.2 million related to a non-cash gain of $3.7 million associated with the discharge of a holdback obligation related to a prior acquisition and a decrease in political contribution expense of $0.5 million.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6"/>
                <w:szCs w:val="16"/>
                <w:color w:val="auto"/>
              </w:rPr>
            </w:pPr>
          </w:p>
        </w:tc>
        <w:tc>
          <w:tcPr>
            <w:tcW w:w="14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5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27"/>
        </w:trPr>
        <w:tc>
          <w:tcPr>
            <w:tcW w:w="5100" w:type="dxa"/>
            <w:vAlign w:val="bottom"/>
          </w:tcPr>
          <w:p>
            <w:pPr>
              <w:spacing w:after="0"/>
              <w:rPr>
                <w:sz w:val="19"/>
                <w:szCs w:val="19"/>
                <w:color w:val="auto"/>
              </w:rPr>
            </w:pPr>
          </w:p>
        </w:tc>
        <w:tc>
          <w:tcPr>
            <w:tcW w:w="68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1"/>
        </w:trPr>
        <w:tc>
          <w:tcPr>
            <w:tcW w:w="5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27"/>
        </w:trPr>
        <w:tc>
          <w:tcPr>
            <w:tcW w:w="5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20" w:type="dxa"/>
            <w:vAlign w:val="bottom"/>
          </w:tcPr>
          <w:p>
            <w:pPr>
              <w:spacing w:after="0"/>
              <w:rPr>
                <w:sz w:val="19"/>
                <w:szCs w:val="19"/>
                <w:color w:val="auto"/>
              </w:rPr>
            </w:pPr>
          </w:p>
        </w:tc>
      </w:tr>
      <w:tr>
        <w:trPr>
          <w:trHeight w:val="50"/>
        </w:trPr>
        <w:tc>
          <w:tcPr>
            <w:tcW w:w="5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84"/>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6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$93</w:t>
            </w:r>
          </w:p>
        </w:tc>
        <w:tc>
          <w:tcPr>
            <w:tcW w:w="10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$179,077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$(178,984)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54"/>
        </w:trPr>
        <w:tc>
          <w:tcPr>
            <w:tcW w:w="51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5106035</wp:posOffset>
            </wp:positionH>
            <wp:positionV relativeFrom="paragraph">
              <wp:posOffset>-401955</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-401955</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-401955</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Provision for income taxes decreased by $179.0 million for the year ended December 31, 2023 compared to the same period in 2022. The decrease was primarily due to a full valuation allowance that was recorded against our deferred tax assets during the year ended December 31, 2022. See Note 16, “Income Taxes,” to our audited consolidated financial statements included in this prospectus.</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tables show our cash, accounts receivable and working capital as of the dates indicated:</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84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50"/>
        </w:trPr>
        <w:tc>
          <w:tcPr>
            <w:tcW w:w="684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27"/>
        </w:trPr>
        <w:tc>
          <w:tcPr>
            <w:tcW w:w="6840" w:type="dxa"/>
            <w:vAlign w:val="bottom"/>
          </w:tcPr>
          <w:p>
            <w:pPr>
              <w:spacing w:after="0"/>
              <w:rPr>
                <w:sz w:val="19"/>
                <w:szCs w:val="19"/>
                <w:color w:val="auto"/>
              </w:rPr>
            </w:pPr>
          </w:p>
        </w:tc>
        <w:tc>
          <w:tcPr>
            <w:tcW w:w="7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51"/>
        </w:trPr>
        <w:tc>
          <w:tcPr>
            <w:tcW w:w="6840" w:type="dxa"/>
            <w:vAlign w:val="bottom"/>
          </w:tcPr>
          <w:p>
            <w:pPr>
              <w:spacing w:after="0"/>
              <w:rPr>
                <w:sz w:val="4"/>
                <w:szCs w:val="4"/>
                <w:color w:val="auto"/>
              </w:rPr>
            </w:pPr>
          </w:p>
        </w:tc>
        <w:tc>
          <w:tcPr>
            <w:tcW w:w="1580" w:type="dxa"/>
            <w:vAlign w:val="bottom"/>
            <w:tcBorders>
              <w:bottom w:val="single" w:sz="8" w:color="auto"/>
            </w:tcBorders>
            <w:gridSpan w:val="2"/>
          </w:tcPr>
          <w:p>
            <w:pPr>
              <w:spacing w:after="0"/>
              <w:rPr>
                <w:sz w:val="4"/>
                <w:szCs w:val="4"/>
                <w:color w:val="auto"/>
              </w:rPr>
            </w:pPr>
          </w:p>
        </w:tc>
      </w:tr>
      <w:tr>
        <w:trPr>
          <w:trHeight w:val="227"/>
        </w:trPr>
        <w:tc>
          <w:tcPr>
            <w:tcW w:w="6840" w:type="dxa"/>
            <w:vAlign w:val="bottom"/>
          </w:tcPr>
          <w:p>
            <w:pPr>
              <w:spacing w:after="0"/>
              <w:rPr>
                <w:sz w:val="19"/>
                <w:szCs w:val="19"/>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50"/>
        </w:trPr>
        <w:tc>
          <w:tcPr>
            <w:tcW w:w="6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18"/>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78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8"/>
                <w:szCs w:val="18"/>
                <w:color w:val="auto"/>
                <w:w w:val="99"/>
              </w:rPr>
              <w:t>$34,350</w:t>
            </w:r>
          </w:p>
        </w:tc>
        <w:tc>
          <w:tcPr>
            <w:tcW w:w="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$28,583</w:t>
            </w:r>
          </w:p>
        </w:tc>
      </w:tr>
      <w:tr>
        <w:trPr>
          <w:trHeight w:val="27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780" w:type="dxa"/>
            <w:vAlign w:val="bottom"/>
          </w:tcPr>
          <w:p>
            <w:pPr>
              <w:jc w:val="center"/>
              <w:ind w:right="99"/>
              <w:spacing w:after="0"/>
              <w:rPr>
                <w:sz w:val="20"/>
                <w:szCs w:val="20"/>
                <w:color w:val="auto"/>
              </w:rPr>
            </w:pPr>
            <w:r>
              <w:rPr>
                <w:rFonts w:ascii="Times New Roman" w:cs="Times New Roman" w:eastAsia="Times New Roman" w:hAnsi="Times New Roman"/>
                <w:sz w:val="18"/>
                <w:szCs w:val="18"/>
                <w:color w:val="auto"/>
                <w:w w:val="95"/>
              </w:rPr>
              <w:t>$11,158</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$17,438</w:t>
            </w:r>
          </w:p>
        </w:tc>
      </w:tr>
      <w:tr>
        <w:trPr>
          <w:trHeight w:val="54"/>
        </w:trPr>
        <w:tc>
          <w:tcPr>
            <w:tcW w:w="6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7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78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8"/>
                <w:szCs w:val="18"/>
                <w:color w:val="auto"/>
                <w:w w:val="99"/>
              </w:rPr>
              <w:t>$17,771</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$ 8,660</w:t>
            </w:r>
          </w:p>
        </w:tc>
      </w:tr>
      <w:tr>
        <w:trPr>
          <w:trHeight w:val="54"/>
        </w:trPr>
        <w:tc>
          <w:tcPr>
            <w:tcW w:w="68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-813435</wp:posOffset>
            </wp:positionV>
            <wp:extent cx="2400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of December 31, 2023 and December 31, 2022, we had cash of $34.4 million and $28.6 million, respectively. Our funds are being used for funding our current operations and potential strategic acquisitions in the future. We also intend to increase our capital expenditures to support the organic growth in our business and operations. We expect to fund our liquidity requirements from cash and working capital on hand at December 31, 2023,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3"/>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58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7"/>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0"/>
        </w:trPr>
        <w:tc>
          <w:tcPr>
            <w:tcW w:w="58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7"/>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9"/>
                <w:szCs w:val="19"/>
                <w:color w:val="auto"/>
              </w:rPr>
            </w:pPr>
          </w:p>
        </w:tc>
      </w:tr>
      <w:tr>
        <w:trPr>
          <w:trHeight w:val="50"/>
        </w:trPr>
        <w:tc>
          <w:tcPr>
            <w:tcW w:w="5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18"/>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22,928</w:t>
            </w:r>
          </w:p>
        </w:tc>
        <w:tc>
          <w:tcPr>
            <w:tcW w:w="1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$(11,621)</w:t>
            </w:r>
          </w:p>
        </w:tc>
        <w:tc>
          <w:tcPr>
            <w:tcW w:w="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$ 30,190</w:t>
            </w: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$(11,871)</w:t>
            </w: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$(17,768)</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$(30,435)</w:t>
            </w:r>
          </w:p>
        </w:tc>
      </w:tr>
      <w:tr>
        <w:trPr>
          <w:trHeight w:val="54"/>
        </w:trPr>
        <w:tc>
          <w:tcPr>
            <w:tcW w:w="5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7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(9,805)</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$ 48,103</w:t>
            </w:r>
          </w:p>
        </w:tc>
      </w:tr>
      <w:tr>
        <w:trPr>
          <w:trHeight w:val="54"/>
        </w:trPr>
        <w:tc>
          <w:tcPr>
            <w:tcW w:w="5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-814070</wp:posOffset>
            </wp:positionV>
            <wp:extent cx="1371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-814070</wp:posOffset>
            </wp:positionV>
            <wp:extent cx="137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Provided by (Used In) Operating Activities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(loss) adjusted for certain non-cash items, including depreciation, amortization and asset impairments, change in fair value of warrant liability, change in TRA liability, stock-based compensation, deferred taxes, impairment loss, provision for doubtful accounts and the effect of changes in working capital.</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is also impacted by the effects of changes in operating assets and liabilities such as: accounts receivable which is impacted by the timing of customer billings and related collections from our customers; accounts payable and accrued expenses due to timing of payments; accrued personnel costs which are impacted by employee performance targets and the timing of payments related to employee bonus incentives.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2023 was $22.9 million, which resulted from net loss of $15.7 million, non-cash items of $52.8 million, consisting of asset impairment charges of $24.4 million, stock-based compensation expense of $13.5 million, depreciation and amortization of $12.1 million, amortization of right of use lease assets of $4.9 million, provision for credit losses of $1.8 million, TRA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remeasurement of $1.3 million, partially offset by a gain from the discharge of a holdback obligation related to a prior acquisition of $3.7 million, and the change in fair value of warrant liability of $1.5 million. The increase in net cash provided by operating activities was also impacted by net cash outflows of $14.2 million from changes in operating assets and liabilities. The net cash outflows from changes in operating assets and liabilities were primarily due to a decrease in accounts payable and accrued expenses of $15.3 million, a decrease in operating lease liabilities of $6.3 million and a decrease in deferred revenue of $0.3 million, partially offset by a decrease in accounts receivable of $4.5 million and a decrease in prepaid expenses and other assets of $3.3 million. The changes in operating assets and liabilities are mostly due to fluctuations in timing of cash receipts and payments.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$11.6 million, which resulted from net loss of $82.7 million, together with net cash outflows of $1.5 million from changes in operating assets and liabilities and non-cash items of $72.5 million, consisting of depreciation and amortization of $11.5 million, fair value of warrant liability of $25.4 million, asset impairment charges of $4.3 million, stock-based compensation expense of $23.5 million, TRA remeasurement of $142.4 million, amortization of right of use lease assets of $4.7 million, changes in deferred tax assets of $179.1 million and provision for doubtful accounts of $17.2 million. The net cash outflows from changes in operating assets and liabilities were primarily due to an increase in accounts receivables of $16.3 million, a decrease in deferred revenue of $1.9 million, a decrease in operating lease liabilities of $5.5 million, partially offset by a decrease in prepaid expenses and other current assets of $7.2 million and an increase in accounts payable and accrued expenses of $14.9 million. The changes in operating assets and liabilities are mostly due to fluctuations in timing of cash receipts and payments.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was $11.9 million, which resulted from $11.9 million cash paid for purchases of property and equipment, including certain capitalized software development cost.</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2022 was $17.8 million, which resulted from $16.1 million cash paid for purchases of property and equipment, including certain capitalized software development cost, $1.0 million cash paid for other investments and $0.7 million net cash paid for acquisitions.</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2023 was $5.3 million, which resulted from $7.2 million of distribution payments to members of WMH LLC, $1.5 million for repayment of insurance premium financing and $0.4 million in proceeds from collection of related party note receivable.</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Net cash from financing activities for the year ended December 31, 2022 was $9.8 million, which resulted from $7.3 million for repayment of insurance premium financing and $2.4 million of distribution payments to members of WMH LLC.</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We primarily finance our operations and capital expenditures through cash flows generated by operations. 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non-cancellable contractual agreements primarily related to leases and other purchase obligations. As of December 31, 2023, future payments on our operating leases were $45.0 million. See Note 4, “Leases,” to our audited consolidated financial statements included in this prospectus. We also have minimum outstanding purchase obligations of $7.1 million in 2024, $7.3 million in 2025 and $7.5 million in 2026, due under software license agreements, of which the majority relates to our three-year AWS Enterprise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December 31, 2023 and 2022, our TRA liability was $1.8 million and $0.5 million, respectively. We expect that the payments we will be required to make under the TRA will not be substantial, and therefore, in conjunction with the recording of a full valuation allowance on the related TRA deferred tax assets, we have also adjusted the TRA liabilities as of December 31, 2023.</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will continue to evaluate the realization of the TRA tax attributes, and in the future, we may conclude that the TRA liability is probable of payment, and if the TRA is reinstated, the payments would be substantial. Assuming a reinstatement of the TRA liability, there are several assumptions that would be relevant such as, no material changes in relevant tax law, that there are no future redemptions or exchanges of Class A Units and that we earn sufficient taxable income to realize all tax benefits that are subject to the TRA, the tax savings associated with acquisitions of common units in the Business Combination would aggregate to approximately $166.3 million, as of December 31, 2023, over 15 years from Closing Date. Under this scenario, we would be required to pay to the Class A Unit holders approximately 85% of such amount, or $141.3 million, as of December 31, 2023, over the 15-year period from the Closing Date. The actual amounts we will be required to pay may materially differ from these hypothetical amounts, because potential future tax savings that we will be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Class A Unit holders’ continued ownership of us. See Note 16, “Income Taxes,” to our audited consolidated financial statements included in this prospectus.</w:t>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and our consolidated financial statements are prepared in accordance with GAAP. The preparation of these condensed consolidated financial statements and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revenue recognition, income taxes, stock-based compensation, capitalized software development costs, provision for doubtful accounts,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“Summary of Significant Accounting Policies,” to our audited consolidated financial statements included in this prospectus.</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recognize revenue when the fundamental criteria for revenue recognition are met. We recognize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it expects to be entitled to in exchange for those services. We exclude sales taxes and other similar taxes from the measurement of the transaction price. The transaction price reflects the amount we expect to receive for such goods, net of discounts. Discounts issued are primarily related to our Together for Equity Access and Legislation, (“WM Teal”), program, through which we provide discounts including free software, advertising, educational materials and training programs to applicants or licenses under social equity licensing programs. We provide a discount to license holders who were awarded special status by the state based on owner qualifications. These are typically given in new markets to add more diversity and inclusion in the cannabis space. We validate a license’s social equity status on the applicable state’s website. For the years ended December 31, 2023, 2022 and 2021, total discounts issued were $4.2 million, $4.5 million and $2.6 million, respectively. For clients that pay in advance for listing and other services, we record deferred revenue and recognize revenue over the applicable subscription term.</w:t>
      </w:r>
    </w:p>
    <w:p>
      <w:pPr>
        <w:spacing w:after="0" w:line="8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to Weedmaps for Business, featured and deal listings and other WM Ad solutions. Our Weedmaps for Business subscriptions generally have one-month terms that automatically renew unless notice of cancellation is provided in advance. Featured and deal listings and other WM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Ad solutions are offered as add-on products to the Weedmaps for Business subscriptions. Featured and deal listings provide customers with premium placement ad solutions and discount and promotion pricing tools. Other WM Ad solutions include banner ads and promotion tiles on our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 The determination of the performance obligations and the timing of satisfaction of such obligations either over time or at a point-in-time requires us to make significant judgment and estimates.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When a customer is identified to be a significant collection risk, the Company fully reserves for all outstanding accounts receivable and records a credit loss for these receivables. Revenue for any new service provided to the customer is not probable of collection until the Company has collected or reached a settlement on the customers old outstanding accounts receivable balances. The Company applies all payments received against the customers oldest invoices and does not recognize revenue for any new services provided until the company has collected or reached a settlement on all prior outstanding accounts receivable.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“Restatement of Previously Reported 2023 Quarterly Revenue and Credit Losses” of Note 2, “Summary of Significant Accounting Policies and Note 3, “Revenue from Contracts with Customers,” to our unaudited condensed consolidated financial statements included in this prospectus for further discussion.</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Critical Accounting Estimates</w:t>
      </w:r>
    </w:p>
    <w:p>
      <w:pPr>
        <w:spacing w:after="0" w:line="3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We are also subject to taxes in foreign jurisdictions. Tax laws and regulations are complex and periodically changing and the determination of our provision for income taxes, including our taxable income, deferred tax assets and TRA liability, requires us to make significant judgment, assumptions and estimates.</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a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and subsequent redemptions or exchanges of WMH Units, we have established a deferred tax asset for the additional tax basis and a corresponding TRA liability of 85% of the expected benefit. The remaining 15% is recorded within paid-in capital. Our calculation of the TRA asset and liability requires estimates of its future qualified taxable income over the term of the TRA as a basis to determine if the related tax benefits are expected to be realized. As of December 31, 2023 and 2022, TRA liability were $1.8 million and $0.5 million.</w:t>
      </w:r>
    </w:p>
    <w:p>
      <w:pPr>
        <w:spacing w:after="0" w:line="80"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Based on the weight of all available evidence, both positive and negative, we determined during the three months ended December 31, 2022 that a full valuation allowance was required against our net deferred tax assets. We continued the remeasurement of the valuation allowance during the year ended December 31, 2023 and determined that a full valuation allowance was required as of December 31, 2023. See Note 16, “Income Taxes,” to our audited consolidated financial statements included in this prospectus.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measure fair value of employee stock-based compensation awards on the date of grant and allocate the related expense over the requisite service period. The fair value of restricted stock units (“RSUs”) and performance-based restricted stock units (“PRSUs”)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years ended December 31, 2023 and 2022, we recognized stock-based compensation expense of $13.5 million and $23.5 million, respectively. See Note 14, “Stock-based Compensation,” to our audited consolidated financial statements included in this prospectus.</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capitalize certain costs related to the development and enhancement of the Weedmaps platform and SaaS solutions. In accordance with authoritative guidance, we capitalize these costs when the preliminary development project stage is completed, management has authorized further funding for the completion of the project, and it is probable that the project will be completed and performed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judgment, assumptions and estimates related to the timing and amount of recognized capitalized software development costs. For the years ended December 31, 2023 and 2022, we capitalized $13.1 million and $15.5 million of costs related to the development of software applications.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We measure credit losses on our trade accounts receivable using the current expected credit loss model under Accounting Standards Codification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which is based on the expected losses rather than incurred losses. Under the credit loss model, lifetime expected credit losses are measured and recognized at each reporting date based on historical, current and forecast information.</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calculate the expected credit losses on a pool basis for those trade receivables that have similar risk characteristics. For those trade receivables that do not share similar risk characteristics, the allowance for expected credit losses is calculated on an individual basis. Risk characteristics relevant to our accounts receivable include balance of customer account and aging status. The allowance for credit losses was $8.7 million and $12.2 million as of December 31, 2023 and December 31, 2022, respectively. See Note 2, “Summary of Significant Accounting Policies,” to our audited consolidated financial statements included in this prospectus for additional information.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Goodwill is not amortized and is subject to annual impairment testing, or between annual tests if an event or change in circumstance occurs that would more likely than not reduce the fair value of a reporting unit below its carrying value. 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We recorded an impairment charge of $6.1 million for the year ended December 31, 2023 related to intangible assets associated with certain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product offerings that were sunset in December 2023, which is included in asset impairment charges in the consolidated statements of operations. No intangible asset impairment charges have been recorded for the years ended December 31, 2022 and 2021. See Note 2, “Summary of Significant Accounting Policies,” and Note 9, “Goodwill and Intangible Assets,” to our audited consolidated financial statements included in this prospectus for additional information.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Long-Lived Assets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assess potential impairments to our long-lived assets, which includes property and equipment and operating lease assets, at least annually or whenever events or circumstances indicate that the carrying amount of an asset may not be recoverable. As of December 31, 2023 and 2022, our operating leases had a weighted average remaining lease term of 6.3 years and 6.8 years and a weighted-average discount rate of 9.8%. Our lease agreements do not provide an implicit rate and as a result, we used an estimated incremental borrowing rate, which was derived from third-party information available at the time we adopted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we test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we perform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we rely on a discounted cash flow approach using market participant assumptions of the expected cash flows.</w:t>
      </w:r>
    </w:p>
    <w:p>
      <w:pPr>
        <w:spacing w:after="0" w:line="80"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In 2023, we recognized a ROU asset impairment charge of $10.9 million driven by updated sublease assumptions for our second headquarter space in Los Angeles, California, pursuant to an operating lease that expires in 2031. In addition, we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 The ROU impairment charges are included in general and administrative expenses in the consolidated statements of operations.</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For the year ended December 31, 2023, we recorded impairment charges of $3.9 million of which $2.7 million related to property and equipment associated with certain product offerings that were sunset in December 2023 and $1.3 million related to leasehold improvements associated with the impairment of a ROU asset both of which are included in asset impairment charges in the consolidated statements of operations. No impairments to property and equipment were recorded during the years ended December 31, 2022 and 2021.</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we assumed 12,499,993 Public Warrants and 7,000,000 Private Placement Warrants. As of December 31, 2023, 12,499,973 of the Public Warrant and all of the Private Placement Warrants remained outstanding . The warrants are measured at fair value under ASC 820 -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 The fair value of the Public Warrants is classified as Level 1 financial instruments and is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publicly listed trading price of our Public Warrants. The fair value of the Private Warrants is determined with Level 3 inputs using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December 31, 2023 and December 31, 2022, warrant liability was $0.6 million and $2.1 million, respectively. See Note 6, “Fair Value Measurements,” to our audited consolidated financial statements included in this prospectus.</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currently have no material recent accounting pronouncements yet to be adopted.</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2023, 2022 and 2021. For all periods presented, we believe the exposure to foreign currency fluctuation from operating expenses is immaterial as the related costs do not constitute a significant portion of our total expenses.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to be cash equivalents.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December 31, 2023, we did not have any cash equivalents.</w:t>
      </w:r>
    </w:p>
    <w:p>
      <w:pPr>
        <w:spacing w:after="0" w:line="9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maximizing income without significantly increasing risk. Because we only hold cash, our portfolio’s fair value is insensitive to interest rate changes. In future periods, we will continue to evaluate our investment policy in order to ensure that we continue to meet our overall objectives. A hypothetical 100 basis point increase or decrease in interest rates would not have a material effect on our financial results.</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financial instruments are potentially subject to concentrations of credit risk. We place our cash with high quality credit institutions. From time to time, we maintain cash balances at certain institutions in excess of the Federal Deposit Insurance Corporation limit. As of December 31, 2023, we had cash balances that exceeded the deposit insurance limit with five financial institutions. Management believes that the risk of loss is not significant and has not experienced any losses in such accounts.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Other than as set forth in the note above titled “Growth and Retention of Our Paying Clients”, 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 We do not believe that inflation has had a material effect on our business, financial condition or results of operations during the years ended December 31, 2023, 2022 and 2021.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Silver Spike was domesticated and continues as a Delaware corporation, and changed its name to WM Technology, Inc.</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by our user base makes the Weedmaps marketplace highly valuable to our clients.</w:t>
      </w:r>
    </w:p>
    <w:p>
      <w:pPr>
        <w:spacing w:after="0" w:line="8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Weedmaps for Business, our SaaS offering, is a comprehensive set of eCommerce and compliance software solutions catered towards cannabis retailers, delivery services and brands that streamline front and back-end operations and help manage compliance needs. These tools support cannabis businesses at every stage in the consumer funnel, enabling them to:</w:t>
      </w:r>
    </w:p>
    <w:p>
      <w:pPr>
        <w:spacing w:after="0" w:line="72" w:lineRule="exact"/>
        <w:rPr>
          <w:sz w:val="20"/>
          <w:szCs w:val="20"/>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reach prospective cannabis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pickup, delivery and inventory in compliance with local regulations.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 improve the customer experience by creating online browsing and ordering functionality on a brand or retailer (including delivery) operator’s website.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customer loyalty and re-engage with segments of consumers.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the Weedmaps for Business products in conjunction with any other preferred software solutions via integrations and application programming interfaces (“APIs”).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informed marketing and merchandising decisions using performance analytics and consumer and brand insights to promote products to specific consumer groups.</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reserve products for pickup by consumers or delivery to consumers (either through weedmaps.com, on a white labeled WM Store website or third-party websites through our orders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menu embed product), (iii) customizable menus for brands, retailers and delivery operators to embed on their website, (iv) access to our APIs, including real-time connectivity between Weedmaps for Business to a POS to streamline workflows and promote compliance through accuracy and (v) analytics dashboards. We also offer add-on and a la carte products and services for additional fees, as discussed below.</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state-legal cannabis industry in the United States has grown consistently in recent years and was estimated to be between approximately $27-$28 billion in 2023, according to Wall Street analyst estimates, and is expected by some</w:t>
      </w:r>
    </w:p>
    <w:p>
      <w:pPr>
        <w:jc w:val="both"/>
        <w:ind w:left="300" w:right="299"/>
        <w:spacing w:after="0" w:line="241" w:lineRule="auto"/>
        <w:rPr>
          <w:sz w:val="20"/>
          <w:szCs w:val="20"/>
          <w:color w:val="auto"/>
        </w:rPr>
      </w:pPr>
      <w:r>
        <w:rPr>
          <w:rFonts w:ascii="Times New Roman" w:cs="Times New Roman" w:eastAsia="Times New Roman" w:hAnsi="Times New Roman"/>
          <w:sz w:val="18"/>
          <w:szCs w:val="18"/>
          <w:color w:val="auto"/>
        </w:rPr>
        <w:t>estimates to grow to $40 billion by 2027, assuming a continued pace of new state legalization, with 70%</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U.S. adults since 2020 in support of having legal access to cannabis. Currently, thirty-nine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Despite expectations of growth, the regulated cannabis market in the United States is still nascent and fragmented, with significant challenges facing both consumers seeking to understand cannabis and find the right products for them and businesses seeking to operate compliantly and to effectively reach and market to cannabis consumers. Within the U.S., cannabis users (defined as adults, aged 21 and older, who have consumed cannabis in the past year) represent less than 22% of the total U.S. adult, aged 21 and</w:t>
      </w:r>
    </w:p>
    <w:p>
      <w:pPr>
        <w:spacing w:after="0" w:line="3" w:lineRule="exact"/>
        <w:rPr>
          <w:sz w:val="20"/>
          <w:szCs w:val="20"/>
          <w:color w:val="auto"/>
        </w:rPr>
      </w:pPr>
    </w:p>
    <w:p>
      <w:pPr>
        <w:jc w:val="both"/>
        <w:ind w:left="300" w:right="299"/>
        <w:spacing w:after="0" w:line="231" w:lineRule="auto"/>
        <w:rPr>
          <w:sz w:val="20"/>
          <w:szCs w:val="20"/>
          <w:color w:val="auto"/>
        </w:rPr>
      </w:pPr>
      <w:r>
        <w:rPr>
          <w:rFonts w:ascii="Times New Roman" w:cs="Times New Roman" w:eastAsia="Times New Roman" w:hAnsi="Times New Roman"/>
          <w:sz w:val="18"/>
          <w:szCs w:val="18"/>
          <w:color w:val="auto"/>
        </w:rPr>
        <w:t>older, population today (and less than 16% for those that consumed in the past month)</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On the client side, as of December 31, 2023, there were approximately 11,900 retail licenses across the United States with medical and/or adult-use regulations in place, which is an effective retail density of approximately one retail license per 21,570 residents across these markets in the aggregate, based on data available from individual governmental cannabis license databases and the U.S. Census Bureau estimates for both licenses and population.</w:t>
      </w:r>
    </w:p>
    <w:p>
      <w:pPr>
        <w:spacing w:after="0" w:line="9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addition to these nascent consumer and business dynamics, cannabis itself is a highly complex, regulated and diverse, non-shelf stable consumer good that spans hundreds of strains and a growing set of form factors available for consumption, including flower, pre-rolls, vapes, edibles, tinctures and concentrates. Despite these complexities, consumers still expect the same product information, discovery and comparison options across multiple channels from cannabis businesses that they expect from other retailers or brands. These consumer expectations, coupled with the lack of normalized product information in the industry, in addition to the unique attributes of cannabis as a nascent and highly regulated consumer product, create significant challenges for retailers and brands who serve cannabis consumers. Retailers and brands must meet these consumer expectations and provide omni-channel engagement opportunities with the same (i) level of service, (ii) richness of product information, (iii) ability to compare prices, and (iv) ease of product and brand discovery that consumers would receive when researching other consumer product categories. Further, brands are limited in their ability to market and sell directly and need to find ways to communicate to consumers. At the same time, these businesses must comply with a rapidly evolving legal and regulatory landscape that differs by state and across cities and counties within each state, creating challenges in the ability to scale in a capital-efficient way.</w:t>
      </w:r>
    </w:p>
    <w:p>
      <w:pPr>
        <w:spacing w:after="0" w:line="15" w:lineRule="exact"/>
        <w:rPr>
          <w:sz w:val="20"/>
          <w:szCs w:val="20"/>
          <w:color w:val="auto"/>
        </w:rPr>
      </w:pPr>
    </w:p>
    <w:p>
      <w:pPr>
        <w:ind w:left="460" w:hanging="168"/>
        <w:spacing w:after="0"/>
        <w:tabs>
          <w:tab w:leader="none" w:pos="460"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news.gallup.com - Grassroots Support for Legalizing Marijuana Hits Record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-127000</wp:posOffset>
            </wp:positionV>
            <wp:extent cx="8229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 w:lineRule="exact"/>
        <w:rPr>
          <w:sz w:val="20"/>
          <w:szCs w:val="20"/>
          <w:color w:val="auto"/>
        </w:rPr>
      </w:pPr>
    </w:p>
    <w:p>
      <w:pPr>
        <w:ind w:left="460" w:right="299" w:hanging="168"/>
        <w:spacing w:after="0" w:line="195" w:lineRule="auto"/>
        <w:tabs>
          <w:tab w:leader="none" w:pos="460"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Numbers of users aged 21 and older are from the 2022 National Survey on Drug Use and Health, number of adults in the United States aged 21 and older are from U.S. Census data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Product and Solution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182880</wp:posOffset>
            </wp:positionV>
            <wp:extent cx="5280660" cy="28371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8066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1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solutions are designed to address the challenges facing cannabis consumers and businesses. The Weedmaps marketplace allows cannabis consumers to search for and browse cannabis products from retailers and brands, and ultimately reserve products from certain local retailers, in a manner similar to other technology platforms with breadth and depth of product, brand and retailer selection. With the development of Weedmaps for Business, we offer an end-to-end platform for licensed cannabis retailers to comply with state law. We sell a monthly subscription offering to retailer and brand clients as well as upsell and add-on offerings to licensed clients.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current Weedmaps for Business monthly subscription package includes:</w:t>
      </w:r>
    </w:p>
    <w:p>
      <w:pPr>
        <w:spacing w:after="0" w:line="117" w:lineRule="exact"/>
        <w:rPr>
          <w:sz w:val="20"/>
          <w:szCs w:val="20"/>
          <w:color w:val="auto"/>
        </w:rPr>
      </w:pPr>
    </w:p>
    <w:p>
      <w:pPr>
        <w:jc w:val="both"/>
        <w:ind w:left="1000" w:right="319" w:hanging="348"/>
        <w:spacing w:after="0" w:line="261"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our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294"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58"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also offer other add-on products for additional fees, including: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Ad solutions on the Weedmaps marketplace designed for clients to amplify their businesses and reach more highly engaged cannabis consumers throughout their buying journey including:</w:t>
      </w:r>
    </w:p>
    <w:p>
      <w:pPr>
        <w:sectPr>
          <w:pgSz w:w="11900" w:h="16838" w:orient="portrait"/>
          <w:cols w:equalWidth="0" w:num="1">
            <w:col w:w="9019"/>
          </w:cols>
          <w:pgMar w:left="1440" w:top="263" w:right="1440" w:bottom="1440" w:gutter="0" w:footer="0" w:header="0"/>
        </w:sectPr>
      </w:pP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pacing w:after="0" w:line="68"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68"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jc w:val="both"/>
        <w:ind w:left="1360" w:right="319" w:hanging="348"/>
        <w:spacing w:after="0" w:line="239" w:lineRule="auto"/>
        <w:tabs>
          <w:tab w:leader="none" w:pos="1360" w:val="left"/>
        </w:tabs>
        <w:numPr>
          <w:ilvl w:val="1"/>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Other WM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91" w:lineRule="exact"/>
        <w:rPr>
          <w:rFonts w:ascii="Times New Roman" w:cs="Times New Roman" w:eastAsia="Times New Roman" w:hAnsi="Times New Roman"/>
          <w:sz w:val="22"/>
          <w:szCs w:val="22"/>
          <w:color w:val="auto"/>
          <w:vertAlign w:val="superscript"/>
        </w:rPr>
      </w:pPr>
    </w:p>
    <w:p>
      <w:pPr>
        <w:jc w:val="both"/>
        <w:ind w:left="1000" w:right="319" w:hanging="348"/>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sell our Weedmaps for Business suite in the United States and have a limited number of non-monetized listings in several other countries including Austria, Canada, Germany, the Netherlands, Spain and Switzerland. We operate in the United States, Canada and other foreign jurisdictions where medical and/or adult cannabis use is legal under state or national law. As of June 30, 2024, we actively operated in over 35 U.S. states and territories that have adult-use and/or medical-use regulations in place. We define actively operated markets as those U.S. states or territories with greater than $1,000 monthly revenue. Substantially all of our revenue was generated in the United States.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hold a strong belief in the importance of enabling safe, legal access to cannabis for consumers worldwide. We believe we offer the only comprehensive software platform that allows cannabis retailers to reach their target audience, quickly and cost effectively, addressing a wide range of needs. We are committed to building the software solutions that power cannabis businesses compliantly in the industry, to advocating for legalization, licensing and social equity of cannabis and to facilitating further learning through partnership with subject matter experts to provide detailed, accurate information about cannabis.</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While the cannabis industry is still in the early innings of what could be decades of growth, we have established a leading position and a recognized brand given our 15-year operating history. Over the coming years, we plan to continue expanding our solutions and service offerings.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Challenges in Our End-Markets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Despite cannabis being a large and growing sector in the United States, we believe that cannabis is unlike many other consumer goods and retail categories for a number of reasons:</w:t>
      </w:r>
    </w:p>
    <w:p>
      <w:pPr>
        <w:spacing w:after="0" w:line="54" w:lineRule="exact"/>
        <w:rPr>
          <w:sz w:val="20"/>
          <w:szCs w:val="20"/>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as a regulated industry is still in a nascent stage of development.</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35"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users (defined as adults, aged 21 and older, who have consumed cannabis in the past year) represent less than 22% of the total U.S. adult, aged 21 and older, population today</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(and less than 16% for those that consumed in the past month)</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without a “typical” user profile</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cannabis are complex and vary state-by-state and by city and county within states.</w:t>
      </w:r>
    </w:p>
    <w:p>
      <w:pPr>
        <w:spacing w:after="0" w:line="9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has wide variance in characteristics that make it complex for consumers to make an informed purchase decision.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is a perishable good with a lack of product homogeneity.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Brands are only in the early stages of establishing a consumer presence.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the illicit market is still an issue, particularly in states like California.</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industry has experienced periods of price deflation, including over the past two years, impacting the financial performance of businesses across the value chain.</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access to capital (relative to other industries) and limitations under Section 280E of the Internal Revenue Code of 1986, as amended (the “Code”) on deduction or credit for certain expenses of cannabis business can reduce the cash flow and liquidity of many industry participants.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Since our founding in 2008, we have grown to become a leading provider of technology solutions to the cannabis industry by leveraging our competitive strengths, including:</w:t>
      </w:r>
    </w:p>
    <w:p>
      <w:pPr>
        <w:spacing w:after="0" w:line="50" w:lineRule="exact"/>
        <w:rPr>
          <w:sz w:val="20"/>
          <w:szCs w:val="20"/>
          <w:color w:val="auto"/>
        </w:rPr>
      </w:pPr>
    </w:p>
    <w:p>
      <w:pPr>
        <w:jc w:val="both"/>
        <w:ind w:left="1000" w:right="319" w:hanging="348"/>
        <w:spacing w:after="0" w:line="257"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Long History as a Technology Leader Serving the Cannabis Industry. </w:t>
      </w:r>
      <w:r>
        <w:rPr>
          <w:rFonts w:ascii="Times New Roman" w:cs="Times New Roman" w:eastAsia="Times New Roman" w:hAnsi="Times New Roman"/>
          <w:sz w:val="18"/>
          <w:szCs w:val="18"/>
          <w:color w:val="auto"/>
        </w:rPr>
        <w:t>Founded in 2008, we have a long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history and established relationships with cannabis businesses and consumers across the United States. This long history has given us several competitive advantages, such as scale, attractive operating margins and local insights into emerging consumer and business trends across many markets. Our policy expertise allows us to anticipate and react quickly to changes in cannabis regulations and informs all aspects of our business, including our product ideation, development and go-to-market strategies.</w:t>
      </w:r>
    </w:p>
    <w:p>
      <w:pPr>
        <w:spacing w:after="0" w:line="74"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Largest Two-Sided Platform for Cannabis Businesses and Consumers. </w:t>
      </w:r>
      <w:r>
        <w:rPr>
          <w:rFonts w:ascii="Times New Roman" w:cs="Times New Roman" w:eastAsia="Times New Roman" w:hAnsi="Times New Roman"/>
          <w:sz w:val="18"/>
          <w:szCs w:val="18"/>
          <w:color w:val="auto"/>
        </w:rPr>
        <w:t>With $45.9 million in 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5,045 average monthly paying clients for the three months ended June 30, 2024, we believe we are the largest two-sided platform for cannabis businesses and consumers in the United States. As we increase the number of users on our platform, we generate more engagements and can more easily persuade our business clients to consolidate their service providers by switching to our value-priced Weedmaps for Business bundled solution. As we continue to increase the number of businesses on our marketplace, we in turn become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spacing w:after="0" w:line="91" w:lineRule="exact"/>
        <w:rPr>
          <w:sz w:val="20"/>
          <w:szCs w:val="20"/>
          <w:color w:val="auto"/>
        </w:rPr>
      </w:pPr>
    </w:p>
    <w:p>
      <w:pPr>
        <w:ind w:left="460" w:right="319" w:hanging="168"/>
        <w:spacing w:after="0" w:line="184" w:lineRule="auto"/>
        <w:tabs>
          <w:tab w:leader="none" w:pos="460"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Numbers of users 21 and above are from the 2022 National Survey on Drug Use and Health, number of 21 and above adults in the United States are from U.S. Census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-229235</wp:posOffset>
            </wp:positionV>
            <wp:extent cx="8229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460" w:hanging="168"/>
        <w:spacing w:after="0" w:line="210" w:lineRule="auto"/>
        <w:tabs>
          <w:tab w:leader="none" w:pos="460"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Per 2022 National Survey of Drug Use and Health and U.S. Census data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1000" w:right="299" w:hanging="348"/>
        <w:spacing w:after="0" w:line="254"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 Fully-Integrated Business-in-a-Box SaaS Solution Specific to the Cannabis Industry. </w:t>
      </w:r>
      <w:r>
        <w:rPr>
          <w:rFonts w:ascii="Times New Roman" w:cs="Times New Roman" w:eastAsia="Times New Roman" w:hAnsi="Times New Roman"/>
          <w:sz w:val="18"/>
          <w:szCs w:val="18"/>
          <w:color w:val="auto"/>
        </w:rPr>
        <w:t>We believe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Weedmaps for Business is the industry’s only comprehensive business-in-a-box solution and incorporates embedded compliance functionality so that our clients comply with state law through integrated software solutions ranging from live menus, logistics and fulfillment, POS integrations, inventory management and data and analytics. We also believe we are the only platform servicing cannabis that combines both a scaled marketplace and software - most other technology providers offer software solutions without the marketplace or a marketplace without software. We also believe we offer the most comprehensive software platform that allows cannabis retailers to reach their target audience, quickly and cost effectively, addressing a wide range of needs. Our platform features self-service administrative functionality that enables clients to manage their listings page, including adding images, adjusting their menus, editing product information and responding to reviews as well as analyzing traffic trends.</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Unique and Growing Data Asset. </w:t>
      </w:r>
      <w:r>
        <w:rPr>
          <w:rFonts w:ascii="Times New Roman" w:cs="Times New Roman" w:eastAsia="Times New Roman" w:hAnsi="Times New Roman"/>
          <w:sz w:val="18"/>
          <w:szCs w:val="18"/>
          <w:color w:val="auto"/>
        </w:rPr>
        <w:t>As a result our established presence, scale and the breadth of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that provide us with a high volume of retail-level information and user insights, we have a growing and unique first-party data asset. Currently, the cannabis industry has few reliable sources of fulsome datasets.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Ability to Innovate Rapidly and Launch New Products Efficiently at Scale. </w:t>
      </w:r>
      <w:r>
        <w:rPr>
          <w:rFonts w:ascii="Times New Roman" w:cs="Times New Roman" w:eastAsia="Times New Roman" w:hAnsi="Times New Roman"/>
          <w:sz w:val="18"/>
          <w:szCs w:val="18"/>
          <w:color w:val="auto"/>
        </w:rPr>
        <w:t>We have an agile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innovation and deployment process. Our sales team frequently engages with our paid clients about the products they use, as well as their business objectives and performance. We constantly strive to generate product ideas through this deep engagement with our clients, as well as empirical research. During the initial development phases, we test a proposed offering with relevant areas of our business such as sales,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w:t>
      </w:r>
    </w:p>
    <w:p>
      <w:pPr>
        <w:spacing w:after="0" w:line="81"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Capital-Efficient Business Model with Historical Track Record of Positive Cash Flows. </w:t>
      </w:r>
      <w:r>
        <w:rPr>
          <w:rFonts w:ascii="Times New Roman" w:cs="Times New Roman" w:eastAsia="Times New Roman" w:hAnsi="Times New Roman"/>
          <w:sz w:val="18"/>
          <w:szCs w:val="18"/>
          <w:color w:val="auto"/>
        </w:rPr>
        <w:t>We operate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cloud-based platform, and unlike other cannabis-related businesses, we require minimal physical footprint and are not directly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historical robust margin profile and, prior to 2022, our track record of positive Adjusted EBITDA and cash flows from operating activities,</w:t>
      </w:r>
    </w:p>
    <w:p>
      <w:pPr>
        <w:spacing w:after="0" w:line="76"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Operationally-Focused Management Team with Deep Experience. </w:t>
      </w:r>
      <w:r>
        <w:rPr>
          <w:rFonts w:ascii="Times New Roman" w:cs="Times New Roman" w:eastAsia="Times New Roman" w:hAnsi="Times New Roman"/>
          <w:sz w:val="18"/>
          <w:szCs w:val="18"/>
          <w:color w:val="auto"/>
        </w:rPr>
        <w:t>Our executive leadership team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extensive and relevant professional experience spanning the technology, consumer, retail, legal and financial services industries, with a track record of operational execution and driving growth. Our Executive Chair and Principal Executive Officer, Douglas Francis is a co-founder of WM Technology and, prior to 2019, had served as its Chief Executive Officer. We believe our deep knowledge of our end-markets and broad-based operational expertise spanning several industry sectors provides a key competitive advantage in executing against our growth strategy.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a leading marketplace and software platform, our goal is not only to grow our market share but to grow the entire market by promoting wider access to licensed cannabis, educating consumers on how to shop for cannabis and providing licensed operators with the tools they need to access users and grow their businesses. We believe we are well-positioned to capitalize on underlying growth across our end-markets by executing against our strategy as follows:</w:t>
      </w:r>
    </w:p>
    <w:p>
      <w:pPr>
        <w:spacing w:after="0" w:line="71" w:lineRule="exact"/>
        <w:rPr>
          <w:sz w:val="20"/>
          <w:szCs w:val="20"/>
          <w:color w:val="auto"/>
        </w:rPr>
      </w:pPr>
    </w:p>
    <w:p>
      <w:pPr>
        <w:jc w:val="both"/>
        <w:ind w:left="1000" w:right="299" w:hanging="348"/>
        <w:spacing w:after="0" w:line="256"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Our Two-Sided Marketplace. </w:t>
      </w:r>
      <w:r>
        <w:rPr>
          <w:rFonts w:ascii="Times New Roman" w:cs="Times New Roman" w:eastAsia="Times New Roman" w:hAnsi="Times New Roman"/>
          <w:sz w:val="18"/>
          <w:szCs w:val="18"/>
          <w:color w:val="auto"/>
        </w:rPr>
        <w:t>Our goal is to be the center of commerce for consumers seeking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cannabis. To support this goal, we intend to continue growing the number of consumers on our platform through original content that educates, entertains, facilitates discovery of new products, increases awareness of our platform and encourages repeat usage. As we grow our users and user engagements, we will continue to engage with our clients to demonstrate the value we believe they receive on our platform and can convince more businesses to increase adoption of our Weedmaps for Business services through our Weedmaps for Business subscription offering and additional add-ons.</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Existing Markets and Enter New Markets. </w:t>
      </w:r>
      <w:r>
        <w:rPr>
          <w:rFonts w:ascii="Times New Roman" w:cs="Times New Roman" w:eastAsia="Times New Roman" w:hAnsi="Times New Roman"/>
          <w:sz w:val="18"/>
          <w:szCs w:val="18"/>
          <w:color w:val="auto"/>
        </w:rPr>
        <w:t>We have a significant opportunity to grow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client base both within existing markets that are continuing to grow and new markets as they become open to regulated cannabis. We believe we are a nationally-recognized brand in the cannabis industry, and we are monetizing our platform in over 35 U.S. states and territories, as of December 31, 2023. Based on our internal research, we believe the minimum level of acceptable retail density to have a healthy and functioning licensed market is one licensed retailer per 10,000 residents. Many of the U.S. states where we operate today are still under-penetrated with low levels of licensed retail density. We believe that there are tremendous growth opportunities for us within our existing markets as retail licenses continue to be issued, and states move towards, and eventually beyond, the one retail license per 10,000 people ratio. As of December 31, 2023, there were approximately 11,900 existing retail and delivery licenses across the United States. Assuming no cap on the number of licenses issued or other restrictions on the number of licenses issued, if these same markets were to issue enough licenses to match a ratio of one retail license per 10,000 residents, approximately 22,000 new retail licenses would be issued. This may require continued liberalization of license restrictions across cities and counties within certain states where we do business today. In addition, we believe that legalization by additional states and eventually the U.S. government is inevitable. Assuming no other restrictions on the number of licenses issued, if the entire United States reached a minimum level of density of one retail license per 10,000 residents, the total universe of retail licenses would reach approximately 34,000, which is approximately 2.8 times the current count of retail licenses in the United States. If our assumptions and projections are correct, this represents a significant growth opportunity for us as every new retail license issued is an opportunity to onboard a new client onto our platform and increase their monthly spend as they leverage more of our services, solutions and upsell / add-on products.</w:t>
      </w:r>
    </w:p>
    <w:p>
      <w:pPr>
        <w:spacing w:after="0" w:line="78"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Weedmaps for Business Solutions and Monetize Gross Merchandise Value (“GMV”) Consistent with Federal and State Laws. </w:t>
      </w:r>
      <w:r>
        <w:rPr>
          <w:rFonts w:ascii="Times New Roman" w:cs="Times New Roman" w:eastAsia="Times New Roman" w:hAnsi="Times New Roman"/>
          <w:sz w:val="18"/>
          <w:szCs w:val="18"/>
          <w:color w:val="auto"/>
        </w:rPr>
        <w:t>We intend to continue expanding our suite of valuable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advertising and software solutions and the functionality of our Weedmaps for Business solutions through additional offerings of premium analytics and loyalty tools, among other solutions, which we intend to monetize through additional higher priced tiers within our subscription offering. We will continue to expand the availability of our POS integrations across additional states. We also are continuously improving the base-level functionality across our Weedmaps for Business solutions. We believe these initiatives will result in a more engaged client who utilizes more of our services across our platform and is more ripe for monetization opportunities over time. While we do not believe GMV is a driver of our revenue currently, GMV could represent significant monetization potential over time when and if U.S. federal regulations allow us to monetize our clients’ currently off-platform transaction activity through take-rates or payment fees.</w:t>
      </w:r>
    </w:p>
    <w:p>
      <w:pPr>
        <w:spacing w:after="0" w:line="81"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Pursue Strategic Acquisitions. </w:t>
      </w:r>
      <w:r>
        <w:rPr>
          <w:rFonts w:ascii="Times New Roman" w:cs="Times New Roman" w:eastAsia="Times New Roman" w:hAnsi="Times New Roman"/>
          <w:sz w:val="18"/>
          <w:szCs w:val="18"/>
          <w:color w:val="auto"/>
        </w:rPr>
        <w:t>We take a measured approach to acquisition-related growth. We intend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selectively pursuing opportunities to invest in and acquire technology offerings that either complement our existing products and services or allow us to accelerate our growth.</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direct competitors for individual components or parts of our platform include cannabis-focused, technology companies like Leafly, Dutchie and Jane Technologies and a variety of cannabis-focused marketing and advertising technology solutions. In addition, for our retail listing pages, our platform may also compete with current or potential products and solutions offered by internet search engines and advertising networks like Google, Yelp, various other newspaper, television and media companies, as well as outdoor billboard advertising. We believe that the principal competitive factors in our market include the scale of our network, comprehensiveness of offerings, ease of adoption and use, ability to facilitate compliance with the complex, disparate regulations applicable to businesses operating in the cannabis industry and the breadth and trustworthiness of information available to consumers and brand. We believe we compete favorably based on these factors. On May 16, 2024, President Biden announced that the U.S. Attorney General initiated proceedings to transfer cannabis from Schedule I to Schedule III, through a Notice of Proposed Rulemaking (“NPRM”) published on May 21, 2024 This decision is expected to have far reaching implications that are not yet fully understood. For example, rescheduling may increase competitors in this space if non-cannabis technology companies who have previously avoided the space now decide to enter the market.</w:t>
      </w:r>
    </w:p>
    <w:p>
      <w:pPr>
        <w:spacing w:after="0" w:line="8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the risks to our business related to competition, see the section entitled “Risk Factors-Risks Related to our Business and Industry—We currently face intense competition in the market and we expect competition to further intensify as the cannabis industry continues to evolve.”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sales team is primarily based out of our Irvine, California headquarters. Members of our sales team are knowledgeable about the products and add-ons that we offer and assist new and existing clients with our platform.</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believe the quality and strength of our platform is our most valuable marketing asset. Our marketing strategy, across both business-to-consumer and business-to-business commerce, consists of user acquisition, brand marketing, communications and field marketing.</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key marketing efforts consist of driving awareness of the marketplace, new user acquisition, and increasing platform engagement with existing users. To drive awareness, we apply a range of strategies from broad integrated</w:t>
      </w:r>
    </w:p>
    <w:p>
      <w:pPr>
        <w:jc w:val="both"/>
        <w:ind w:left="300" w:right="299"/>
        <w:spacing w:after="0" w:line="236" w:lineRule="auto"/>
        <w:rPr>
          <w:sz w:val="20"/>
          <w:szCs w:val="20"/>
          <w:color w:val="auto"/>
        </w:rPr>
      </w:pPr>
      <w:r>
        <w:rPr>
          <w:rFonts w:ascii="Times New Roman" w:cs="Times New Roman" w:eastAsia="Times New Roman" w:hAnsi="Times New Roman"/>
          <w:sz w:val="18"/>
          <w:szCs w:val="18"/>
          <w:color w:val="auto"/>
        </w:rPr>
        <w:t>marketing campaigns, such as our work each year on April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(“420”), to local, on-the ground events in partnership with brands and retailers like Jack in the Box. While many traditional paid channels are still not available to cannabis industry brands (Google search and some social platforms for example) we have an evolving playbook of tactics to acquire new users that includes a combination of targeted out-of-home, programmatic display, and affiliate marketing campaigns. We augment our paid efforts with social media and SEO tactics to drive organic traffic. To engage and retain existing users, we apply lifecycle tactics, leveraging our first party data to personalize touch points based on user interests.</w:t>
      </w:r>
    </w:p>
    <w:p>
      <w:pPr>
        <w:spacing w:after="0" w:line="93"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2023, our marketing function continued to focus on ways to drive greater adoption of our platform through new and innovative tactics such as in-app promotions and shopping tools, and self-help chat bots. Given the strength of our brand, we have continued to see strength in the performance of our marketing tactics in what can be a crowded market, easing the acquisition or upsell process for our sales team.</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Social Impact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To support the growth of an inclusive cannabis industry, we participate in policy panels and organize educational sessions to educate attendees about the importance of social equity programs and other policy initiatives that are designed to ensure the ability of people of color and those impacted by the war on drugs to participate in the legal cannabis markets that are opening (i.e. social equity licensing programs). We have drafted white papers and mock legislative provisions that were designed to support the enactment of social equity licensing programs and have advocated for state and local governments to enact social equity licensing programs. We have established a program,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WM Teal, which stands for “Together for Equity Access and Legislation,” through which we provide free software, advertising, educational materials and training programs to applicants or licenses under social equity licensing programs.</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product development efforts focus on adding new features and solutions to our platform, as well as increasing the functionality and enhancing the ease of use of our platform. While we expect product development costs to increase as we continue to increase the functionality of our platform, we expect the percentage of total revenues represented by such costs to remain unchanged.</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intellectual property and proprietary rights are valuable assets that are important to our business. In our efforts to safeguard our intellectual property, including copyrights, trade secrets, trademarks, patents and other forms of intellectual property rights, we rely on a combination of federal, state, common law and international rights in the jurisdictions in which we operate.</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June 30, 2024, we hold a variety of trademark registrations in the United States, Canada, Japan, the European Union, the United Kingdom, Mexico and Australia.</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to our numerous trademark applications and registrations, we have United States copyright registrations for our weedmaps.com website, “Grow One,” and two versions of our Lab API documentation. Further, we own several domain names, including: weedmaps.com, marijuana.com, cannabis.com, wmpolicy.com, themuseumofweed.com, wm-retail.com, wmforbusiness.com and WM.store. Our trademarks and domain names are material to our business and brand identity.</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Circumstances outside our control could pose a threat to our intellectual property rights. For more information, see the section entitled “Risk Factors—Risks Related to our Business and Industry.”</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left="300" w:right="299"/>
        <w:spacing w:after="0"/>
        <w:rPr>
          <w:sz w:val="20"/>
          <w:szCs w:val="20"/>
          <w:color w:val="auto"/>
        </w:rPr>
      </w:pPr>
      <w:r>
        <w:rPr>
          <w:rFonts w:ascii="Times New Roman" w:cs="Times New Roman" w:eastAsia="Times New Roman" w:hAnsi="Times New Roman"/>
          <w:sz w:val="18"/>
          <w:szCs w:val="18"/>
          <w:color w:val="auto"/>
        </w:rPr>
        <w:t>The cannabis industry has certain industry holidays that in recent years have resulted in increased purchases by cannabis consumers. Such “holidays” include, but are not limited to 420, July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the Wednesday before Thanksgiving. Likewise, our clients will typically increase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People Operations and Human Capital Resources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of June 30, 2024, we had 422 full-time employees, 1 part-time employee and 13 temporary employees, including 185 in engineering, product and design, 171 in sales and marketing and 80 in general and administrative. Of these employees, 428 are located in the United States and 8 are located in Canada.</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believe that being able to attract and retain top talent is both a strategic advantage for us and necessary to realize our mission of powering a transparent and inclusive global cannabis economy. Our position as a leading technology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provider to the cannabis industry helps us attract high caliber candidates who are technically skilled and passionate about our mission and products. We devote substantial resources to this task. Our dedicated, best-in-class Talent Acquisition team is focused on finding and attracting diverse and capable talent, and our People &amp; Workplace team is focused on making us a world class employer of choice for that talent once they get here. None of our employees are represented by a labor union or covered by collective bargaining agreements and we have not experienced any work stoppages.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United States and Territories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Notwithstanding the trend toward further state legalization, the U.S. government continues to categorize cannabis as a prohibited controlled substance, and accordingly the cultivation, processing, distribution, sale, advertisement of sale and possession by our customers violate federal law, as discussed further in the sections entitled “Risk Factors —Risks Related to our Business and Industry.”</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January 4, 2018, then U.S. Attorney General Jeff Sessions issued a memorandum for all U.S. Attorneys (the “Sessions Memo”) rescinding certain past DOJ memoranda on cannabis law enforcement, including the Cole Memo.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Since 2014, versions of the U.S. omnibus spending bill have included a provision prohibiting the DOJ, which includes the Drug Enforcement Administration (“DEA”),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spacing w:after="0" w:line="75"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Despite the Sessions Memo, the U.S. government has not prioritized the enforcement of those laws against cannabis companies complying with state law and their vendors, and has not since 2014. No reversal of that policy of prosecutorial discretion is expected under a Biden administration given his actions on cannabis to date, and the statements of Attorney General Merrick Garland on the subject, although prosecutions against state-legal entities cannot be ruled out entirely at this time. During his campaign, President Biden promised federal reform on cannabis, including decriminalization generally and has made history in several impactful ways. First, in 2022, President Biden signed into law the “Medical Marijuana and Cannabidiol Research Expansion Act,” a bill aimed at easing restrictions on cannabis research -- bipartisan legislation which is the 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and the Attorney General initiate an administrative process to review cannabis’s Schedule I classification under the CSA. On August 29, 2023, HHS issued a letter to the DEA recommending that cannabis be reclassified as a Schedule III controlled substance under the CSA. On May 16, 2024, President Joe Biden announced that his administration is officially moving to reclassify cannabis from a Schedule I to a Schedule III controlled substance under the CSA. There will then be a 60-day public comment period before the rule is potentially finalized. If this move is confirmed, it would be a momentous change whose full implications are currently unknown. The DEA’s decision to reclassify cannabis would neither legalize nor likely eliminate current state cannabis program. If placed under Schedule III, cannabis will cannabis will remain a controlled substance and state-legal programs will continue to operate outside of federally legal channels in their distribution of the substance particularly because no state operator holds a DEA registration to possess or distribute cannabis. One notable impact for our clients is that rescheduling cannabis to Schedule III would remove the various tax-related hindrances tied to IRS code section 280E, and cannabis-related businesses (whether involved in medical</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or adult-use cannabis) would finally be able to take advantage of all applicable deductions and credits on their business taxes that other businesses enjoy. However, some fear that the DEA or FDA may impose additional requirements or begin to target enforcement on state cannabis programs.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U.S. Attorney General, Merrick Garland, is expected to not interfere with cannabis businesses operating in compliance with states’ laws. During his confirmation hearing before the U.S. Senate, Judge Garland testified that prosecuting state-legal cannabis companies would not be a “useful use of limited resources.” In April, 2022, Attorney General Garland reiterated that prosecuting the possession of cannabis is “not an efficient use” of federal resources, especially “given the ongoing opioid and methamphetamine epidemic[s]” facing the nation. On March 1, 2023, Attorney General Garland confirmed that his Department is continuing work on a new cannabis enforcement guidance, which he states would be “very close to what was done in the Cole memorandum.” Although any such guidance issued would not have the force of law, and could not be enforced by the courts, such a guidance would likely mean that the status quo of federal non-enforcement is likely to continue for the foreseeable future.</w:t>
      </w:r>
    </w:p>
    <w:p>
      <w:pPr>
        <w:spacing w:after="0" w:line="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Members of the U.S. Congress from both parties have introduced bills to end the federal cannabis prohibition, by de-scheduling cannabis completely and regulating it. In addition to broader reforms, this session has seen additional incremental reform bills that aim to increase research, cement medical cannabis patients’ rights, or facilitate state-legal cannabis. While the timing of federal reform remains unknown, it is expected that federal policy on cannabis will continue becoming more, rather than less, permissive and legislative efforts to legalize cannabis or cannabis banking at the national level are likely to progress in 2024.</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Some of our retail clients sell products with hemp-derived cannabinoids, including CBD. In December 2018, the U.S. government removed hemp and extracts of hemp from the CSA schedules through the Agriculture Improvement Act of 2018, Pub. L. 115-334. Accordingly, the production, sale and possession of hemp or extracts of hemp, including certain CBD products, no longer violate the CSA. The states have implemented a patchwork of different laws on hemp and its extracts. Additionally, the Food &amp; Drug Administration (“FDA”) claims that the Food, Drugs &amp; Cosmetics Act significantly limits the legality of certain hemp-derived CBD products. In January 2023, FDA affirmed that the agency will not compromise—or create new standards—in evaluating or permitting cannabis or cannabinoid compounds and products, and particularly cannabidiol (“CBD”), indicating that Congress must take action to end the stalemate between federal and state laws and the purgatory of FDA selective enforcement. While enforcement regarding hemp-derived products has generally been limited, changes in enforcement priorities or further federal regulations could negatively impact our clients that sell such products, which could adversely impact our business, operating results, financial condition, brand and reputation.</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have been neither a defendant in a criminal action nor the subject of a civil or regulatory enforcement proceeding, prosecuted by a U.S. governmental authority based on our provision of products and solutions to the cannabis industry. Furthermore,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and WM Learn. All of these sections are general news and information, and none of these sections are advertisements for, or listing pages of, cannabis businesses. For additional information about Section 230, see the sections entitled “Business—Overview” and “Risk Factors—Risks Related to our Business and Industry.”</w:t>
      </w:r>
    </w:p>
    <w:p>
      <w:pPr>
        <w:spacing w:after="0" w:line="8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Policy &amp; Compliance Operations team that reviews license information, both on submission and on an ongoing basis, to ensure validity and accuracy. For certain Weedmaps products or services, we may request additional verification and documentation. Additionally, we require contractual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Medical cannabis has been legal in Canada since 1999 through various regulatory regimes. On October 17, 2018, the Cannabis Act (Canada) came into force. The Cannabis Act governs both the medical and the regulated adult-use markets in Canada. Prior to October 17, 2018, legal access to and use of medical cannabis in Canada was regulated under the Controlled Drugs and Substances Act and the associated Access to Cannabis for Medical Purposes Regulations (“ACMPR”). Under the Cannabis Act, holders of licenses to cultivate and/or process cannabis are also permitted to supply cannabis under their existing licenses obtained pursuant to the ACMPR to the regulated adult-use market.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listings are legally permissible.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information set forth under “Commitments and Contingencies—Litigation” in Note 4 of the notes to the unaudited condensed consolidated financial statements included in this prospectus are incorporated by reference.</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previously disclosed, in the second quarter of 2022, our board of directors received an internal complaint regarding the calculation, definition and reporting of our monthly active users (“MAUs”) metric. In response, our board of directors formed a special committee of independent directors to conduct an internal investigation with the assistance of outside counsel. As a result of the findings of that internal investigation, we provided certain additional information regarding the growth and nature of our previously-reported MAUs in our Quarterly Report on Form 10-Q for the quarter ended June 30, 2022 filed with the SEC on August 9, 2022. This investigation found no impact on our financial results under accounting principles generally accepted in the United States of America (“GAAP”) or the reporting or disclosure of any currently disclosed non-GAAP financial metric. As also previously reported, in the third quarter of 2022, we determined not to report MAUs going forward. In August 2022, our board of directors determined to voluntarily report the internal complaint and subsequent internal investigation to the SEC, following which the SEC’s Division of Enforcement commenced an investigation. We have been fully cooperating with that investigation.</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also previously reported in the Current Report on Form 8-K filed on July 25, 2024, on July 22, 2024, we reached an agreement in principle with the SEC staff to resolve the SEC staff’s investigation with respect to the Company. Under the terms of the settlement, we would consent, without admitting or denying the SEC’s findings, to the entry of an administrative cease-and-desist order finding violations of Sections 17(a)(2) and (3) of the Securities Act of 1933, as amended, Sections 13(a), and 14(a) of the Securities Exchange Act of 1934, as amended, and Rules 12b-20, 13a-1, 13a-11, 13a-13, and 14a-9 thereunder, and would pay a civil money penalty of $1.5 million. This agreement is subject to mutual agreement on the language of the settlement documents and then approval by the SEC. Accordingly, there can be no assurance that the settlement will be consummated or approved on the terms set forth above or at all.</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Our Internet address is www.weedmaps.com. Our investor relations website is located at https://ir.weedmaps.com. Our Annual Reports on Form 10-K, Quarterly Reports on Form 10-Q, Current Reports on Form 8-K and our Proxy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Statements and any amendments to these reports, are available through our investor relations website, free of charge, after we file them with the SEC. We may from time to time provide important disclosures to investors by posting them in the investor relations section of our website, as allowed by SEC rules.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SEC maintains an Internet website at www.sec.gov that contains reports, proxy and information statements and other information regarding our company that we file electronically with the SEC. The contents of our websites are not incorporated by reference into this prospectus or in any other report or document we file with the SEC, and any references to our websites are intended to be inactive textual references only.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 and directors as of August 26, 2024.</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518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51"/>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r>
      <w:tr>
        <w:trPr>
          <w:trHeight w:val="311"/>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4"/>
                <w:szCs w:val="24"/>
                <w:color w:val="auto"/>
              </w:rPr>
            </w:pP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Echard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24"/>
        </w:trPr>
        <w:tc>
          <w:tcPr>
            <w:tcW w:w="2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180" w:type="dxa"/>
            <w:vAlign w:val="bottom"/>
            <w:shd w:val="clear" w:color="auto" w:fill="CCEEFF"/>
          </w:tcPr>
          <w:p>
            <w:pPr>
              <w:spacing w:after="0"/>
              <w:rPr>
                <w:sz w:val="24"/>
                <w:szCs w:val="24"/>
                <w:color w:val="auto"/>
              </w:rPr>
            </w:pP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180" w:type="dxa"/>
            <w:vAlign w:val="bottom"/>
          </w:tcPr>
          <w:p>
            <w:pPr>
              <w:spacing w:after="0"/>
              <w:rPr>
                <w:sz w:val="23"/>
                <w:szCs w:val="23"/>
                <w:color w:val="auto"/>
              </w:rPr>
            </w:pP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Fiona Tan</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Bay</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Aquila</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-2451100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-2451100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jc w:val="both"/>
        <w:ind w:left="640" w:right="299" w:hanging="348"/>
        <w:spacing w:after="0" w:line="236" w:lineRule="auto"/>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 2024, Fiona Tan notified us of her decision to resign as a member of our Board, the Nominating and Corporate Governance Committee of the Board and the Technology Committee of the Board, of which she was the Chairperson, effective September 30, 2024. Ms. Tan’s decision was not based on any disagreement with the Company or on any matter relating to the Company’s operations, policies or practices.</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i w:val="1"/>
          <w:iCs w:val="1"/>
          <w:color w:val="auto"/>
        </w:rPr>
        <w:t>Douglas Francis</w:t>
      </w:r>
      <w:r>
        <w:rPr>
          <w:rFonts w:ascii="Times New Roman" w:cs="Times New Roman" w:eastAsia="Times New Roman" w:hAnsi="Times New Roman"/>
          <w:sz w:val="18"/>
          <w:szCs w:val="18"/>
          <w:color w:val="auto"/>
        </w:rPr>
        <w:t>. Mr. Francis, age 46, has served as a member of the Board since June 2021, and as Executive Chair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August 2022. Mr. Francis is a co-founder of WM Holding Company, LLC (when referred to in its pre-Business Combination capacity, “Legacy WMH”), and served as Chairperson of Legacy WMH’s board of managers from March 2019 to June 2021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w:t>
      </w:r>
    </w:p>
    <w:p>
      <w:pPr>
        <w:spacing w:after="0" w:line="7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Susan Echard</w:t>
      </w:r>
      <w:r>
        <w:rPr>
          <w:rFonts w:ascii="Times New Roman" w:cs="Times New Roman" w:eastAsia="Times New Roman" w:hAnsi="Times New Roman"/>
          <w:sz w:val="18"/>
          <w:szCs w:val="18"/>
          <w:color w:val="auto"/>
        </w:rPr>
        <w:t>. Ms. Echard, age 60, has served as Interim Chief Financial Officer since February 2024.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2021 Ms. Echard has been a Partner of SeatonHill Partners, LP (“SeatonHill”) a leading national CFO services firm that also offers project based financial leadership. While serving as a partner at SeatonHill, Ms. Echard served from June 2021 to June 2023 as CFO for Direct Digital Holdings, an online solutions provider in digital marketing &amp; advertising. Prior to that, from April 2019 to February 2021, Ms. Echard served as CFO for Trinity Capital Investment, a venture debt and equipment financing provider to growth-stage companies, and, in such capacity, was responsible for all aspects of the firm’s financial matters, investor relations, legal and human resource management. Prior to joining Trinity, Ms. Echard served as the Chief Financial Officer at CUBEX LLC, a medical, dental and veterinary inventory management company, from January 2017 to February 2019. Ms. Echard is an accomplished executive with over 35 years’ experience, both domestic and international, within Big Four and CFO roles. Ms. Echard has a Bachelor of Business Administration degree in accounting from the University of Michigan-Flint.</w:t>
      </w:r>
    </w:p>
    <w:p>
      <w:pPr>
        <w:spacing w:after="0" w:line="82"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Brian Camire</w:t>
      </w:r>
      <w:r>
        <w:rPr>
          <w:rFonts w:ascii="Times New Roman" w:cs="Times New Roman" w:eastAsia="Times New Roman" w:hAnsi="Times New Roman"/>
          <w:sz w:val="18"/>
          <w:szCs w:val="18"/>
          <w:color w:val="auto"/>
        </w:rPr>
        <w:t>. Mr. Camire, age 45, has served as our General Counsel and Secretary since June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Camire served as Legacy WMH’s General Counsel from May 2019 to June 2021. Prior to joining Legacy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Scott Gordon</w:t>
      </w:r>
      <w:r>
        <w:rPr>
          <w:rFonts w:ascii="Times New Roman" w:cs="Times New Roman" w:eastAsia="Times New Roman" w:hAnsi="Times New Roman"/>
          <w:sz w:val="18"/>
          <w:szCs w:val="18"/>
          <w:color w:val="auto"/>
        </w:rPr>
        <w:t>. Mr. Gordon, age 63, has served as a member of the Board since June 2021. Mr. Gordon has held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dual roles of Chief Executive Officer and Chairperson of the board of directors of Silver Spike Investment Corp. since its founding. Similarly, he served in the same capacities for Silver Spike Acquisition Corp. from its inception until June 2021.Mr. Gordon is the co-founder and since 2016 has been the Chairperson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also held leadership positions at Bank of America and ING Capital. Mr. Gordon was a founding member of the Emerging Markets business at JP Morgan where he worked upon graduating from Bowdoin College in 1983.</w:t>
      </w:r>
    </w:p>
    <w:p>
      <w:pPr>
        <w:spacing w:after="0" w:line="7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Fiona Tan</w:t>
      </w:r>
      <w:r>
        <w:rPr>
          <w:rFonts w:ascii="Times New Roman" w:cs="Times New Roman" w:eastAsia="Times New Roman" w:hAnsi="Times New Roman"/>
          <w:sz w:val="18"/>
          <w:szCs w:val="18"/>
          <w:color w:val="auto"/>
        </w:rPr>
        <w:t>. Ms. Tan, age 53, has served as a member of the Board since June 2021. Since March 2022, Ms. Tan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Chief Technology Officer for Wayfair LLC, where she previously served as the Global Head of Customer and Supplier Technology from September 2020 to March 2022. She has held various leadership positions at Walmart Inc., including Head of Technology for Walmart US from March 2019 to September 2020, Senior Vice President of Engineering and Customer Technology for Walmart Labs from January 2017 to March 2019 and Vice President of Engineering and International Markets for Walmart Labs Strategy and Operations from April 2014 to January 2017. Additionally, Ms. Tan was Vice President of Engineering for Ariba, Inc. from January 2012 to April 2014 and held the same role at TIBCO Software, Inc. from January 1995 to October 2011, and worked as a Senior Technical Staff Member role at Oracle Corporation from January 1993 to May 1995. Ms. Tan holds an M.S. in Computer Science from Stanford University and a B.S. in Computer Science and Engineering from the Massachusetts Institute of Technology.</w:t>
      </w:r>
    </w:p>
    <w:p>
      <w:pPr>
        <w:spacing w:after="0" w:line="8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i w:val="1"/>
          <w:iCs w:val="1"/>
          <w:color w:val="auto"/>
        </w:rPr>
        <w:t>Anthony Bay</w:t>
      </w:r>
      <w:r>
        <w:rPr>
          <w:rFonts w:ascii="Times New Roman" w:cs="Times New Roman" w:eastAsia="Times New Roman" w:hAnsi="Times New Roman"/>
          <w:sz w:val="18"/>
          <w:szCs w:val="18"/>
          <w:color w:val="auto"/>
        </w:rPr>
        <w:t>. Mr. Bay, age 68, has served as a member of the Board since March 2022. Prior to joining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Bay served on three public boards, including two as Chairman as well as numerous private boards. Since September 2019, Mr. Bay has served as the Founder and Chief Executive Officer of Techquity, a technology advisory firm helping innovative companies leverage software and cloud operations to scale faster with less risk. From 2013 to 2016, he served as Chief Executive Officer of Rdio, a leading global music subscription streaming service with over 70 million registered users and 14 million active users. In November 2015, Rdio filed for Chapter 11 bankruptcy relief as a condition of its sale to Pandora. Prior to Rdio, Mr. Bay served as a Vice President and Global head for Digital Video for Amazon from 2011 to 2013, responsible for all aspects of the company’s Digital Video and streaming business globally. During his eight year tenure at Microsoft, Mr. Bay was Corporate Vice President and General Manager of Microsoft’s Digital Media Division and a member of Microsoft’s executive staff. Prior to that, Mr. Bay was General Manager of Microsoft’s Commercial Systems Division, responsible for developing core components of Microsoft’s Internet services platform, including ISP/carrier infrastructure, website development and eCommerce. Mr. Bay joined Microsoft as part of the MSN management team in 1994, eventually overseeing all MSN development and production systems. From 1986 to 1994, Mr. Bay also worked at Apple Computer in various product leadership roles, including three years at Apple’s European headquarters in Paris. Mr. Bay holds an MBA from San Jose State University and undergraduate degree in Economics from the University of California, Los Angeles.</w:t>
      </w:r>
    </w:p>
    <w:p>
      <w:pPr>
        <w:spacing w:after="0" w:line="8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Tony Aquila</w:t>
      </w:r>
      <w:r>
        <w:rPr>
          <w:rFonts w:ascii="Times New Roman" w:cs="Times New Roman" w:eastAsia="Times New Roman" w:hAnsi="Times New Roman"/>
          <w:sz w:val="18"/>
          <w:szCs w:val="18"/>
          <w:color w:val="auto"/>
        </w:rPr>
        <w:t>. Mr. Aquila, age 59, has served as a member of the Board since June 2021. Since April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Aquila has served as the Chief Executive Officer of Canoo, Inc., a mobility technology company, and as the Executive Chairman of the Board of Canoo since December 2020. In June 2019, Mr. Aquila founded AFV Partners, an affirmative low-leverage capital vehicle that invests in long-term mission critical software, data and technology businesses and has served as its Chairperson and Chief Executive Officer since its founding. In 2005, Mr. Aquila founded Solera Holdings Inc., and led it as Chairperson and Chief Executive Officer to a $1 billion initial public offering in 2007, and in the following years sourced and executed over 50 acquisitions significantly expanding Solera’s total addressable market. Mr. Aquila oversaw Solera’s $6.5 billion transaction from a public-to-private business in 2016. Mr. Aquila has also served as a member of the Arkansas Council on Future Mobility since February 2022 and as a member of the board of directors of The Lost Explorer Mezcal Company, a sustainable producer and distributor of handcrafted mezcal, since May 2021. Furthermore, Mr. Aquila currently serves as the Chairperson for Aircraft Performance Group, LLC, a global provider of mission critical flight operations software,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since January 2020, RocketRoute Limited, a global aviation services company, since March 2020, and APG Avionics LLC, an aviation data and software company for the general aviation market, since September 2020. From November 2018 to July 2020, Mr. Aquila served as the Global Chairperson of Sportradar Group, a sports data and content company. Mr. Aquila has also served as a director of Guardianship Services Inc., a nonprofit organization providing guardianship and support services to at-risk adults in Tarrant County, Texas since October 2020.</w:t>
      </w:r>
    </w:p>
    <w:p>
      <w:pPr>
        <w:spacing w:after="0" w:line="73"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i w:val="1"/>
          <w:iCs w:val="1"/>
          <w:color w:val="auto"/>
        </w:rPr>
        <w:t>Brenda Freeman</w:t>
      </w:r>
      <w:r>
        <w:rPr>
          <w:rFonts w:ascii="Times New Roman" w:cs="Times New Roman" w:eastAsia="Times New Roman" w:hAnsi="Times New Roman"/>
          <w:sz w:val="18"/>
          <w:szCs w:val="18"/>
          <w:color w:val="auto"/>
        </w:rPr>
        <w:t>. Ms. Freeman, age 60, has served as a member of the Board since June 2021. Ms. Freeman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founded and has served as President of Joyeux Advisory Group LLC, a firm providing advisory services to early-stage startups and Fortune 500 companies, since January 2018. Since April 2021 Ms. Freeman has also served as a partner of Debut Capital. Ms. Freeman previously served as Chief Brand Officer of Wunderkind Corporation, a company that creates personalized marketing solutions, from April 2020 through March 2023. Prior to that, Ms. Freeman served as Chief Executive Officer for Arteza, Inc., a direct-to-consumer arts and crafts manufacturing and supply company from February 2020 to February 2021. From March 2016 to December 2018, Ms. Freeman was Chief Marketing Officer of Magic Leap, Inc., a virtual reality technology company, and from December 2018 to April 2019 was Senior Advisor to the Chief Executive Officer. From March 2015 to March 2016, Ms. Freeman served as Chief Marketing Officer of National Geographic Channel, a television network and channel. Prior to that, Ms. Freeman served as Chief Marketing Officer at Turner Broadcasting Systems, Inc. and was Vice President, television marketing at DreamWorks Animation SKG Inc. Ms. Freeman has been a member of the boards of directors of Blue Apron Holdings, Inc. since October 2020 (which became privately owned in November 2023), of Caleres, Inc. since April 2017 and of Avnet, Inc. since November 2018. Ms. Freeman previously served on the board of directors of Herman Miller, Inc. from January 2016 to June 2019 and on the board of directors of RTW Retailwinds, Inc. from April 2019 to April 2020. Ms. Freeman holds a B.S. degree in chemical engineering and an M.B.A degree from the University of Maryland.</w:t>
      </w:r>
    </w:p>
    <w:p>
      <w:pPr>
        <w:spacing w:after="0" w:line="8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Olga Gonzalez</w:t>
      </w:r>
      <w:r>
        <w:rPr>
          <w:rFonts w:ascii="Times New Roman" w:cs="Times New Roman" w:eastAsia="Times New Roman" w:hAnsi="Times New Roman"/>
          <w:sz w:val="18"/>
          <w:szCs w:val="18"/>
          <w:color w:val="auto"/>
        </w:rPr>
        <w:t>. Ms. Gonzalez, age 58, has served as a member of the Board since June 2021. Since April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Gonzalez has served as CEO and President of Wild Fork USA. Prior to that, from April 2022 to April 2023 and January 2021 to April 2022, Ms. Gonzalez served as Global COO and Global Business Leader, respectively, for Wild Fork Foods, an online specialty food service. Prior to that, Ms. Gonzalez held various leadership positions at Walmart Inc., including Senior Vice President and Chief Financial Officer at Walmart México y Centroamérica from July 2017 to April 2020, Vice President Commercial &amp; Operations Finance at Walmart México y Centroamérica from October 2014 to June 2017, Chief Financial Officer at Walmart Chile from 2011 to 2014, and Vice President, Internal Audit Services Latin America at Walmart US from 2010 to 2011. Previously, Ms. Gonzalez had served as Director, Internal Audit at General Motors Company from 2006 to 2010 and from 1996 to 2004, Vice President, Enterprise Risk and Assurance Services at the American Express Company from 2004 to 2006, and Internal Audit at Banco Santander from 1989 to 1996. Ms. Gonzalez holds a Bachelor of Business Administration degree from Pontificia Universidad Católica de Puerto Rico and an M.B.A. from Florida International University.</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As required under Nasdaq listing standards, a majority of the members of a listed company’s board of directors must qualify as “independent,” as affirmatively determined by the board of directors. In addition, the rules of Nasdaq require that, subject to specified exceptions, each member of a listed company’s audit, compensation and nominating and corporate governance committees be independent. Under the rules of the Nasdaq, a director will only qualify as an “independent director” if, in the opinion of that company’s board of directors, that person does not have a relationship that would interfere with the exercise of independent judgment in carrying out the responsibilities of a director. Compensation Committee members must not have a relationship with us that is material to the director’s ability to be independent from management in connection with the duties of a Compensation Committee member. Additionally, Audit Committee members must also satisfy the independence criteria set forth in Rule 10A-3 under the Exchange Act. To be considered independent for purposes of Rule 10A-3, a member of an audit committee of a listed company may not, other than in his or her capacity as a member of the audit committee of the board of directors or any other board committee, accept, directly or indirectly, any consulting, advisory or other compensatory fee from the listed company or any of its subsidiaries or be an affiliated person of the listed company or any of its subsidiaries.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7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six directors are independent directors within the meaning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of the applicable Nasdaq listing standards: Messrs. Aquila, Bay and Gordon and Mses. Freeman, Gonzalez and Tan. In making this determination, the Board found that none of these directors or nominees for director had a material or other disqualifying relationship with the Company.</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making those independence determinations, the Board considered the current and prior relationships that each non-employee director has with our company and all other facts and circumstances the Board deemed relevant in determining their independence, including the beneficial ownership of our capital stock by each non-employee director, and the transactions involving them described in the section entitled “Certain Relationships and Related Party Transactions” that occurred during any 12-month period within the last three fiscal years.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Board is currently chaired by the Executive Chair of the Company, Mr. Francis, who has an active role in leading the Company as our principal executive officer and member of the Board. Ms. Freeman currently serves as our lead independent director.</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believes that during this transformational period, it is valuable to have Mr. Francis in the combined positions of principal executive officer and Board chair because of his extensive history with and knowledge of the Company, and this arrangement provides a single, clear chain of command to rapidly execute the Company’s strategic initiatives and business plans. In addition, the Company believes that this combined role better positions Mr. Francis to act as a bridge between management and the Board, facilitating the regular flow of information.</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Board appointed Ms. Freeman as the lead independent director to help reinforce the independence of the Board as a whole. The position of lead independent director has been structured to serve as an effective balance to a combined principal executive officer and Executive Chair: the lead independent director is empowered to, among other duties and responsibilities, approve agendas and meeting schedules for regular Board meetings, preside over Board meetings in the absence of the Executive Chair, preside over and establish the agendas for meetings of the independent directors, act as liaison between the Executive Chair and the independent directors, approve information sent to the Board, preside over any portions of Board meetings at which the evaluation or compensation of the principal executive officer is presented or discussed and, as appropriate upon request, act as a liaison to our stockholders. In addition, it is the responsibility of the lead independent director to coordinate between the Board and management with regard to the determination and implementation of responses to any problematic risk management issues. As a result, the Company believes that the lead independent director can help ensure the effective independent functioning of the Board in its oversight responsibilities. In addition, the Company believes that the lead independent director is better positioned to build a consensus among directors and to serve as a conduit between the other independent directors and the Executive Chair, for example, by facilitating the inclusion on meeting agendas of matters of concern to the independent directors.</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Risk is inherent with every business, and we face a number of risks, including strategic, financial, business and operational, cybersecurity, legal and compliance, and reputational. We have designed and implemented processes to manage these risks. Management is responsible for the day-to-day implementation, oversight and management of risks and risk processes our company faces, while the Board, as a whole and assisted by its committees, has responsibility for the oversight of risk management. In its risk oversight role, our Board has the responsibility to satisfy itself that the risk management processes designed and implemented by management are appropriate and functioning as designed.</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Board administers this oversight function directly through the Board as a whole, as well as through various Board committees that address risks inherent in their respective areas of oversight. The Board believes that open communication between management and the Board is essential for effective risk management and oversight. Consistent with this approach, the Board, with the assistance of its committees, regularly reviews our strategic and operational risks in the context of discussions with management, question and answer sessions, and reports from the management team at each of its regular meetings. Directors also have access to management outside of its regular meetings and are free to ask questions and receive information necessary to perform their duties as a director.</w:t>
      </w:r>
    </w:p>
    <w:p>
      <w:pPr>
        <w:spacing w:after="0" w:line="81" w:lineRule="exact"/>
        <w:rPr>
          <w:sz w:val="20"/>
          <w:szCs w:val="20"/>
          <w:color w:val="auto"/>
        </w:rPr>
      </w:pPr>
    </w:p>
    <w:p>
      <w:pPr>
        <w:jc w:val="both"/>
        <w:ind w:left="300" w:right="299"/>
        <w:spacing w:after="0" w:line="289" w:lineRule="auto"/>
        <w:rPr>
          <w:sz w:val="20"/>
          <w:szCs w:val="20"/>
          <w:color w:val="auto"/>
        </w:rPr>
      </w:pPr>
      <w:r>
        <w:rPr>
          <w:rFonts w:ascii="Times New Roman" w:cs="Times New Roman" w:eastAsia="Times New Roman" w:hAnsi="Times New Roman"/>
          <w:sz w:val="17"/>
          <w:szCs w:val="17"/>
          <w:color w:val="auto"/>
        </w:rPr>
        <w:t>In particular, the Board is responsible for monitoring and assessing strategic risk exposure, including a determination of the nature and level of risk appropriate for the Company, and for coordinating with management on decisions relating to any matters that carry potential enterprise-level risks. The Audit Committee has the responsibility 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consider and discuss our major financial risk exposures and the steps our management has taken to monitor and control these exposures, including management’s guidelines and policies around quarterly reporting. The Audit Committee is also responsible for monitoring compliance with legal and regulatory requirements, including our Related Person Transaction Policy, in addition to oversight of the performance of our internal audit function. The Audit Committee’s responsibilities also include primary responsibility to help the Board oversee the Company’s enterprise risk assessment and management policies, procedures and practices (including, together with assistance from the Technology Committee, those risks related to information security, cybersecurity and data protection), as well as review and determination of material commercial relationships and mergers, acquisitions or similar transactions that may have a material impact on the Company. The Nominating and Corporate Governance Committee is responsible for monitoring the effectiveness of our corporate governance guidelines, including whether they are successful in preventing illegal or improper liability-creating conduct. The Compensation Committee is responsible for assessing and monitoring whether any of our compensation policies and programs has the potential to encourage excessive risk-taking. The Technology Committee is responsible for oversight of the management of risks related to the Company’s technology, data, information security and tracking, and related matters, including disclosure of the Company’s key metrics and other operational data, together with assisting the Audit Committee with oversight of those risks related to information security, cybersecurity and data protection.</w:t>
      </w:r>
    </w:p>
    <w:p>
      <w:pPr>
        <w:spacing w:after="0" w:line="3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Board met seven times during 2023. All directors attended 75% or more of the aggregate number of meetings of the Board and of the committees on which they served, held during the portion of the last fiscal year for which they were a director or member.</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required under applicable Nasdaq listing standards, in 2023, the Company’s independent directors met six times in regularly scheduled executive sessions at which only independent directors were present.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Board established the Audit Committee, the Compensation Committee, the Nominating and Corporate Governance Committee and the Technology Committee. The Board adopted a charter for each of the committees, which complies with the applicable requirements of current Nasdaq rules and can be found at our website at ir.weedmaps.com. We intend to comply with future requirements to the extent they will be applicable to us. Copies of the charters for each committee are available on the investor relations portion of our website. The following table provides membership and meeting information for the year ended December 31, 2023 for each of the standing Board committees: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 Corporate</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0" w:type="dxa"/>
            <w:vAlign w:val="bottom"/>
          </w:tcPr>
          <w:p>
            <w:pPr>
              <w:spacing w:after="0"/>
              <w:rPr>
                <w:sz w:val="1"/>
                <w:szCs w:val="1"/>
                <w:color w:val="auto"/>
              </w:rPr>
            </w:pPr>
          </w:p>
        </w:tc>
      </w:tr>
      <w:tr>
        <w:trPr>
          <w:trHeight w:val="190"/>
        </w:trPr>
        <w:tc>
          <w:tcPr>
            <w:tcW w:w="474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50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Tony Aquila</w:t>
            </w:r>
          </w:p>
        </w:tc>
        <w:tc>
          <w:tcPr>
            <w:tcW w:w="4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X**</w:t>
            </w:r>
          </w:p>
        </w:tc>
        <w:tc>
          <w:tcPr>
            <w:tcW w:w="9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Anthony Bay</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Douglas Francis*</w:t>
            </w:r>
          </w:p>
        </w:tc>
        <w:tc>
          <w:tcPr>
            <w:tcW w:w="4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0" w:type="dxa"/>
            <w:vAlign w:val="bottom"/>
          </w:tcPr>
          <w:p>
            <w:pPr>
              <w:spacing w:after="0"/>
              <w:rPr>
                <w:sz w:val="1"/>
                <w:szCs w:val="1"/>
                <w:color w:val="auto"/>
              </w:rPr>
            </w:pPr>
          </w:p>
        </w:tc>
      </w:tr>
      <w:tr>
        <w:trPr>
          <w:trHeight w:val="27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Brenda Freeman</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X**</w:t>
            </w: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Olga Gonzalez</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8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Scott Gordon</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Fiona Tan</w:t>
            </w:r>
          </w:p>
        </w:tc>
        <w:tc>
          <w:tcPr>
            <w:tcW w:w="4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X</w:t>
            </w:r>
          </w:p>
        </w:tc>
        <w:tc>
          <w:tcPr>
            <w:tcW w:w="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7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Meetings in the year ended December 31, 2023</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8</w:t>
            </w:r>
          </w:p>
        </w:tc>
        <w:tc>
          <w:tcPr>
            <w:tcW w:w="24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260" w:type="dxa"/>
            <w:vAlign w:val="bottom"/>
          </w:tcPr>
          <w:p>
            <w:pPr>
              <w:spacing w:after="0"/>
              <w:rPr>
                <w:sz w:val="23"/>
                <w:szCs w:val="23"/>
                <w:color w:val="auto"/>
              </w:rPr>
            </w:pPr>
          </w:p>
        </w:tc>
        <w:tc>
          <w:tcPr>
            <w:tcW w:w="920" w:type="dxa"/>
            <w:vAlign w:val="bottom"/>
          </w:tcPr>
          <w:p>
            <w:pPr>
              <w:jc w:val="right"/>
              <w:ind w:right="339"/>
              <w:spacing w:after="0"/>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-1628140</wp:posOffset>
            </wp:positionV>
            <wp:extent cx="15430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-1628140</wp:posOffset>
            </wp:positionV>
            <wp:extent cx="15430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-1628140</wp:posOffset>
            </wp:positionV>
            <wp:extent cx="15430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-1628140</wp:posOffset>
            </wp:positionV>
            <wp:extent cx="15430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08" w:lineRule="exact"/>
        <w:rPr>
          <w:sz w:val="20"/>
          <w:szCs w:val="20"/>
          <w:color w:val="auto"/>
        </w:rPr>
      </w:pPr>
    </w:p>
    <w:p>
      <w:pPr>
        <w:ind w:left="640" w:hanging="348"/>
        <w:spacing w:after="0"/>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Chair</w:t>
      </w:r>
    </w:p>
    <w:p>
      <w:pPr>
        <w:spacing w:after="0" w:line="42" w:lineRule="exact"/>
        <w:rPr>
          <w:sz w:val="20"/>
          <w:szCs w:val="20"/>
          <w:color w:val="auto"/>
        </w:rPr>
      </w:pPr>
    </w:p>
    <w:p>
      <w:pPr>
        <w:ind w:left="640" w:hanging="348"/>
        <w:spacing w:after="0"/>
        <w:tabs>
          <w:tab w:leader="none" w:pos="6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Chairperson</w:t>
      </w:r>
    </w:p>
    <w:p>
      <w:pPr>
        <w:spacing w:after="0" w:line="10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Below is a description of each standing committee of the Board. 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 each member is free of any relationship that would impair his or her individual exercise of independent judgment with regard to 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Audit Committee consists of Mses. Gonzalez and Freeman and Messrs. Bay and Gordon. The Board has determined that each of the members of the Audit Committee satisfy the independence requirements of Rule 5605(c)</w:t>
      </w: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(2)(A)(i) and (ii) of the Nasdaq listing standards and Rule 10A-3 under the Exchange Act. Each member of the Audit Committee can read and understand fundamental financial statements in accordance with Nasdaq audit committee requirements. In arriving at this determination, the Board examined each Audit Committee member’s scope of experience and the nature of their prior and/or current employment.</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named Ms. Gonzalez as the Chairperson of the Audit Committee. The Board determined that Ms. Gonzalez and Mr. Bay qualify as audit committee financial experts within the meaning of SEC regulations and meets the financial sophistication requirements of Nasdaq listing rules. In making this determination, the Board considered Ms. Gonzalez’s formal education and previous experience in financial roles. Both our independent registered public accounting firm and management periodically will meet privately with our Audit Committee. The Audit Committee met eight times during 2023.</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this committee include, among other things,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hiring, discharging and compensation of our independent registered public accounting firm; oversee the work of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engagements of the independent registered public accounting firm to render any audit or permissible non-audit services;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qualifications, independence and performance of the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financial statements and review our critical accounting policies and estimates;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related party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adequacy and effectiveness of our internal controls;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registered public accounting firm the results of our annual audit, our quarterly financial statements and our publicly filed reports, and resolve disagreements that may arise from time to time between the independent registered public accounting firm and management.</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Compensation Committee consists of Messrs. Aquila, Bay and Gordon. We named Mr. Aquila as the Chairperson of the Compensation Committee. The Board has determined that each of the members of the Compensation Committee is a non-employee director, as defined in Rule 16b-3 promulgated under the Exchange Act and satisfies the independence requirements of Rule 5605(d)(2) of the Nasdaq listing standards. The Compensation Committee met nine times during 2023.</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the Compensation Committee include, among other things, to:</w:t>
      </w:r>
    </w:p>
    <w:p>
      <w:pPr>
        <w:spacing w:after="0" w:line="117" w:lineRule="exact"/>
        <w:rPr>
          <w:sz w:val="20"/>
          <w:szCs w:val="20"/>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policies relating to compensation and benefits of our officers and employees;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corporate goals and objectives relevant to compensation of our chief executive officer and other senior officers;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our officers in light of established goals and objectives;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compensation of our officers based on its evaluations;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issuance of stock options and other awards under our stock plans.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Processes and Procedures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Compensation Committee has quarterly meetings scheduled, and meets with greater frequency if necessary. The agenda for each meeting is usually developed by the Chairperson of the Compensation Committee, in consultation with the General Counsel. The Compensation Committee meets as necessary in executive session. However, from time to time, the Compensation Committee may invite to its meetings any director, officer or employee of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Company and such other persons as it deems appropriate in order to carry out its responsibilities. The Chief Executive Officer may not participate in, or be present during, any deliberations or determinations of the Compensation Committee regarding his compensation or performance. In addition, under its charter, the Compensation Committee has the authority to obtain, at the expense of the Company, advice and assistance from compensation consultants and internal and external legal or other advisors and other external resources that the Compensation Committee considers necessary or appropriate in the performance of its duties. The Compensation Committee has direct responsibility for the compensation and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adviser to the Compensation Committee, other than in-house legal counsel and certain other types of advisers, only after taking into consideration factors prescribed by the SEC and Nasdaq, that bear upon the adviser’s independence; however, there is no requirement that any adviser be independent.</w:t>
      </w:r>
    </w:p>
    <w:p>
      <w:pPr>
        <w:spacing w:after="0" w:line="8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those factors prescribed by the SEC and Nasdaq, the Compensation Committee engaged Compensia, Inc. (“Compensia”) as compensation consultants.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During the year ended December 31, 2023, Compensia provided the following services:</w:t>
      </w:r>
    </w:p>
    <w:p>
      <w:pPr>
        <w:spacing w:after="0" w:line="117" w:lineRule="exact"/>
        <w:rPr>
          <w:sz w:val="20"/>
          <w:szCs w:val="20"/>
          <w:color w:val="auto"/>
        </w:rPr>
      </w:pPr>
    </w:p>
    <w:p>
      <w:pPr>
        <w:ind w:left="1000" w:right="319" w:hanging="348"/>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Discussion and Analysis drafting and review for the Proxy Statement for the 2023 Annual Meeting;</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assisted the Compensation Committee in refreshing our compensation peer group;</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competitive market data based on the compensation peer group for our executive officer positions, and evaluated how the compensation we pay our executive officers compares both to our performance and to how the companies in our compensation peer group and broader technology industry compensate their executives; and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guidance on other compensation topics including clawback programs, equity design and programs, burn rates and overhang levels, and ad hoc market data and practices.</w:t>
      </w:r>
    </w:p>
    <w:p>
      <w:pPr>
        <w:spacing w:after="0" w:line="5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Per its charter, the Compensation Committee is responsible for reviewing and approving most of the significant adjustments to annual compensation, and determines base salary, bonus and equity awards for all Named Executive Officers at one or more meetings scheduled to be held during the first quarter of its fiscal year. However,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The Compensation Committee recommends to the independent members of the Board for determination and approval the compensation and other terms of employment of our Chief Executive Officer and evaluates the Chief Executive Officer’s performance in light of relevant corporate performance goals and objectives. For all Named Executive Officers and non-employee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our executive officers in various hypothetical scenarios, executive officer and non-employee director stock ownership information, our stock performance data, analyses of historical executive compensation levels and current Company-wide compensation levels and recommendations of the Compensation Committee’s compensation consultant, including analyses of executive and non-employee director compensation paid at other companies identified by the consultant.</w:t>
      </w:r>
    </w:p>
    <w:p>
      <w:pPr>
        <w:spacing w:after="0" w:line="8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Compensation Committee has evaluated its relationship with Compensia to ensure that it believes that such firm is independent from management. This review process included a review of the services that such compensation consultant provided, the quality of those services and the fees associated with the services provided during 2023. Based on this review, as well as consideration of the factors affecting independence set forth in Exchange Act Rule 10C-1(b)(4), Rule 5605(d)(3)(D) of the Nasdaq rules, and such other factors as were deemed relevant under the circumstances, the Compensation Committee has determined that no conflict of interest was raised as a result of the work performed by Compensia.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Mses. Tan and Freeman. Ms. Freeman serves as the Chairperson of the Nominating and Corporate Governance Committee. The Board has determined that each of the members of the Nominating and Corporate Governance Committee satisfies the independence requirements of Nasdaq. The Nominating and Corporate Governance Committee met three times during 2023.</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the Nominating and Corporate Governance Committee include, among other things,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make recommendations regarding the organization and governance of the Board and its committees;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performance of members of the Board and make recommendations regarding committee and chairperson assignments;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desired qualifications for Board membership and conduct searches for potential members of the Board;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with regard to our corporate governance guidelines.</w:t>
      </w:r>
    </w:p>
    <w:p>
      <w:pPr>
        <w:spacing w:after="0" w:line="11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self-evaluation, conducted annually on a group and individual basis and every three years, conducted with an outside consultant.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In the year ended December 31, 2023, the Nominating and Corporate Governance Committee did not pay any fees to third parties to assist in the process of identifying or evaluating director candidates.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At this time, the Nominating and Corporate Governance Committee does not have a policy with regard to the consideration of director candidates recommended by stockholders. The Nominating and Corporate Governance Committee believes that it is in the best position to identify, review, evaluate and select qualified candidates for Board membership, based on the comprehensive criteria for Board membership approved by the Board.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Technology Committee</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Technology Committee consists of Ms. Tan and Mr. Francis. Ms. Tan serves as the Chairperson of the Technology Committee. The Technology Committee met four times during 2023.</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the Technology Committee include, among other things,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make recommendations regarding our major technology developments, technology related systems and architecture;</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formulation, definition, tracking, retention and reporting of our key metrics, performance indicators and other operational data, and help ensure effective internal and disclosure controls related to such data;</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guidance regarding significant emerging technology issues and trends that may affect our business and strategies;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provide guidance regarding our technology risk management, including our policies and procedures with respect to technology and its uses including cybersecurity, reporting and data system management.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relationship with our stockholders is an important part of our corporate governance program. Engaging with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includes investor road shows, analyst meetings, and investor conferences and meetings. We also communicate with stockholders and other stakeholders through various media, including our annual report and SEC filings, proxy statement, news releases and our website. Our webcasts for quarterly earnings releases are open to all. These webcasts are available in real time and are archived on our website for a period of time.</w:t>
      </w:r>
    </w:p>
    <w:p>
      <w:pPr>
        <w:spacing w:after="0" w:line="8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have not adopted a formal process for stockholder communications with the Board. Nevertheless, every effort has been made to ensure that the views of stockholders are heard by the Board or individual directors, as applicable, and that appropriate responses are provided to stockholders in a timely manner. We believe our responsiveness to stockholder communications to the Board has been excellent and therefore a formal process is not necessary.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Board adopted a Code of Conduct (the “Code of Conduct”), applicable to all of our employees, executive officers and directors. The Code of Conduct is available on our website at ir.weedmaps.com. The nominating and corporate governance committee of the Board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Board has documented our governance practices by adopting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board meetings and involvement of senior management, principal executive officer performance evaluation and succession planning, and board committees and compensation. Our Corporate Governance Guidelines, as well as the charters for each committee of the Board, may be viewed at ir.weedmaps.com.</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Hedging and Pledging Policy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part of 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under Item 10 of Regulation S-K promulgated under the Exchange Act and the following compensation disclosure is intended to comply with the requirements applicable to smaller reporting companies. Although the rules allow us to provide less detail about our executive compensation program than companies that are not smaller reporting companies, our Compensation Committee is committed to providing the information necessary to help shareholders understand its executive compensation-related decisions. Accordingly, this section includes supplemental narratives that describe our 2023 compensation program for our Named Executive Officers.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Named Executive Officers for the year ended December 31, 2023, are:</w:t>
      </w:r>
    </w:p>
    <w:p>
      <w:pPr>
        <w:spacing w:after="0" w:line="117" w:lineRule="exact"/>
        <w:rPr>
          <w:sz w:val="20"/>
          <w:szCs w:val="20"/>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Francis, our principal executive officer and Executive Chair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Camire, our General Counsel and Secretary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Duncan Grazier, our Chief Technology Officer</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Relationship Between Pay and Performance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our executive compensation program is reasonable, competitive, and appropriately balances the goals of attracting, motivating, rewarding, and retaining our Named Executive Officers and of aligning their interests with those of our stockholders. To ensure this alignment and to motivate and reward individual initiative and effort, we seek to ensure that a meaningful portion of our Named Executive Officers’ target annual total direct compensation opportunity is both variable in nature and “at-risk.”</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emphasize variable compensation that appropriately rewards our Named Executive Officers through two separate compensation elements:</w:t>
      </w:r>
    </w:p>
    <w:p>
      <w:pPr>
        <w:spacing w:after="0" w:line="54" w:lineRule="exact"/>
        <w:rPr>
          <w:sz w:val="20"/>
          <w:szCs w:val="20"/>
          <w:color w:val="auto"/>
        </w:rPr>
      </w:pPr>
    </w:p>
    <w:p>
      <w:pPr>
        <w:jc w:val="both"/>
        <w:ind w:left="1000" w:right="299" w:hanging="348"/>
        <w:spacing w:after="0" w:line="258"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adopted a formal cash bonus plan for 2023 that provides our Named Executive Officers (other than Mr. Francis) with the opportunity to earn cash bonus payments if we produce short-term financial, operational, and strategic results that meet or exceed pre-established corporate performance goals and does not include the evaluation of any individual contributions in achieving those goals.</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grant time-based RSU awards, and have in the past granted performance-based RSU (PRSU) awards, that may be earned or vest and settled for shares of our Class A Common Stock, which in the aggregate comprise a majority of our Named Executive Officers’ target annual total direct compensation opportunities. The value of these equity awards depends entirely on the value of our Class A Common Stock, thereby incentivizing our Named Executive Officers to build sustainable long-term value for the benefit of our stockholders.</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These variable pay elements ensure that, each year, a substantial portion of our Named Executive Officers’ target total direct compensation is contingent in nature, rather than fixed, with the amounts ultimately payable subject to variability above or below target levels commensurate with our actual performance.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2023, approximately 33%, on average, of Mr. Camire’s and Mr. Grazier’s target total direct compensation consisted of variable, “at-risk” compensation. Mr. Francis’ 2023 compensation was solely as set forth in his offer letter of August 15, 2023, and did not include a target cash bonus opportunity or equity award. For additional information, see “— Executive Employment Arrangements” below.</w:t>
      </w:r>
    </w:p>
    <w:p>
      <w:pPr>
        <w:spacing w:after="0" w:line="72"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We believe that this design provides balanced incentives for our Named Executive Officers to execute our operational objectives and drive long-term growth. To ensure that we remain faithful to our compensation philosophy, the Compensation Committee intends to regularly evaluate the relationship between the reported values of the equity awards granted to our Named Executive Officers, the amount of compensation realizable (and, ultimately, realized) from such awards in subsequent years, and our performance over this period.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Policies and Practices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endeavor to maintain sound corporate governance standards consistent with our executive compensation policies and practices. The Compensation Committee reviews our executive compensation program on an annual basis to ensure consistency with our short-term and long-term goals given the dynamic nature of our business and the market in which we compete for executive talent. The following summarizes our executive compensation-related policies and practices that were in effect during 2023:</w:t>
      </w:r>
    </w:p>
    <w:p>
      <w:pPr>
        <w:sectPr>
          <w:pgSz w:w="11900" w:h="16838" w:orient="portrait"/>
          <w:cols w:equalWidth="0" w:num="1">
            <w:col w:w="9019"/>
          </w:cols>
          <w:pgMar w:left="1440" w:top="263" w:right="1440" w:bottom="1440" w:gutter="0" w:footer="0" w:header="0"/>
        </w:sectPr>
      </w:pPr>
    </w:p>
    <w:p>
      <w:pPr>
        <w:spacing w:after="0" w:line="218"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26142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20" w:lineRule="exact"/>
        <w:rPr>
          <w:sz w:val="20"/>
          <w:szCs w:val="20"/>
          <w:color w:val="auto"/>
        </w:rPr>
      </w:pPr>
    </w:p>
    <w:p>
      <w:pPr>
        <w:ind w:left="600" w:right="40" w:hanging="308"/>
        <w:spacing w:after="0" w:line="255" w:lineRule="auto"/>
        <w:tabs>
          <w:tab w:leader="none" w:pos="6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 Independent Compensation Committee. </w:t>
      </w:r>
      <w:r>
        <w:rPr>
          <w:rFonts w:ascii="Times New Roman" w:cs="Times New Roman" w:eastAsia="Times New Roman" w:hAnsi="Times New Roman"/>
          <w:sz w:val="18"/>
          <w:szCs w:val="18"/>
          <w:color w:val="auto"/>
        </w:rPr>
        <w:t>The Compensation Committee is comprised solely of independent directors who determine our compensation policies and practices and who have established effective means for communicating with our stockholders regarding their executive compensation views and concerns, as described in this prospectus.</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600" w:hanging="308"/>
        <w:spacing w:after="0" w:line="256" w:lineRule="auto"/>
        <w:tabs>
          <w:tab w:leader="none" w:pos="6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Retain an Independent Compensation Consultant.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Compensation Committee engaged its own compensation consultant to provide information, analysis, and other advice on compensation matters independent of management. This compensation consultant performed no other services for us during 2023.</w:t>
      </w:r>
    </w:p>
    <w:p>
      <w:pPr>
        <w:spacing w:after="0" w:line="74" w:lineRule="exact"/>
        <w:rPr>
          <w:rFonts w:ascii="Times New Roman" w:cs="Times New Roman" w:eastAsia="Times New Roman" w:hAnsi="Times New Roman"/>
          <w:sz w:val="18"/>
          <w:szCs w:val="18"/>
          <w:color w:val="auto"/>
        </w:rPr>
      </w:pPr>
    </w:p>
    <w:p>
      <w:pPr>
        <w:ind w:left="600" w:right="20" w:hanging="308"/>
        <w:spacing w:after="0" w:line="257" w:lineRule="auto"/>
        <w:tabs>
          <w:tab w:leader="none" w:pos="6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Executive Compensation Review.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reviews and approves our compensation strategy and policies planned to be done annually, including review and approval of the 2023 short-term incentive plan for executive officers.</w:t>
      </w:r>
    </w:p>
    <w:p>
      <w:pPr>
        <w:spacing w:after="0" w:line="74" w:lineRule="exact"/>
        <w:rPr>
          <w:rFonts w:ascii="Times New Roman" w:cs="Times New Roman" w:eastAsia="Times New Roman" w:hAnsi="Times New Roman"/>
          <w:sz w:val="18"/>
          <w:szCs w:val="18"/>
          <w:color w:val="auto"/>
        </w:rPr>
      </w:pPr>
    </w:p>
    <w:p>
      <w:pPr>
        <w:ind w:left="600" w:right="40" w:hanging="308"/>
        <w:spacing w:after="0" w:line="255" w:lineRule="auto"/>
        <w:tabs>
          <w:tab w:leader="none" w:pos="6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“At-Risk.” </w:t>
      </w:r>
      <w:r>
        <w:rPr>
          <w:rFonts w:ascii="Times New Roman" w:cs="Times New Roman" w:eastAsia="Times New Roman" w:hAnsi="Times New Roman"/>
          <w:sz w:val="18"/>
          <w:szCs w:val="18"/>
          <w:color w:val="auto"/>
        </w:rPr>
        <w:t>Other than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for Mr. Francis, our executive compensation program is designed so that a meaningful portion of our Named Executive Officers’ target annual total direct compensation is “at-risk” based on corporate performance, as well as equity-based, to align the interests of our Named Executive Officers and stockholders.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0" w:lineRule="exact"/>
        <w:rPr>
          <w:rFonts w:ascii="Times New Roman" w:cs="Times New Roman" w:eastAsia="Times New Roman" w:hAnsi="Times New Roman"/>
          <w:sz w:val="18"/>
          <w:szCs w:val="18"/>
          <w:color w:val="auto"/>
        </w:rPr>
      </w:pPr>
    </w:p>
    <w:p>
      <w:pPr>
        <w:ind w:left="600" w:hanging="308"/>
        <w:spacing w:after="0" w:line="258" w:lineRule="auto"/>
        <w:tabs>
          <w:tab w:leader="none" w:pos="6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“Pay-for-Performance” Philosophy.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our Named Executive Officers’ target annual total direct compensation, other than for Mr. Francis, is directly linked to our financial results and our stock price performance.</w:t>
      </w:r>
    </w:p>
    <w:p>
      <w:pPr>
        <w:spacing w:after="0" w:line="75" w:lineRule="exact"/>
        <w:rPr>
          <w:rFonts w:ascii="Times New Roman" w:cs="Times New Roman" w:eastAsia="Times New Roman" w:hAnsi="Times New Roman"/>
          <w:sz w:val="18"/>
          <w:szCs w:val="18"/>
          <w:color w:val="auto"/>
        </w:rPr>
      </w:pPr>
    </w:p>
    <w:p>
      <w:pPr>
        <w:ind w:left="600" w:hanging="308"/>
        <w:spacing w:after="0" w:line="258" w:lineRule="auto"/>
        <w:tabs>
          <w:tab w:leader="none" w:pos="6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Multi-Year Vesting Requirements. </w:t>
      </w:r>
      <w:r>
        <w:rPr>
          <w:rFonts w:ascii="Times New Roman" w:cs="Times New Roman" w:eastAsia="Times New Roman" w:hAnsi="Times New Roman"/>
          <w:sz w:val="18"/>
          <w:szCs w:val="18"/>
          <w:color w:val="auto"/>
        </w:rPr>
        <w:t>The annual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granted to our Named Executive Officers are earned and/or vest over multi-year periods, consistent with current market practice and our retention objectives.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305"/>
        <w:spacing w:after="0"/>
        <w:rPr>
          <w:sz w:val="20"/>
          <w:szCs w:val="20"/>
          <w:color w:val="auto"/>
        </w:rPr>
      </w:pPr>
      <w:r>
        <w:rPr>
          <w:rFonts w:ascii="Times New Roman" w:cs="Times New Roman" w:eastAsia="Times New Roman" w:hAnsi="Times New Roman"/>
          <w:sz w:val="14"/>
          <w:szCs w:val="14"/>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25971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20" w:lineRule="exact"/>
        <w:rPr>
          <w:sz w:val="20"/>
          <w:szCs w:val="20"/>
          <w:color w:val="auto"/>
        </w:rPr>
      </w:pPr>
    </w:p>
    <w:p>
      <w:pPr>
        <w:ind w:left="295" w:right="359" w:hanging="295"/>
        <w:spacing w:after="0" w:line="254" w:lineRule="auto"/>
        <w:tabs>
          <w:tab w:leader="none" w:pos="2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Executive Officer Retirement Plans. </w:t>
      </w:r>
      <w:r>
        <w:rPr>
          <w:rFonts w:ascii="Times New Roman" w:cs="Times New Roman" w:eastAsia="Times New Roman" w:hAnsi="Times New Roman"/>
          <w:sz w:val="18"/>
          <w:szCs w:val="18"/>
          <w:color w:val="auto"/>
        </w:rPr>
        <w:t>We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offer, nor do we have plans to offer, defined benefit pension plans or any non-qualified deferred compensation plans or arrangements to our Named Executive Officers other than the plans and arrangements that are available to all our other employees. Our Named Executive Officers are eligible to participate in our Section 401(k) retirement savings plan on the same basis as our other employees.</w:t>
      </w:r>
    </w:p>
    <w:p>
      <w:pPr>
        <w:spacing w:after="0" w:line="77" w:lineRule="exact"/>
        <w:rPr>
          <w:rFonts w:ascii="Times New Roman" w:cs="Times New Roman" w:eastAsia="Times New Roman" w:hAnsi="Times New Roman"/>
          <w:sz w:val="18"/>
          <w:szCs w:val="18"/>
          <w:color w:val="auto"/>
        </w:rPr>
      </w:pPr>
    </w:p>
    <w:p>
      <w:pPr>
        <w:ind w:left="295" w:right="359" w:hanging="295"/>
        <w:spacing w:after="0" w:line="256" w:lineRule="auto"/>
        <w:tabs>
          <w:tab w:leader="none" w:pos="2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Limited Executive Officer Perquisites. </w:t>
      </w:r>
      <w:r>
        <w:rPr>
          <w:rFonts w:ascii="Times New Roman" w:cs="Times New Roman" w:eastAsia="Times New Roman" w:hAnsi="Times New Roman"/>
          <w:sz w:val="18"/>
          <w:szCs w:val="18"/>
          <w:color w:val="auto"/>
        </w:rPr>
        <w:t>We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benefits to our Named Executive Officers on the same basis as provided to all of our employees, including health, dental and vision insurance; accidental death and dismemberment insurance; disability insurance; and a tax-qualified Section 401(k) plan.</w:t>
      </w:r>
    </w:p>
    <w:p>
      <w:pPr>
        <w:spacing w:after="0" w:line="74" w:lineRule="exact"/>
        <w:rPr>
          <w:rFonts w:ascii="Times New Roman" w:cs="Times New Roman" w:eastAsia="Times New Roman" w:hAnsi="Times New Roman"/>
          <w:sz w:val="18"/>
          <w:szCs w:val="18"/>
          <w:color w:val="auto"/>
        </w:rPr>
      </w:pPr>
    </w:p>
    <w:p>
      <w:pPr>
        <w:ind w:left="295" w:right="319" w:hanging="295"/>
        <w:spacing w:after="0" w:line="258" w:lineRule="auto"/>
        <w:tabs>
          <w:tab w:leader="none" w:pos="2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Tax Payments on Change-in-Control Arrangements. </w:t>
      </w:r>
      <w:r>
        <w:rPr>
          <w:rFonts w:ascii="Times New Roman" w:cs="Times New Roman" w:eastAsia="Times New Roman" w:hAnsi="Times New Roman"/>
          <w:sz w:val="18"/>
          <w:szCs w:val="18"/>
          <w:color w:val="auto"/>
        </w:rPr>
        <w:t>We do not provide any excise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 payments (including “gross-ups”) on payments or benefits that are contingent upon a change-in-control of the Company.</w:t>
      </w:r>
    </w:p>
    <w:p>
      <w:pPr>
        <w:spacing w:after="0" w:line="291" w:lineRule="exact"/>
        <w:rPr>
          <w:rFonts w:ascii="Times New Roman" w:cs="Times New Roman" w:eastAsia="Times New Roman" w:hAnsi="Times New Roman"/>
          <w:sz w:val="18"/>
          <w:szCs w:val="18"/>
          <w:color w:val="auto"/>
        </w:rPr>
      </w:pPr>
    </w:p>
    <w:p>
      <w:pPr>
        <w:ind w:left="295" w:right="319" w:hanging="295"/>
        <w:spacing w:after="0" w:line="253" w:lineRule="auto"/>
        <w:tabs>
          <w:tab w:leader="none" w:pos="2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Hedging or Pledging of our Securities. </w:t>
      </w:r>
      <w:r>
        <w:rPr>
          <w:rFonts w:ascii="Times New Roman" w:cs="Times New Roman" w:eastAsia="Times New Roman" w:hAnsi="Times New Roman"/>
          <w:sz w:val="18"/>
          <w:szCs w:val="18"/>
          <w:color w:val="auto"/>
        </w:rPr>
        <w:t>As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2582" w:lineRule="exact"/>
        <w:rPr>
          <w:sz w:val="20"/>
          <w:szCs w:val="20"/>
          <w:color w:val="auto"/>
        </w:rPr>
      </w:pPr>
    </w:p>
    <w:p>
      <w:pPr>
        <w:sectPr>
          <w:pgSz w:w="11900" w:h="16838" w:orient="portrait"/>
          <w:cols w:equalWidth="0" w:num="2">
            <w:col w:w="4400" w:space="225"/>
            <w:col w:w="4394"/>
          </w:cols>
          <w:pgMar w:left="1440" w:top="263" w:right="1440" w:bottom="1440" w:gutter="0" w:footer="0" w:header="0"/>
          <w:type w:val="continuous"/>
        </w:sectPr>
      </w:pP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1860"/>
        <w:spacing w:after="0"/>
        <w:tabs>
          <w:tab w:leader="none" w:pos="5920" w:val="left"/>
        </w:tabs>
        <w:rPr>
          <w:sz w:val="20"/>
          <w:szCs w:val="20"/>
          <w:color w:val="auto"/>
        </w:rPr>
      </w:pPr>
      <w:r>
        <w:rPr>
          <w:rFonts w:ascii="Times New Roman" w:cs="Times New Roman" w:eastAsia="Times New Roman" w:hAnsi="Times New Roman"/>
          <w:sz w:val="14"/>
          <w:szCs w:val="14"/>
          <w:b w:val="1"/>
          <w:bCs w:val="1"/>
          <w:color w:val="auto"/>
        </w:rPr>
        <w:t>WHAT WE DO</w:t>
      </w:r>
      <w:r>
        <w:rPr>
          <w:sz w:val="20"/>
          <w:szCs w:val="20"/>
          <w:color w:val="auto"/>
        </w:rPr>
        <w:tab/>
      </w:r>
      <w:r>
        <w:rPr>
          <w:rFonts w:ascii="Times New Roman" w:cs="Times New Roman" w:eastAsia="Times New Roman" w:hAnsi="Times New Roman"/>
          <w:sz w:val="14"/>
          <w:szCs w:val="14"/>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534924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20" w:lineRule="exact"/>
        <w:rPr>
          <w:sz w:val="20"/>
          <w:szCs w:val="20"/>
          <w:color w:val="auto"/>
        </w:rPr>
      </w:pPr>
    </w:p>
    <w:p>
      <w:pPr>
        <w:ind w:left="600" w:right="4659" w:hanging="308"/>
        <w:spacing w:after="0" w:line="253" w:lineRule="auto"/>
        <w:tabs>
          <w:tab w:leader="none" w:pos="6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 “Double-Trigger” Change-in-Control Arrangements. </w:t>
      </w:r>
      <w:r>
        <w:rPr>
          <w:rFonts w:ascii="Times New Roman" w:cs="Times New Roman" w:eastAsia="Times New Roman" w:hAnsi="Times New Roman"/>
          <w:sz w:val="18"/>
          <w:szCs w:val="18"/>
          <w:color w:val="auto"/>
        </w:rPr>
        <w:t>Our Named Executive Officers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Mr. Francis are eligible to participate in the Severance and Change in Control Plan, which provides certain payments and other benefits in the event of an involuntary termination of employment in connection with a change-in-control of the Company. These “double-trigger” arrangements require both a change-in-control of the Company plus a qualifying termination of employment before payments and benefits are paid. In addition, all such payments and benefits are subject to the execution and delivery of an effective general waiver and release of claims in favor of the Company.</w:t>
      </w:r>
    </w:p>
    <w:p>
      <w:pPr>
        <w:spacing w:after="0" w:line="77" w:lineRule="exact"/>
        <w:rPr>
          <w:rFonts w:ascii="Times New Roman" w:cs="Times New Roman" w:eastAsia="Times New Roman" w:hAnsi="Times New Roman"/>
          <w:sz w:val="18"/>
          <w:szCs w:val="18"/>
          <w:color w:val="auto"/>
        </w:rPr>
      </w:pPr>
    </w:p>
    <w:p>
      <w:pPr>
        <w:ind w:left="600" w:right="4639" w:hanging="308"/>
        <w:spacing w:after="0" w:line="258" w:lineRule="auto"/>
        <w:tabs>
          <w:tab w:leader="none" w:pos="6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Only Broad-Based Health and Welfare Benefits.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Executive Officers participate in broad-based Company-sponsored health and welfare benefit programs on the same basis as our other employees.</w:t>
      </w:r>
    </w:p>
    <w:p>
      <w:pPr>
        <w:spacing w:after="0" w:line="75" w:lineRule="exact"/>
        <w:rPr>
          <w:rFonts w:ascii="Times New Roman" w:cs="Times New Roman" w:eastAsia="Times New Roman" w:hAnsi="Times New Roman"/>
          <w:sz w:val="18"/>
          <w:szCs w:val="18"/>
          <w:color w:val="auto"/>
        </w:rPr>
      </w:pPr>
    </w:p>
    <w:p>
      <w:pPr>
        <w:ind w:left="600" w:right="4859" w:hanging="308"/>
        <w:spacing w:after="0" w:line="290" w:lineRule="auto"/>
        <w:tabs>
          <w:tab w:leader="none" w:pos="6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Clawback Policy. </w:t>
      </w:r>
      <w:r>
        <w:rPr>
          <w:rFonts w:ascii="Times New Roman" w:cs="Times New Roman" w:eastAsia="Times New Roman" w:hAnsi="Times New Roman"/>
          <w:sz w:val="17"/>
          <w:szCs w:val="17"/>
          <w:color w:val="auto"/>
        </w:rPr>
        <w:t>We require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recoupment with respect to our executive officers pursuant to the terms of our clawback policy.</w:t>
      </w:r>
    </w:p>
    <w:p>
      <w:pPr>
        <w:spacing w:after="0" w:line="47" w:lineRule="exact"/>
        <w:rPr>
          <w:rFonts w:ascii="Times New Roman" w:cs="Times New Roman" w:eastAsia="Times New Roman" w:hAnsi="Times New Roman"/>
          <w:sz w:val="17"/>
          <w:szCs w:val="17"/>
          <w:color w:val="auto"/>
        </w:rPr>
      </w:pPr>
    </w:p>
    <w:p>
      <w:pPr>
        <w:ind w:left="600" w:right="4619" w:hanging="308"/>
        <w:spacing w:after="0" w:line="267" w:lineRule="auto"/>
        <w:tabs>
          <w:tab w:leader="none" w:pos="6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Succession Planning. </w:t>
      </w:r>
      <w:r>
        <w:rPr>
          <w:rFonts w:ascii="Times New Roman" w:cs="Times New Roman" w:eastAsia="Times New Roman" w:hAnsi="Times New Roman"/>
          <w:sz w:val="18"/>
          <w:szCs w:val="18"/>
          <w:color w:val="auto"/>
        </w:rPr>
        <w:t>We review the risks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key executive officer positions to ensure adequate succession plans are in place.</w:t>
      </w: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designed to achieve our ambitious goals by attracting, motivating, and retaining talented, deeply qualified, and committed individuals who believe in our mission, while rewarding them for long-term value creation. Specifically, our compensation philosophy is as follows:</w:t>
      </w:r>
    </w:p>
    <w:p>
      <w:pPr>
        <w:spacing w:after="0" w:line="64" w:lineRule="exact"/>
        <w:rPr>
          <w:sz w:val="20"/>
          <w:szCs w:val="20"/>
          <w:color w:val="auto"/>
        </w:rPr>
      </w:pPr>
    </w:p>
    <w:p>
      <w:pPr>
        <w:ind w:left="1000" w:right="319" w:hanging="348"/>
        <w:spacing w:after="0" w:line="286"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Attract Top Talent </w:t>
      </w:r>
      <w:r>
        <w:rPr>
          <w:rFonts w:ascii="Times New Roman" w:cs="Times New Roman" w:eastAsia="Times New Roman" w:hAnsi="Times New Roman"/>
          <w:sz w:val="18"/>
          <w:szCs w:val="18"/>
          <w:color w:val="auto"/>
        </w:rPr>
        <w:t>– Given the nature of our business and our long-term financial and strategic objectives,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must compete with other top technology companies for talent to build and grow our Company;</w:t>
      </w:r>
    </w:p>
    <w:p>
      <w:pPr>
        <w:spacing w:after="0" w:line="46" w:lineRule="exact"/>
        <w:rPr>
          <w:rFonts w:ascii="Times New Roman" w:cs="Times New Roman" w:eastAsia="Times New Roman" w:hAnsi="Times New Roman"/>
          <w:sz w:val="18"/>
          <w:szCs w:val="18"/>
          <w:color w:val="auto"/>
        </w:rPr>
      </w:pPr>
    </w:p>
    <w:p>
      <w:pPr>
        <w:jc w:val="both"/>
        <w:ind w:left="1000" w:right="319" w:hanging="348"/>
        <w:spacing w:after="0" w:line="262"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 and Maintain a Performance-Based Culture </w:t>
      </w:r>
      <w:r>
        <w:rPr>
          <w:rFonts w:ascii="Times New Roman" w:cs="Times New Roman" w:eastAsia="Times New Roman" w:hAnsi="Times New Roman"/>
          <w:sz w:val="18"/>
          <w:szCs w:val="18"/>
          <w:color w:val="auto"/>
        </w:rPr>
        <w:t>– To be successful in a highly competitive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talent, we must create consistency through a compensation program that motivates exceptional performance by expanding the reach of our employees’ incentives so that they may share in the success of our business with our stockholders; and</w:t>
      </w:r>
    </w:p>
    <w:p>
      <w:pPr>
        <w:spacing w:after="0" w:line="68" w:lineRule="exact"/>
        <w:rPr>
          <w:rFonts w:ascii="Times New Roman" w:cs="Times New Roman" w:eastAsia="Times New Roman" w:hAnsi="Times New Roman"/>
          <w:sz w:val="18"/>
          <w:szCs w:val="18"/>
          <w:color w:val="auto"/>
        </w:rPr>
      </w:pPr>
    </w:p>
    <w:p>
      <w:pPr>
        <w:jc w:val="both"/>
        <w:ind w:left="1000" w:right="299" w:hanging="348"/>
        <w:spacing w:after="0" w:line="268"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Retain Exceptional Employees </w:t>
      </w:r>
      <w:r>
        <w:rPr>
          <w:rFonts w:ascii="Times New Roman" w:cs="Times New Roman" w:eastAsia="Times New Roman" w:hAnsi="Times New Roman"/>
          <w:sz w:val="18"/>
          <w:szCs w:val="18"/>
          <w:color w:val="auto"/>
        </w:rPr>
        <w:t>– To ensure that we can meet our objectives, we must foster a culture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instills a sense of commitment to the organization and each other while, at the same time, recognizing and rewarding individual contributions and impact.</w:t>
      </w:r>
    </w:p>
    <w:p>
      <w:pPr>
        <w:spacing w:after="0" w:line="6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 critical priority is to promote a long-term commitment to the Company by our Named Executive Officers and other key employees. We believe that there is great value to the Company in having a team of long-tenured, seasoned managers and knowledgeable, experienced employees. Our team-focused culture and management processes are designed to foster this commitment.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While we are still evolving our compensation policies and practices, we strive for a fair, competitive, transparent, and equitable approach in recognizing and rewarding our Named Executive Officers and other employees. We take a principled approach to providing fair, relevant, and competitive compensation and benefits to a dynamic workforce with diverse needs. For our Named Executive Officers, we aim to balance short-term and long-term compensation and fixed amounts of cash with variable incentive compensation.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Generally, our executive compensation program consists of three principal elements – base salary, cash bonus opportunities, and long-term incentive compensation in the form of equity awards.</w:t>
      </w:r>
    </w:p>
    <w:p>
      <w:pPr>
        <w:sectPr>
          <w:pgSz w:w="11900" w:h="16838" w:orient="portrait"/>
          <w:cols w:equalWidth="0" w:num="1">
            <w:col w:w="9019"/>
          </w:cols>
          <w:pgMar w:left="1440" w:top="263" w:right="1440" w:bottom="1440" w:gutter="0" w:footer="0" w:header="0"/>
        </w:sectPr>
      </w:pP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200" w:type="dxa"/>
            <w:vAlign w:val="bottom"/>
          </w:tcPr>
          <w:p>
            <w:pPr>
              <w:spacing w:after="0"/>
              <w:rPr>
                <w:sz w:val="13"/>
                <w:szCs w:val="13"/>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180" w:type="dxa"/>
            <w:vAlign w:val="bottom"/>
          </w:tcPr>
          <w:p>
            <w:pPr>
              <w:spacing w:after="0"/>
              <w:rPr>
                <w:sz w:val="13"/>
                <w:szCs w:val="13"/>
                <w:color w:val="auto"/>
              </w:rPr>
            </w:pPr>
          </w:p>
        </w:tc>
        <w:tc>
          <w:tcPr>
            <w:tcW w:w="264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0" w:type="dxa"/>
            <w:vAlign w:val="bottom"/>
          </w:tcPr>
          <w:p>
            <w:pPr>
              <w:spacing w:after="0"/>
              <w:rPr>
                <w:sz w:val="1"/>
                <w:szCs w:val="1"/>
                <w:color w:val="auto"/>
              </w:rPr>
            </w:pPr>
          </w:p>
        </w:tc>
      </w:tr>
      <w:tr>
        <w:trPr>
          <w:trHeight w:val="190"/>
        </w:trPr>
        <w:tc>
          <w:tcPr>
            <w:tcW w:w="1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180" w:type="dxa"/>
            <w:vAlign w:val="bottom"/>
          </w:tcPr>
          <w:p>
            <w:pPr>
              <w:spacing w:after="0"/>
              <w:rPr>
                <w:sz w:val="16"/>
                <w:szCs w:val="16"/>
                <w:color w:val="auto"/>
              </w:rPr>
            </w:pPr>
          </w:p>
        </w:tc>
        <w:tc>
          <w:tcPr>
            <w:tcW w:w="2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0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Base Salary</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Fixed</w:t>
            </w:r>
          </w:p>
        </w:tc>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tabs>
          <w:tab w:leader="none" w:pos="1560" w:val="left"/>
          <w:tab w:leader="none" w:pos="2600" w:val="left"/>
        </w:tabs>
        <w:rPr>
          <w:sz w:val="20"/>
          <w:szCs w:val="20"/>
          <w:color w:val="auto"/>
        </w:rPr>
      </w:pPr>
      <w:r>
        <w:rPr>
          <w:rFonts w:ascii="Times New Roman" w:cs="Times New Roman" w:eastAsia="Times New Roman" w:hAnsi="Times New Roman"/>
          <w:sz w:val="18"/>
          <w:szCs w:val="18"/>
          <w:color w:val="auto"/>
        </w:rPr>
        <w:t>Cash Bonuses</w:t>
      </w:r>
      <w:r>
        <w:rPr>
          <w:sz w:val="20"/>
          <w:szCs w:val="20"/>
          <w:color w:val="auto"/>
        </w:rPr>
        <w:tab/>
      </w:r>
      <w:r>
        <w:rPr>
          <w:rFonts w:ascii="Times New Roman" w:cs="Times New Roman" w:eastAsia="Times New Roman" w:hAnsi="Times New Roman"/>
          <w:sz w:val="18"/>
          <w:szCs w:val="18"/>
          <w:color w:val="auto"/>
        </w:rPr>
        <w:t>Variable</w:t>
      </w:r>
      <w:r>
        <w:rPr>
          <w:sz w:val="20"/>
          <w:szCs w:val="20"/>
          <w:color w:val="auto"/>
        </w:rPr>
        <w:tab/>
      </w:r>
      <w:r>
        <w:rPr>
          <w:rFonts w:ascii="Times New Roman" w:cs="Times New Roman" w:eastAsia="Times New Roman" w:hAnsi="Times New Roman"/>
          <w:sz w:val="18"/>
          <w:szCs w:val="18"/>
          <w:color w:val="auto"/>
        </w:rPr>
        <w:t>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00"/>
        <w:spacing w:after="0"/>
        <w:tabs>
          <w:tab w:leader="none" w:pos="1560" w:val="left"/>
          <w:tab w:leader="none" w:pos="2600" w:val="left"/>
        </w:tabs>
        <w:rPr>
          <w:sz w:val="20"/>
          <w:szCs w:val="20"/>
          <w:color w:val="auto"/>
        </w:rPr>
      </w:pPr>
      <w:r>
        <w:rPr>
          <w:rFonts w:ascii="Times New Roman" w:cs="Times New Roman" w:eastAsia="Times New Roman" w:hAnsi="Times New Roman"/>
          <w:sz w:val="18"/>
          <w:szCs w:val="18"/>
          <w:color w:val="auto"/>
        </w:rPr>
        <w:t>Long Term</w:t>
      </w:r>
      <w:r>
        <w:rPr>
          <w:sz w:val="20"/>
          <w:szCs w:val="20"/>
          <w:color w:val="auto"/>
        </w:rPr>
        <w:tab/>
      </w:r>
      <w:r>
        <w:rPr>
          <w:rFonts w:ascii="Times New Roman" w:cs="Times New Roman" w:eastAsia="Times New Roman" w:hAnsi="Times New Roman"/>
          <w:sz w:val="18"/>
          <w:szCs w:val="18"/>
          <w:color w:val="auto"/>
        </w:rPr>
        <w:t>Variable</w:t>
      </w:r>
      <w:r>
        <w:rPr>
          <w:sz w:val="20"/>
          <w:szCs w:val="20"/>
          <w:color w:val="auto"/>
        </w:rPr>
        <w:tab/>
      </w:r>
      <w:r>
        <w:rPr>
          <w:rFonts w:ascii="Times New Roman" w:cs="Times New Roman" w:eastAsia="Times New Roman" w:hAnsi="Times New Roman"/>
          <w:sz w:val="18"/>
          <w:szCs w:val="18"/>
          <w:color w:val="auto"/>
        </w:rPr>
        <w:t>Equity awards in the form of RSU</w:t>
      </w:r>
    </w:p>
    <w:p>
      <w:pPr>
        <w:spacing w:after="0" w:line="27" w:lineRule="exact"/>
        <w:rPr>
          <w:sz w:val="20"/>
          <w:szCs w:val="20"/>
          <w:color w:val="auto"/>
        </w:rPr>
      </w:pPr>
    </w:p>
    <w:p>
      <w:pPr>
        <w:ind w:left="300"/>
        <w:spacing w:after="0"/>
        <w:tabs>
          <w:tab w:leader="none" w:pos="2600" w:val="left"/>
        </w:tabs>
        <w:rPr>
          <w:sz w:val="20"/>
          <w:szCs w:val="20"/>
          <w:color w:val="auto"/>
        </w:rPr>
      </w:pPr>
      <w:r>
        <w:rPr>
          <w:rFonts w:ascii="Times New Roman" w:cs="Times New Roman" w:eastAsia="Times New Roman" w:hAnsi="Times New Roman"/>
          <w:sz w:val="18"/>
          <w:szCs w:val="18"/>
          <w:color w:val="auto"/>
        </w:rPr>
        <w:t>Incentive</w:t>
      </w:r>
      <w:r>
        <w:rPr>
          <w:sz w:val="20"/>
          <w:szCs w:val="20"/>
          <w:color w:val="auto"/>
        </w:rPr>
        <w:tab/>
      </w:r>
      <w:r>
        <w:rPr>
          <w:rFonts w:ascii="Times New Roman" w:cs="Times New Roman" w:eastAsia="Times New Roman" w:hAnsi="Times New Roman"/>
          <w:sz w:val="18"/>
          <w:szCs w:val="18"/>
          <w:color w:val="auto"/>
        </w:rPr>
        <w:t>awards that may be settled for</w:t>
      </w:r>
    </w:p>
    <w:p>
      <w:pPr>
        <w:spacing w:after="0" w:line="9" w:lineRule="exact"/>
        <w:rPr>
          <w:sz w:val="20"/>
          <w:szCs w:val="20"/>
          <w:color w:val="auto"/>
        </w:rPr>
      </w:pPr>
    </w:p>
    <w:p>
      <w:pPr>
        <w:ind w:left="300"/>
        <w:spacing w:after="0"/>
        <w:tabs>
          <w:tab w:leader="none" w:pos="2600" w:val="left"/>
        </w:tabs>
        <w:rPr>
          <w:sz w:val="20"/>
          <w:szCs w:val="20"/>
          <w:color w:val="auto"/>
        </w:rPr>
      </w:pPr>
      <w:r>
        <w:rPr>
          <w:rFonts w:ascii="Times New Roman" w:cs="Times New Roman" w:eastAsia="Times New Roman" w:hAnsi="Times New Roman"/>
          <w:sz w:val="18"/>
          <w:szCs w:val="18"/>
          <w:color w:val="auto"/>
        </w:rPr>
        <w:t>Compensation</w:t>
      </w:r>
      <w:r>
        <w:rPr>
          <w:sz w:val="20"/>
          <w:szCs w:val="20"/>
          <w:color w:val="auto"/>
        </w:rPr>
        <w:tab/>
      </w:r>
      <w:r>
        <w:rPr>
          <w:rFonts w:ascii="Times New Roman" w:cs="Times New Roman" w:eastAsia="Times New Roman" w:hAnsi="Times New Roman"/>
          <w:sz w:val="18"/>
          <w:szCs w:val="18"/>
          <w:color w:val="auto"/>
        </w:rPr>
        <w:t>shares of our Class A Common</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Stock and PRSU awards that may</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be earned and settled for shares of</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our Class A Common Stock</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50800</wp:posOffset>
            </wp:positionV>
            <wp:extent cx="20745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22" w:lineRule="exact"/>
        <w:rPr>
          <w:sz w:val="20"/>
          <w:szCs w:val="20"/>
          <w:color w:val="auto"/>
        </w:rPr>
      </w:pPr>
    </w:p>
    <w:p>
      <w:pPr>
        <w:ind w:right="399"/>
        <w:spacing w:after="0" w:line="258" w:lineRule="auto"/>
        <w:rPr>
          <w:sz w:val="20"/>
          <w:szCs w:val="20"/>
          <w:color w:val="auto"/>
        </w:rPr>
      </w:pPr>
      <w:r>
        <w:rPr>
          <w:rFonts w:ascii="Times New Roman" w:cs="Times New Roman" w:eastAsia="Times New Roman" w:hAnsi="Times New Roman"/>
          <w:sz w:val="18"/>
          <w:szCs w:val="18"/>
          <w:color w:val="auto"/>
        </w:rPr>
        <w:t>Designed to attract and retain executives by providing a competitive fixed amount of cash compensation based on the executive’s role, prior experience, and expected contributions to the Company</w:t>
      </w:r>
    </w:p>
    <w:p>
      <w:pPr>
        <w:spacing w:after="0" w:line="75" w:lineRule="exact"/>
        <w:rPr>
          <w:sz w:val="20"/>
          <w:szCs w:val="20"/>
          <w:color w:val="auto"/>
        </w:rPr>
      </w:pPr>
    </w:p>
    <w:p>
      <w:pPr>
        <w:ind w:right="479"/>
        <w:spacing w:after="0" w:line="256" w:lineRule="auto"/>
        <w:rPr>
          <w:sz w:val="20"/>
          <w:szCs w:val="20"/>
          <w:color w:val="auto"/>
        </w:rPr>
      </w:pPr>
      <w:r>
        <w:rPr>
          <w:rFonts w:ascii="Times New Roman" w:cs="Times New Roman" w:eastAsia="Times New Roman" w:hAnsi="Times New Roman"/>
          <w:sz w:val="18"/>
          <w:szCs w:val="18"/>
          <w:color w:val="auto"/>
        </w:rPr>
        <w:t>Designed to motivate our executives to achieve business objectives tied to specific Company metrics and which are aligned to our annual priorities, with the payout opportunity based on Company and individual performance</w:t>
      </w:r>
    </w:p>
    <w:p>
      <w:pPr>
        <w:spacing w:after="0" w:line="79" w:lineRule="exact"/>
        <w:rPr>
          <w:sz w:val="20"/>
          <w:szCs w:val="20"/>
          <w:color w:val="auto"/>
        </w:rPr>
      </w:pPr>
    </w:p>
    <w:p>
      <w:pPr>
        <w:ind w:right="419"/>
        <w:spacing w:after="0" w:line="261" w:lineRule="auto"/>
        <w:rPr>
          <w:sz w:val="20"/>
          <w:szCs w:val="20"/>
          <w:color w:val="auto"/>
        </w:rPr>
      </w:pPr>
      <w:r>
        <w:rPr>
          <w:rFonts w:ascii="Times New Roman" w:cs="Times New Roman" w:eastAsia="Times New Roman" w:hAnsi="Times New Roman"/>
          <w:sz w:val="18"/>
          <w:szCs w:val="18"/>
          <w:color w:val="auto"/>
        </w:rPr>
        <w:t>Designed to align the interests of our executives and our stockholders while helping to attract and retain talented leaders by paying for performance</w:t>
      </w:r>
    </w:p>
    <w:p>
      <w:pPr>
        <w:spacing w:after="0" w:line="557" w:lineRule="exact"/>
        <w:rPr>
          <w:sz w:val="20"/>
          <w:szCs w:val="20"/>
          <w:color w:val="auto"/>
        </w:rPr>
      </w:pPr>
    </w:p>
    <w:p>
      <w:pPr>
        <w:sectPr>
          <w:pgSz w:w="11900" w:h="16838" w:orient="portrait"/>
          <w:cols w:equalWidth="0" w:num="2">
            <w:col w:w="5260" w:space="180"/>
            <w:col w:w="3579"/>
          </w:cols>
          <w:pgMar w:left="1440" w:top="263" w:right="1440" w:bottom="1440" w:gutter="0" w:footer="0" w:header="0"/>
          <w:type w:val="continuous"/>
        </w:sect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also provide certain post-employment compensation (severance and change-in-control) payments and benefits that are consistent with our view of competitive market practices, and other benefits, such as health and welfare programs, including a Section 401(k) retirement savings plan. In general, our executive officers participate in the standard employee health and welfare benefit programs available to our employees generally.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Base salary represents the fixed portion of the compensation of our Named Executive Officers and is a critical element of compensation intended to attract and retain highly talented individuals. Generally, the base salary for each Named Executive Officer is intended to provide a fixed amount of cash compensation that is based on the executive’s role, experience, and expected contributions to the Company. Base salary is also designed to provide our Named Executive Officers with steady cash flow during the course of the fiscal year that is not contingent on short-term variations in our corporate performance.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annual base salaries of our Named Executive Officers for 2023 were as follows:</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 Base Salary</w:t>
            </w:r>
          </w:p>
        </w:tc>
        <w:tc>
          <w:tcPr>
            <w:tcW w:w="0" w:type="dxa"/>
            <w:vAlign w:val="bottom"/>
          </w:tcPr>
          <w:p>
            <w:pPr>
              <w:spacing w:after="0"/>
              <w:rPr>
                <w:sz w:val="1"/>
                <w:szCs w:val="1"/>
                <w:color w:val="auto"/>
              </w:rPr>
            </w:pPr>
          </w:p>
        </w:tc>
      </w:tr>
      <w:tr>
        <w:trPr>
          <w:trHeight w:val="190"/>
        </w:trPr>
        <w:tc>
          <w:tcPr>
            <w:tcW w:w="73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71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(1)</w:t>
            </w:r>
          </w:p>
        </w:tc>
        <w:tc>
          <w:tcPr>
            <w:tcW w:w="10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$1,020,000</w:t>
            </w:r>
          </w:p>
        </w:tc>
        <w:tc>
          <w:tcPr>
            <w:tcW w:w="0" w:type="dxa"/>
            <w:vAlign w:val="bottom"/>
          </w:tcPr>
          <w:p>
            <w:pPr>
              <w:spacing w:after="0"/>
              <w:rPr>
                <w:sz w:val="1"/>
                <w:szCs w:val="1"/>
                <w:color w:val="auto"/>
              </w:rPr>
            </w:pPr>
          </w:p>
        </w:tc>
      </w:tr>
      <w:tr>
        <w:trPr>
          <w:trHeight w:val="27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410,000</w:t>
            </w:r>
          </w:p>
        </w:tc>
        <w:tc>
          <w:tcPr>
            <w:tcW w:w="0" w:type="dxa"/>
            <w:vAlign w:val="bottom"/>
          </w:tcPr>
          <w:p>
            <w:pPr>
              <w:spacing w:after="0"/>
              <w:rPr>
                <w:sz w:val="1"/>
                <w:szCs w:val="1"/>
                <w:color w:val="auto"/>
              </w:rPr>
            </w:pPr>
          </w:p>
        </w:tc>
      </w:tr>
      <w:tr>
        <w:trPr>
          <w:trHeight w:val="54"/>
        </w:trPr>
        <w:tc>
          <w:tcPr>
            <w:tcW w:w="7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r>
              <w:rPr>
                <w:rFonts w:ascii="Times New Roman" w:cs="Times New Roman" w:eastAsia="Times New Roman" w:hAnsi="Times New Roman"/>
                <w:sz w:val="29"/>
                <w:szCs w:val="29"/>
                <w:color w:val="auto"/>
                <w:vertAlign w:val="superscript"/>
              </w:rPr>
              <w:t>(2)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408,171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-685165</wp:posOffset>
            </wp:positionV>
            <wp:extent cx="1371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base salary in 2023 of $1,020,000 became effective on August 15, 2023.</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Grazier’s previous annual base salary was $402,500 and was increased to $425,000 on September 30, 2023.</w:t>
      </w:r>
    </w:p>
    <w:p>
      <w:pPr>
        <w:spacing w:after="0" w:line="10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Upon review, the Compensation Committee (i) awarded the annual base salary for Mr. Francis, (ii) made no adjustment to, and confirmed the annual base salary of Mr. Camire, and (iii) increased Mr. Grazier’s annual base salary as part of its annual review of our executive compensation program.</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total base salaries paid to our Named Executive Officers during 2023 are set forth in the “Summary Compensation Table”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Cash Bonuses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Target Bonus Opportunities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From time to time, our Compensation Committee may adjust a Named Executive Officer’s target cash bonus opportunity after taking into account the Named Executive Officer’s position, role and responsibilities, experience, prior target cash bonus opportunity, the target bonus opportunities of our other Named Executive Officers, and our compensation objectives. Our Compensation Committee also considered information about the target bonus opportunities of similarly situated executives in other companies at a similar stage of development. Upon review, the Compensation Committee (i) awarded Mr. Francis a signing bonus as part of his offer letter, (ii) increased the target cash bonus opportunity of Mr. Camire, and (iii) made no adjustments to Mr. Grazier’s target cash bonus opportunity as part of its annual review of our executive compensation program.</w:t>
      </w:r>
    </w:p>
    <w:p>
      <w:pPr>
        <w:spacing w:after="0" w:line="8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target cash bonus opportunities of our Named Executive Officers for 2023, as a percentage of annual base salary, were as follows: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2023 Base Cash Bonus Opportunity (as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 Target Cash Bonus</w:t>
            </w:r>
          </w:p>
        </w:tc>
        <w:tc>
          <w:tcPr>
            <w:tcW w:w="0" w:type="dxa"/>
            <w:vAlign w:val="bottom"/>
          </w:tcPr>
          <w:p>
            <w:pPr>
              <w:spacing w:after="0"/>
              <w:rPr>
                <w:sz w:val="1"/>
                <w:szCs w:val="1"/>
                <w:color w:val="auto"/>
              </w:rPr>
            </w:pPr>
          </w:p>
        </w:tc>
      </w:tr>
      <w:tr>
        <w:trPr>
          <w:trHeight w:val="190"/>
        </w:trPr>
        <w:tc>
          <w:tcPr>
            <w:tcW w:w="4280" w:type="dxa"/>
            <w:vAlign w:val="bottom"/>
            <w:gridSpan w:val="2"/>
            <w:vMerge w:val="continue"/>
          </w:tcPr>
          <w:p>
            <w:pPr>
              <w:spacing w:after="0"/>
              <w:rPr>
                <w:sz w:val="16"/>
                <w:szCs w:val="16"/>
                <w:color w:val="auto"/>
              </w:rPr>
            </w:pPr>
          </w:p>
        </w:tc>
        <w:tc>
          <w:tcPr>
            <w:tcW w:w="2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 percentage of base salary)</w:t>
            </w:r>
          </w:p>
        </w:tc>
        <w:tc>
          <w:tcPr>
            <w:tcW w:w="152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Opportunity ($)</w:t>
            </w:r>
          </w:p>
        </w:tc>
        <w:tc>
          <w:tcPr>
            <w:tcW w:w="0" w:type="dxa"/>
            <w:vAlign w:val="bottom"/>
          </w:tcPr>
          <w:p>
            <w:pPr>
              <w:spacing w:after="0"/>
              <w:rPr>
                <w:sz w:val="1"/>
                <w:szCs w:val="1"/>
                <w:color w:val="auto"/>
              </w:rPr>
            </w:pPr>
          </w:p>
        </w:tc>
      </w:tr>
      <w:tr>
        <w:trPr>
          <w:trHeight w:val="50"/>
        </w:trPr>
        <w:tc>
          <w:tcPr>
            <w:tcW w:w="41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(1)</w:t>
            </w:r>
          </w:p>
        </w:tc>
        <w:tc>
          <w:tcPr>
            <w:tcW w:w="26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24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3"/>
                <w:szCs w:val="23"/>
                <w:color w:val="auto"/>
              </w:rPr>
            </w:pPr>
          </w:p>
        </w:tc>
        <w:tc>
          <w:tcPr>
            <w:tcW w:w="15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$205,000</w:t>
            </w:r>
          </w:p>
        </w:tc>
        <w:tc>
          <w:tcPr>
            <w:tcW w:w="0" w:type="dxa"/>
            <w:vAlign w:val="bottom"/>
          </w:tcPr>
          <w:p>
            <w:pPr>
              <w:spacing w:after="0"/>
              <w:rPr>
                <w:sz w:val="1"/>
                <w:szCs w:val="1"/>
                <w:color w:val="auto"/>
              </w:rPr>
            </w:pPr>
          </w:p>
        </w:tc>
      </w:tr>
      <w:tr>
        <w:trPr>
          <w:trHeight w:val="54"/>
        </w:trPr>
        <w:tc>
          <w:tcPr>
            <w:tcW w:w="4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r>
              <w:rPr>
                <w:rFonts w:ascii="Times New Roman" w:cs="Times New Roman" w:eastAsia="Times New Roman" w:hAnsi="Times New Roman"/>
                <w:sz w:val="29"/>
                <w:szCs w:val="29"/>
                <w:color w:val="auto"/>
                <w:vertAlign w:val="superscript"/>
              </w:rPr>
              <w:t>(2)</w:t>
            </w:r>
          </w:p>
        </w:tc>
        <w:tc>
          <w:tcPr>
            <w:tcW w:w="24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$212,500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-685165</wp:posOffset>
            </wp:positionV>
            <wp:extent cx="1028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-685165</wp:posOffset>
            </wp:positionV>
            <wp:extent cx="1028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299" w:hanging="348"/>
        <w:spacing w:after="0" w:line="261" w:lineRule="auto"/>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eligible for a target bonus opportunity in 2023 , but did receive a signing bonus of $700,000 in connection with the entry into his offer letter dated August 15, 2023.</w:t>
      </w:r>
    </w:p>
    <w:p>
      <w:pPr>
        <w:ind w:left="640" w:hanging="348"/>
        <w:spacing w:after="0"/>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Grazier’s approved target bonus by the Compensation Committee was based off his increased base salary of $425,000.</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Evaluation of Performance</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formal cash bonus plan for 2023 adopted by the Compensation Committee for Mr. Camire and Mr. Grazier did not have an individual award component and was based on Company performance against Revenue, Adj. EBITDA, and Cash targets for fiscal year 2023 in the same manner as the core bonus plan for the rest of the employees of the Company. See “Cash Bonus Payments” for additional details regarding our cash bonus plan.</w:t>
      </w:r>
    </w:p>
    <w:p>
      <w:pPr>
        <w:spacing w:after="0" w:line="2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Cash Bonus Payments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September 2023 the Compensation Committee approved the short-term incentive plan (STIP) for 2023, which was entirely based on our actual financial performance for the year. The company performance award comprised 100% of the cash bonuses available under the STIP, and was based on (i) fiscal year 2023 Revenue achievement (50% of the company performance award) and (ii) fiscal year 2023 Adj. EBITDA achievement (50% of the company performance award), with a minimum cash component measured as of December 31, 2023 which was a minimum condition to be met in order for any bonus to be paid. The Compensation Committee reviewed and provided input on our Executive Chair’s determinations as to each Named Executive Officer’s cash bonus target.</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Based on our Compensation Committee’s assessment of our corporate performance during the fiscal year, our Named Executive Officers 2023 STIP bonus was achieved at 66.5% based on achievement of the 2023 Revenue and 2023 Adjusted EBITDA goals. In May 2024, upon review and consideration of executive performance for 2023, our Compensation Committee determined that a discretionary cash bonus should be paid to Mr. Camire and Mr. Grazier to account for their individual contributions, raising their cash bonus amounts to $181,425 and $188,062, respectively:</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2023 Target Cash Bonus</w:t>
            </w:r>
          </w:p>
        </w:tc>
        <w:tc>
          <w:tcPr>
            <w:tcW w:w="1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Actual 2023 Cash Bonus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 2023 Cash Bonus</w:t>
            </w:r>
          </w:p>
        </w:tc>
        <w:tc>
          <w:tcPr>
            <w:tcW w:w="0" w:type="dxa"/>
            <w:vAlign w:val="bottom"/>
          </w:tcPr>
          <w:p>
            <w:pPr>
              <w:spacing w:after="0"/>
              <w:rPr>
                <w:sz w:val="1"/>
                <w:szCs w:val="1"/>
                <w:color w:val="auto"/>
              </w:rPr>
            </w:pPr>
          </w:p>
        </w:tc>
      </w:tr>
      <w:tr>
        <w:trPr>
          <w:trHeight w:val="146"/>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 w:type="dxa"/>
            <w:vAlign w:val="bottom"/>
            <w:vMerge w:val="restart"/>
          </w:tcPr>
          <w:p>
            <w:pPr>
              <w:spacing w:after="0"/>
              <w:rPr>
                <w:sz w:val="12"/>
                <w:szCs w:val="12"/>
                <w:color w:val="auto"/>
              </w:rPr>
            </w:pPr>
          </w:p>
        </w:tc>
        <w:tc>
          <w:tcPr>
            <w:tcW w:w="164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1640" w:type="dxa"/>
            <w:vAlign w:val="bottom"/>
            <w:gridSpan w:val="3"/>
            <w:vMerge w:val="continue"/>
          </w:tcPr>
          <w:p>
            <w:pPr>
              <w:spacing w:after="0"/>
              <w:rPr>
                <w:sz w:val="12"/>
                <w:szCs w:val="12"/>
                <w:color w:val="auto"/>
              </w:rPr>
            </w:pP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(as a percentage of target</w:t>
            </w:r>
          </w:p>
        </w:tc>
        <w:tc>
          <w:tcPr>
            <w:tcW w:w="0" w:type="dxa"/>
            <w:vAlign w:val="bottom"/>
          </w:tcPr>
          <w:p>
            <w:pPr>
              <w:spacing w:after="0"/>
              <w:rPr>
                <w:sz w:val="1"/>
                <w:szCs w:val="1"/>
                <w:color w:val="auto"/>
              </w:rPr>
            </w:pPr>
          </w:p>
        </w:tc>
      </w:tr>
      <w:tr>
        <w:trPr>
          <w:trHeight w:val="243"/>
        </w:trPr>
        <w:tc>
          <w:tcPr>
            <w:tcW w:w="34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19"/>
              <w:spacing w:after="0" w:line="243"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23"/>
                <w:szCs w:val="23"/>
                <w:b w:val="1"/>
                <w:bCs w:val="1"/>
                <w:color w:val="auto"/>
                <w:w w:val="99"/>
                <w:vertAlign w:val="superscript"/>
              </w:rPr>
              <w:t>(2)</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cash bonus opportunity)</w:t>
            </w:r>
          </w:p>
        </w:tc>
        <w:tc>
          <w:tcPr>
            <w:tcW w:w="0" w:type="dxa"/>
            <w:vAlign w:val="bottom"/>
          </w:tcPr>
          <w:p>
            <w:pPr>
              <w:spacing w:after="0"/>
              <w:rPr>
                <w:sz w:val="1"/>
                <w:szCs w:val="1"/>
                <w:color w:val="auto"/>
              </w:rPr>
            </w:pPr>
          </w:p>
        </w:tc>
      </w:tr>
      <w:tr>
        <w:trPr>
          <w:trHeight w:val="371"/>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1540" w:type="dxa"/>
            <w:vAlign w:val="bottom"/>
            <w:gridSpan w:val="2"/>
          </w:tcPr>
          <w:p>
            <w:pPr>
              <w:jc w:val="right"/>
              <w:ind w:right="339"/>
              <w:spacing w:after="0"/>
              <w:rPr>
                <w:sz w:val="20"/>
                <w:szCs w:val="20"/>
                <w:color w:val="auto"/>
              </w:rPr>
            </w:pPr>
            <w:r>
              <w:rPr>
                <w:rFonts w:ascii="Times New Roman" w:cs="Times New Roman" w:eastAsia="Times New Roman" w:hAnsi="Times New Roman"/>
                <w:sz w:val="18"/>
                <w:szCs w:val="18"/>
                <w:color w:val="auto"/>
              </w:rPr>
              <w:t>$205,000</w:t>
            </w:r>
          </w:p>
        </w:tc>
        <w:tc>
          <w:tcPr>
            <w:tcW w:w="100" w:type="dxa"/>
            <w:vAlign w:val="bottom"/>
          </w:tcPr>
          <w:p>
            <w:pPr>
              <w:spacing w:after="0"/>
              <w:rPr>
                <w:sz w:val="23"/>
                <w:szCs w:val="23"/>
                <w:color w:val="auto"/>
              </w:rPr>
            </w:pPr>
          </w:p>
        </w:tc>
        <w:tc>
          <w:tcPr>
            <w:tcW w:w="1520" w:type="dxa"/>
            <w:vAlign w:val="bottom"/>
            <w:gridSpan w:val="2"/>
          </w:tcPr>
          <w:p>
            <w:pPr>
              <w:jc w:val="right"/>
              <w:ind w:right="339"/>
              <w:spacing w:after="0"/>
              <w:rPr>
                <w:sz w:val="20"/>
                <w:szCs w:val="20"/>
                <w:color w:val="auto"/>
              </w:rPr>
            </w:pPr>
            <w:r>
              <w:rPr>
                <w:rFonts w:ascii="Times New Roman" w:cs="Times New Roman" w:eastAsia="Times New Roman" w:hAnsi="Times New Roman"/>
                <w:sz w:val="18"/>
                <w:szCs w:val="18"/>
                <w:color w:val="auto"/>
              </w:rPr>
              <w:t>$181,425</w:t>
            </w:r>
          </w:p>
        </w:tc>
        <w:tc>
          <w:tcPr>
            <w:tcW w:w="120" w:type="dxa"/>
            <w:vAlign w:val="bottom"/>
          </w:tcPr>
          <w:p>
            <w:pPr>
              <w:spacing w:after="0"/>
              <w:rPr>
                <w:sz w:val="23"/>
                <w:szCs w:val="23"/>
                <w:color w:val="auto"/>
              </w:rPr>
            </w:pPr>
          </w:p>
        </w:tc>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r>
              <w:rPr>
                <w:rFonts w:ascii="Times New Roman" w:cs="Times New Roman" w:eastAsia="Times New Roman" w:hAnsi="Times New Roman"/>
                <w:sz w:val="29"/>
                <w:szCs w:val="29"/>
                <w:color w:val="auto"/>
                <w:vertAlign w:val="superscript"/>
              </w:rPr>
              <w:t>(2)</w:t>
            </w:r>
          </w:p>
        </w:tc>
        <w:tc>
          <w:tcPr>
            <w:tcW w:w="154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$212,500</w:t>
            </w:r>
          </w:p>
        </w:tc>
        <w:tc>
          <w:tcPr>
            <w:tcW w:w="1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$188,062</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-685165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-685165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-685165</wp:posOffset>
            </wp:positionV>
            <wp:extent cx="774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eligible for a bonus in 2023 other than his signing bonus disclosed in the Summary Compensation Table below.</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2023 Cash Bonus for Mr. Grazier does not include a retention bonus in the amount of $200,000 paid to Mr. Grazier, as set forth in his retention bonus agreement described in the Form 8-K filed by the Company on October 6, 2023.</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Going forward, we anticipate the Compensation Committee will design and adopt a similar cash bonus plan for our Named Executive Officers as part of its annual review of our executive compensation program.</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annual bonuses awarded to our Named Executive Officers for 2023 are set forth in the “Summary Compensation Table” below.</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Long-Term Equity Incentive Compensation</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encounter significant competition for qualified personnel, and long-term incentive compensation plays a critical role in our ability to attract, hire, motivate, and reward qualified and experienced executives. The use of long -term incentive compensation in the form of equity awards is necessary for us to compete for qualified executives without significantly increasing cash compensation and is the most important element of our executive compensation program. We use equity awards to incentivize and reward our Named Executive Officers for long-term corporate performance based on the value of our Class A Common Stock and, thereby, align their interests with the interests of our stockholders. The realized value of these equity awards bears a direct relationship to our stock price, and, therefore, these awards are an incentive for our Named Executive Officers to create value for our stockholders. Equity awards also help us retain our Named Executive Officers in a highly competitive market.</w:t>
      </w:r>
    </w:p>
    <w:p>
      <w:pPr>
        <w:spacing w:after="0" w:line="8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December 2021, we granted time-based RSU awards and PRSU awards, which may be settled for shares of our Class A Common Stock, to motivate and reward our Named Executive Officers for long-term increases in the value of our Class A Common Stock. Mr. Grazier was not a Named Executive Officer at the time, and received time-based RSU awards in August 2021 and March 2022 consistent with other non-executive employees. Mr. Francis did not receive any RSU awards in 2023 in his role as our Executive Chair. We view these equity awards, whether the awards are subject to time-based vesting requirements or are to be earned based on the attainment of specific performance objectives over a multi-year performance period, as inherently variable since the grant date fair value of these awards may not necessarily be indicative of their value when, and if, the stock underlying these awards vest or are earned. Because RSU awards have value to the recipient even in the absence of stock price appreciation, we believe that we are able to incentivize and retain our Named Executive Officers using fewer shares of our Class A Common Stock than would be necessary if we used stock options to provide an equity stake in the Company. Further, since the value of RSU awards increases with any increase in the value of the underlying shares, RSU awards also provide incentives to our Named Executive Officers that are aligned with the interests of our stockholders. We believe that PRSU awards also served as an effective source of motivation for our Named Executive Officers to drive our financial performance. In addition, PRSU awards provided a direct link between compensation and stockholder return, thereby motivating our Named Executive Officers to focus on and strive to achieve both our annual and long-term financial and strategic objectives.</w:t>
      </w:r>
    </w:p>
    <w:p>
      <w:pPr>
        <w:spacing w:after="0" w:line="8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Compensation Committee reviewed and determined the size of the equity awards of our current Named Executive Officers based on a formula that took into account each eligible Named Executive Officer’s position, qualifications, experience and a competitive market analysis prepared by its compensation consultant, and awarded time-based RSU awards to Mr. Grazier and Mr. Camire in September 2023. Based upon these factors, the Compensation Committee determined the size of each equity award at levels considered appropriate to create a meaningful opportunity for reward predicated on the creation of long-term stockholder value.</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equity awards granted to our Named Executive Officers in 2023 under the WM Technology, Inc. 2021 Equity Incentive Plan (the “2021 Equity Plan”), were as follows: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RSU Awards</w:t>
            </w: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RSU Awards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PRSU Awards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PRSU Awards</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26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units)</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0"/>
        </w:trPr>
        <w:tc>
          <w:tcPr>
            <w:tcW w:w="4460" w:type="dxa"/>
            <w:vAlign w:val="bottom"/>
            <w:gridSpan w:val="2"/>
            <w:vMerge w:val="continue"/>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4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7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692,968</w:t>
            </w:r>
          </w:p>
        </w:tc>
        <w:tc>
          <w:tcPr>
            <w:tcW w:w="100" w:type="dxa"/>
            <w:vAlign w:val="bottom"/>
          </w:tcPr>
          <w:p>
            <w:pPr>
              <w:spacing w:after="0"/>
              <w:rPr>
                <w:sz w:val="23"/>
                <w:szCs w:val="23"/>
                <w:color w:val="auto"/>
              </w:rPr>
            </w:pPr>
          </w:p>
        </w:tc>
        <w:tc>
          <w:tcPr>
            <w:tcW w:w="98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$914,718</w:t>
            </w:r>
          </w:p>
        </w:tc>
        <w:tc>
          <w:tcPr>
            <w:tcW w:w="100" w:type="dxa"/>
            <w:vAlign w:val="bottom"/>
          </w:tcPr>
          <w:p>
            <w:pPr>
              <w:spacing w:after="0"/>
              <w:rPr>
                <w:sz w:val="23"/>
                <w:szCs w:val="23"/>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8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655,468</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$865,218</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54"/>
        </w:trPr>
        <w:tc>
          <w:tcPr>
            <w:tcW w:w="4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-633730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-633730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-633730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-633730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RSU Awards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RSU awards granted to Mr. Camire in 2021, and to Mr. Grazier and Mr. Camire in September 2023 each vest in equal quarterly installments over three years following the vesting commencement date, and vesting terminates upon the Named Executive Officer’s termination of continuous service with us. Each unit granted pursuant to these RSU awards represents a contingent right to receive one share of our Class A Common Stock for each unit that vests.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RSU awards originally granted to Mr. Grazier in August 2021 and March 2022 vest in equal quarterly installments over four years commencing on the first vest date (except that 25% of Mr. Grazier’s first grant vests on a one-year cliff first vest date), and vesting terminates upon Mr. Grazier’s termination of continuous service with us. Each unit granted pursuant to these RSU awards represents a contingent right to receive one share of our Class A Common Stock for each unit that vests. The RSU awards granted to Mr. Francis in previous years in his capacity as a director of the Company, are as described in the section entitled “Director Compensation” below.</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PRSU Awards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PRSUs granted to Mr. Camire vested only if we achieved specified performance goals during the performance period beginning on January 1, 2022 and ending on December 31, 2023. The actual number of PRSUs vested was determined based upon the following calculation: (i) the sum of (A) the Revenue CAGR Percentage (as defined in the PRSU award agreement) multiplied by 0.75, plus (B) the Adjusted EBITDA Margin Percentage (as defined in the PRSU award agreement) multiplied by 0.25, then multiplied by (ii) the target Number of PRSUs granted to the Named Executive Officer, with the resulting number of PRSUs rounded down to the nearest whole unit.</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number of PRSUs that vested was determined by our Compensation Committee on May 23, 2024. Each eligible recipient must remain employed by us through the determination date for the PRSU award to vest.</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Threshold achievement of the Revenue CAGR performance metric would have resulted in a 50% Revenue CAGR Percentage, target achievement of the Revenue CAGR performance metric would have resulted in a 100% Revenue CAGR Percentage, and maximum achievement of the Revenue CAGR performance metric would have resulted in a 200% Revenue CAGR Percentage, with the Revenue CAGR Percentage interpolated linearly and rounded up the nearest percentage point between these level after threshold performance was attained.</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Threshold achievement of the Adjusted EBITDA Margin performance metric would have resulted in a 50% Adjusted EBITDA Margin Percentage, target achievement of the Adjusted EBITDA Margin performance metric would have resulted in a 100% Adjusted EBITDA Margin Percentage, and maximum achievement of the Adjusted EBITDA Margin performance metric would have resulted in a 200% Adjusted EBITDA Margin Percentage, with the Adjusted EBITDA Margin Percentage interpolated linearly and rounded up the nearest percentage point between these level after threshold performance is attained.</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During the performance period beginning on January 1, 2022 and ending on December 31, 2023, the Company did not achieve the threshold Revenue CAGR performance metric, resulting in a 0% Revenue CAGR Percentage and reached a 100% achievement of the Adjusted EBITDA Margin performance metric, representing a 100% Adjusted EBITDA Margin Percentage. In the aggregate, this resulted in vesting of 25% of the granted units for Mr. Camire.</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equity awards vested to our Named Executive Officers during the performance period are set forth in the “Summary Compensation Table” below.</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Named Executive Officers are generally eligible to participate in the same employee benefit plans, and on the same terms and conditions, as all our other eligible employees. These benefits include medical, dental, and vision insurance, vacation, personal holidays, and sick days, basic life insurance and supplemental life insurance, short-term and long-term disability insurance, and a Section 401(k) retirement savings plan. In addition, our executives are eligible for life insurance and disability benefits paid for by us.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401(k) Plan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maintain a tax-qualified Section 401(k) retirement savings plan (the “Section 401(k) Plan”) that provides our employees, including our Named Executive Officers, who satisfy certain eligibility requirements, with an opportunity to save for retirement on a tax advantaged basis. Eligible employees are able to participate in the Section 401(k) Plan as of the first day of the month following the day they complete three months of employment and participants are able to defer, either on a pre-tax basis or on an after-tax (Roth) basis through contributions to the Section 401(k) Plan, up to 90% of their eligible compensation, but within the limits prescribed by the Internal Revenue Code (the “Code”). All participants’ interests in their deferrals are 100% vested when contributed. Under the Section 401(k) Plan, we make matching contributions of 100% of each participant’s elective deferrals of the first 1% of such participant’s eligible compensation plus 50% of each participant’s elective deferrals of the next 2% to 6% of</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such participant’s eligible compensation, up to a maximum matching contribution of 3.5% of eligible compensation. The Section 401(k) Plan is intended to be qualified under Section 401(a) of the Code with the Section 401(k) Plan’s related trust intended to be tax exempt under Section 501(a) of the Code.</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these benefits are generally consistent with those offered by other companies and specifically those companies with which we compete for employees. 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generally provide perquisites or other personal benefits to our Named Executive Officers except as generally made available to our employees or in situations where we believe it is appropriate to assist an individual in the performance of his duties, to make them more efficient and effective, and for recruitment and retention purposes. During 2023, our Named Executive Officers did not receive perquisites or other personal benefits that were, in the aggregate, $10,000 or more for each individual.</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Award Grant Policy</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Compensation Committee has adopted an equity award grant policy to ensure the integrity and efficiency of our equity award process. The Board has delegated to the Compensation Committee the express authority to serve as administrator of the 2021 Equity Plan, although such delegation of authority is not exclusive as the Board retains concurrent rights to grant equity awards under the 2021 Equity Plan.</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Compensation Committee has delegated to the Equity Grant Committee (which consists of our principal executive officer, General Counsel, and Chief Financial Officer) (the “EGC”) the nonexclusive authority to grant equity awards to employees who are not “officers” as defined in Rule 16a-1 of the Exchange Act. Further, the EGC may not grant any equity award to a member of the EGC, any member of the Board, or any consultant. At least annually, the EGC will provide the Compensation Committee with a report summarizing the equity awards granted by the EGC during the applicable period.</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It is also our intent that no equity awards will be backdated, nor will the timing of the public release of material information or of the grant of an equity award be manipulated with the intent of benefiting an award recipient.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following table shows compensation awarded or paid to, or earned by, our Named Executive Officers with respect to the years ended 2023 and 2022. The amounts in the “Stock awards” column reflect our accounting expense for these equity awards, as further described in the footnotes to the table, and do not necessarily represent the actual economic value that was realized in the stated year or may be realized by the Named Executive Officers.</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2023, our Named Executive Officers were:</w:t>
      </w:r>
    </w:p>
    <w:p>
      <w:pPr>
        <w:spacing w:after="0" w:line="117" w:lineRule="exact"/>
        <w:rPr>
          <w:sz w:val="20"/>
          <w:szCs w:val="20"/>
          <w:color w:val="auto"/>
        </w:rPr>
      </w:pPr>
    </w:p>
    <w:p>
      <w:pPr>
        <w:ind w:left="1000" w:hanging="348"/>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Francis, our principal executive officer and Executive Chair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Camire, our General Counsel and Secretary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Duncan Grazier, our Chief Technology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tbl>
      <w:tblPr>
        <w:tblLayout w:type="fixed"/>
        <w:tblInd w:w="300" w:type="dxa"/>
        <w:tblCellMar>
          <w:top w:w="0" w:type="dxa"/>
          <w:left w:w="0" w:type="dxa"/>
          <w:bottom w:w="0" w:type="dxa"/>
          <w:right w:w="0" w:type="dxa"/>
        </w:tblCellMar>
      </w:tblPr>
      <w:tr>
        <w:trPr>
          <w:trHeight w:val="161"/>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and</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w:t>
            </w: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0" w:type="dxa"/>
            <w:vAlign w:val="bottom"/>
          </w:tcPr>
          <w:p>
            <w:pPr>
              <w:spacing w:after="0"/>
              <w:rPr>
                <w:sz w:val="1"/>
                <w:szCs w:val="1"/>
                <w:color w:val="auto"/>
              </w:rPr>
            </w:pPr>
          </w:p>
        </w:tc>
      </w:tr>
      <w:tr>
        <w:trPr>
          <w:trHeight w:val="148"/>
        </w:trPr>
        <w:tc>
          <w:tcPr>
            <w:tcW w:w="16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7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43"/>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460" w:type="dxa"/>
            <w:vAlign w:val="bottom"/>
            <w:vMerge w:val="continue"/>
          </w:tcPr>
          <w:p>
            <w:pPr>
              <w:spacing w:after="0"/>
              <w:rPr>
                <w:sz w:val="21"/>
                <w:szCs w:val="21"/>
                <w:color w:val="auto"/>
              </w:rPr>
            </w:pPr>
          </w:p>
        </w:tc>
        <w:tc>
          <w:tcPr>
            <w:tcW w:w="6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ind w:right="74"/>
              <w:spacing w:after="0" w:line="243"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2"/>
                <w:szCs w:val="12"/>
                <w:b w:val="1"/>
                <w:bCs w:val="1"/>
                <w:color w:val="auto"/>
              </w:rPr>
              <w:t>(2)</w:t>
            </w:r>
          </w:p>
        </w:tc>
        <w:tc>
          <w:tcPr>
            <w:tcW w:w="70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8"/>
                <w:szCs w:val="28"/>
                <w:b w:val="1"/>
                <w:bCs w:val="1"/>
                <w:color w:val="auto"/>
                <w:w w:val="83"/>
                <w:vertAlign w:val="subscript"/>
              </w:rPr>
              <w:t>($)</w:t>
            </w:r>
            <w:r>
              <w:rPr>
                <w:rFonts w:ascii="Times New Roman" w:cs="Times New Roman" w:eastAsia="Times New Roman" w:hAnsi="Times New Roman"/>
                <w:sz w:val="12"/>
                <w:szCs w:val="12"/>
                <w:b w:val="1"/>
                <w:bCs w:val="1"/>
                <w:color w:val="auto"/>
                <w:w w:val="83"/>
              </w:rPr>
              <w:t>(3)</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3"/>
                <w:vertAlign w:val="subscript"/>
              </w:rPr>
              <w:t>($)</w:t>
            </w:r>
            <w:r>
              <w:rPr>
                <w:rFonts w:ascii="Times New Roman" w:cs="Times New Roman" w:eastAsia="Times New Roman" w:hAnsi="Times New Roman"/>
                <w:sz w:val="12"/>
                <w:szCs w:val="12"/>
                <w:b w:val="1"/>
                <w:bCs w:val="1"/>
                <w:color w:val="auto"/>
                <w:w w:val="83"/>
              </w:rPr>
              <w:t>(4)</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40" w:type="dxa"/>
            <w:vAlign w:val="bottom"/>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3"/>
                <w:vertAlign w:val="subscript"/>
              </w:rPr>
              <w:t>($)</w:t>
            </w:r>
            <w:r>
              <w:rPr>
                <w:rFonts w:ascii="Times New Roman" w:cs="Times New Roman" w:eastAsia="Times New Roman" w:hAnsi="Times New Roman"/>
                <w:sz w:val="12"/>
                <w:szCs w:val="12"/>
                <w:b w:val="1"/>
                <w:bCs w:val="1"/>
                <w:color w:val="auto"/>
                <w:w w:val="83"/>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2" w:lineRule="exact"/>
        <w:rPr>
          <w:sz w:val="20"/>
          <w:szCs w:val="20"/>
          <w:color w:val="auto"/>
        </w:rPr>
      </w:pPr>
    </w:p>
    <w:p>
      <w:pPr>
        <w:sectPr>
          <w:pgSz w:w="11900" w:h="16838" w:orient="portrait"/>
          <w:cols w:equalWidth="0" w:num="2">
            <w:col w:w="7880" w:space="300"/>
            <w:col w:w="839"/>
          </w:cols>
          <w:pgMar w:left="1440" w:top="262" w:right="1440" w:bottom="1440" w:gutter="0" w:footer="0" w:header="0"/>
        </w:sectPr>
      </w:pPr>
    </w:p>
    <w:tbl>
      <w:tblPr>
        <w:tblLayout w:type="fixed"/>
        <w:tblInd w:w="300" w:type="dxa"/>
        <w:tblCellMar>
          <w:top w:w="0" w:type="dxa"/>
          <w:left w:w="0" w:type="dxa"/>
          <w:bottom w:w="0" w:type="dxa"/>
          <w:right w:w="0" w:type="dxa"/>
        </w:tblCellMar>
      </w:tblPr>
      <w:tr>
        <w:trPr>
          <w:trHeight w:val="277"/>
        </w:trPr>
        <w:tc>
          <w:tcPr>
            <w:tcW w:w="150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60" w:type="dxa"/>
            <w:vAlign w:val="bottom"/>
            <w:tcBorders>
              <w:top w:val="single" w:sz="8" w:color="CCEEFF"/>
            </w:tcBorders>
            <w:vMerge w:val="restart"/>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388,384</w:t>
            </w:r>
          </w:p>
        </w:tc>
        <w:tc>
          <w:tcPr>
            <w:tcW w:w="10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700,000</w:t>
            </w:r>
          </w:p>
        </w:tc>
        <w:tc>
          <w:tcPr>
            <w:tcW w:w="10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82,607</w:t>
            </w:r>
          </w:p>
        </w:tc>
        <w:tc>
          <w:tcPr>
            <w:tcW w:w="100" w:type="dxa"/>
            <w:vAlign w:val="bottom"/>
            <w:tcBorders>
              <w:top w:val="single" w:sz="8" w:color="CCEEFF"/>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1,170,991</w:t>
            </w:r>
          </w:p>
        </w:tc>
        <w:tc>
          <w:tcPr>
            <w:tcW w:w="0" w:type="dxa"/>
            <w:vAlign w:val="bottom"/>
          </w:tcPr>
          <w:p>
            <w:pPr>
              <w:spacing w:after="0"/>
              <w:rPr>
                <w:sz w:val="1"/>
                <w:szCs w:val="1"/>
                <w:color w:val="auto"/>
              </w:rPr>
            </w:pPr>
          </w:p>
        </w:tc>
      </w:tr>
      <w:tr>
        <w:trPr>
          <w:trHeight w:val="90"/>
        </w:trPr>
        <w:tc>
          <w:tcPr>
            <w:tcW w:w="1500" w:type="dxa"/>
            <w:vAlign w:val="bottom"/>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1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Chair</w:t>
            </w:r>
          </w:p>
        </w:tc>
        <w:tc>
          <w:tcPr>
            <w:tcW w:w="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193,357</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69,701</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263,058</w:t>
            </w:r>
          </w:p>
        </w:tc>
        <w:tc>
          <w:tcPr>
            <w:tcW w:w="0" w:type="dxa"/>
            <w:vAlign w:val="bottom"/>
          </w:tcPr>
          <w:p>
            <w:pPr>
              <w:spacing w:after="0"/>
              <w:rPr>
                <w:sz w:val="1"/>
                <w:szCs w:val="1"/>
                <w:color w:val="auto"/>
              </w:rPr>
            </w:pPr>
          </w:p>
        </w:tc>
      </w:tr>
      <w:tr>
        <w:trPr>
          <w:trHeight w:val="25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865,218</w:t>
            </w:r>
          </w:p>
        </w:tc>
        <w:tc>
          <w:tcPr>
            <w:tcW w:w="120" w:type="dxa"/>
            <w:vAlign w:val="bottom"/>
          </w:tcPr>
          <w:p>
            <w:pPr>
              <w:spacing w:after="0"/>
              <w:rPr>
                <w:sz w:val="21"/>
                <w:szCs w:val="21"/>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136,325</w:t>
            </w:r>
          </w:p>
        </w:tc>
        <w:tc>
          <w:tcPr>
            <w:tcW w:w="100" w:type="dxa"/>
            <w:vAlign w:val="bottom"/>
          </w:tcPr>
          <w:p>
            <w:pPr>
              <w:spacing w:after="0"/>
              <w:rPr>
                <w:sz w:val="21"/>
                <w:szCs w:val="21"/>
                <w:color w:val="auto"/>
              </w:rPr>
            </w:pP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12,111</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1,468,754</w:t>
            </w:r>
          </w:p>
        </w:tc>
        <w:tc>
          <w:tcPr>
            <w:tcW w:w="0" w:type="dxa"/>
            <w:vAlign w:val="bottom"/>
          </w:tcPr>
          <w:p>
            <w:pPr>
              <w:spacing w:after="0"/>
              <w:rPr>
                <w:sz w:val="1"/>
                <w:szCs w:val="1"/>
                <w:color w:val="auto"/>
              </w:rPr>
            </w:pPr>
          </w:p>
        </w:tc>
      </w:tr>
      <w:tr>
        <w:trPr>
          <w:trHeight w:val="216"/>
        </w:trPr>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Counsel</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10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11,531</w:t>
            </w:r>
          </w:p>
        </w:tc>
        <w:tc>
          <w:tcPr>
            <w:tcW w:w="100" w:type="dxa"/>
            <w:vAlign w:val="bottom"/>
          </w:tcPr>
          <w:p>
            <w:pPr>
              <w:spacing w:after="0"/>
              <w:rPr>
                <w:sz w:val="18"/>
                <w:szCs w:val="18"/>
                <w:color w:val="auto"/>
              </w:rPr>
            </w:pPr>
          </w:p>
        </w:tc>
        <w:tc>
          <w:tcPr>
            <w:tcW w:w="9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13,384</w:t>
            </w:r>
          </w:p>
        </w:tc>
        <w:tc>
          <w:tcPr>
            <w:tcW w:w="10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434,915</w:t>
            </w:r>
          </w:p>
        </w:tc>
        <w:tc>
          <w:tcPr>
            <w:tcW w:w="0" w:type="dxa"/>
            <w:vAlign w:val="bottom"/>
          </w:tcPr>
          <w:p>
            <w:pPr>
              <w:spacing w:after="0"/>
              <w:rPr>
                <w:sz w:val="1"/>
                <w:szCs w:val="1"/>
                <w:color w:val="auto"/>
              </w:rPr>
            </w:pPr>
          </w:p>
        </w:tc>
      </w:tr>
      <w:tr>
        <w:trPr>
          <w:trHeight w:val="234"/>
        </w:trPr>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Secretary</w:t>
            </w:r>
          </w:p>
        </w:tc>
        <w:tc>
          <w:tcPr>
            <w:tcW w:w="420" w:type="dxa"/>
            <w:vAlign w:val="bottom"/>
            <w:gridSpan w:val="2"/>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391,779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246,750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914,718</w:t>
            </w: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141,312</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24,658</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1,719,217</w:t>
            </w: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Technology</w:t>
            </w:r>
          </w:p>
        </w:tc>
        <w:tc>
          <w:tcPr>
            <w:tcW w:w="6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2022</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394,221</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162,592</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299,995</w:t>
            </w:r>
          </w:p>
        </w:tc>
        <w:tc>
          <w:tcPr>
            <w:tcW w:w="120" w:type="dxa"/>
            <w:vAlign w:val="bottom"/>
            <w:shd w:val="clear" w:color="auto" w:fill="CCEEFF"/>
          </w:tcPr>
          <w:p>
            <w:pPr>
              <w:spacing w:after="0"/>
              <w:rPr>
                <w:sz w:val="18"/>
                <w:szCs w:val="18"/>
                <w:color w:val="auto"/>
              </w:rPr>
            </w:pPr>
          </w:p>
        </w:tc>
        <w:tc>
          <w:tcPr>
            <w:tcW w:w="5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10,504</w:t>
            </w:r>
          </w:p>
        </w:tc>
        <w:tc>
          <w:tcPr>
            <w:tcW w:w="10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867,312</w:t>
            </w:r>
          </w:p>
        </w:tc>
        <w:tc>
          <w:tcPr>
            <w:tcW w:w="0" w:type="dxa"/>
            <w:vAlign w:val="bottom"/>
          </w:tcPr>
          <w:p>
            <w:pPr>
              <w:spacing w:after="0"/>
              <w:rPr>
                <w:sz w:val="1"/>
                <w:szCs w:val="1"/>
                <w:color w:val="auto"/>
              </w:rPr>
            </w:pPr>
          </w:p>
        </w:tc>
      </w:tr>
      <w:tr>
        <w:trPr>
          <w:trHeight w:val="234"/>
        </w:trPr>
        <w:tc>
          <w:tcPr>
            <w:tcW w:w="1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6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700" w:type="dxa"/>
            <w:vAlign w:val="bottom"/>
            <w:gridSpan w:val="2"/>
            <w:vMerge w:val="continue"/>
            <w:shd w:val="clear" w:color="auto" w:fill="CCEEFF"/>
          </w:tcPr>
          <w:p>
            <w:pPr>
              <w:spacing w:after="0"/>
              <w:rPr>
                <w:sz w:val="20"/>
                <w:szCs w:val="20"/>
                <w:color w:val="auto"/>
              </w:rPr>
            </w:pPr>
          </w:p>
        </w:tc>
        <w:tc>
          <w:tcPr>
            <w:tcW w:w="700" w:type="dxa"/>
            <w:vAlign w:val="bottom"/>
            <w:gridSpan w:val="2"/>
            <w:vMerge w:val="continue"/>
            <w:shd w:val="clear" w:color="auto" w:fill="CCEEFF"/>
          </w:tcPr>
          <w:p>
            <w:pPr>
              <w:spacing w:after="0"/>
              <w:rPr>
                <w:sz w:val="20"/>
                <w:szCs w:val="20"/>
                <w:color w:val="auto"/>
              </w:rPr>
            </w:pPr>
          </w:p>
        </w:tc>
        <w:tc>
          <w:tcPr>
            <w:tcW w:w="7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2" w:lineRule="exact"/>
        <w:rPr>
          <w:sz w:val="20"/>
          <w:szCs w:val="20"/>
          <w:color w:val="auto"/>
        </w:rPr>
      </w:pPr>
    </w:p>
    <w:p>
      <w:pPr>
        <w:jc w:val="both"/>
        <w:ind w:left="640" w:right="299" w:hanging="348"/>
        <w:spacing w:after="0" w:line="241" w:lineRule="auto"/>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an employee in 2022 and began service as our principal executive officer on November 7, 2022. Mr. Francis became an employee on August 15, 2023; Mr. Grazier, formerly our Senior Vice President, Engineering, was appointed our Chief Technology Officer, effective December 5, 2022.</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performance-based, discretionary cash bonuses including a signing bonus of $700,000 for Mr. Francis, a retention bonus of $200,000 for Mr. Grazier and additional bonuses for Mr. Camire and Mr. Grazier of $45,100 and $46,750, respectively, to account for their individual contributions, as described under “—Cash Bonuses—Cash Bonus Payments” above.</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 date fair value of all time-based restricted stock unit (“RSU”) award in accordance with ASC 718. The grant date fair value of each RSU award was measured based on the per share closing price of our Class A Common Stock on the date of grant. The amounts reported do not correspond to the economic value received by each NEO from the equity award. For additional information regarding the market value of outstanding awards, see “Outstanding Equity Awards at Fiscal Year-end” below. For information regarding assumptions underlying the value of equity awards, see Note 14 to our audited consolidated financial statements included in this prospectus.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paid under the short term incentive plan “STIP”). In September 2023, the Compensation Committee approved the 2023 STIP for the Named Executive Officers (other than Mr. Francis) based on performance against our Revenue (50% of the performance award), Adjusted EBITDA (50% of the performance award), and Cash (a minimum condition for any award) targets for FY23 in the same manner as the core bonus plan for the rest of the employees of the Company. There is no individual award component to the 2023 STIP. The value of the 2023 STIP could have ranged from $0 to, assuming the highest level of performance conditions were achieved, $307,500 for Mr. Camire and $318,750 for Mr. Grazier.</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 (i) group term life insurance premiums in excess of the broad-based benefit level of $280, $224 and $561 for 2023 for Messrs. Francis, Camire and Grazier, respectively and $0, $216, and $540 for 2022 for Messrs. Francis, Camire and Grazier, respectively;</w:t>
      </w:r>
    </w:p>
    <w:p>
      <w:pPr>
        <w:jc w:val="both"/>
        <w:ind w:left="640" w:right="299" w:firstLine="3"/>
        <w:spacing w:after="0" w:line="228" w:lineRule="auto"/>
        <w:tabs>
          <w:tab w:leader="none" w:pos="876"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matching contributions under our 401(k) plan of $4,708, $11,327 and $11,550 for 2023 for Messrs. Francis, Camire and Grazier, respectively and $0, $10,288, $12,844 for 2022 for Messrs. Francis, Camire and Grazier; (iii) compensation for service as a member of our Board of $68,673 for 2023 and $69,701 for 2022, respectively for Mr. Francis as further described in the section entitled Director Compensation; (iv) compensation for legal fee reimbursement of $8,946 for 2023 for Mr. Francis; and (v) parental leave benefit of $13,106 in 2023 for Mr. Grazier.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regarding outstanding equity awards for the Named Executive Officers as of December 31, 2023:</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w:t>
            </w: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0" w:type="dxa"/>
            <w:vAlign w:val="bottom"/>
          </w:tcPr>
          <w:p>
            <w:pPr>
              <w:spacing w:after="0"/>
              <w:rPr>
                <w:sz w:val="1"/>
                <w:szCs w:val="1"/>
                <w:color w:val="auto"/>
              </w:rPr>
            </w:pPr>
          </w:p>
        </w:tc>
      </w:tr>
      <w:tr>
        <w:trPr>
          <w:trHeight w:val="148"/>
        </w:trPr>
        <w:tc>
          <w:tcPr>
            <w:tcW w:w="9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5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00" w:type="dxa"/>
            <w:vAlign w:val="bottom"/>
            <w:gridSpan w:val="2"/>
            <w:vMerge w:val="continue"/>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vMerge w:val="restart"/>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price</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8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60" w:type="dxa"/>
            <w:vAlign w:val="bottom"/>
          </w:tcPr>
          <w:p>
            <w:pPr>
              <w:spacing w:after="0"/>
              <w:rPr>
                <w:sz w:val="21"/>
                <w:szCs w:val="21"/>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1"/>
                <w:szCs w:val="21"/>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21"/>
                <w:szCs w:val="21"/>
                <w:color w:val="auto"/>
              </w:rPr>
            </w:pP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(1)</w:t>
            </w:r>
          </w:p>
        </w:tc>
        <w:tc>
          <w:tcPr>
            <w:tcW w:w="6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1"/>
                <w:szCs w:val="21"/>
                <w:color w:val="auto"/>
              </w:rPr>
            </w:pP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250"/>
        </w:trPr>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Douglas</w:t>
            </w:r>
          </w:p>
        </w:tc>
        <w:tc>
          <w:tcPr>
            <w:tcW w:w="8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Francis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8/26/2021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10,094</w:t>
            </w: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7,271</w:t>
            </w:r>
          </w:p>
        </w:tc>
        <w:tc>
          <w:tcPr>
            <w:tcW w:w="5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Brian</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Camire</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12/11/2021</w:t>
            </w:r>
          </w:p>
        </w:tc>
        <w:tc>
          <w:tcPr>
            <w:tcW w:w="80" w:type="dxa"/>
            <w:vAlign w:val="bottom"/>
          </w:tcPr>
          <w:p>
            <w:pPr>
              <w:spacing w:after="0"/>
              <w:rPr>
                <w:sz w:val="18"/>
                <w:szCs w:val="18"/>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52,734</w:t>
            </w:r>
          </w:p>
        </w:tc>
        <w:tc>
          <w:tcPr>
            <w:tcW w:w="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37,984</w:t>
            </w:r>
          </w:p>
        </w:tc>
        <w:tc>
          <w:tcPr>
            <w:tcW w:w="0" w:type="dxa"/>
            <w:vAlign w:val="bottom"/>
          </w:tcPr>
          <w:p>
            <w:pPr>
              <w:spacing w:after="0"/>
              <w:rPr>
                <w:sz w:val="1"/>
                <w:szCs w:val="1"/>
                <w:color w:val="auto"/>
              </w:rPr>
            </w:pPr>
          </w:p>
        </w:tc>
      </w:tr>
      <w:tr>
        <w:trPr>
          <w:trHeight w:val="60"/>
        </w:trPr>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12/11/2021</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58,596</w:t>
            </w: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42,207</w:t>
            </w:r>
          </w:p>
        </w:tc>
        <w:tc>
          <w:tcPr>
            <w:tcW w:w="5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9/30/2023</w:t>
            </w:r>
          </w:p>
        </w:tc>
        <w:tc>
          <w:tcPr>
            <w:tcW w:w="80" w:type="dxa"/>
            <w:vAlign w:val="bottom"/>
          </w:tcPr>
          <w:p>
            <w:pPr>
              <w:spacing w:after="0"/>
              <w:rPr>
                <w:sz w:val="21"/>
                <w:szCs w:val="21"/>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w w:val="99"/>
              </w:rPr>
              <w:t>600,846 432,789</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12/8/2020</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185,933</w:t>
            </w: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61,976</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11/12/2019</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433,840</w:t>
            </w:r>
          </w:p>
        </w:tc>
        <w:tc>
          <w:tcPr>
            <w:tcW w:w="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8.03</w:t>
            </w: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Duncan</w:t>
            </w: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Grazier</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3/1/2022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29,353</w:t>
            </w: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21,143</w:t>
            </w:r>
          </w:p>
        </w:tc>
        <w:tc>
          <w:tcPr>
            <w:tcW w:w="5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9/30/2023</w:t>
            </w:r>
          </w:p>
        </w:tc>
        <w:tc>
          <w:tcPr>
            <w:tcW w:w="80" w:type="dxa"/>
            <w:vAlign w:val="bottom"/>
          </w:tcPr>
          <w:p>
            <w:pPr>
              <w:spacing w:after="0"/>
              <w:rPr>
                <w:sz w:val="21"/>
                <w:szCs w:val="21"/>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w w:val="99"/>
              </w:rPr>
              <w:t>635,221 457,550</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8/30/2021</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35,553</w:t>
            </w:r>
          </w:p>
        </w:tc>
        <w:tc>
          <w:tcPr>
            <w:tcW w:w="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25,609</w:t>
            </w: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12/8/2020</w:t>
            </w:r>
          </w:p>
        </w:tc>
        <w:tc>
          <w:tcPr>
            <w:tcW w:w="80" w:type="dxa"/>
            <w:vAlign w:val="bottom"/>
          </w:tcPr>
          <w:p>
            <w:pPr>
              <w:spacing w:after="0"/>
              <w:rPr>
                <w:sz w:val="21"/>
                <w:szCs w:val="21"/>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21"/>
                <w:szCs w:val="21"/>
                <w:color w:val="auto"/>
              </w:rPr>
            </w:pP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46,482</w:t>
            </w:r>
          </w:p>
        </w:tc>
        <w:tc>
          <w:tcPr>
            <w:tcW w:w="60" w:type="dxa"/>
            <w:vAlign w:val="bottom"/>
          </w:tcPr>
          <w:p>
            <w:pPr>
              <w:spacing w:after="0"/>
              <w:rPr>
                <w:sz w:val="21"/>
                <w:szCs w:val="21"/>
                <w:color w:val="auto"/>
              </w:rPr>
            </w:pPr>
          </w:p>
        </w:tc>
        <w:tc>
          <w:tcPr>
            <w:tcW w:w="82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15,495</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12/10/2019</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61,977</w:t>
            </w: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8.03</w:t>
            </w: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-2571115</wp:posOffset>
            </wp:positionV>
            <wp:extent cx="342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-2571115</wp:posOffset>
            </wp:positionV>
            <wp:extent cx="342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-2571115</wp:posOffset>
            </wp:positionV>
            <wp:extent cx="342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-2571115</wp:posOffset>
            </wp:positionV>
            <wp:extent cx="342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-2571115</wp:posOffset>
            </wp:positionV>
            <wp:extent cx="342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-2571115</wp:posOffset>
            </wp:positionV>
            <wp:extent cx="342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-2571115</wp:posOffset>
            </wp:positionV>
            <wp:extent cx="342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-2571115</wp:posOffset>
            </wp:positionV>
            <wp:extent cx="342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-2571115</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-2571115</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-2571115</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is based on the closing price of our common stock as of December 31, 2023 of $0.7203 per share.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on June 16, 2024, subject to continued service with us.</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seven equal quarterly installments beginning on February 15, 2024, subject to continued service with us.</w:t>
      </w:r>
    </w:p>
    <w:p>
      <w:pPr>
        <w:ind w:left="640" w:right="299" w:hanging="348"/>
        <w:spacing w:after="0" w:line="261"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nine equal quarterly installments beginning on February 15, 2024, subject to continued service with us.</w:t>
      </w:r>
    </w:p>
    <w:p>
      <w:pPr>
        <w:ind w:left="640" w:right="319" w:hanging="348"/>
        <w:spacing w:after="0" w:line="261"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eleven equal quarterly installments beginning on February 15, 2024, subject to continued service with us.</w:t>
      </w:r>
    </w:p>
    <w:p>
      <w:pPr>
        <w:ind w:left="640" w:right="299" w:hanging="348"/>
        <w:spacing w:after="0" w:line="261"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three equal quarterly installments beginning on February 15, 2024, subject to continued service with us.</w:t>
      </w:r>
    </w:p>
    <w:p>
      <w:pPr>
        <w:ind w:left="640" w:right="319" w:hanging="348"/>
        <w:spacing w:after="0" w:line="261"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eleven equal quarterly installments beginning on February 15, 2024, subject to continued service with us.</w:t>
      </w:r>
    </w:p>
    <w:p>
      <w:pPr>
        <w:jc w:val="both"/>
        <w:ind w:left="640" w:right="299" w:hanging="348"/>
        <w:spacing w:after="0" w:line="241"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PRSU award vests on January 1, 2024 in accordance with the performance-based vesting conditions described above under “Equity-Based Incentive Awards.” The number of shares subject to each named executive officer’s PRSU award assumes threshold achievement, with the Adjusted EBITDA Margin Percentage deemed to equal 100% and Revenue CAGR Percentage deemed to equal 0%.</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Class P Unit award vests in four quarterly installments beginning on January 12, 2024, subject to continued service with us.</w:t>
      </w:r>
    </w:p>
    <w:p>
      <w:pPr>
        <w:ind w:left="640" w:right="299" w:hanging="348"/>
        <w:spacing w:after="0" w:line="261"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Class P Unit award vests in four quarterly installments beginning on March 8, 2024, subject to continued service with us.</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For 2023, the compensation programs for our Named Executive Officers consisted of base salary, cash bonuses and equity-based incentive awards. Detailed information about these compensation programs can be found above in the section </w:t>
      </w:r>
      <w:r>
        <w:rPr>
          <w:rFonts w:ascii="Times New Roman" w:cs="Times New Roman" w:eastAsia="Times New Roman" w:hAnsi="Times New Roman"/>
          <w:sz w:val="18"/>
          <w:szCs w:val="18"/>
          <w:i w:val="1"/>
          <w:iCs w:val="1"/>
          <w:color w:val="auto"/>
        </w:rPr>
        <w:t>Executive Compensation – Compensation Elements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Employment Arrangements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have entered into an offer letter with Ghost Management Group, LLC, which provides for employment on an at-will basis.</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Douglas Francis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Mr. Francis entered into an offer of continued employment with Ghost Management Group, LLC, dated August 15, 2023, reflecting his continued service as our Executive Chair. Pursuant to the terms of the offer letter, Mr. Francis’ annual base salary is $1,020,000, and he received a signing bonus of $700,000. Mr. Francis also is eligible to participate in the employee benefit plans generally available to our employees and maintained by us.</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Duncan Grazier</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Mr. Grazier previously entered into an offer letter with Ghost Management Group, LLC, dated August 20, 2019. Pursuant to the terms of the offer letter, Mr. Grazier’s annual base salary was $250,000 per year, which increased to $425,000 following his promotion to Chief Technology Officer. Mr. Grazier also was advanced a retention bonus in the amount of $200,000 pursuant to the retention bonus agreement entered into on October 2, 2023, as further described in the Form 8-K filed on October 6, 2023. Mr. Grazier also is eligible to participate in the employee benefit plans generally available to our employees and maintained by us.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Brian Camire</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Mr. Camire previously entered into an offer letter with Ghost Management Group, LLC, dated April 4, 2019. Pursuant to the terms of the offer letter, Mr. Camire’s annual base salary was $350,000, which increased to $410,000 per year. Mr. Camire also is eligible to participate in the employee benefit plans generally available to our employees and maintained by us.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Each of Mr. Grazier and Mr. Camire is eligible to participate in the Severance Plan, which provides certain benefits. Mr. Francis is not a participant in the Severance Plan and did not have any severance benefits as of December 31, 2023.</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Severance Plan provides for severance and change in control benefits to our Named Executive Officers upon a “change in control termination” or a “regular termination” (each, as described below). Upon a change in control termination, each of Mr. Grazier and Mr. Camire (our current Named Executive Officers eligible to participate in the Severance Plan) is entitled to (i) a lump sum payment equal to 12 months of his base salary, (ii) a lump sum payment equal to 100% of the Named Executive Officer’s annual target cash bonus, (iii) full vesting acceleration of all outstanding equity awards (with any performance-based vesting awards deemed achieved at target level), and</w:t>
      </w:r>
    </w:p>
    <w:p>
      <w:pPr>
        <w:spacing w:after="0" w:line="5" w:lineRule="exact"/>
        <w:rPr>
          <w:sz w:val="20"/>
          <w:szCs w:val="20"/>
          <w:color w:val="auto"/>
        </w:rPr>
      </w:pPr>
    </w:p>
    <w:p>
      <w:pPr>
        <w:jc w:val="both"/>
        <w:ind w:left="300" w:right="299" w:hanging="8"/>
        <w:spacing w:after="0" w:line="253" w:lineRule="auto"/>
        <w:tabs>
          <w:tab w:leader="none" w:pos="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group health insurance premiums for 12 months. Upon a regular termination, each of Mr. Grazier and Mr. Camire is entitled to (i) continued payment of the Named Executive Officer’s base salary for 9 months, (ii) a lump sum payment equal to 75% of the Named Executive Officer’s annual target cash bonus, and (iii) payment of group health insurance premiums for 9 months. All benefits under the Severance Plan are subject to the Named Executive Officer’s execution of an effective release of claims against us.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purposes of the Severance Plan, a “change in control termination” is a termination by us without “cause” (and not as a result of death or disability) or a resignation by the Named Executive Officer for “good reason” (each, as defined in the Severance Plan), that occurs during the period of time beginning three months before the closing of, and ending 12 months following the closing of, a “change in control” (as defined in our 2021 Equity Plan), which we refer to as the “change in control period.” A “regular termination” is a termination by us without cause that does not occur during a change in control period. No benefits are payable pursuant to our Severance Plan in the event of a Named Executive Officer’s retirement or voluntary resignation (other than for Good Reason, as described above).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9" w:name="page110"/>
    <w:bookmarkEnd w:id="10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following table quantifies the amount of cash payments, continued health benefits, and the value of any equity acceleration our eligible Named Executive Officers would have received in connection with certain terminations of employment as if such termination of employment had occurred on December 31, 2023.</w:t>
      </w:r>
    </w:p>
    <w:p>
      <w:pPr>
        <w:spacing w:after="0" w:line="210" w:lineRule="exact"/>
        <w:rPr>
          <w:sz w:val="20"/>
          <w:szCs w:val="20"/>
          <w:color w:val="auto"/>
        </w:rPr>
      </w:pPr>
    </w:p>
    <w:tbl>
      <w:tblPr>
        <w:tblLayout w:type="fixed"/>
        <w:tblInd w:w="1300" w:type="dxa"/>
        <w:tblCellMar>
          <w:top w:w="0" w:type="dxa"/>
          <w:left w:w="0" w:type="dxa"/>
          <w:bottom w:w="0" w:type="dxa"/>
          <w:right w:w="0" w:type="dxa"/>
        </w:tblCellMar>
      </w:tblPr>
      <w:tr>
        <w:trPr>
          <w:trHeight w:val="187"/>
        </w:trPr>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6"/>
                <w:szCs w:val="16"/>
                <w:color w:val="auto"/>
              </w:rPr>
            </w:pPr>
          </w:p>
        </w:tc>
        <w:tc>
          <w:tcPr>
            <w:tcW w:w="7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7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23"/>
                <w:szCs w:val="23"/>
                <w:b w:val="1"/>
                <w:bCs w:val="1"/>
                <w:color w:val="auto"/>
                <w:vertAlign w:val="superscript"/>
              </w:rPr>
              <w:t>(1)</w:t>
            </w:r>
          </w:p>
        </w:tc>
        <w:tc>
          <w:tcPr>
            <w:tcW w:w="6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264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72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CCEEFF"/>
            </w:tcBorders>
            <w:vMerge w:val="continue"/>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6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8"/>
                <w:vertAlign w:val="subscript"/>
              </w:rPr>
              <w:t>($)</w:t>
            </w:r>
            <w:r>
              <w:rPr>
                <w:rFonts w:ascii="Times New Roman" w:cs="Times New Roman" w:eastAsia="Times New Roman" w:hAnsi="Times New Roman"/>
                <w:sz w:val="12"/>
                <w:szCs w:val="12"/>
                <w:b w:val="1"/>
                <w:bCs w:val="1"/>
                <w:color w:val="auto"/>
                <w:w w:val="88"/>
              </w:rPr>
              <w:t>(2)(3)</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7"/>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4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Involuntary Termination (non-CIC)</w:t>
            </w:r>
          </w:p>
        </w:tc>
        <w:tc>
          <w:tcPr>
            <w:tcW w:w="7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318,750</w:t>
            </w:r>
          </w:p>
        </w:tc>
        <w:tc>
          <w:tcPr>
            <w:tcW w:w="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159,375</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24,151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502,276</w:t>
            </w:r>
          </w:p>
        </w:tc>
        <w:tc>
          <w:tcPr>
            <w:tcW w:w="0" w:type="dxa"/>
            <w:vAlign w:val="bottom"/>
          </w:tcPr>
          <w:p>
            <w:pPr>
              <w:spacing w:after="0"/>
              <w:rPr>
                <w:sz w:val="1"/>
                <w:szCs w:val="1"/>
                <w:color w:val="auto"/>
              </w:rPr>
            </w:pPr>
          </w:p>
        </w:tc>
      </w:tr>
      <w:tr>
        <w:trPr>
          <w:trHeight w:val="306"/>
        </w:trPr>
        <w:tc>
          <w:tcPr>
            <w:tcW w:w="1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Involuntary Termination during CIC</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7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7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425,000</w:t>
            </w:r>
          </w:p>
        </w:tc>
        <w:tc>
          <w:tcPr>
            <w:tcW w:w="7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212,500</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32,202</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504,301</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1,174,003</w:t>
            </w:r>
          </w:p>
        </w:tc>
        <w:tc>
          <w:tcPr>
            <w:tcW w:w="0" w:type="dxa"/>
            <w:vAlign w:val="bottom"/>
          </w:tcPr>
          <w:p>
            <w:pPr>
              <w:spacing w:after="0"/>
              <w:rPr>
                <w:sz w:val="1"/>
                <w:szCs w:val="1"/>
                <w:color w:val="auto"/>
              </w:rPr>
            </w:pPr>
          </w:p>
        </w:tc>
      </w:tr>
      <w:tr>
        <w:trPr>
          <w:trHeight w:val="270"/>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40" w:type="dxa"/>
            <w:vAlign w:val="bottom"/>
          </w:tcPr>
          <w:p>
            <w:pPr>
              <w:spacing w:after="0"/>
              <w:rPr>
                <w:sz w:val="23"/>
                <w:szCs w:val="23"/>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Involuntary Termination (non-CIC)</w:t>
            </w:r>
          </w:p>
        </w:tc>
        <w:tc>
          <w:tcPr>
            <w:tcW w:w="7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307,500</w:t>
            </w:r>
          </w:p>
        </w:tc>
        <w:tc>
          <w:tcPr>
            <w:tcW w:w="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153,750</w:t>
            </w: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16,841</w:t>
            </w:r>
          </w:p>
        </w:tc>
        <w:tc>
          <w:tcPr>
            <w:tcW w:w="1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478,091</w:t>
            </w:r>
          </w:p>
        </w:tc>
        <w:tc>
          <w:tcPr>
            <w:tcW w:w="0" w:type="dxa"/>
            <w:vAlign w:val="bottom"/>
          </w:tcPr>
          <w:p>
            <w:pPr>
              <w:spacing w:after="0"/>
              <w:rPr>
                <w:sz w:val="1"/>
                <w:szCs w:val="1"/>
                <w:color w:val="auto"/>
              </w:rPr>
            </w:pPr>
          </w:p>
        </w:tc>
      </w:tr>
      <w:tr>
        <w:trPr>
          <w:trHeight w:val="306"/>
        </w:trPr>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w w:val="99"/>
              </w:rPr>
              <w:t>Involuntary Termination during CIC</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7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410,000</w:t>
            </w:r>
          </w:p>
        </w:tc>
        <w:tc>
          <w:tcPr>
            <w:tcW w:w="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205,000</w:t>
            </w:r>
          </w:p>
        </w:tc>
        <w:tc>
          <w:tcPr>
            <w:tcW w:w="1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22,454</w:t>
            </w:r>
          </w:p>
        </w:tc>
        <w:tc>
          <w:tcPr>
            <w:tcW w:w="10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474,996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1,112,450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5612130</wp:posOffset>
            </wp:positionH>
            <wp:positionV relativeFrom="paragraph">
              <wp:posOffset>-1079500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5038090</wp:posOffset>
            </wp:positionH>
            <wp:positionV relativeFrom="paragraph">
              <wp:posOffset>-1079500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4549140</wp:posOffset>
            </wp:positionH>
            <wp:positionV relativeFrom="paragraph">
              <wp:posOffset>-1079500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4103370</wp:posOffset>
            </wp:positionH>
            <wp:positionV relativeFrom="paragraph">
              <wp:posOffset>-1079500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-1079500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-1079500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145415</wp:posOffset>
            </wp:positionV>
            <wp:extent cx="8229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1640" w:hanging="348"/>
        <w:spacing w:after="0"/>
        <w:tabs>
          <w:tab w:leader="none" w:pos="1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Mr. Francis, who was not a participant in the Severance Plan as of December 31, 2023.</w:t>
      </w:r>
    </w:p>
    <w:p>
      <w:pPr>
        <w:spacing w:after="0" w:line="41" w:lineRule="exact"/>
        <w:rPr>
          <w:rFonts w:ascii="Times New Roman" w:cs="Times New Roman" w:eastAsia="Times New Roman" w:hAnsi="Times New Roman"/>
          <w:sz w:val="14"/>
          <w:szCs w:val="14"/>
          <w:color w:val="auto"/>
        </w:rPr>
      </w:pPr>
    </w:p>
    <w:p>
      <w:pPr>
        <w:ind w:left="1640" w:right="1320" w:hanging="348"/>
        <w:spacing w:after="0" w:line="261" w:lineRule="auto"/>
        <w:tabs>
          <w:tab w:leader="none" w:pos="1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equity acceleration is calculated based on the closing price of our common stock as of December 31, 2023 of $0.7203 per share.</w:t>
      </w:r>
    </w:p>
    <w:p>
      <w:pPr>
        <w:ind w:left="1640" w:hanging="348"/>
        <w:spacing w:after="0"/>
        <w:tabs>
          <w:tab w:leader="none" w:pos="1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on June 16, 2024, subject to continued service with us.</w:t>
      </w:r>
    </w:p>
    <w:p>
      <w:pPr>
        <w:spacing w:after="0" w:line="2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jc w:val="both"/>
        <w:ind w:left="1300" w:right="1300"/>
        <w:spacing w:after="0" w:line="282" w:lineRule="auto"/>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or retirement plan sponsored by us during 2023 other than the 401(k) Plan.</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jc w:val="both"/>
        <w:ind w:left="1300" w:right="1300"/>
        <w:spacing w:after="0" w:line="282" w:lineRule="auto"/>
        <w:rPr>
          <w:sz w:val="20"/>
          <w:szCs w:val="20"/>
          <w:color w:val="auto"/>
        </w:rPr>
      </w:pPr>
      <w:r>
        <w:rPr>
          <w:rFonts w:ascii="Times New Roman" w:cs="Times New Roman" w:eastAsia="Times New Roman" w:hAnsi="Times New Roman"/>
          <w:sz w:val="18"/>
          <w:szCs w:val="18"/>
          <w:color w:val="auto"/>
        </w:rPr>
        <w:t>In 2023, we adopted our Incentive Compensation Recoupment Policy in compliance with requirements under the Dodd Frank Wall Street Reform and Consumer Protection Act and related Nasdaq listing rules.</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w:t>
      </w:r>
    </w:p>
    <w:p>
      <w:pPr>
        <w:spacing w:after="0" w:line="121" w:lineRule="exact"/>
        <w:rPr>
          <w:sz w:val="20"/>
          <w:szCs w:val="20"/>
          <w:color w:val="auto"/>
        </w:rPr>
      </w:pPr>
    </w:p>
    <w:p>
      <w:pPr>
        <w:jc w:val="both"/>
        <w:ind w:left="1300" w:right="1300"/>
        <w:spacing w:after="0" w:line="258" w:lineRule="auto"/>
        <w:rPr>
          <w:sz w:val="20"/>
          <w:szCs w:val="20"/>
          <w:color w:val="auto"/>
        </w:rPr>
      </w:pPr>
      <w:r>
        <w:rPr>
          <w:rFonts w:ascii="Times New Roman" w:cs="Times New Roman" w:eastAsia="Times New Roman" w:hAnsi="Times New Roman"/>
          <w:sz w:val="18"/>
          <w:szCs w:val="18"/>
          <w:color w:val="auto"/>
        </w:rPr>
        <w:t>In 2023, we compensated our non-employee directors in accordance with a Non-Employee Director Compensation Policy established by our Compensation Committee in consultation with the Board, compensation consultants, Chief Executive Officer, and other members of our senior management team. The Non-Employee Director Compensation Policy is intended to provide a total compensation package that enables us to attract and retain, on a long-term basis, high-caliber directors who are not our employees or officers.</w:t>
      </w:r>
    </w:p>
    <w:p>
      <w:pPr>
        <w:spacing w:after="0" w:line="75" w:lineRule="exact"/>
        <w:rPr>
          <w:sz w:val="20"/>
          <w:szCs w:val="20"/>
          <w:color w:val="auto"/>
        </w:rPr>
      </w:pPr>
    </w:p>
    <w:p>
      <w:pPr>
        <w:jc w:val="both"/>
        <w:ind w:left="1300" w:right="1300"/>
        <w:spacing w:after="0" w:line="282" w:lineRule="auto"/>
        <w:rPr>
          <w:sz w:val="20"/>
          <w:szCs w:val="20"/>
          <w:color w:val="auto"/>
        </w:rPr>
      </w:pPr>
      <w:r>
        <w:rPr>
          <w:rFonts w:ascii="Times New Roman" w:cs="Times New Roman" w:eastAsia="Times New Roman" w:hAnsi="Times New Roman"/>
          <w:sz w:val="18"/>
          <w:szCs w:val="18"/>
          <w:color w:val="auto"/>
        </w:rPr>
        <w:t>The Non-Employee Director Compensation Policy was amended in 2023 with changes effective on 1/1/2023. The Non-Employee Director Compensation Policy that was effective for 2023 consisted of the following elements: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Non-Employee Director Compensation</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7820" w:type="dxa"/>
            <w:vAlign w:val="bottom"/>
            <w:gridSpan w:val="2"/>
            <w:vMerge w:val="continue"/>
          </w:tcPr>
          <w:p>
            <w:pPr>
              <w:spacing w:after="0"/>
              <w:rPr>
                <w:sz w:val="16"/>
                <w:szCs w:val="16"/>
                <w:color w:val="auto"/>
              </w:rPr>
            </w:pPr>
          </w:p>
        </w:tc>
        <w:tc>
          <w:tcPr>
            <w:tcW w:w="6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7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1300" w:type="dxa"/>
            <w:vAlign w:val="bottom"/>
          </w:tcPr>
          <w:p>
            <w:pPr>
              <w:spacing w:after="0"/>
              <w:rPr>
                <w:sz w:val="24"/>
                <w:szCs w:val="24"/>
                <w:color w:val="auto"/>
              </w:rPr>
            </w:pPr>
          </w:p>
        </w:tc>
        <w:tc>
          <w:tcPr>
            <w:tcW w:w="7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Annual Retainer for Board Membership</w:t>
            </w:r>
            <w:r>
              <w:rPr>
                <w:rFonts w:ascii="Times New Roman" w:cs="Times New Roman" w:eastAsia="Times New Roman" w:hAnsi="Times New Roman"/>
                <w:sz w:val="29"/>
                <w:szCs w:val="29"/>
                <w:b w:val="1"/>
                <w:bCs w:val="1"/>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300" w:type="dxa"/>
            <w:vAlign w:val="bottom"/>
          </w:tcPr>
          <w:p>
            <w:pPr>
              <w:spacing w:after="0"/>
              <w:rPr>
                <w:sz w:val="24"/>
                <w:szCs w:val="24"/>
                <w:color w:val="auto"/>
              </w:rPr>
            </w:pPr>
          </w:p>
        </w:tc>
        <w:tc>
          <w:tcPr>
            <w:tcW w:w="7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New Director Grant of RSUs for New Non-Employee Directors</w:t>
            </w:r>
            <w:r>
              <w:rPr>
                <w:rFonts w:ascii="Times New Roman" w:cs="Times New Roman" w:eastAsia="Times New Roman" w:hAnsi="Times New Roman"/>
                <w:sz w:val="29"/>
                <w:szCs w:val="29"/>
                <w:b w:val="1"/>
                <w:bCs w:val="1"/>
                <w:color w:val="auto"/>
                <w:vertAlign w:val="superscript"/>
              </w:rPr>
              <w:t>(3)(4)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200,000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7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Initial Term Grants for Existing Non-Employee Directors</w:t>
            </w:r>
            <w:r>
              <w:rPr>
                <w:rFonts w:ascii="Times New Roman" w:cs="Times New Roman" w:eastAsia="Times New Roman" w:hAnsi="Times New Roman"/>
                <w:sz w:val="29"/>
                <w:szCs w:val="29"/>
                <w:b w:val="1"/>
                <w:bCs w:val="1"/>
                <w:color w:val="auto"/>
                <w:vertAlign w:val="superscript"/>
              </w:rPr>
              <w:t>(4)(5)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200,000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7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Annual RSU Grant for All Non-Employee Directors</w:t>
            </w:r>
            <w:r>
              <w:rPr>
                <w:rFonts w:ascii="Times New Roman" w:cs="Times New Roman" w:eastAsia="Times New Roman" w:hAnsi="Times New Roman"/>
                <w:sz w:val="29"/>
                <w:szCs w:val="29"/>
                <w:b w:val="1"/>
                <w:bCs w:val="1"/>
                <w:color w:val="auto"/>
                <w:vertAlign w:val="superscript"/>
              </w:rPr>
              <w:t>(5)(6)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200,000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7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Committee Additional Cash Retainer</w:t>
            </w:r>
          </w:p>
        </w:tc>
        <w:tc>
          <w:tcPr>
            <w:tcW w:w="6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Audit Committee Chairperson</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Audit Committee member (other than Chairperson)</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300" w:type="dxa"/>
            <w:vAlign w:val="bottom"/>
          </w:tcPr>
          <w:p>
            <w:pPr>
              <w:spacing w:after="0"/>
              <w:rPr>
                <w:sz w:val="24"/>
                <w:szCs w:val="24"/>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Compensation Committee Chairperson</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 Committee member (other than Chairperson)</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300" w:type="dxa"/>
            <w:vAlign w:val="bottom"/>
          </w:tcPr>
          <w:p>
            <w:pPr>
              <w:spacing w:after="0"/>
              <w:rPr>
                <w:sz w:val="24"/>
                <w:szCs w:val="24"/>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Nominating and Corporate Governance Committee Chairperson</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300" w:type="dxa"/>
            <w:vAlign w:val="bottom"/>
          </w:tcPr>
          <w:p>
            <w:pPr>
              <w:spacing w:after="0"/>
              <w:rPr>
                <w:sz w:val="24"/>
                <w:szCs w:val="24"/>
                <w:color w:val="auto"/>
              </w:rPr>
            </w:pPr>
          </w:p>
        </w:tc>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Nominating and Corporate Governance Committee member (other than Chairperson)</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Technology Committee Chairperson</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300" w:type="dxa"/>
            <w:vAlign w:val="bottom"/>
          </w:tcPr>
          <w:p>
            <w:pPr>
              <w:spacing w:after="0"/>
              <w:rPr>
                <w:sz w:val="24"/>
                <w:szCs w:val="24"/>
                <w:color w:val="auto"/>
              </w:rPr>
            </w:pPr>
          </w:p>
        </w:tc>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 Committee member(other than Chairperson)</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40" w:type="dxa"/>
            <w:vAlign w:val="bottom"/>
            <w:gridSpan w:val="2"/>
          </w:tcPr>
          <w:p>
            <w:pPr>
              <w:jc w:val="right"/>
              <w:ind w:right="3311"/>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7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5741035</wp:posOffset>
            </wp:positionH>
            <wp:positionV relativeFrom="paragraph">
              <wp:posOffset>-3402330</wp:posOffset>
            </wp:positionV>
            <wp:extent cx="514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020"/>
          </w:cols>
          <w:pgMar w:left="440" w:top="263" w:right="439" w:bottom="1027" w:gutter="0" w:footer="0" w:header="0"/>
        </w:sectPr>
      </w:pPr>
    </w:p>
    <w:bookmarkStart w:id="110" w:name="page111"/>
    <w:bookmarkEnd w:id="110"/>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3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7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Non-Employee Director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0"/>
        </w:trPr>
        <w:tc>
          <w:tcPr>
            <w:tcW w:w="7840" w:type="dxa"/>
            <w:vAlign w:val="bottom"/>
            <w:gridSpan w:val="3"/>
            <w:vMerge w:val="continue"/>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51"/>
        </w:trPr>
        <w:tc>
          <w:tcPr>
            <w:tcW w:w="1540" w:type="dxa"/>
            <w:vAlign w:val="bottom"/>
            <w:tcBorders>
              <w:bottom w:val="single" w:sz="8" w:color="auto"/>
            </w:tcBorders>
          </w:tcPr>
          <w:p>
            <w:pPr>
              <w:spacing w:after="0"/>
              <w:rPr>
                <w:sz w:val="4"/>
                <w:szCs w:val="4"/>
                <w:color w:val="auto"/>
              </w:rPr>
            </w:pPr>
          </w:p>
        </w:tc>
        <w:tc>
          <w:tcPr>
            <w:tcW w:w="62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78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Annual Retainer for Chairperson of the Board (if a Non-Employee Director)</w:t>
            </w:r>
            <w:r>
              <w:rPr>
                <w:rFonts w:ascii="Times New Roman" w:cs="Times New Roman" w:eastAsia="Times New Roman" w:hAnsi="Times New Roman"/>
                <w:sz w:val="29"/>
                <w:szCs w:val="29"/>
                <w:color w:val="auto"/>
                <w:vertAlign w:val="superscript"/>
              </w:rPr>
              <w:t>(1)(2)</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364"/>
        </w:trPr>
        <w:tc>
          <w:tcPr>
            <w:tcW w:w="78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Additional Annual Retainer for Lead Independent Director</w:t>
            </w:r>
            <w:r>
              <w:rPr>
                <w:rFonts w:ascii="Times New Roman" w:cs="Times New Roman" w:eastAsia="Times New Roman" w:hAnsi="Times New Roman"/>
                <w:sz w:val="29"/>
                <w:szCs w:val="29"/>
                <w:color w:val="auto"/>
                <w:vertAlign w:val="superscript"/>
              </w:rPr>
              <w:t>(1)(2)</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364"/>
        </w:trPr>
        <w:tc>
          <w:tcPr>
            <w:tcW w:w="78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Meeting Fees for each Director</w:t>
            </w:r>
            <w:r>
              <w:rPr>
                <w:rFonts w:ascii="Times New Roman" w:cs="Times New Roman" w:eastAsia="Times New Roman" w:hAnsi="Times New Roman"/>
                <w:sz w:val="29"/>
                <w:szCs w:val="29"/>
                <w:color w:val="auto"/>
                <w:vertAlign w:val="superscript"/>
              </w:rPr>
              <w:t>(7)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-710565</wp:posOffset>
            </wp:positionV>
            <wp:extent cx="514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171450</wp:posOffset>
            </wp:positionV>
            <wp:extent cx="82296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95" w:lineRule="exact"/>
        <w:rPr>
          <w:sz w:val="20"/>
          <w:szCs w:val="20"/>
          <w:color w:val="auto"/>
        </w:rPr>
      </w:pPr>
    </w:p>
    <w:p>
      <w:pPr>
        <w:ind w:left="640" w:right="319" w:hanging="348"/>
        <w:spacing w:after="0" w:line="261"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Vested upon payment and paid in arrears on the last business day of each fiscal quarter in which the Non -Employee Director’s service occurred.</w:t>
      </w:r>
    </w:p>
    <w:p>
      <w:pPr>
        <w:jc w:val="both"/>
        <w:ind w:left="640" w:right="299" w:hanging="348"/>
        <w:spacing w:after="0" w:line="241"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Non-Employee Director joins the Board or a committee of the Board at a time other than effective as of the first day of a fiscal quarter, this annual retainer will be pro-rated based on days served in the applicable fiscal year, with the pro-rated amount paid for the first fiscal quarter in which the Non-Employee Director provides the service, and regular full quarterly payments thereafter.</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Non-Employee Director elected or appointed to be a Non-Employee Director for the first time will receive an initial one-time RSU grant (the “New Director Grant”) with an aggregate value of approximately (i) $200,000 multiplied by the ratio of (A) the number of calendar months between their commencement date and the first anniversary of the date of our most recent annual meeting of our stockholders, rounded up to the nearest whole number, and (B) 12, plus (ii) $200,000 multiplied by the number of whole calendar years remaining on their initial term. The portion of the grant described in clause (i) of the prior sentence will vest on the date of the next annual meeting of our stockholders (the “First Meeting Date”) and the portion of the grant described in clause (ii) of the prior sentence, if any, will vest in equal annual installments on the date of each annual meeting of our stockholders (an “Annual Meeting Date”) following the First Meeting Date that is part of their initial term.</w:t>
      </w:r>
    </w:p>
    <w:p>
      <w:pPr>
        <w:spacing w:after="0" w:line="115" w:lineRule="exact"/>
        <w:rPr>
          <w:rFonts w:ascii="Times New Roman" w:cs="Times New Roman" w:eastAsia="Times New Roman" w:hAnsi="Times New Roman"/>
          <w:sz w:val="14"/>
          <w:szCs w:val="14"/>
          <w:color w:val="auto"/>
        </w:rPr>
      </w:pPr>
    </w:p>
    <w:p>
      <w:pPr>
        <w:jc w:val="both"/>
        <w:ind w:left="640" w:right="299" w:hanging="348"/>
        <w:spacing w:after="0" w:line="227"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vesting is subject to the Non-Employee Director’s Continuous Service (as defined in the 2021 Equity Plan) through the applicable vesting date. In the event of a change of control (as defined in the 2021 Equity Plan), any unvested portion of an equity award granted to our Non-Employee Directors pursuant to the Non-Employee Director Compensation Policy shall vest as follows: (i) the portion of each New Director Grant held by such Non-Employee Director that, if the change in control had not occurred, would have vested at each of the next two Annual Meeting Dates following the closing date will, immediately prior to the closing, accelerate and become vested; (ii) the portion of each Initial Term Grant held by such Non-Employee Director that, if the change in control had not occurred, would have vested at the next Annual Meeting Date following the closing date will, immediately prior to the closing, accelerate and become vested; and (iii) the portion of each Renewal Term Grant held by such Non-Employee Director that, if the change in control had not occurred, would have vested at the next Annual Meeting Date following the closing date will, immediately prior to the closing, accelerate and become vested.</w:t>
      </w:r>
    </w:p>
    <w:p>
      <w:pPr>
        <w:spacing w:after="0" w:line="20"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1, 2023, each Non-Employee Director who was then in office automatically received a one-time grant of restricted stock units (each, an “Initial Term Grant”) with an aggregate value of approximately $200,000 multiplied by the number of whole calendar years remaining on the Non-Employee Director’s term. Each Initial Term Grant will vest in equal annual installments on the date of each remaining Annual Meeting Date following the First Meeting Date subsequent to the effectiveness of the Initial Term Grant that is part of the Non-Employee Directors current term. The Initial Term Grant may only be granted once to any Non-Employee Director.</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close of business on the date of each annual meeting of our stockholders, each Non-Employee Director who will continue as a member of the Board following the date of such annual meeting of our stockholders will receive an RSU grant (the “Renewal Term Grant”) with an aggregate value of approximately $600,000, that vests in three equal annual installments over the next three Annual Meeting Dates.</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Outside Director who attends more than eight (8) meetings of (i) the Board plus (ii) any ad hoc or special committee meetings not named in I.(b) above during any calendar year will receive an additional $1,000 for each meeting attended in the calendar year in excess of eight (8). Any Outside Director who attends more than eight (8) meetings of any Committee named in I.(b) above on which that Outside Director serves during any calendar year will receive $1,000 for each meeting of that Committee attended in the calendar year in excess of eight (8).</w:t>
      </w:r>
    </w:p>
    <w:p>
      <w:pPr>
        <w:spacing w:after="0" w:line="21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following table shows certain information with respect to the compensation of all non-employee directors of the Company in 2023. These amounts reflect our accounting expense for these RSUs, as further described in the footnotes to the table, and do not represent the actual economic value that was realized in 2023 or may be realized upon vesting by the non-employee director.</w:t>
      </w:r>
    </w:p>
    <w:p>
      <w:pPr>
        <w:sectPr>
          <w:pgSz w:w="11900" w:h="16838" w:orient="portrait"/>
          <w:cols w:equalWidth="0" w:num="1">
            <w:col w:w="9019"/>
          </w:cols>
          <w:pgMar w:left="1440" w:top="262" w:right="1440" w:bottom="1440" w:gutter="0" w:footer="0" w:header="0"/>
        </w:sectPr>
      </w:pPr>
    </w:p>
    <w:p>
      <w:pPr>
        <w:spacing w:after="0" w:line="35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2060" w:type="dxa"/>
            <w:vAlign w:val="bottom"/>
          </w:tcPr>
          <w:p>
            <w:pPr>
              <w:jc w:val="center"/>
              <w:ind w:left="1028"/>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580" w:type="dxa"/>
            <w:vAlign w:val="bottom"/>
            <w:vMerge w:val="restart"/>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2060" w:type="dxa"/>
            <w:vAlign w:val="bottom"/>
          </w:tcPr>
          <w:p>
            <w:pPr>
              <w:jc w:val="center"/>
              <w:ind w:left="988"/>
              <w:spacing w:after="0" w:line="146"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60" w:type="dxa"/>
            <w:vAlign w:val="bottom"/>
          </w:tcPr>
          <w:p>
            <w:pPr>
              <w:jc w:val="center"/>
              <w:ind w:left="1008"/>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580" w:type="dxa"/>
            <w:vAlign w:val="bottom"/>
          </w:tcPr>
          <w:p>
            <w:pPr>
              <w:jc w:val="center"/>
              <w:ind w:left="32"/>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243"/>
        </w:trPr>
        <w:tc>
          <w:tcPr>
            <w:tcW w:w="1540" w:type="dxa"/>
            <w:vAlign w:val="bottom"/>
            <w:vMerge w:val="continue"/>
          </w:tcPr>
          <w:p>
            <w:pPr>
              <w:spacing w:after="0"/>
              <w:rPr>
                <w:sz w:val="21"/>
                <w:szCs w:val="21"/>
                <w:color w:val="auto"/>
              </w:rPr>
            </w:pPr>
          </w:p>
        </w:tc>
        <w:tc>
          <w:tcPr>
            <w:tcW w:w="2060" w:type="dxa"/>
            <w:vAlign w:val="bottom"/>
          </w:tcPr>
          <w:p>
            <w:pPr>
              <w:jc w:val="center"/>
              <w:ind w:left="10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8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8"/>
                <w:szCs w:val="28"/>
                <w:b w:val="1"/>
                <w:bCs w:val="1"/>
                <w:color w:val="auto"/>
                <w:w w:val="88"/>
                <w:vertAlign w:val="subscript"/>
              </w:rPr>
              <w:t>($)</w:t>
            </w:r>
            <w:r>
              <w:rPr>
                <w:rFonts w:ascii="Times New Roman" w:cs="Times New Roman" w:eastAsia="Times New Roman" w:hAnsi="Times New Roman"/>
                <w:sz w:val="12"/>
                <w:szCs w:val="12"/>
                <w:b w:val="1"/>
                <w:bCs w:val="1"/>
                <w:color w:val="auto"/>
                <w:w w:val="88"/>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0</wp:posOffset>
            </wp:positionV>
            <wp:extent cx="857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0</wp:posOffset>
            </wp:positionV>
            <wp:extent cx="857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80" w:type="dxa"/>
            <w:vAlign w:val="bottom"/>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020" w:type="dxa"/>
            <w:vAlign w:val="bottom"/>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00" w:type="dxa"/>
            <w:vAlign w:val="bottom"/>
            <w:vMerge w:val="continue"/>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vMerge w:val="continue"/>
          </w:tcPr>
          <w:p>
            <w:pPr>
              <w:spacing w:after="0"/>
              <w:rPr>
                <w:sz w:val="12"/>
                <w:szCs w:val="12"/>
                <w:color w:val="auto"/>
              </w:rPr>
            </w:pPr>
          </w:p>
        </w:tc>
        <w:tc>
          <w:tcPr>
            <w:tcW w:w="44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3"/>
                <w:vertAlign w:val="subscript"/>
              </w:rPr>
              <w:t>($)</w:t>
            </w:r>
            <w:r>
              <w:rPr>
                <w:rFonts w:ascii="Times New Roman" w:cs="Times New Roman" w:eastAsia="Times New Roman" w:hAnsi="Times New Roman"/>
                <w:sz w:val="12"/>
                <w:szCs w:val="12"/>
                <w:b w:val="1"/>
                <w:bCs w:val="1"/>
                <w:color w:val="auto"/>
                <w:w w:val="83"/>
              </w:rPr>
              <w:t>(4)</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1508125</wp:posOffset>
            </wp:positionH>
            <wp:positionV relativeFrom="paragraph">
              <wp:posOffset>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-76835</wp:posOffset>
            </wp:positionH>
            <wp:positionV relativeFrom="paragraph">
              <wp:posOffset>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480" w:space="200"/>
            <w:col w:w="4339"/>
          </w:cols>
          <w:pgMar w:left="1440" w:top="262" w:right="1440" w:bottom="1440" w:gutter="0" w:footer="0" w:header="0"/>
          <w:type w:val="continuous"/>
        </w:sectPr>
      </w:pPr>
    </w:p>
    <w:tbl>
      <w:tblPr>
        <w:tblLayout w:type="fixed"/>
        <w:tblInd w:w="300" w:type="dxa"/>
        <w:tblCellMar>
          <w:top w:w="0" w:type="dxa"/>
          <w:left w:w="0" w:type="dxa"/>
          <w:bottom w:w="0" w:type="dxa"/>
          <w:right w:w="0" w:type="dxa"/>
        </w:tblCellMar>
      </w:tblPr>
      <w:tr>
        <w:trPr>
          <w:trHeight w:val="20"/>
        </w:trPr>
        <w:tc>
          <w:tcPr>
            <w:tcW w:w="2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91"/>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Aquila</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65,000</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600,364</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35,297</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700,661</w:t>
            </w:r>
          </w:p>
        </w:tc>
      </w:tr>
      <w:tr>
        <w:trPr>
          <w:trHeight w:val="27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Bay</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122,500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394,114</w:t>
            </w:r>
          </w:p>
        </w:tc>
        <w:tc>
          <w:tcPr>
            <w:tcW w:w="100" w:type="dxa"/>
            <w:vAlign w:val="bottom"/>
          </w:tcPr>
          <w:p>
            <w:pPr>
              <w:spacing w:after="0"/>
              <w:rPr>
                <w:sz w:val="23"/>
                <w:szCs w:val="23"/>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516,614</w:t>
            </w:r>
          </w:p>
        </w:tc>
      </w:tr>
      <w:tr>
        <w:trPr>
          <w:trHeight w:val="54"/>
        </w:trPr>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365"/>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(5)</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37,768</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30,905</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68,673</w:t>
            </w:r>
          </w:p>
        </w:tc>
      </w:tr>
      <w:tr>
        <w:trPr>
          <w:trHeight w:val="27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500,363</w:t>
            </w:r>
          </w:p>
        </w:tc>
        <w:tc>
          <w:tcPr>
            <w:tcW w:w="100" w:type="dxa"/>
            <w:vAlign w:val="bottom"/>
          </w:tcPr>
          <w:p>
            <w:pPr>
              <w:spacing w:after="0"/>
              <w:rPr>
                <w:sz w:val="23"/>
                <w:szCs w:val="23"/>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26,775</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710,138</w:t>
            </w:r>
          </w:p>
        </w:tc>
      </w:tr>
      <w:tr>
        <w:trPr>
          <w:trHeight w:val="54"/>
        </w:trPr>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304"/>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120,000</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500,363</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27,073</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647,436</w:t>
            </w:r>
          </w:p>
        </w:tc>
      </w:tr>
      <w:tr>
        <w:trPr>
          <w:trHeight w:val="27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97,500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187,864</w:t>
            </w:r>
          </w:p>
        </w:tc>
        <w:tc>
          <w:tcPr>
            <w:tcW w:w="100" w:type="dxa"/>
            <w:vAlign w:val="bottom"/>
          </w:tcPr>
          <w:p>
            <w:pPr>
              <w:spacing w:after="0"/>
              <w:rPr>
                <w:sz w:val="23"/>
                <w:szCs w:val="23"/>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37,964</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323,328</w:t>
            </w:r>
          </w:p>
        </w:tc>
      </w:tr>
      <w:tr>
        <w:trPr>
          <w:trHeight w:val="54"/>
        </w:trPr>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365"/>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Hartfield</w:t>
            </w:r>
            <w:r>
              <w:rPr>
                <w:rFonts w:ascii="Times New Roman" w:cs="Times New Roman" w:eastAsia="Times New Roman" w:hAnsi="Times New Roman"/>
                <w:sz w:val="29"/>
                <w:szCs w:val="29"/>
                <w:color w:val="auto"/>
                <w:vertAlign w:val="superscript"/>
              </w:rPr>
              <w:t>(3)</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35,000</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33,684</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68,684</w:t>
            </w:r>
          </w:p>
        </w:tc>
      </w:tr>
      <w:tr>
        <w:trPr>
          <w:trHeight w:val="27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Fiona Tan</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394,114</w:t>
            </w:r>
          </w:p>
        </w:tc>
        <w:tc>
          <w:tcPr>
            <w:tcW w:w="100" w:type="dxa"/>
            <w:vAlign w:val="bottom"/>
          </w:tcPr>
          <w:p>
            <w:pPr>
              <w:spacing w:after="0"/>
              <w:rPr>
                <w:sz w:val="23"/>
                <w:szCs w:val="23"/>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36,550</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552,664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171450</wp:posOffset>
            </wp:positionV>
            <wp:extent cx="8229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95" w:lineRule="exact"/>
        <w:rPr>
          <w:sz w:val="20"/>
          <w:szCs w:val="20"/>
          <w:color w:val="auto"/>
        </w:rPr>
      </w:pPr>
    </w:p>
    <w:p>
      <w:pPr>
        <w:ind w:left="640" w:right="299" w:hanging="348"/>
        <w:spacing w:after="0" w:line="261" w:lineRule="auto"/>
        <w:tabs>
          <w:tab w:leader="none" w:pos="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shows, for each named individual, the aggregate shares under stock awards and the aggregate shares underlying option awards held by that individual as of December 31, 2023.</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11" w:name="page112"/>
    <w:bookmarkEnd w:id="11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1640" w:right="1300" w:hanging="348"/>
        <w:spacing w:after="0" w:line="233" w:lineRule="auto"/>
        <w:tabs>
          <w:tab w:leader="none" w:pos="16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 date fair value of all service-vesting RSU awards in accordance with ASC 718, rather than amounts paid to or realized by the named individual. The grant date fair value of each RSU award was measured based on the closing price of our shares of our Class A Common Stock on the date of grant. The amounts reported do not correspond to the economic value received by each non-employee director from the equity award. For information regarding assumptions underlying the value of equity awards, see Note 14 to our audited consolidated financial statements included in this prospectus.</w:t>
      </w:r>
    </w:p>
    <w:p>
      <w:pPr>
        <w:spacing w:after="0" w:line="15" w:lineRule="exact"/>
        <w:rPr>
          <w:rFonts w:ascii="Times New Roman" w:cs="Times New Roman" w:eastAsia="Times New Roman" w:hAnsi="Times New Roman"/>
          <w:sz w:val="14"/>
          <w:szCs w:val="14"/>
          <w:color w:val="auto"/>
        </w:rPr>
      </w:pPr>
    </w:p>
    <w:p>
      <w:pPr>
        <w:ind w:left="1640" w:hanging="348"/>
        <w:spacing w:after="0"/>
        <w:tabs>
          <w:tab w:leader="none" w:pos="16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Hartfield resigned as a member of the Board and forfeited $187,864 of stock awards on August 9, 2023.</w:t>
      </w:r>
    </w:p>
    <w:p>
      <w:pPr>
        <w:spacing w:after="0" w:line="41" w:lineRule="exact"/>
        <w:rPr>
          <w:rFonts w:ascii="Times New Roman" w:cs="Times New Roman" w:eastAsia="Times New Roman" w:hAnsi="Times New Roman"/>
          <w:sz w:val="14"/>
          <w:szCs w:val="14"/>
          <w:color w:val="auto"/>
        </w:rPr>
      </w:pPr>
    </w:p>
    <w:p>
      <w:pPr>
        <w:ind w:left="1640" w:right="1320" w:hanging="348"/>
        <w:spacing w:after="0" w:line="250" w:lineRule="auto"/>
        <w:tabs>
          <w:tab w:leader="none" w:pos="16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payments made to non-employee directors due to unanticipated tax obligations owed in connection with their 2022 service.</w:t>
      </w:r>
    </w:p>
    <w:p>
      <w:pPr>
        <w:spacing w:after="0" w:line="183" w:lineRule="exact"/>
        <w:rPr>
          <w:rFonts w:ascii="Times New Roman" w:cs="Times New Roman" w:eastAsia="Times New Roman" w:hAnsi="Times New Roman"/>
          <w:sz w:val="14"/>
          <w:szCs w:val="14"/>
          <w:color w:val="auto"/>
        </w:rPr>
      </w:pPr>
    </w:p>
    <w:p>
      <w:pPr>
        <w:ind w:left="1640" w:hanging="348"/>
        <w:spacing w:after="0"/>
        <w:tabs>
          <w:tab w:leader="none" w:pos="16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a Non-Employee Director until he was named an executive officer on April 26,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20" w:type="dxa"/>
            <w:vAlign w:val="bottom"/>
            <w:gridSpan w:val="2"/>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Aggregate Stock Awards</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69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20" w:type="dxa"/>
            <w:vAlign w:val="bottom"/>
            <w:gridSpan w:val="2"/>
          </w:tcPr>
          <w:p>
            <w:pPr>
              <w:jc w:val="center"/>
              <w:ind w:right="13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as of</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6900" w:type="dxa"/>
            <w:vAlign w:val="bottom"/>
            <w:gridSpan w:val="4"/>
            <w:vMerge w:val="continue"/>
          </w:tcPr>
          <w:p>
            <w:pPr>
              <w:spacing w:after="0"/>
              <w:rPr>
                <w:sz w:val="16"/>
                <w:szCs w:val="16"/>
                <w:color w:val="auto"/>
              </w:rPr>
            </w:pPr>
          </w:p>
        </w:tc>
        <w:tc>
          <w:tcPr>
            <w:tcW w:w="282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69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Aquila</w:t>
            </w:r>
          </w:p>
        </w:tc>
        <w:tc>
          <w:tcPr>
            <w:tcW w:w="1520" w:type="dxa"/>
            <w:vAlign w:val="bottom"/>
            <w:tcBorders>
              <w:bottom w:val="single" w:sz="8" w:color="CCEEFF"/>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548,582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Anthony Bay</w:t>
            </w:r>
          </w:p>
        </w:tc>
        <w:tc>
          <w:tcPr>
            <w:tcW w:w="15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432,743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5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1300" w:type="dxa"/>
            <w:vAlign w:val="bottom"/>
          </w:tcPr>
          <w:p>
            <w:pPr>
              <w:spacing w:after="0"/>
              <w:rPr>
                <w:sz w:val="24"/>
                <w:szCs w:val="24"/>
                <w:color w:val="auto"/>
              </w:rPr>
            </w:pPr>
          </w:p>
        </w:tc>
        <w:tc>
          <w:tcPr>
            <w:tcW w:w="6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(2)</w:t>
            </w:r>
          </w:p>
        </w:tc>
        <w:tc>
          <w:tcPr>
            <w:tcW w:w="152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10,094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15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472,824</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5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9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1520" w:type="dxa"/>
            <w:vAlign w:val="bottom"/>
            <w:tcBorders>
              <w:bottom w:val="single" w:sz="8" w:color="CCEEFF"/>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472,824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15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236,082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5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1300" w:type="dxa"/>
            <w:vAlign w:val="bottom"/>
          </w:tcPr>
          <w:p>
            <w:pPr>
              <w:spacing w:after="0"/>
              <w:rPr>
                <w:sz w:val="24"/>
                <w:szCs w:val="24"/>
                <w:color w:val="auto"/>
              </w:rPr>
            </w:pPr>
          </w:p>
        </w:tc>
        <w:tc>
          <w:tcPr>
            <w:tcW w:w="6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Hartfield</w:t>
            </w:r>
            <w:r>
              <w:rPr>
                <w:rFonts w:ascii="Times New Roman" w:cs="Times New Roman" w:eastAsia="Times New Roman" w:hAnsi="Times New Roman"/>
                <w:sz w:val="29"/>
                <w:szCs w:val="29"/>
                <w:color w:val="auto"/>
                <w:vertAlign w:val="superscript"/>
              </w:rPr>
              <w:t>(1)</w:t>
            </w:r>
          </w:p>
        </w:tc>
        <w:tc>
          <w:tcPr>
            <w:tcW w:w="152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Fiona Tan</w:t>
            </w:r>
          </w:p>
        </w:tc>
        <w:tc>
          <w:tcPr>
            <w:tcW w:w="15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392,332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620" w:type="dxa"/>
            <w:vAlign w:val="bottom"/>
            <w:gridSpan w:val="2"/>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520" w:type="dxa"/>
            <w:vAlign w:val="bottom"/>
            <w:gridSpan w:val="2"/>
          </w:tcPr>
          <w:p>
            <w:pPr>
              <w:ind w:left="1300"/>
              <w:spacing w:after="0"/>
              <w:rPr>
                <w:sz w:val="20"/>
                <w:szCs w:val="20"/>
                <w:color w:val="auto"/>
              </w:rPr>
            </w:pPr>
            <w:r>
              <w:rPr>
                <w:rFonts w:ascii="Times New Roman" w:cs="Times New Roman" w:eastAsia="Times New Roman" w:hAnsi="Times New Roman"/>
                <w:sz w:val="14"/>
                <w:szCs w:val="14"/>
                <w:color w:val="auto"/>
              </w:rPr>
              <w:t>1.</w:t>
            </w:r>
          </w:p>
        </w:tc>
        <w:tc>
          <w:tcPr>
            <w:tcW w:w="66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Mr. Hartfield resigned as a member of the Board on August 9, 2023.</w:t>
            </w:r>
          </w:p>
        </w:tc>
        <w:tc>
          <w:tcPr>
            <w:tcW w:w="1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20" w:type="dxa"/>
            <w:vAlign w:val="bottom"/>
            <w:gridSpan w:val="2"/>
          </w:tcPr>
          <w:p>
            <w:pPr>
              <w:ind w:left="1300"/>
              <w:spacing w:after="0"/>
              <w:rPr>
                <w:sz w:val="20"/>
                <w:szCs w:val="20"/>
                <w:color w:val="auto"/>
              </w:rPr>
            </w:pPr>
            <w:r>
              <w:rPr>
                <w:rFonts w:ascii="Times New Roman" w:cs="Times New Roman" w:eastAsia="Times New Roman" w:hAnsi="Times New Roman"/>
                <w:sz w:val="14"/>
                <w:szCs w:val="14"/>
                <w:color w:val="auto"/>
              </w:rPr>
              <w:t>2.</w:t>
            </w:r>
          </w:p>
        </w:tc>
        <w:tc>
          <w:tcPr>
            <w:tcW w:w="66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Mr. Francis was a Non-Employee Director until he was named an executive officer on April 26, 2023.</w:t>
            </w:r>
          </w:p>
        </w:tc>
        <w:tc>
          <w:tcPr>
            <w:tcW w:w="1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80" w:type="dxa"/>
            <w:vAlign w:val="bottom"/>
            <w:gridSpan w:val="2"/>
          </w:tcPr>
          <w:p>
            <w:pPr>
              <w:jc w:val="right"/>
              <w:ind w:right="2360"/>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-2536825</wp:posOffset>
            </wp:positionV>
            <wp:extent cx="1200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is a summary of transactions since January 1, 2023, to which we have been a party in which the amount involved exceeded $120,000 and in which any of our executive officers, directors, managers, promoters, beneficial holders of more than 5% of our membership interests, or any associates or affiliates thereof had or will have a direct or indirect material interest, other than compensation arrangements which are described in the section entitled “Executive Compensation.”</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Amended Operating Company Agreement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Concurrently with the Closing, the WMH LLC operating agreement was further amended and restated in its entirety to become the Fourth Amended and Restated Operating Agreement (the “Amended Operating Agreement”). Messrs. Camire, Grazier, Francis and Hartfield and Ghost Media Group, LLC all own Paired Interests and Class P Units as described in the section entitled “Security Ownership of Certain Beneficial Owners and Management.”</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Rights of the Units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 income of WMH LLC allocable to each holder of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 (iii) the use of an assumed tax rate in calculating WMH LLC’s distribution obligations, we may receive tax distributions significantly in excess of its tax liabilities and obligations to make payments under the Tax Receivable Agreement.</w:t>
      </w:r>
    </w:p>
    <w:p>
      <w:pPr>
        <w:spacing w:after="0" w:line="8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Upon the liquidation or winding up of WMH LLC, subject to the treatment of Class P Units and LTIP Units (as defined in the Amended Operating Agreement) and tax distributions, all net proceeds thereof will be distributed in accordance with each member’s number of Units.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Restrictions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Concurrently with the Closing, we, WMH LLC and the Unit holders, including Messrs. Camire, Grazier, Francis, Hartfield and Ghost Media Group, LLC, as described in the section entitled “Security Ownership of Certain Beneficial Owners and Management,” entered into an exchange agreement (the “Exchange Agreement”). The terms of the Exchange Agreement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we, the Holder Representative and the Class A Unit holders, including Mr. Francis, Mr. Hartfield and Ghost Media Group, LLC, as described in the section entitled “Security Ownership of Certain Beneficial Owners and Management,” entered into the tax receivable agreement, (the “Tax Receivable Agreement”), pursuant to which we are required to pay to holders of Class A Units, in the aggregate, 85% of the amount of cash savings, if any, in U.S. federal, state and local income tax or franchise tax that we actually realizes as a result of</w:t>
      </w:r>
    </w:p>
    <w:p>
      <w:pPr>
        <w:spacing w:after="0" w:line="3" w:lineRule="exact"/>
        <w:rPr>
          <w:sz w:val="20"/>
          <w:szCs w:val="20"/>
          <w:color w:val="auto"/>
        </w:rPr>
      </w:pPr>
    </w:p>
    <w:p>
      <w:pPr>
        <w:jc w:val="both"/>
        <w:ind w:left="300" w:right="299" w:hanging="8"/>
        <w:spacing w:after="0" w:line="253" w:lineRule="auto"/>
        <w:tabs>
          <w:tab w:leader="none" w:pos="52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the tax basis of WMH LLC’s assets resulting from our acquisition of 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Tax Receivable Agreement. The payment obligations under Tax Receivable Agreement are our obligations and not obligations of WMH LLC.</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payments we will be required to make under the Tax Receivable Agreement may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WMH LLC.</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we determine, and the IRS or another tax authority may challenge all or a part of the existing tax basis, tax basis increases, or other tax</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(A) our obligations under the Tax Receivable Agreement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Tax Receivable Agreement would be based on certain assumptions, including that our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its liquidity. The change of control provisions in the Tax Receivable Agreement may also result in situations where the Class A Unit holders have interests that differ from or are in addition to those of the Class A stockholders.</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Tax Receivable Agreement depends on our ability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Agreement</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Concurrently with the Closing, Silver Spike Sponsor, LLC (“Silver Spike Sponsor”) and certain Unit holders, including Messrs. Camire, Grazier, Francis, Silver Spike Sponsor, LLC and Ghost Media Group, LLC, as described in the section entitled “Security Ownership of Certain Beneficial Owners and Management,” entered into the Amended and Restated Registration Rights Agreement, dated June 16, 2021, among us and certain of 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filed a resale shelf registration statement covering the resale of all registrable securities within 45 days of the Closing.</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Silver Spike Related Transactions and Agreements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Silver Spike Acquisition Corp.’s (“Silver Spike’s”) Initial Public Offering (“IPO”), Silver Spike Sponsor granted sponsor LLC equity interests to Silver Spike’s independent directors that collectively comprised approximately 1% of the outstanding equity interests in Silver Spike Sponsor.</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Silver Spike Sponsor purchased an aggregate of 7,000,000 Private Placement Warrants for a purchase price of $1.00 per warrant in a private placement simultaneously with the closing of Silver Spike’s IPO. Each Private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Placement Warrant may be exercised for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it until 30 days after the completion of the Business Combination.</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we paid $1.1 million in certain transaction costs reimbursable by Silver Spike Sponsor, an affiliate to a member of the Board. On March 16, 2023, Silver Spike Holdings, an affiliate of Silver Spike Sponsor, entered into a promissory note with us and agreed to pay the principal amount in 12 equal quarterly installments commencing on March 31, 2023. The promissory note will bear interest at a rate of 5% per annum commencing on March 31, 2023. In an event of default, the outstanding principal amount shall bear interest for the entire period during which the principal balance is unpaid at a rate which is equal to 10% per annum. As of December 31, 2023, the remaining balance of the promissory note receivable was $0.7 million. We received a total of $383,724 in 2023 for principal and interest related to the promissory note receivable.</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we reimbursed $0.4 million to Silver Spike Holdings, an affiliate to a member of the board of directors in connection with responding to a subpoena received from the SEC’s Division of Enforcement in connection the SEC investigation described in the section entitled “Business—Legal Proceedings.”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Legacy WMH Transactions and Agreements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Other Enterprises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Shield Management Group, LLC is a business in which currently Mr. Francis indirectly owns a majority interest, and Mr. Hartfield indirectly owns a minority interest. In 2023, Shield Management Group, LLC used our listing products and participated in other brand promotion opportunities. Shield Management Group, LLC paid us a total of $427,797 in 2023 for such products and services. Glasir Group, LLC is a business owned by Mr. Francis and his spouse. During the second quarter of 2022, we entered into a sublease agreement with Glasir Group, LLC of our offices located at 43 Discovery, Irvine, California 92618.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Glasir Group, LLC paid us a total of $169,095 in 2023 for rent under the sublease.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and other agreements with certain of our executive officers. For a description of agreements with our Named Executive Officers, see the sections entitled “Executive Compensation - Executive Employment Arrangements” and “-Outstanding Equity Awards at December 31, 2023.”</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have granted equity awards to certain of our executive officers. For a description of equity awards granted to our Named Executive Officers, see the section entitled “Executive Compensation.”</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entered into indemnification agreements with substantially all of our directors and executive officers, other than our Interim Chief Financial Officer, Susan Echard, who is not an employee.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Board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considering related-person transactions, our Audit Committee takes into account the relevant available facts and circumstances, which may include, but are not limited to:</w:t>
      </w:r>
    </w:p>
    <w:p>
      <w:pPr>
        <w:spacing w:after="0" w:line="54" w:lineRule="exact"/>
        <w:rPr>
          <w:sz w:val="20"/>
          <w:szCs w:val="20"/>
          <w:color w:val="auto"/>
        </w:rPr>
      </w:pPr>
    </w:p>
    <w:p>
      <w:pPr>
        <w:ind w:left="1000" w:hanging="348"/>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cost and benefits to us: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Audit Committee shall approve only those related-party transactions that, in light of known circumstances, are in, or are not inconsistent with, our best interests and our stockholders, as our Audit Committee determines in the good faith exercise of its discretion.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Common Stock as of August 26, 2024, by</w:t>
      </w:r>
    </w:p>
    <w:p>
      <w:pPr>
        <w:spacing w:after="0" w:line="54" w:lineRule="exact"/>
        <w:rPr>
          <w:sz w:val="20"/>
          <w:szCs w:val="20"/>
          <w:color w:val="auto"/>
        </w:rPr>
      </w:pPr>
    </w:p>
    <w:p>
      <w:pPr>
        <w:ind w:left="1000" w:right="319" w:hanging="348"/>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by us to be the beneficial owner of more than 5% of the outstanding shares of our Class A Common Stock and Class V Common Stock;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Named Executive Officers and directors;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beneficial ownership percentages set forth in the table below are based on 152,862,387 shares of our Class A Common Stock and Class V Common Stock issued and outstanding as of August 26, 2024 and do not take into account the issuance of any shares of Class A Common Stock upon (i) the exercise of 19,499,973 Warrants to purchase an aggregate of 19,499,973 shares of Class A Common Stock or (ii) the exchange of 14,679,507 Class P Units for up to 14,679,507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shares of our Common Stock.</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 %</w:t>
            </w:r>
          </w:p>
        </w:tc>
        <w:tc>
          <w:tcPr>
            <w:tcW w:w="0" w:type="dxa"/>
            <w:vAlign w:val="bottom"/>
          </w:tcPr>
          <w:p>
            <w:pPr>
              <w:spacing w:after="0"/>
              <w:rPr>
                <w:sz w:val="1"/>
                <w:szCs w:val="1"/>
                <w:color w:val="auto"/>
              </w:rPr>
            </w:pPr>
          </w:p>
        </w:tc>
      </w:tr>
      <w:tr>
        <w:trPr>
          <w:trHeight w:val="128"/>
        </w:trPr>
        <w:tc>
          <w:tcPr>
            <w:tcW w:w="3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Class A</w:t>
            </w:r>
          </w:p>
        </w:tc>
        <w:tc>
          <w:tcPr>
            <w:tcW w:w="12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of Class V</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148"/>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23"/>
                <w:szCs w:val="23"/>
                <w:b w:val="1"/>
                <w:bCs w:val="1"/>
                <w:color w:val="auto"/>
                <w:vertAlign w:val="superscript"/>
              </w:rPr>
              <w:t>(1)</w:t>
            </w:r>
          </w:p>
        </w:tc>
        <w:tc>
          <w:tcPr>
            <w:tcW w:w="14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243"/>
        </w:trPr>
        <w:tc>
          <w:tcPr>
            <w:tcW w:w="36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21"/>
                <w:szCs w:val="21"/>
                <w:color w:val="auto"/>
              </w:rPr>
            </w:pPr>
          </w:p>
        </w:tc>
        <w:tc>
          <w:tcPr>
            <w:tcW w:w="92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4"/>
                <w:szCs w:val="14"/>
                <w:b w:val="1"/>
                <w:bCs w:val="1"/>
                <w:color w:val="auto"/>
                <w:w w:val="95"/>
              </w:rPr>
              <w:t>Owned</w:t>
            </w:r>
            <w:r>
              <w:rPr>
                <w:rFonts w:ascii="Times New Roman" w:cs="Times New Roman" w:eastAsia="Times New Roman" w:hAnsi="Times New Roman"/>
                <w:sz w:val="23"/>
                <w:szCs w:val="23"/>
                <w:b w:val="1"/>
                <w:bCs w:val="1"/>
                <w:color w:val="auto"/>
                <w:w w:val="95"/>
                <w:vertAlign w:val="superscript"/>
              </w:rPr>
              <w:t>(2)</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2"/>
              </w:rPr>
              <w:t>Power</w:t>
            </w:r>
            <w:r>
              <w:rPr>
                <w:rFonts w:ascii="Times New Roman" w:cs="Times New Roman" w:eastAsia="Times New Roman" w:hAnsi="Times New Roman"/>
                <w:sz w:val="23"/>
                <w:szCs w:val="23"/>
                <w:b w:val="1"/>
                <w:bCs w:val="1"/>
                <w:color w:val="auto"/>
                <w:w w:val="92"/>
                <w:vertAlign w:val="superscript"/>
              </w:rPr>
              <w:t>(3)</w:t>
            </w:r>
          </w:p>
        </w:tc>
        <w:tc>
          <w:tcPr>
            <w:tcW w:w="0" w:type="dxa"/>
            <w:vAlign w:val="bottom"/>
          </w:tcPr>
          <w:p>
            <w:pPr>
              <w:spacing w:after="0"/>
              <w:rPr>
                <w:sz w:val="1"/>
                <w:szCs w:val="1"/>
                <w:color w:val="auto"/>
              </w:rPr>
            </w:pPr>
          </w:p>
        </w:tc>
      </w:tr>
      <w:tr>
        <w:trPr>
          <w:trHeight w:val="311"/>
        </w:trPr>
        <w:tc>
          <w:tcPr>
            <w:tcW w:w="36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spacing w:after="0"/>
              <w:rPr>
                <w:sz w:val="24"/>
                <w:szCs w:val="24"/>
                <w:color w:val="auto"/>
              </w:rPr>
            </w:pP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Tony Aquila</w:t>
            </w:r>
            <w:r>
              <w:rPr>
                <w:rFonts w:ascii="Times New Roman" w:cs="Times New Roman" w:eastAsia="Times New Roman" w:hAnsi="Times New Roman"/>
                <w:sz w:val="29"/>
                <w:szCs w:val="29"/>
                <w:color w:val="auto"/>
                <w:vertAlign w:val="superscript"/>
              </w:rPr>
              <w:t>(5)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5,297,761</w:t>
            </w:r>
          </w:p>
        </w:tc>
        <w:tc>
          <w:tcPr>
            <w:tcW w:w="140" w:type="dxa"/>
            <w:vAlign w:val="bottom"/>
          </w:tcPr>
          <w:p>
            <w:pPr>
              <w:spacing w:after="0"/>
              <w:rPr>
                <w:sz w:val="24"/>
                <w:szCs w:val="24"/>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65"/>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4,792,347</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w:t>
            </w:r>
          </w:p>
        </w:tc>
        <w:tc>
          <w:tcPr>
            <w:tcW w:w="9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22,970,182</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258,221</w:t>
            </w:r>
          </w:p>
        </w:tc>
        <w:tc>
          <w:tcPr>
            <w:tcW w:w="140" w:type="dxa"/>
            <w:vAlign w:val="bottom"/>
          </w:tcPr>
          <w:p>
            <w:pPr>
              <w:spacing w:after="0"/>
              <w:rPr>
                <w:sz w:val="23"/>
                <w:szCs w:val="23"/>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Fiona Tan</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153,063</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182,691</w:t>
            </w:r>
          </w:p>
        </w:tc>
        <w:tc>
          <w:tcPr>
            <w:tcW w:w="140" w:type="dxa"/>
            <w:vAlign w:val="bottom"/>
          </w:tcPr>
          <w:p>
            <w:pPr>
              <w:spacing w:after="0"/>
              <w:rPr>
                <w:sz w:val="23"/>
                <w:szCs w:val="23"/>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182,693</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Anthony Bay</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223,528</w:t>
            </w:r>
          </w:p>
        </w:tc>
        <w:tc>
          <w:tcPr>
            <w:tcW w:w="140" w:type="dxa"/>
            <w:vAlign w:val="bottom"/>
          </w:tcPr>
          <w:p>
            <w:pPr>
              <w:spacing w:after="0"/>
              <w:rPr>
                <w:sz w:val="23"/>
                <w:szCs w:val="23"/>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220,026</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Susan Echard</w:t>
            </w:r>
          </w:p>
        </w:tc>
        <w:tc>
          <w:tcPr>
            <w:tcW w:w="140" w:type="dxa"/>
            <w:vAlign w:val="bottom"/>
          </w:tcPr>
          <w:p>
            <w:pPr>
              <w:spacing w:after="0"/>
              <w:rPr>
                <w:sz w:val="23"/>
                <w:szCs w:val="2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of the</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9"/>
        </w:trPr>
        <w:tc>
          <w:tcPr>
            <w:tcW w:w="3680" w:type="dxa"/>
            <w:vAlign w:val="bottom"/>
            <w:shd w:val="clear" w:color="auto" w:fill="CCEEFF"/>
          </w:tcPr>
          <w:p>
            <w:pPr>
              <w:ind w:left="180"/>
              <w:spacing w:after="0" w:line="328" w:lineRule="exact"/>
              <w:rPr>
                <w:sz w:val="20"/>
                <w:szCs w:val="20"/>
                <w:color w:val="auto"/>
              </w:rPr>
            </w:pPr>
            <w:r>
              <w:rPr>
                <w:rFonts w:ascii="Times New Roman" w:cs="Times New Roman" w:eastAsia="Times New Roman" w:hAnsi="Times New Roman"/>
                <w:sz w:val="18"/>
                <w:szCs w:val="18"/>
                <w:b w:val="1"/>
                <w:bCs w:val="1"/>
                <w:color w:val="auto"/>
              </w:rPr>
              <w:t>Company as a Group (10 Individuals)</w:t>
            </w:r>
            <w:r>
              <w:rPr>
                <w:rFonts w:ascii="Times New Roman" w:cs="Times New Roman" w:eastAsia="Times New Roman" w:hAnsi="Times New Roman"/>
                <w:sz w:val="29"/>
                <w:szCs w:val="29"/>
                <w:b w:val="1"/>
                <w:bCs w:val="1"/>
                <w:color w:val="auto"/>
                <w:vertAlign w:val="superscript"/>
              </w:rPr>
              <w:t>(8)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11,310,330</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11.6%</w:t>
            </w:r>
          </w:p>
        </w:tc>
        <w:tc>
          <w:tcPr>
            <w:tcW w:w="9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22,970,182</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Five Percent Holders:</w:t>
            </w: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Ghost Media Group, LLC</w:t>
            </w:r>
            <w:r>
              <w:rPr>
                <w:rFonts w:ascii="Times New Roman" w:cs="Times New Roman" w:eastAsia="Times New Roman" w:hAnsi="Times New Roman"/>
                <w:sz w:val="29"/>
                <w:szCs w:val="29"/>
                <w:color w:val="auto"/>
                <w:vertAlign w:val="superscript"/>
              </w:rPr>
              <w:t>(6)(7)</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8,469,191</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365"/>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w:t>
            </w:r>
            <w:r>
              <w:rPr>
                <w:rFonts w:ascii="Times New Roman" w:cs="Times New Roman" w:eastAsia="Times New Roman" w:hAnsi="Times New Roman"/>
                <w:sz w:val="29"/>
                <w:szCs w:val="29"/>
                <w:color w:val="auto"/>
                <w:vertAlign w:val="superscript"/>
              </w:rPr>
              <w:t>(9)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6,016,658</w:t>
            </w:r>
          </w:p>
        </w:tc>
        <w:tc>
          <w:tcPr>
            <w:tcW w:w="140" w:type="dxa"/>
            <w:vAlign w:val="bottom"/>
          </w:tcPr>
          <w:p>
            <w:pPr>
              <w:spacing w:after="0"/>
              <w:rPr>
                <w:sz w:val="24"/>
                <w:szCs w:val="24"/>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64"/>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Beals</w:t>
            </w:r>
            <w:r>
              <w:rPr>
                <w:rFonts w:ascii="Times New Roman" w:cs="Times New Roman" w:eastAsia="Times New Roman" w:hAnsi="Times New Roman"/>
                <w:sz w:val="29"/>
                <w:szCs w:val="29"/>
                <w:color w:val="auto"/>
                <w:vertAlign w:val="superscript"/>
              </w:rPr>
              <w:t>(4)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428,773</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6,166,819</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3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Justin Hartfield</w:t>
            </w:r>
            <w:r>
              <w:rPr>
                <w:rFonts w:ascii="Times New Roman" w:cs="Times New Roman" w:eastAsia="Times New Roman" w:hAnsi="Times New Roman"/>
                <w:sz w:val="29"/>
                <w:szCs w:val="29"/>
                <w:color w:val="auto"/>
                <w:vertAlign w:val="superscript"/>
              </w:rPr>
              <w:t>(7)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61,679</w:t>
            </w:r>
          </w:p>
        </w:tc>
        <w:tc>
          <w:tcPr>
            <w:tcW w:w="140" w:type="dxa"/>
            <w:vAlign w:val="bottom"/>
          </w:tcPr>
          <w:p>
            <w:pPr>
              <w:spacing w:after="0"/>
              <w:rPr>
                <w:sz w:val="24"/>
                <w:szCs w:val="24"/>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29,318,217</w:t>
            </w:r>
          </w:p>
        </w:tc>
        <w:tc>
          <w:tcPr>
            <w:tcW w:w="10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24"/>
                <w:szCs w:val="24"/>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-3669030</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-3669030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-3669030</wp:posOffset>
            </wp:positionV>
            <wp:extent cx="768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-3669030</wp:posOffset>
            </wp:positionV>
            <wp:extent cx="857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-3669030</wp:posOffset>
            </wp:positionV>
            <wp:extent cx="8572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102235</wp:posOffset>
            </wp:positionV>
            <wp:extent cx="82296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85" w:lineRule="exact"/>
        <w:rPr>
          <w:sz w:val="20"/>
          <w:szCs w:val="20"/>
          <w:color w:val="auto"/>
        </w:rPr>
      </w:pPr>
    </w:p>
    <w:p>
      <w:pPr>
        <w:ind w:left="640" w:hanging="348"/>
        <w:spacing w:after="0"/>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the business address of each of the following entities or individuals is 41 Discovery, Irvine, California 92618.</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Class A Common Stock and Class V Common Stock are entitled to one vote for each share of Class A Common Stock or Class V Common Stock, as the case may be, held by them. Each share of Class V Common Stock, together with a corresponding limited liability company interest in WMH LLC (as defined below) (together, a “Paired Interest”) is exchangeable for shares of Class A Common Stock on a one-for-one basis from time to time, unless we determine to pay cash consideration for such Paired Interests.</w:t>
      </w:r>
    </w:p>
    <w:p>
      <w:pPr>
        <w:spacing w:after="0" w:line="14" w:lineRule="exact"/>
        <w:rPr>
          <w:rFonts w:ascii="Times New Roman" w:cs="Times New Roman" w:eastAsia="Times New Roman" w:hAnsi="Times New Roman"/>
          <w:sz w:val="14"/>
          <w:szCs w:val="14"/>
          <w:color w:val="auto"/>
        </w:rPr>
      </w:pPr>
    </w:p>
    <w:p>
      <w:pPr>
        <w:ind w:left="640" w:right="299" w:hanging="348"/>
        <w:spacing w:after="0" w:line="250" w:lineRule="auto"/>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percentage of voting power of the holders of Class A Common Stock and Class V Common Stock voting together as a single class.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299" w:hanging="348"/>
        <w:spacing w:after="0" w:line="261"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information for the Company’s former executive officer, Mr. Beals is as of November 7, 2022, which is the date on which he ceased to be an employee of the Company and is the most recent date for which information is available.</w:t>
      </w:r>
    </w:p>
    <w:p>
      <w:pPr>
        <w:jc w:val="both"/>
        <w:ind w:left="640" w:right="299"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3,750,000 shares in the aggregate of shares of Class A Common Stock held by AFV Partners SPV-5 (WM) LLC (“AFV 5”), AFV Partners SPV-6 (WM) LLC (“AFV 6”) and three family trusts (the “Trusts”) upon the completion of the business combination pursuant to the PIPE subscription financing. Mr. Aquila is the Chairman and CEO of AFV Management Advisors LLC, which exercises ultimate voting and investment power with respect to the shares held by AFV 5and AFV 6 and a co-trustee of each of the Trusts and as such may be deemed to hold voting and dispositive power with respect to the shares held in the aggregate by such Trusts. It includes 1.547.761 shares of Class A Common Stock that Mr. Aquila personally holds. The business address of the reporting person is 2126 Hamilton Road Suite 260, Argyle, TX 76226.</w:t>
      </w:r>
    </w:p>
    <w:p>
      <w:pPr>
        <w:spacing w:after="0" w:line="127"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Class V Common Stock beneficially owned includes 12,431,818 shares of Class V Common Stock held by Mr. Francis,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19,278,067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Common shares consist of 11,310,330 shares held of record by our current executive officers and directors.</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13G filed by Morgan Stanley on February 9, 2024, includes 6,016,658 shares of Class A Common stock. The business address of the reporting person is 1585 Broadway, New York, NY 10036.</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Selling Securityholders acquired the Private Placement Warrants and shares of our Class A Common Stock from us in private offerings pursuant to exemptions from registration under Section 4(a)(2) of the Securities Act in connection with a private placement concurrent with Silver Spike’s initial public offering and in connection with the Business Combination. Pursuant to the Amended and Restated Registration Rights Agreement, dated June 16, 2021 among us and certain of our stockholders, the subscription agreements pursuant to which certain of purchasers subscribed to purchase from Silver Spike an aggregate of 32,500,000 shares of Silver Spike’s Class A Common Stock, for a purchase price of $10.00 per share and an aggregate purchase price of $325,000,000, and the Warrant Agreement, dated as of August 7, 2019 (the “Warrant Agreement”), we agreed to file a registration statement with the SEC for the purposes of registering for resale (i) the Private Placement Warrants (and the shares of Class A Common Stock that may be issued upon exercise of the Private Placement Warrants) and (ii) the shares of our Class A Common Stock issued to the Selling Securityholders.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Except as set forth in the footnotes below, the following table sets forth, based on written representations from the Selling Securityholders, certain information as of June 16, 2021 regarding the beneficial ownership of our Class A Common Stock and Warrants by the Selling Securityholders and the shares of Class A Common Stock and Warrants being offered by the Selling Securityholders (“Registrable Securities”). The applicable percentage ownership of Class A Common Stock is based on 88,836,328 shares of our Class A Common Stock issued and outstanding as of June 30, 2022 and do not take into account the issuance of any shares of Class A Common Stock upon (i) the exercise of 19,499,973 Warrants to purchase an aggregate of 19,499,973 shares of Class A Common Stock, (ii) the exchange of 15,740,281 Class P Units for up to 15,740,281 shares of Class A Common Stock or (iii) the exchange of 56,466,013 Paired Interests for up to 56,466,013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4"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Information with respect to shares of Class A Common Stock and Private Placement Warrants owned beneficially after the offering assumes the sale of all of the shares of Class A Common Stock and Private Placement Warrants offered and no other purchases or sales of our Class A Common Stock or Private Placement Warrants. The Selling Securityholders may offer and sell some, all or none of their shares of Class A Common Stock or Private Placement Warrants, as applicable.</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and Warrants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Up to 12,499,933 shares of Class A Common Stock issuable upon exercise of the Public Warrants are not included in the table below, unless specifically indicated in the footnotes therein.</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8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8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4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2"/>
            <w:vMerge w:val="continue"/>
          </w:tcPr>
          <w:p>
            <w:pPr>
              <w:spacing w:after="0"/>
              <w:rPr>
                <w:sz w:val="12"/>
                <w:szCs w:val="12"/>
                <w:color w:val="auto"/>
              </w:rPr>
            </w:pPr>
          </w:p>
        </w:tc>
        <w:tc>
          <w:tcPr>
            <w:tcW w:w="164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64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are Sold</w:t>
            </w: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92"/>
        </w:trPr>
        <w:tc>
          <w:tcPr>
            <w:tcW w:w="210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Name of Selling</w:t>
            </w:r>
          </w:p>
        </w:tc>
        <w:tc>
          <w:tcPr>
            <w:tcW w:w="78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8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80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74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10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Securityholder</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8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0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Christopher Beals</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6,166,819</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6,166,819</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0"/>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Brian Camire</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681,749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6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60"/>
        </w:trPr>
        <w:tc>
          <w:tcPr>
            <w:tcW w:w="2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Justin Dean</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619,772</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619,772</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0"/>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Juanjo Feijoo-Osorio</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681,749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6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60"/>
        </w:trPr>
        <w:tc>
          <w:tcPr>
            <w:tcW w:w="2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Arden Lee</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1,239,543</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1,239,543</w:t>
            </w:r>
          </w:p>
        </w:tc>
        <w:tc>
          <w:tcPr>
            <w:tcW w:w="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60"/>
        </w:trPr>
        <w:tc>
          <w:tcPr>
            <w:tcW w:w="20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Steven Jung</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1,314,411</w:t>
            </w:r>
          </w:p>
        </w:tc>
        <w:tc>
          <w:tcPr>
            <w:tcW w:w="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1,314,411</w:t>
            </w:r>
          </w:p>
        </w:tc>
        <w:tc>
          <w:tcPr>
            <w:tcW w:w="6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60"/>
        </w:trPr>
        <w:tc>
          <w:tcPr>
            <w:tcW w:w="2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Douglas Francis</w:t>
            </w:r>
            <w:r>
              <w:rPr>
                <w:rFonts w:ascii="Times New Roman" w:cs="Times New Roman" w:eastAsia="Times New Roman" w:hAnsi="Times New Roman"/>
                <w:sz w:val="26"/>
                <w:szCs w:val="26"/>
                <w:color w:val="auto"/>
                <w:vertAlign w:val="superscript"/>
              </w:rPr>
              <w:t>(1)</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7"/>
              </w:rPr>
              <w:t>27,700,849</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27,700,849</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51"/>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Justin Hartfield</w:t>
            </w:r>
            <w:r>
              <w:rPr>
                <w:rFonts w:ascii="Times New Roman" w:cs="Times New Roman" w:eastAsia="Times New Roman" w:hAnsi="Times New Roman"/>
                <w:sz w:val="26"/>
                <w:szCs w:val="26"/>
                <w:color w:val="auto"/>
                <w:vertAlign w:val="superscript"/>
              </w:rPr>
              <w:t>(2)</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29,328,310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29,328,310</w:t>
            </w:r>
          </w:p>
        </w:tc>
        <w:tc>
          <w:tcPr>
            <w:tcW w:w="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4"/>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Silver</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Spike Sponsor, LLC</w:t>
            </w:r>
            <w:r>
              <w:rPr>
                <w:rFonts w:ascii="Times New Roman" w:cs="Times New Roman" w:eastAsia="Times New Roman" w:hAnsi="Times New Roman"/>
                <w:sz w:val="26"/>
                <w:szCs w:val="26"/>
                <w:color w:val="auto"/>
                <w:vertAlign w:val="superscript"/>
              </w:rPr>
              <w:t>(3)</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7,515,752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7,000,000</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7,515,752</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7,000,000</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-1996440</wp:posOffset>
            </wp:positionV>
            <wp:extent cx="342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-1996440</wp:posOffset>
            </wp:positionV>
            <wp:extent cx="342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-1996440</wp:posOffset>
            </wp:positionV>
            <wp:extent cx="342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-1996440</wp:posOffset>
            </wp:positionV>
            <wp:extent cx="342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-1996440</wp:posOffset>
            </wp:positionV>
            <wp:extent cx="342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-1996440</wp:posOffset>
            </wp:positionV>
            <wp:extent cx="342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-1996440</wp:posOffset>
            </wp:positionV>
            <wp:extent cx="342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-1996440</wp:posOffset>
            </wp:positionV>
            <wp:extent cx="342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spacing w:after="0" w:line="6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8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8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38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  Class A Common Stock</w:t>
            </w: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64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are Sold</w:t>
            </w: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92"/>
        </w:trPr>
        <w:tc>
          <w:tcPr>
            <w:tcW w:w="210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Name of Selling</w:t>
            </w:r>
          </w:p>
        </w:tc>
        <w:tc>
          <w:tcPr>
            <w:tcW w:w="78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8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80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74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100" w:type="dxa"/>
            <w:vAlign w:val="bottom"/>
            <w:gridSpan w:val="3"/>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2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Securityholder</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8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2012 Grassie Family Delaware</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Dynasty Trust</w:t>
            </w:r>
            <w:r>
              <w:rPr>
                <w:rFonts w:ascii="Times New Roman" w:cs="Times New Roman" w:eastAsia="Times New Roman" w:hAnsi="Times New Roman"/>
                <w:sz w:val="26"/>
                <w:szCs w:val="26"/>
                <w:color w:val="auto"/>
                <w:vertAlign w:val="superscript"/>
              </w:rPr>
              <w:t>(4)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2019 Alternative Public</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Investments, LLC</w:t>
            </w:r>
            <w:r>
              <w:rPr>
                <w:rFonts w:ascii="Times New Roman" w:cs="Times New Roman" w:eastAsia="Times New Roman" w:hAnsi="Times New Roman"/>
                <w:sz w:val="26"/>
                <w:szCs w:val="26"/>
                <w:color w:val="auto"/>
                <w:vertAlign w:val="superscript"/>
              </w:rPr>
              <w:t>(5)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231,123</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231,123</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8704856 Canada Inc.</w:t>
            </w:r>
            <w:r>
              <w:rPr>
                <w:rFonts w:ascii="Times New Roman" w:cs="Times New Roman" w:eastAsia="Times New Roman" w:hAnsi="Times New Roman"/>
                <w:sz w:val="26"/>
                <w:szCs w:val="26"/>
                <w:color w:val="auto"/>
                <w:vertAlign w:val="superscript"/>
              </w:rPr>
              <w:t>(6)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Adam L. Reeder</w:t>
            </w:r>
            <w:r>
              <w:rPr>
                <w:rFonts w:ascii="Times New Roman" w:cs="Times New Roman" w:eastAsia="Times New Roman" w:hAnsi="Times New Roman"/>
                <w:sz w:val="26"/>
                <w:szCs w:val="26"/>
                <w:color w:val="auto"/>
                <w:vertAlign w:val="superscript"/>
              </w:rPr>
              <w:t>(7)</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Aguila Ventures LLC</w:t>
            </w:r>
            <w:r>
              <w:rPr>
                <w:rFonts w:ascii="Times New Roman" w:cs="Times New Roman" w:eastAsia="Times New Roman" w:hAnsi="Times New Roman"/>
                <w:sz w:val="26"/>
                <w:szCs w:val="26"/>
                <w:color w:val="auto"/>
                <w:vertAlign w:val="superscript"/>
              </w:rPr>
              <w:t>(8)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AHPPCB Legacy Trust dated</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February 1, 2014</w:t>
            </w:r>
            <w:r>
              <w:rPr>
                <w:rFonts w:ascii="Times New Roman" w:cs="Times New Roman" w:eastAsia="Times New Roman" w:hAnsi="Times New Roman"/>
                <w:sz w:val="26"/>
                <w:szCs w:val="26"/>
                <w:color w:val="auto"/>
                <w:vertAlign w:val="superscript"/>
              </w:rPr>
              <w:t>(9)</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4"/>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Alasdair I.C. Grassie 2012</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(10)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Amer Bisat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Ansari 3 Twelve LLC II</w:t>
            </w:r>
            <w:r>
              <w:rPr>
                <w:rFonts w:ascii="Times New Roman" w:cs="Times New Roman" w:eastAsia="Times New Roman" w:hAnsi="Times New Roman"/>
                <w:sz w:val="26"/>
                <w:szCs w:val="26"/>
                <w:color w:val="auto"/>
                <w:vertAlign w:val="superscript"/>
              </w:rPr>
              <w:t>(11)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91,666</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91,666</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Entities affiliated with</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Anthony Aquila</w:t>
            </w:r>
            <w:r>
              <w:rPr>
                <w:rFonts w:ascii="Times New Roman" w:cs="Times New Roman" w:eastAsia="Times New Roman" w:hAnsi="Times New Roman"/>
                <w:sz w:val="26"/>
                <w:szCs w:val="26"/>
                <w:color w:val="auto"/>
                <w:vertAlign w:val="superscript"/>
              </w:rPr>
              <w:t>(12)</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4"/>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Asia Pacific On-Line</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Limited</w:t>
            </w:r>
            <w:r>
              <w:rPr>
                <w:rFonts w:ascii="Times New Roman" w:cs="Times New Roman" w:eastAsia="Times New Roman" w:hAnsi="Times New Roman"/>
                <w:sz w:val="26"/>
                <w:szCs w:val="26"/>
                <w:color w:val="auto"/>
                <w:vertAlign w:val="superscript"/>
              </w:rPr>
              <w:t>(13)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Entities affiliated with</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Monashee Investment</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Management, LLC</w:t>
            </w:r>
            <w:r>
              <w:rPr>
                <w:rFonts w:ascii="Times New Roman" w:cs="Times New Roman" w:eastAsia="Times New Roman" w:hAnsi="Times New Roman"/>
                <w:sz w:val="26"/>
                <w:szCs w:val="26"/>
                <w:color w:val="auto"/>
                <w:vertAlign w:val="superscript"/>
              </w:rPr>
              <w:t>(14)</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90"/>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Bernardino Colonna</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Cavenham Private Equity and</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Directs</w:t>
            </w:r>
            <w:r>
              <w:rPr>
                <w:rFonts w:ascii="Times New Roman" w:cs="Times New Roman" w:eastAsia="Times New Roman" w:hAnsi="Times New Roman"/>
                <w:sz w:val="26"/>
                <w:szCs w:val="26"/>
                <w:color w:val="auto"/>
                <w:vertAlign w:val="superscript"/>
              </w:rPr>
              <w:t>(15)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4"/>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Citadel Multi-Strategy Equities</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Master Fund Ltd.</w:t>
            </w:r>
            <w:r>
              <w:rPr>
                <w:rFonts w:ascii="Times New Roman" w:cs="Times New Roman" w:eastAsia="Times New Roman" w:hAnsi="Times New Roman"/>
                <w:sz w:val="26"/>
                <w:szCs w:val="26"/>
                <w:color w:val="auto"/>
                <w:vertAlign w:val="superscript"/>
              </w:rPr>
              <w:t>(16)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0"/>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Behdad Eghbali</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1,225,000</w:t>
            </w:r>
          </w:p>
        </w:tc>
        <w:tc>
          <w:tcPr>
            <w:tcW w:w="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1,225,000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Jose E. Feliciano</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Chalten Investments Ltd</w:t>
            </w:r>
            <w:r>
              <w:rPr>
                <w:rFonts w:ascii="Times New Roman" w:cs="Times New Roman" w:eastAsia="Times New Roman" w:hAnsi="Times New Roman"/>
                <w:sz w:val="26"/>
                <w:szCs w:val="26"/>
                <w:color w:val="auto"/>
                <w:vertAlign w:val="superscript"/>
              </w:rPr>
              <w:t>(17)</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4"/>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Craig Schlanger Trust UAD</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8/31/1979</w:t>
            </w:r>
            <w:r>
              <w:rPr>
                <w:rFonts w:ascii="Times New Roman" w:cs="Times New Roman" w:eastAsia="Times New Roman" w:hAnsi="Times New Roman"/>
                <w:sz w:val="26"/>
                <w:szCs w:val="26"/>
                <w:color w:val="auto"/>
                <w:vertAlign w:val="superscript"/>
              </w:rPr>
              <w:t>(18)</w:t>
            </w:r>
          </w:p>
        </w:tc>
        <w:tc>
          <w:tcPr>
            <w:tcW w:w="5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CVI Investments, Inc.</w:t>
            </w:r>
            <w:r>
              <w:rPr>
                <w:rFonts w:ascii="Times New Roman" w:cs="Times New Roman" w:eastAsia="Times New Roman" w:hAnsi="Times New Roman"/>
                <w:sz w:val="26"/>
                <w:szCs w:val="26"/>
                <w:color w:val="auto"/>
                <w:vertAlign w:val="superscript"/>
              </w:rPr>
              <w:t>(19)</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90"/>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Darren Lazarus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David M. Baron</w:t>
            </w:r>
            <w:r>
              <w:rPr>
                <w:rFonts w:ascii="Times New Roman" w:cs="Times New Roman" w:eastAsia="Times New Roman" w:hAnsi="Times New Roman"/>
                <w:sz w:val="26"/>
                <w:szCs w:val="26"/>
                <w:color w:val="auto"/>
                <w:vertAlign w:val="superscript"/>
              </w:rPr>
              <w:t>(20)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91"/>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Mayer de Rothschild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0"/>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David Morrill</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Todd Posen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Debra Shemesh-Joester</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Doug Kaplan</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0"/>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Eric Aroesty</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Eric Hirschfield</w:t>
            </w:r>
            <w:r>
              <w:rPr>
                <w:rFonts w:ascii="Times New Roman" w:cs="Times New Roman" w:eastAsia="Times New Roman" w:hAnsi="Times New Roman"/>
                <w:sz w:val="26"/>
                <w:szCs w:val="26"/>
                <w:color w:val="auto"/>
                <w:vertAlign w:val="superscript"/>
              </w:rPr>
              <w:t>(21)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Euan C.A. Grassie 2012</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(22)</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Federated Funds</w:t>
            </w:r>
            <w:r>
              <w:rPr>
                <w:rFonts w:ascii="Times New Roman" w:cs="Times New Roman" w:eastAsia="Times New Roman" w:hAnsi="Times New Roman"/>
                <w:sz w:val="26"/>
                <w:szCs w:val="26"/>
                <w:color w:val="auto"/>
                <w:vertAlign w:val="superscript"/>
              </w:rPr>
              <w:t>(23)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Final Word Investments</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line="310" w:lineRule="exact"/>
              <w:rPr>
                <w:sz w:val="20"/>
                <w:szCs w:val="20"/>
                <w:color w:val="auto"/>
              </w:rPr>
            </w:pPr>
            <w:r>
              <w:rPr>
                <w:rFonts w:ascii="Times New Roman" w:cs="Times New Roman" w:eastAsia="Times New Roman" w:hAnsi="Times New Roman"/>
                <w:sz w:val="32"/>
                <w:szCs w:val="32"/>
                <w:color w:val="auto"/>
                <w:vertAlign w:val="subscript"/>
              </w:rPr>
              <w:t>LLC</w:t>
            </w:r>
            <w:r>
              <w:rPr>
                <w:rFonts w:ascii="Times New Roman" w:cs="Times New Roman" w:eastAsia="Times New Roman" w:hAnsi="Times New Roman"/>
                <w:sz w:val="13"/>
                <w:szCs w:val="13"/>
                <w:color w:val="auto"/>
              </w:rPr>
              <w:t>(24)</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4"/>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Granite Point Master Fund,</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shd w:val="clear" w:color="auto" w:fill="CCEEFF"/>
          </w:tcPr>
          <w:p>
            <w:pPr>
              <w:ind w:left="160"/>
              <w:spacing w:after="0" w:line="310" w:lineRule="exact"/>
              <w:rPr>
                <w:sz w:val="20"/>
                <w:szCs w:val="20"/>
                <w:color w:val="auto"/>
              </w:rPr>
            </w:pPr>
            <w:r>
              <w:rPr>
                <w:rFonts w:ascii="Times New Roman" w:cs="Times New Roman" w:eastAsia="Times New Roman" w:hAnsi="Times New Roman"/>
                <w:sz w:val="32"/>
                <w:szCs w:val="32"/>
                <w:color w:val="auto"/>
                <w:vertAlign w:val="subscript"/>
              </w:rPr>
              <w:t>LP</w:t>
            </w:r>
            <w:r>
              <w:rPr>
                <w:rFonts w:ascii="Times New Roman" w:cs="Times New Roman" w:eastAsia="Times New Roman" w:hAnsi="Times New Roman"/>
                <w:sz w:val="13"/>
                <w:szCs w:val="13"/>
                <w:color w:val="auto"/>
              </w:rPr>
              <w:t>(25)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Gregor C.A. Grassie 2012</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(26)</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2"/>
        </w:trPr>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-9375140</wp:posOffset>
            </wp:positionV>
            <wp:extent cx="342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-9375140</wp:posOffset>
            </wp:positionV>
            <wp:extent cx="342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-9375140</wp:posOffset>
            </wp:positionV>
            <wp:extent cx="342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-9375140</wp:posOffset>
            </wp:positionV>
            <wp:extent cx="342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-9375140</wp:posOffset>
            </wp:positionV>
            <wp:extent cx="342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-9375140</wp:posOffset>
            </wp:positionV>
            <wp:extent cx="342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-9375140</wp:posOffset>
            </wp:positionV>
            <wp:extent cx="342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-9375140</wp:posOffset>
            </wp:positionV>
            <wp:extent cx="342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900" w:orient="portrait"/>
          <w:cols w:equalWidth="0" w:num="1">
            <w:col w:w="9019"/>
          </w:cols>
          <w:pgMar w:left="1440" w:top="262" w:right="1440" w:bottom="0" w:gutter="0" w:footer="0" w:header="0"/>
        </w:sectPr>
      </w:pPr>
    </w:p>
    <w:bookmarkStart w:id="121" w:name="page122"/>
    <w:bookmarkEnd w:id="121"/>
    <w:p>
      <w:pPr>
        <w:ind w:left="300"/>
        <w:spacing w:after="0"/>
        <w:tabs>
          <w:tab w:leader="none" w:pos="2540" w:val="left"/>
          <w:tab w:leader="none" w:pos="3580" w:val="left"/>
          <w:tab w:leader="none" w:pos="4100" w:val="left"/>
          <w:tab w:leader="none" w:pos="5000" w:val="left"/>
          <w:tab w:leader="none" w:pos="5800" w:val="left"/>
          <w:tab w:leader="none" w:pos="6600" w:val="left"/>
          <w:tab w:leader="none" w:pos="7560" w:val="left"/>
          <w:tab w:leader="none" w:pos="8240" w:val="left"/>
        </w:tabs>
        <w:rPr>
          <w:sz w:val="20"/>
          <w:szCs w:val="20"/>
          <w:color w:val="auto"/>
        </w:rPr>
      </w:pPr>
      <w:r>
        <w:rPr>
          <w:rFonts w:ascii="Times New Roman" w:cs="Times New Roman" w:eastAsia="Times New Roman" w:hAnsi="Times New Roman"/>
          <w:sz w:val="16"/>
          <w:szCs w:val="16"/>
          <w:color w:val="auto"/>
        </w:rPr>
        <w:t>GS+A Global Special</w:t>
      </w:r>
      <w:r>
        <w:rPr>
          <w:sz w:val="20"/>
          <w:szCs w:val="20"/>
          <w:color w:val="auto"/>
        </w:rPr>
        <w:tab/>
      </w:r>
      <w:r>
        <w:rPr>
          <w:rFonts w:ascii="Times New Roman" w:cs="Times New Roman" w:eastAsia="Times New Roman" w:hAnsi="Times New Roman"/>
          <w:sz w:val="16"/>
          <w:szCs w:val="16"/>
          <w:color w:val="auto"/>
        </w:rPr>
        <w:t>350,000</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350,000</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-107315</wp:posOffset>
            </wp:positionV>
            <wp:extent cx="5357495" cy="3168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357495" cy="31686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Situations Fund</w:t>
      </w:r>
      <w:r>
        <w:rPr>
          <w:rFonts w:ascii="Times New Roman" w:cs="Times New Roman" w:eastAsia="Times New Roman" w:hAnsi="Times New Roman"/>
          <w:sz w:val="26"/>
          <w:szCs w:val="26"/>
          <w:color w:val="auto"/>
          <w:vertAlign w:val="superscript"/>
        </w:rPr>
        <w:t>(27)</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144780</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122" w:name="page123"/>
    <w:bookmarkEnd w:id="122"/>
    <w:p>
      <w:pPr>
        <w:spacing w:after="0" w:line="6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8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8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38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  Class A Common Stock</w:t>
            </w: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64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are Sold</w:t>
            </w: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92"/>
        </w:trPr>
        <w:tc>
          <w:tcPr>
            <w:tcW w:w="210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Name of Selling</w:t>
            </w:r>
          </w:p>
        </w:tc>
        <w:tc>
          <w:tcPr>
            <w:tcW w:w="78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8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80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74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100" w:type="dxa"/>
            <w:vAlign w:val="bottom"/>
            <w:gridSpan w:val="3"/>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2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Securityholder</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8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Harbert Stoneview Master</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Fund, Ltd.</w:t>
            </w:r>
            <w:r>
              <w:rPr>
                <w:rFonts w:ascii="Times New Roman" w:cs="Times New Roman" w:eastAsia="Times New Roman" w:hAnsi="Times New Roman"/>
                <w:sz w:val="26"/>
                <w:szCs w:val="26"/>
                <w:color w:val="auto"/>
                <w:vertAlign w:val="superscript"/>
              </w:rPr>
              <w:t>(28)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Homer Parkhill</w:t>
            </w:r>
            <w:r>
              <w:rPr>
                <w:rFonts w:ascii="Times New Roman" w:cs="Times New Roman" w:eastAsia="Times New Roman" w:hAnsi="Times New Roman"/>
                <w:sz w:val="26"/>
                <w:szCs w:val="26"/>
                <w:color w:val="auto"/>
                <w:vertAlign w:val="superscript"/>
              </w:rPr>
              <w:t>(29)</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Hoplite Capital Series LLC –</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Kerdos</w:t>
            </w:r>
            <w:r>
              <w:rPr>
                <w:rFonts w:ascii="Times New Roman" w:cs="Times New Roman" w:eastAsia="Times New Roman" w:hAnsi="Times New Roman"/>
                <w:sz w:val="26"/>
                <w:szCs w:val="26"/>
                <w:color w:val="auto"/>
                <w:vertAlign w:val="superscript"/>
              </w:rPr>
              <w:t>(30)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Interward Capital Corp</w:t>
            </w:r>
            <w:r>
              <w:rPr>
                <w:rFonts w:ascii="Times New Roman" w:cs="Times New Roman" w:eastAsia="Times New Roman" w:hAnsi="Times New Roman"/>
                <w:sz w:val="26"/>
                <w:szCs w:val="26"/>
                <w:color w:val="auto"/>
                <w:vertAlign w:val="superscript"/>
              </w:rPr>
              <w:t>(31)</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Ben</w:t>
            </w:r>
            <w:r>
              <w:rPr>
                <w:rFonts w:ascii="Times New Roman" w:cs="Times New Roman" w:eastAsia="Times New Roman" w:hAnsi="Times New Roman"/>
                <w:sz w:val="26"/>
                <w:szCs w:val="26"/>
                <w:color w:val="auto"/>
                <w:vertAlign w:val="superscript"/>
              </w:rPr>
              <w:t>(32)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James Neissa</w:t>
            </w:r>
            <w:r>
              <w:rPr>
                <w:rFonts w:ascii="Times New Roman" w:cs="Times New Roman" w:eastAsia="Times New Roman" w:hAnsi="Times New Roman"/>
                <w:sz w:val="26"/>
                <w:szCs w:val="26"/>
                <w:color w:val="auto"/>
                <w:vertAlign w:val="superscript"/>
              </w:rPr>
              <w:t>(33)</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0"/>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Jeffrey Jagid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Jonathan Jagid</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Joshua Jagid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Joshua Samuelson</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91,250</w:t>
            </w:r>
          </w:p>
        </w:tc>
        <w:tc>
          <w:tcPr>
            <w:tcW w:w="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91,250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Kaitlin Carey</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Katz 2014 Limited</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Partnership</w:t>
            </w:r>
            <w:r>
              <w:rPr>
                <w:rFonts w:ascii="Times New Roman" w:cs="Times New Roman" w:eastAsia="Times New Roman" w:hAnsi="Times New Roman"/>
                <w:sz w:val="26"/>
                <w:szCs w:val="26"/>
                <w:color w:val="auto"/>
                <w:vertAlign w:val="superscript"/>
              </w:rPr>
              <w:t>(34)</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0"/>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Keith F. Overlander</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Lachlan S.H. Grassie 2012</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(35)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Landis Capital LLC</w:t>
            </w:r>
            <w:r>
              <w:rPr>
                <w:rFonts w:ascii="Times New Roman" w:cs="Times New Roman" w:eastAsia="Times New Roman" w:hAnsi="Times New Roman"/>
                <w:sz w:val="26"/>
                <w:szCs w:val="26"/>
                <w:color w:val="auto"/>
                <w:vertAlign w:val="superscript"/>
              </w:rPr>
              <w:t>(36)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Laurence Russian</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Laurence Schreiber</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Entities affiliated with Luxor</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Capital</w:t>
            </w:r>
            <w:r>
              <w:rPr>
                <w:rFonts w:ascii="Times New Roman" w:cs="Times New Roman" w:eastAsia="Times New Roman" w:hAnsi="Times New Roman"/>
                <w:sz w:val="26"/>
                <w:szCs w:val="26"/>
                <w:color w:val="auto"/>
                <w:vertAlign w:val="superscript"/>
              </w:rPr>
              <w:t>(37)</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5,147,524</w:t>
            </w:r>
          </w:p>
        </w:tc>
        <w:tc>
          <w:tcPr>
            <w:tcW w:w="60" w:type="dxa"/>
            <w:vAlign w:val="bottom"/>
          </w:tcPr>
          <w:p>
            <w:pPr>
              <w:spacing w:after="0"/>
              <w:rPr>
                <w:sz w:val="24"/>
                <w:szCs w:val="24"/>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369,756</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2,447,524</w:t>
            </w:r>
          </w:p>
        </w:tc>
        <w:tc>
          <w:tcPr>
            <w:tcW w:w="6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2.76%</w:t>
            </w:r>
          </w:p>
        </w:tc>
        <w:tc>
          <w:tcPr>
            <w:tcW w:w="60" w:type="dxa"/>
            <w:vAlign w:val="bottom"/>
          </w:tcPr>
          <w:p>
            <w:pPr>
              <w:spacing w:after="0"/>
              <w:rPr>
                <w:sz w:val="24"/>
                <w:szCs w:val="24"/>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369,756</w:t>
            </w:r>
          </w:p>
        </w:tc>
        <w:tc>
          <w:tcPr>
            <w:tcW w:w="6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44"/>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Manatuck Hill</w:t>
            </w:r>
            <w:r>
              <w:rPr>
                <w:rFonts w:ascii="Times New Roman" w:cs="Times New Roman" w:eastAsia="Times New Roman" w:hAnsi="Times New Roman"/>
                <w:sz w:val="26"/>
                <w:szCs w:val="26"/>
                <w:color w:val="auto"/>
                <w:vertAlign w:val="superscript"/>
              </w:rPr>
              <w:t>(38)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Marc Sontrop</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Matthew Tomasino</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Measure 8 Full Spectrum,</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line="310" w:lineRule="exact"/>
              <w:rPr>
                <w:sz w:val="20"/>
                <w:szCs w:val="20"/>
                <w:color w:val="auto"/>
              </w:rPr>
            </w:pPr>
            <w:r>
              <w:rPr>
                <w:rFonts w:ascii="Times New Roman" w:cs="Times New Roman" w:eastAsia="Times New Roman" w:hAnsi="Times New Roman"/>
                <w:sz w:val="32"/>
                <w:szCs w:val="32"/>
                <w:color w:val="auto"/>
                <w:vertAlign w:val="subscript"/>
              </w:rPr>
              <w:t>LP</w:t>
            </w:r>
            <w:r>
              <w:rPr>
                <w:rFonts w:ascii="Times New Roman" w:cs="Times New Roman" w:eastAsia="Times New Roman" w:hAnsi="Times New Roman"/>
                <w:sz w:val="13"/>
                <w:szCs w:val="13"/>
                <w:color w:val="auto"/>
              </w:rPr>
              <w:t>(39)</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Ninepoint Alternative Health</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Fund</w:t>
            </w:r>
            <w:r>
              <w:rPr>
                <w:rFonts w:ascii="Times New Roman" w:cs="Times New Roman" w:eastAsia="Times New Roman" w:hAnsi="Times New Roman"/>
                <w:sz w:val="26"/>
                <w:szCs w:val="26"/>
                <w:color w:val="auto"/>
                <w:vertAlign w:val="superscript"/>
              </w:rPr>
              <w:t>(40)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Paul A. Halpern Trust date</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July 24, 2000</w:t>
            </w:r>
            <w:r>
              <w:rPr>
                <w:rFonts w:ascii="Times New Roman" w:cs="Times New Roman" w:eastAsia="Times New Roman" w:hAnsi="Times New Roman"/>
                <w:sz w:val="26"/>
                <w:szCs w:val="26"/>
                <w:color w:val="auto"/>
                <w:vertAlign w:val="superscript"/>
              </w:rPr>
              <w:t>(41)</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Perch Bay Group, LLC</w:t>
            </w:r>
            <w:r>
              <w:rPr>
                <w:rFonts w:ascii="Times New Roman" w:cs="Times New Roman" w:eastAsia="Times New Roman" w:hAnsi="Times New Roman"/>
                <w:sz w:val="26"/>
                <w:szCs w:val="26"/>
                <w:color w:val="auto"/>
                <w:vertAlign w:val="superscript"/>
              </w:rPr>
              <w:t>(42)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Peter J. Moses</w:t>
            </w:r>
            <w:r>
              <w:rPr>
                <w:rFonts w:ascii="Times New Roman" w:cs="Times New Roman" w:eastAsia="Times New Roman" w:hAnsi="Times New Roman"/>
                <w:sz w:val="26"/>
                <w:szCs w:val="26"/>
                <w:color w:val="auto"/>
                <w:vertAlign w:val="superscript"/>
              </w:rPr>
              <w:t>(43)</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the</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Polar Funds</w:t>
            </w:r>
            <w:r>
              <w:rPr>
                <w:rFonts w:ascii="Times New Roman" w:cs="Times New Roman" w:eastAsia="Times New Roman" w:hAnsi="Times New Roman"/>
                <w:sz w:val="26"/>
                <w:szCs w:val="26"/>
                <w:color w:val="auto"/>
                <w:vertAlign w:val="superscript"/>
              </w:rPr>
              <w:t>(44)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Ponya Asset Management</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line="310" w:lineRule="exact"/>
              <w:rPr>
                <w:sz w:val="20"/>
                <w:szCs w:val="20"/>
                <w:color w:val="auto"/>
              </w:rPr>
            </w:pPr>
            <w:r>
              <w:rPr>
                <w:rFonts w:ascii="Times New Roman" w:cs="Times New Roman" w:eastAsia="Times New Roman" w:hAnsi="Times New Roman"/>
                <w:sz w:val="32"/>
                <w:szCs w:val="32"/>
                <w:color w:val="auto"/>
                <w:vertAlign w:val="subscript"/>
              </w:rPr>
              <w:t>LLC</w:t>
            </w:r>
            <w:r>
              <w:rPr>
                <w:rFonts w:ascii="Times New Roman" w:cs="Times New Roman" w:eastAsia="Times New Roman" w:hAnsi="Times New Roman"/>
                <w:sz w:val="13"/>
                <w:szCs w:val="13"/>
                <w:color w:val="auto"/>
              </w:rPr>
              <w:t>(45)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Ray E. Newton III Revocable</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Trust UAD 10/11/12 as</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amended 7/23/19</w:t>
            </w:r>
            <w:r>
              <w:rPr>
                <w:rFonts w:ascii="Times New Roman" w:cs="Times New Roman" w:eastAsia="Times New Roman" w:hAnsi="Times New Roman"/>
                <w:sz w:val="26"/>
                <w:szCs w:val="26"/>
                <w:color w:val="auto"/>
                <w:vertAlign w:val="superscript"/>
              </w:rPr>
              <w:t>(46)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7,550</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7,550</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Richard Goldman</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Richard Prager</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Robinson Family Trust</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2016</w:t>
            </w:r>
            <w:r>
              <w:rPr>
                <w:rFonts w:ascii="Times New Roman" w:cs="Times New Roman" w:eastAsia="Times New Roman" w:hAnsi="Times New Roman"/>
                <w:sz w:val="26"/>
                <w:szCs w:val="26"/>
                <w:color w:val="auto"/>
                <w:vertAlign w:val="superscript"/>
              </w:rPr>
              <w:t>(47)</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Rock J. Eiden &amp; Sandra K.</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Eiden</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Rothschild &amp; Co US Inc.</w:t>
            </w:r>
            <w:r>
              <w:rPr>
                <w:rFonts w:ascii="Times New Roman" w:cs="Times New Roman" w:eastAsia="Times New Roman" w:hAnsi="Times New Roman"/>
                <w:sz w:val="26"/>
                <w:szCs w:val="26"/>
                <w:color w:val="auto"/>
                <w:vertAlign w:val="superscript"/>
              </w:rPr>
              <w:t>(48)</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190,000</w:t>
            </w:r>
          </w:p>
        </w:tc>
        <w:tc>
          <w:tcPr>
            <w:tcW w:w="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Roystone Capital Master Fund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699,437</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297,000</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49,437</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297,000</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42"/>
        </w:trPr>
        <w:tc>
          <w:tcPr>
            <w:tcW w:w="15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-9375140</wp:posOffset>
            </wp:positionV>
            <wp:extent cx="342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-9375140</wp:posOffset>
            </wp:positionV>
            <wp:extent cx="342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-9375140</wp:posOffset>
            </wp:positionV>
            <wp:extent cx="342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-9375140</wp:posOffset>
            </wp:positionV>
            <wp:extent cx="342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-9375140</wp:posOffset>
            </wp:positionV>
            <wp:extent cx="342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-9375140</wp:posOffset>
            </wp:positionV>
            <wp:extent cx="342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-9375140</wp:posOffset>
            </wp:positionV>
            <wp:extent cx="342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-9375140</wp:posOffset>
            </wp:positionV>
            <wp:extent cx="342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900" w:orient="portrait"/>
          <w:cols w:equalWidth="0" w:num="1">
            <w:col w:w="9019"/>
          </w:cols>
          <w:pgMar w:left="1440" w:top="262" w:right="1440" w:bottom="0" w:gutter="0" w:footer="0" w:header="0"/>
        </w:sectPr>
      </w:pPr>
    </w:p>
    <w:bookmarkStart w:id="123" w:name="page124"/>
    <w:bookmarkEnd w:id="123"/>
    <w:p>
      <w:pPr>
        <w:ind w:left="460"/>
        <w:spacing w:after="0"/>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6"/>
          <w:szCs w:val="26"/>
          <w:color w:val="auto"/>
          <w:vertAlign w:val="superscript"/>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-180975</wp:posOffset>
            </wp:positionV>
            <wp:extent cx="5357495" cy="1885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357495" cy="188595"/>
                    </a:xfrm>
                    <a:prstGeom prst="rect">
                      <a:avLst/>
                    </a:prstGeom>
                    <a:noFill/>
                  </pic:spPr>
                </pic:pic>
              </a:graphicData>
            </a:graphic>
          </wp:anchor>
        </w:drawing>
      </w:r>
    </w:p>
    <w:p>
      <w:pPr>
        <w:spacing w:after="0" w:line="36" w:lineRule="exact"/>
        <w:rPr>
          <w:sz w:val="20"/>
          <w:szCs w:val="20"/>
          <w:color w:val="auto"/>
        </w:rPr>
      </w:pPr>
    </w:p>
    <w:p>
      <w:pPr>
        <w:ind w:left="300"/>
        <w:spacing w:after="0"/>
        <w:tabs>
          <w:tab w:leader="none" w:pos="2700" w:val="left"/>
          <w:tab w:leader="none" w:pos="3620" w:val="left"/>
          <w:tab w:leader="none" w:pos="4260" w:val="left"/>
          <w:tab w:leader="none" w:pos="5000" w:val="left"/>
          <w:tab w:leader="none" w:pos="6040" w:val="left"/>
          <w:tab w:leader="none" w:pos="6660" w:val="left"/>
          <w:tab w:leader="none" w:pos="7600" w:val="left"/>
          <w:tab w:leader="none" w:pos="8300" w:val="left"/>
        </w:tabs>
        <w:rPr>
          <w:sz w:val="20"/>
          <w:szCs w:val="20"/>
          <w:color w:val="auto"/>
        </w:rPr>
      </w:pPr>
      <w:r>
        <w:rPr>
          <w:rFonts w:ascii="Times New Roman" w:cs="Times New Roman" w:eastAsia="Times New Roman" w:hAnsi="Times New Roman"/>
          <w:sz w:val="16"/>
          <w:szCs w:val="16"/>
          <w:color w:val="auto"/>
        </w:rPr>
        <w:t>Samantha Lewis</w:t>
      </w:r>
      <w:r>
        <w:rPr>
          <w:sz w:val="20"/>
          <w:szCs w:val="20"/>
          <w:color w:val="auto"/>
        </w:rPr>
        <w:tab/>
      </w:r>
      <w:r>
        <w:rPr>
          <w:rFonts w:ascii="Times New Roman" w:cs="Times New Roman" w:eastAsia="Times New Roman" w:hAnsi="Times New Roman"/>
          <w:sz w:val="16"/>
          <w:szCs w:val="16"/>
          <w:color w:val="auto"/>
        </w:rPr>
        <w:t>2,000</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2,000</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24" w:name="page125"/>
    <w:bookmarkEnd w:id="124"/>
    <w:tbl>
      <w:tblPr>
        <w:tblLayout w:type="fixed"/>
        <w:tblInd w:w="300" w:type="dxa"/>
        <w:tblCellMar>
          <w:top w:w="0" w:type="dxa"/>
          <w:left w:w="0" w:type="dxa"/>
          <w:bottom w:w="0" w:type="dxa"/>
          <w:right w:w="0" w:type="dxa"/>
        </w:tblCellMar>
      </w:tblPr>
      <w:tr>
        <w:trPr>
          <w:trHeight w:val="161"/>
        </w:trPr>
        <w:tc>
          <w:tcPr>
            <w:tcW w:w="2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8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8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4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2"/>
            <w:vMerge w:val="continue"/>
          </w:tcPr>
          <w:p>
            <w:pPr>
              <w:spacing w:after="0"/>
              <w:rPr>
                <w:sz w:val="12"/>
                <w:szCs w:val="12"/>
                <w:color w:val="auto"/>
              </w:rPr>
            </w:pPr>
          </w:p>
        </w:tc>
        <w:tc>
          <w:tcPr>
            <w:tcW w:w="164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64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are Sold</w:t>
            </w: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92"/>
        </w:trPr>
        <w:tc>
          <w:tcPr>
            <w:tcW w:w="210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Name of Selling</w:t>
            </w:r>
          </w:p>
        </w:tc>
        <w:tc>
          <w:tcPr>
            <w:tcW w:w="78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8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80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74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100" w:type="dxa"/>
            <w:vAlign w:val="bottom"/>
            <w:gridSpan w:val="3"/>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2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Securityholder</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8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Scott J. Taylor</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Entities affiliated with Pura</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Vida Investments, LLC</w:t>
            </w:r>
            <w:r>
              <w:rPr>
                <w:rFonts w:ascii="Times New Roman" w:cs="Times New Roman" w:eastAsia="Times New Roman" w:hAnsi="Times New Roman"/>
                <w:sz w:val="26"/>
                <w:szCs w:val="26"/>
                <w:color w:val="auto"/>
                <w:vertAlign w:val="superscript"/>
              </w:rPr>
              <w:t>(50)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3,200,000</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Seawolf Capital LLC</w:t>
            </w:r>
            <w:r>
              <w:rPr>
                <w:rFonts w:ascii="Times New Roman" w:cs="Times New Roman" w:eastAsia="Times New Roman" w:hAnsi="Times New Roman"/>
                <w:sz w:val="26"/>
                <w:szCs w:val="26"/>
                <w:color w:val="auto"/>
                <w:vertAlign w:val="superscript"/>
              </w:rPr>
              <w:t>(51)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Entities affiliated with Senvest</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Management LLC</w:t>
            </w:r>
            <w:r>
              <w:rPr>
                <w:rFonts w:ascii="Times New Roman" w:cs="Times New Roman" w:eastAsia="Times New Roman" w:hAnsi="Times New Roman"/>
                <w:sz w:val="26"/>
                <w:szCs w:val="26"/>
                <w:color w:val="auto"/>
                <w:vertAlign w:val="superscript"/>
              </w:rPr>
              <w:t>(52)</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5,584,975</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3,468,682</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1,584,975</w:t>
            </w:r>
          </w:p>
        </w:tc>
        <w:tc>
          <w:tcPr>
            <w:tcW w:w="6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1.78%</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3,468,682</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SOJE Fund LP</w:t>
            </w:r>
            <w:r>
              <w:rPr>
                <w:rFonts w:ascii="Times New Roman" w:cs="Times New Roman" w:eastAsia="Times New Roman" w:hAnsi="Times New Roman"/>
                <w:sz w:val="26"/>
                <w:szCs w:val="26"/>
                <w:color w:val="auto"/>
                <w:vertAlign w:val="superscript"/>
              </w:rPr>
              <w:t>(53)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65,625</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65,625</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SRC WM LP</w:t>
            </w:r>
            <w:r>
              <w:rPr>
                <w:rFonts w:ascii="Times New Roman" w:cs="Times New Roman" w:eastAsia="Times New Roman" w:hAnsi="Times New Roman"/>
                <w:sz w:val="26"/>
                <w:szCs w:val="26"/>
                <w:color w:val="auto"/>
                <w:vertAlign w:val="superscript"/>
              </w:rPr>
              <w:t>(54)</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Stephen J. Antinelli</w:t>
            </w:r>
            <w:r>
              <w:rPr>
                <w:rFonts w:ascii="Times New Roman" w:cs="Times New Roman" w:eastAsia="Times New Roman" w:hAnsi="Times New Roman"/>
                <w:sz w:val="26"/>
                <w:szCs w:val="26"/>
                <w:color w:val="auto"/>
                <w:vertAlign w:val="superscript"/>
              </w:rPr>
              <w:t>(55)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Stuart Spodek</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Sunshine Charitable</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Foundation</w:t>
            </w:r>
            <w:r>
              <w:rPr>
                <w:rFonts w:ascii="Times New Roman" w:cs="Times New Roman" w:eastAsia="Times New Roman" w:hAnsi="Times New Roman"/>
                <w:sz w:val="26"/>
                <w:szCs w:val="26"/>
                <w:color w:val="auto"/>
                <w:vertAlign w:val="superscript"/>
              </w:rPr>
              <w:t>(56)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Susan Nappan Cocke</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Tauro Investments, LLC</w:t>
            </w:r>
            <w:r>
              <w:rPr>
                <w:rFonts w:ascii="Times New Roman" w:cs="Times New Roman" w:eastAsia="Times New Roman" w:hAnsi="Times New Roman"/>
                <w:sz w:val="26"/>
                <w:szCs w:val="26"/>
                <w:color w:val="auto"/>
                <w:vertAlign w:val="superscript"/>
              </w:rPr>
              <w:t>(57)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TCCS I, LP</w:t>
            </w:r>
            <w:r>
              <w:rPr>
                <w:rFonts w:ascii="Times New Roman" w:cs="Times New Roman" w:eastAsia="Times New Roman" w:hAnsi="Times New Roman"/>
                <w:sz w:val="26"/>
                <w:szCs w:val="26"/>
                <w:color w:val="auto"/>
                <w:vertAlign w:val="superscript"/>
              </w:rPr>
              <w:t>(58)</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Teak Fund, LP</w:t>
            </w:r>
            <w:r>
              <w:rPr>
                <w:rFonts w:ascii="Times New Roman" w:cs="Times New Roman" w:eastAsia="Times New Roman" w:hAnsi="Times New Roman"/>
                <w:sz w:val="26"/>
                <w:szCs w:val="26"/>
                <w:color w:val="auto"/>
                <w:vertAlign w:val="superscript"/>
              </w:rPr>
              <w:t>(59)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Teton Fund, LP</w:t>
            </w:r>
            <w:r>
              <w:rPr>
                <w:rFonts w:ascii="Times New Roman" w:cs="Times New Roman" w:eastAsia="Times New Roman" w:hAnsi="Times New Roman"/>
                <w:sz w:val="26"/>
                <w:szCs w:val="26"/>
                <w:color w:val="auto"/>
                <w:vertAlign w:val="superscript"/>
              </w:rPr>
              <w:t>(60)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Vorfeld Family Trust</w:t>
            </w:r>
            <w:r>
              <w:rPr>
                <w:rFonts w:ascii="Times New Roman" w:cs="Times New Roman" w:eastAsia="Times New Roman" w:hAnsi="Times New Roman"/>
                <w:sz w:val="26"/>
                <w:szCs w:val="26"/>
                <w:color w:val="auto"/>
                <w:vertAlign w:val="superscript"/>
              </w:rPr>
              <w:t>(61)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Thomas Marino</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Troy Gregory</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TLP Investment Partners</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line="310" w:lineRule="exact"/>
              <w:rPr>
                <w:sz w:val="20"/>
                <w:szCs w:val="20"/>
                <w:color w:val="auto"/>
              </w:rPr>
            </w:pPr>
            <w:r>
              <w:rPr>
                <w:rFonts w:ascii="Times New Roman" w:cs="Times New Roman" w:eastAsia="Times New Roman" w:hAnsi="Times New Roman"/>
                <w:sz w:val="32"/>
                <w:szCs w:val="32"/>
                <w:color w:val="auto"/>
                <w:vertAlign w:val="subscript"/>
              </w:rPr>
              <w:t>LLC</w:t>
            </w:r>
            <w:r>
              <w:rPr>
                <w:rFonts w:ascii="Times New Roman" w:cs="Times New Roman" w:eastAsia="Times New Roman" w:hAnsi="Times New Roman"/>
                <w:sz w:val="13"/>
                <w:szCs w:val="13"/>
                <w:color w:val="auto"/>
              </w:rPr>
              <w:t>(62)</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TUP Investments, L.P.</w:t>
            </w:r>
            <w:r>
              <w:rPr>
                <w:rFonts w:ascii="Times New Roman" w:cs="Times New Roman" w:eastAsia="Times New Roman" w:hAnsi="Times New Roman"/>
                <w:sz w:val="26"/>
                <w:szCs w:val="26"/>
                <w:color w:val="auto"/>
                <w:vertAlign w:val="superscript"/>
              </w:rPr>
              <w:t>(63)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Vobren Limited</w:t>
            </w:r>
            <w:r>
              <w:rPr>
                <w:rFonts w:ascii="Times New Roman" w:cs="Times New Roman" w:eastAsia="Times New Roman" w:hAnsi="Times New Roman"/>
                <w:sz w:val="26"/>
                <w:szCs w:val="26"/>
                <w:color w:val="auto"/>
                <w:vertAlign w:val="superscript"/>
              </w:rPr>
              <w:t>(64)</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William James Pade III</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-5057140</wp:posOffset>
            </wp:positionV>
            <wp:extent cx="342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-5057140</wp:posOffset>
            </wp:positionV>
            <wp:extent cx="342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-5057140</wp:posOffset>
            </wp:positionV>
            <wp:extent cx="342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-5057140</wp:posOffset>
            </wp:positionV>
            <wp:extent cx="342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-5057140</wp:posOffset>
            </wp:positionV>
            <wp:extent cx="342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-5057140</wp:posOffset>
            </wp:positionV>
            <wp:extent cx="342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-5057140</wp:posOffset>
            </wp:positionV>
            <wp:extent cx="342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-5057140</wp:posOffset>
            </wp:positionV>
            <wp:extent cx="342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jc w:val="both"/>
        <w:ind w:left="640" w:right="299" w:hanging="348"/>
        <w:spacing w:after="0" w:line="229" w:lineRule="auto"/>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17,162,485 shares of Class A Common Stock issuable upon exchange of Paired Interests held by Mr. Francis, 8,469,191 shares of Class A Common Stock issuable upon exchange of Paired Interests held by Ghost Media Group, LLC, 600,618 shares of Class A Common Stock issuable upon exchange of Paired Interests held by Genco Incentives, LLC and 1,468,555 shares of Class A Common Stock issuable upon exchange of Paired Interests held by WM Founders Legacy I, LLC. Ghost Media Group, LLC is controlled by Messrs. Francis and Hartfield and WM Founders Legacy I, LLC and Genco Incentives, LLC are controlled by Mr. Francis. Accordingly, Mr. Francis may be deemed to be a beneficial owner of the Registrable Securities held by Ghost Media Group, LLC, Genco Incentives, LLC and WM Founders Legacy I, LLC.</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19,288,160 shares of Class A Common Stock issuable upon exchange of Paired Interests held by Mr. Hartfield, 8,469,191 shares of Class A Common Stock issuable upon exchange of Paired Interests held by Ghost Media Group, LLC and 1,570,959 shares of Class A Common Stock issuable upon exchange of Paired Interests held by WM Founders Legacy II, LLC. Ghost Media Group, LLC is controlled by Messrs. Hartfield and Francis and WM Founders Legacy II, LLC is controlled by Mr. Hartfield. Accordingly, Mr. Hartfield may be deemed to be a beneficial owner of the Registrable Securities held by Ghost Media Group, LLC and WM Founders Legacy II, LLC.</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28" w:lineRule="auto"/>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6,250,000 shares of Class A Common Stock held by Silver Spike Sponsor, LLC and 1,265,752 shares of Class A Common Stock held by Silver Spike Opportunities I, LLC (the “SPV”). Silver Spike Sponsor, LLC and Silver Spike Capital, LLC, the manager of the SPV, are both controlled by Silver Spike Holdings, LP. Accordingly, Silver Spike Holdings, LP may be deemed to be a beneficial owner of the Registrable Securities held by Silver Spike Sponsor, LLC and the Registrable Securities held by the SPV. Silver Spike Sponsor, LLC is controlled by Greg Gentile, Scott Gordon and William Healy. Accordingly, Mr. Gentile, Gordon and Healy may be deemed to be a beneficial owner of the Registrable Securities held by Silver Spike Sponsor, LLC. Mr. Gordon served as a director of Silver Spike prior to the Closing of the Business Combination and currently serves as a director of the Company. SPV is controlled by Mr. Gentile. Accordingly, Mr. Gentile may be deemed to be a beneficial owner of the Registrable Securities held by the SPV.</w:t>
      </w:r>
    </w:p>
    <w:p>
      <w:pPr>
        <w:spacing w:after="0" w:line="18"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Vince Maglio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Robert Josephson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Jaroslav Enrique Alonso is deemed to have power to vote or dispose of the Registrable Securities.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987"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hanging="348"/>
        <w:spacing w:after="0"/>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Sanjay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Mohsinuddin Ansari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1,250,000 shares of Class A Common Stock held by Mr. Aquila, 2,500,000 shares of Class A Common Stock held by AFV Partners SPV-5 (WM) LLC (“AFV 5”), 1,100,000 shares of Class A Common Stock held by AFV Partners SPV-6 (WM) LLC (“AFV 6”), 50,000 shares of Class A Common Stock held by Aquila 2007 Irrevocable Trust U/A FBO Cecily Aquila DTD 05/10/2007 (“Cecily Trust”), 50,000 shares of Class A Common Stock held by Aquila 2007 Irrevocable Trust U/A FBO Christopher Aquila DTD 05/10/2007 (“Christopher Trust”) and 50,000 shares of Class A Common Stock held by Aquila 2007 Irrevocable Trust U/A FBO Elliott Aquila DTD 05/10/2007 (“Elliott Trust”). Mr. Aquila is the Chairman and CEO of AFV Partners LLC, which exercises ultimate voting and investment power with respect to the Registrable Securities held by AFV 5 and AFV 6. Mr. Aquila is the trustee to Cecily Trust, Christopher Trust and Elliott Trust. As such, Mr. Aquila may be deemed to be a beneficial owner of the Registrable Securities held by AFV 5, AFV 6, Cecily Trust, Christopher Trust and Elliott Trust. The business address of the reporting person is 2126 Hamilton Road Suite 260, Argyle, TX 76226.</w:t>
      </w:r>
    </w:p>
    <w:p>
      <w:pPr>
        <w:spacing w:after="0" w:line="9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Kelly Yip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9" w:lineRule="auto"/>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112,740 shares of Class A Common Stock held by BEMAP Master Fund LTD, 13,547 shares of Class A Common Stock held by Bespoke Alpha MAC MIM LP, 91,492 shares of Class A Common Stock held by DS Liquid Div RVA MON LLC, 63,080 shares of Class A Common Stock held by Monashee Pure Alpha SPV I LP and 69,141 shares of Class A Common Stock held by Monashee Solitario Fund LP. Jeff Muller is the Chief Compliance Officer of Monashee Investment Management, LLC, which may be deemed to be the beneficial owner of the Registrable Securities held by BEMAP Master Fund LTD, Bespoke Alpha MAC MIM LP, DS Liquid Div RVA MON LLC, Monashee Pure Alpha SPV I LP and Monashee Solitario Fund LP. Mr. Muller, however, disclaims any beneficial ownership of the Registrable Securities held by Monashee Investment Management, LLC or its affiliated entities aforementioned.</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29" w:lineRule="auto"/>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Oriental Investments SA has voting and investment control of the Registrable Securities held by the Selling Securityholders. General Oriental Investments SA can be directed by certain of its representatives and must act by (i) Constantin Papadimitriou and David Cowling jointly or (ii) (A) one of Constantin Papadimitriou or David Cowling and (B) one of (1) Tom Lileng, (2) Jean-Baptiste Luccio,</w:t>
      </w: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Julien Brenier or (4) Rupert Martin.</w:t>
      </w:r>
    </w:p>
    <w:p>
      <w:pPr>
        <w:spacing w:after="0" w:line="25" w:lineRule="exact"/>
        <w:rPr>
          <w:rFonts w:ascii="Times New Roman" w:cs="Times New Roman" w:eastAsia="Times New Roman" w:hAnsi="Times New Roman"/>
          <w:sz w:val="14"/>
          <w:szCs w:val="14"/>
          <w:color w:val="auto"/>
        </w:rPr>
      </w:pPr>
    </w:p>
    <w:p>
      <w:pPr>
        <w:jc w:val="both"/>
        <w:ind w:left="640" w:right="299" w:hanging="348"/>
        <w:spacing w:after="0" w:line="227" w:lineRule="auto"/>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portfolio management agreement, Citadel Advisors LLC, an investment advisor registered under the U.S. Investment Advisors Act of 1940 (“CAL”), holds the voting and dispositive power with respect to the Registrable Securities held by Citadel Multi-Strategy Equities Master Fund Ltd. Citadel Advisors Holdings LP (“CAH”) is the sole member of CAL. Citadel GP LLC is the general partner of CAH. Kenneth Griffin (“Griffin”) is the President and Chief Executive Officer of and sole member of Citadel GP LLC. Citadel GP LLC and Griffin may be deemed to be the beneficial owners of the Registrable Securities through their control of CAL and/or certain other affiliated entities.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2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Amy Collins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Craig Schlanger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8" w:lineRule="auto"/>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Heights Capital Management, Inc., the authorized agent of CVI Investments, Inc. (“CVI”), has discretionary authority to vote and dispose of the Registrable Securities held by CVI and may be deemed to be the beneficial owner of such Registrable Securities. Martin Kobinger, in his capacity as Investment Manager of Heights Capital Management, Inc., may also be deemed to have investment discretion and voting power over the Registrable Securities held by CVI. Mr. Kobinger disclaims any such beneficial ownership of the Registrable Securities.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6" w:lineRule="auto"/>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consists of (i) 1,877,500 shares of Class A Common Stock held by Federated Hermes Kaufmann Fund, a portfolio of Federated Hermes Equity Funds, (ii) 2,070,000 shares of Class A Common Stock held by Federated Hermes Kaufmann Small Cap Fund, a portfolio of Federated Hermes Equity Funds and (iii) 52,500 shares of Class A Common Stock held by Federated Hermes Kaufmann Fund II, a Federated Hermes Insurance Series (collectively, the “Federated Funds”). The address of the Federated Funds is 4000 Ericsson Drive, Warrendale, Pennsylvania 15086-7561. The Federated Funds are managed by Federated Equity Management Company of Pennsylvania and subadvised by Federated Global Investment Management Corp., which are wholly owned subsidiaries of FII Holdings, Inc., which is a wholly owned subsidiary of Federated Hermes, Inc. (the “Federated Parent”). All of the Federated Parent’s outstanding voting stock is held in the Voting Shares Irrevocable Trust (the “Federated Trust”) for which Thomas R. Donahue, Rhodora J. Donahue and J. Christopher Donahue, who are collectively referred to as Federated Trustees, act as trustees. The Federated Parent’s subsidiaries have the power to direct the vote and disposition of the Registrable Securities held by the Federated Funds. Each of the Federated Parent, its subsidiaries, the Federated Trust, and each of the Federated Trustees expressly disclaim beneficial ownership of such Registrable Securities.</w:t>
      </w:r>
    </w:p>
    <w:p>
      <w:pPr>
        <w:spacing w:after="0" w:line="19"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Budd S. Goldman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 Scott Bushley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hanging="348"/>
        <w:spacing w:after="0"/>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Robert Fournier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Curry Ford is the Senior Managing Director and Portfolio Manager of Harbert Stoneview Fund GP, LLC and may be deemed to be the beneficial owner of the Registrable Securities held by Harbert Stoneview Master Fund, Ltd. Mr. Ford, however, disclaims any beneficial ownership of the Registrable Securities held by Harbert Stoneview Master Fund, Ltd.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127"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T. Lkyouretzos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Marc Sontrop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James Neissa is an employee of Rothschild &amp; Co North America Inc., the parent company of Rothschild &amp; Co US Inc., which is a Selling Securityholder and a registered broker-dealer. The Selling Securityholder acquired the securities in his individual capacity. Based on information provided to us by the Selling Securityholder, the Selling Securityholder may be deemed to be an affiliate of Rothschild &amp; Co US Inc. Based on such information,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Raanan Katz is the Partner of Katz 2014 Limited Partnership and may be deemed to be the beneficial owner of the Registrable Securities held by Katz 2014 Limited Partnership.</w:t>
      </w:r>
    </w:p>
    <w:p>
      <w:pPr>
        <w:ind w:left="640" w:hanging="348"/>
        <w:spacing w:after="0"/>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Kenneth Landis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6" w:lineRule="auto"/>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5,066,885 shares of Class A Common Stock (2,655,632 of which are being registered by this prospectus) held by Lugard Road Capital Master Fund, LP (“Lugard”) beneficially owned by Luxor Capital Group, LP, the investment manager of Lugard, 26,823 shares of Class A Common Stock (14,890 of which are being registered by this prospectus) held by Luxor Capital Partners Offshore Master Fund, LP (“Luxor Offshore”) beneficially owned by Luxor Capital Group, LP, the investment manager of Luxor Offshore, 42,782 shares of Class A Common Stock (23,161 of which are being registered by this prospectus) held by Luxor Capital Partners, LP (“Luxor Capital”) beneficially owned by Luxor Capital Group, LP, the investment manager of Luxor Capital and 11,034 shares of Class A Common Stock (6,317 of which are being registered by this prospectus) held by Luxor Wavefront, LP (“Luxor Wavefront”) beneficially owned by Luxor Capital Group, LP, the investment manager of Luxor Wavefront. Christian Leone, in his position as Portfolio Manager at Luxor Capital Group, LP, may be deemed to have voting and investment power with respect to the securities owned by Luxor Offshore, Luxor Capital, and Luxor Wavefront. Jonathan Green, in his position as Portfolio Manager at Luxor Capital Group, LP, may be deemed to have voting and investment power with respect to the securities held by Lugard.</w:t>
      </w:r>
    </w:p>
    <w:p>
      <w:pPr>
        <w:spacing w:after="0" w:line="19"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25,700 shares of Class A Common Stock held by Manatuck Hill Mariner Master Fund, LP, 12,800 shares of Class A Common Stock held by Manatuck Hill Navigator Master Fund, LP and 61,500 shares of Class A Common Stock held by Manatuck Hill Scout Fund, LP. Mark Broach is deemed to have power to vote or dispose of such Registrable Securities.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Justin Ort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Jayvee &amp; Co is the registered holder. The beneficial holder is Ninepoint Alternative Health Fund. Douglas Waterson has investment control through an investment advisory agreement.</w:t>
      </w:r>
    </w:p>
    <w:p>
      <w:pPr>
        <w:ind w:left="640" w:hanging="348"/>
        <w:spacing w:after="0"/>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A. Halpern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Curtis F. Brockelman, Jr.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Polar Long/Short Master Fund and Polar Multi-Strategy Master Fund (“Polar Funds”) are under management by Polar Asset Management Partners Inc. (“PAMPI”). PAMPI serves as investment advisor of the Polar Funds and has control and discretion over the shares held by the Polar Funds. As such, PAMPI may be deemed the beneficial owner of the shares held by the Polar Funds. PAMPI disclaims any beneficial ownership of the reported shares other than to the extent of any pecuniary interest therein. The business address of the Polar Funds is c/o Polar Asset Management Partners Inc., 401 Bay Street, Suite 1900, Toronto, Ontario M5H 2Y4.</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J Adair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Ray E. Newton III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Patrick Robinson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Rothschild &amp; Co US Inc. was the financial advisor to Ghost Management Group, LLC (d/b/a Weedmaps) with respect to the Business Combination and the PIPE subscription financing. Rothschild &amp; Co US Inc. is a registered broker-dealer. Based on information provided by the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Rich Barrera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5" w:lineRule="auto"/>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125,000 shares of Class A Common Stock held by Sea Hawk Multi-Strategy Master Fund Ltd, 375,000 shares of Class A Common Stock held by Walleye Manager Opportunities LLC and 500,000 shares of Class A Common Stock held by Walleye Opportunities Master Fund Ltd. (collectively, the “Managed Accounts”); 700,000 shares of Class A Common Stock and 50,000 shares of Public Warrants for Class A Common Stock held by Pura Vida Pro Special Opportunity Master Fund Ltd. (the “PVP Fund”); and 1,500,000 shares of Class A Common Stock held by Pura Vida Master Fund Ltd. (the “PV Fund”). Pura Vida Investments, LLC (“PVI”) serves as the sub-adviser to the Managed Accounts and the investment manager to the PV Fund. Pura Vida Pro, LLC (“PVP”) serves as the investment manager to the PVP Fund. PVP is a relying adviser of PVI. Efrem Kamen serves as the managing member of both PVI and PVP. By virtue of these relationships, PVI and Efrem Kamen may be deemed to have shared voting and dispositive power with respect to the Registrable Securities and Public Warrants held by the Managed Accounts, the PV Fund, and the PVP Fund. This report shall not be deemed an admission that PVI and/or Efrem Kamen are beneficial owners of the Registrable Securities for purposes of Section 13 of the Exchange Act, or for any other purpose. Each of PVI and Efrem Kamen disclaims beneficial ownership of the Registrable Securities reported herein except to the extent of each PVI’s and Efrem Kamen’s pecuniary interest therein. Based on information provided to us by the Selling Securityholders, each of the Managed Accounts may be deemed to be an affiliate of a broker-dealer. Based on such information, the Selling Securityholders acquired the Registrable Securities in the ordinary course of business, and at the time of the acquisition of the Registrable Securities, the Selling Securityholders did not have any agreements or understandings with any person to distribute such Registrable Securities.</w:t>
      </w:r>
    </w:p>
    <w:p>
      <w:pPr>
        <w:spacing w:after="0" w:line="17"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Vincent Daniel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300,000 shares of Class A Common Stock held by Senvest Global (KY), LP, 4,733,779 shares of Class A Common Stock (3,300,000 of which are being registered by this prospectus) held by Senvest Master Fund, LP and 551,196 shares of Class A Common Stock (400,000 of which are being registered by this prospectus) held by Senvest Technology Partners Master Fund, LP. Senvest Management has voting and investment control of the Registrable Securities held by such Selling Securityholder. Richard Mashaal may be deemed to be the beneficial owner of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J. Pinto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Peter Lee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David G. Bunning and Michael J. Bunning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Scot Fischer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Vikram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Glen Schneider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Glen Schneider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Rodney Hodges and Fabrice Dupont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David G. Bunning and Michael J. Bunning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Vikram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299" w:hanging="348"/>
        <w:spacing w:after="0" w:line="250" w:lineRule="auto"/>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Pericles Spyrou, Sigthor Sigmarsson, Jan Rottiers and Melina Panagi are deemed to have power to vote or dispose of the Registrable Securities.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Certificate of Incorporation authorizes the issuance of 2,075,000,000 shares of capital stock, consisting of</w:t>
      </w:r>
    </w:p>
    <w:p>
      <w:pPr>
        <w:spacing w:after="0" w:line="27" w:lineRule="exact"/>
        <w:rPr>
          <w:sz w:val="20"/>
          <w:szCs w:val="20"/>
          <w:color w:val="auto"/>
        </w:rPr>
      </w:pPr>
    </w:p>
    <w:p>
      <w:pPr>
        <w:jc w:val="both"/>
        <w:ind w:left="300" w:right="299" w:hanging="8"/>
        <w:spacing w:after="0" w:line="253" w:lineRule="auto"/>
        <w:tabs>
          <w:tab w:leader="none" w:pos="55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 - assessable. As of August 26, 2024, there were (1) 97,376,026 shares of Class A Common Stock, (2) 55,486,361 shares of Class V Common Stock and no shares of preferred stock outstanding.</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our board of directors.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our assets.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Issuance and Retirement of Class V Common Stock</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Units in accordance with the governing documents of WMH LLC.</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 the shares of Class A Common Stock issuable upon exercise of the Public Warrants and a current prospectus relating to them is available and such shares are registered, qualified or exempt from registration under the securities, or blue sky laws of the state of residence of the holder (or we permits holders to exercise their Public Warrants on a cashless basis under the circumstances specified in the Warrant Agreement). A holder of Public Warrants may exercise its Public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holder of Public Warrants;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 Public Warrants by (y) the fair market value. The “fair market value” will mean the average last reported sale price of the shares of Class A Common Stock for the 10 trading days ending on the third trading day prior to the date 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Private Placement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w:t>
      </w:r>
    </w:p>
    <w:p>
      <w:pPr>
        <w:spacing w:after="0" w:line="3" w:lineRule="exact"/>
        <w:rPr>
          <w:sz w:val="20"/>
          <w:szCs w:val="20"/>
          <w:color w:val="auto"/>
        </w:rPr>
      </w:pPr>
    </w:p>
    <w:p>
      <w:pPr>
        <w:jc w:val="both"/>
        <w:ind w:left="300" w:right="319" w:hanging="8"/>
        <w:spacing w:after="0" w:line="250" w:lineRule="auto"/>
        <w:tabs>
          <w:tab w:leader="none" w:pos="5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actually sold in such rights offering (or issuable under any other equity securities sold in such rights offering that are convertible into or exercisable for common stock) multiplied by</w:t>
      </w:r>
    </w:p>
    <w:p>
      <w:pPr>
        <w:jc w:val="both"/>
        <w:ind w:left="300" w:right="299" w:hanging="8"/>
        <w:spacing w:after="0" w:line="251" w:lineRule="auto"/>
        <w:tabs>
          <w:tab w:leader="none" w:pos="55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8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 then issued and outstanding Public Warrants to make any change that adversely affects the interests of the registered holders of Public Warrants.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August 26, 2024, there were 12,499,973 Public Warrants outstanding.</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August 26, 2024, there were 7,000,000 Private Placement Warrants outstanding.</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the Class A Ordinary Shares, Class A Common Stock or Class V Common Stock to date. The payment of cash dividends in the future will be dependent upon our revenues and earnings, if any, capital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21" w:lineRule="exact"/>
        <w:rPr>
          <w:sz w:val="20"/>
          <w:szCs w:val="20"/>
          <w:color w:val="auto"/>
        </w:rPr>
      </w:pPr>
    </w:p>
    <w:p>
      <w:pPr>
        <w:jc w:val="both"/>
        <w:ind w:left="300" w:right="299"/>
        <w:spacing w:after="0" w:line="232" w:lineRule="auto"/>
        <w:rPr>
          <w:sz w:val="20"/>
          <w:szCs w:val="20"/>
          <w:color w:val="auto"/>
        </w:rPr>
      </w:pPr>
      <w:r>
        <w:rPr>
          <w:rFonts w:ascii="Times New Roman" w:cs="Times New Roman" w:eastAsia="Times New Roman" w:hAnsi="Times New Roman"/>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nor earlier</w:t>
      </w:r>
    </w:p>
    <w:p>
      <w:pPr>
        <w:spacing w:after="0" w:line="2" w:lineRule="exact"/>
        <w:rPr>
          <w:sz w:val="20"/>
          <w:szCs w:val="20"/>
          <w:color w:val="auto"/>
        </w:rPr>
      </w:pPr>
    </w:p>
    <w:p>
      <w:pPr>
        <w:jc w:val="both"/>
        <w:ind w:left="300" w:right="299"/>
        <w:spacing w:after="0" w:line="205" w:lineRule="auto"/>
        <w:rPr>
          <w:sz w:val="20"/>
          <w:szCs w:val="20"/>
          <w:color w:val="auto"/>
        </w:rPr>
      </w:pPr>
      <w:r>
        <w:rPr>
          <w:rFonts w:ascii="Times New Roman" w:cs="Times New Roman" w:eastAsia="Times New Roman" w:hAnsi="Times New Roman"/>
          <w:sz w:val="17"/>
          <w:szCs w:val="17"/>
          <w:color w:val="auto"/>
        </w:rPr>
        <w:t>than the open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and no later than the close of business on the latter of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w:t>
      </w:r>
    </w:p>
    <w:p>
      <w:pPr>
        <w:spacing w:after="0" w:line="2" w:lineRule="exact"/>
        <w:rPr>
          <w:sz w:val="20"/>
          <w:szCs w:val="20"/>
          <w:color w:val="auto"/>
        </w:rPr>
      </w:pPr>
    </w:p>
    <w:p>
      <w:pPr>
        <w:jc w:val="both"/>
        <w:ind w:left="300" w:right="299"/>
        <w:spacing w:after="0" w:line="227" w:lineRule="auto"/>
        <w:rPr>
          <w:sz w:val="20"/>
          <w:szCs w:val="20"/>
          <w:color w:val="auto"/>
        </w:rPr>
      </w:pPr>
      <w:r>
        <w:rPr>
          <w:rFonts w:ascii="Times New Roman" w:cs="Times New Roman" w:eastAsia="Times New Roman" w:hAnsi="Times New Roman"/>
          <w:sz w:val="18"/>
          <w:szCs w:val="18"/>
          <w:color w:val="auto"/>
        </w:rPr>
        <w:t>to such annual meeting or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do not opt out of Section 203 of the DGCL under our Certificate of Incorporation.</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Liability and Indemnification of Directors and Officers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72" w:lineRule="exact"/>
        <w:rPr>
          <w:sz w:val="20"/>
          <w:szCs w:val="20"/>
          <w:color w:val="auto"/>
        </w:rPr>
      </w:pPr>
    </w:p>
    <w:p>
      <w:pPr>
        <w:ind w:left="1000" w:hanging="348"/>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Upon the Closing, we ceased to be a shell company.</w:t>
      </w:r>
    </w:p>
    <w:p>
      <w:pPr>
        <w:spacing w:after="0" w:line="11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2" w:lineRule="exact"/>
        <w:rPr>
          <w:sz w:val="20"/>
          <w:szCs w:val="20"/>
          <w:color w:val="auto"/>
        </w:rPr>
      </w:pPr>
    </w:p>
    <w:p>
      <w:pPr>
        <w:ind w:left="1000" w:hanging="348"/>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shares of Class A Common Stock then outstanding;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Common Stock during the four calendar weeks preceding the filing of a notice on Form 144 with respect to the sale.</w:t>
      </w:r>
    </w:p>
    <w:p>
      <w:pPr>
        <w:spacing w:after="0" w:line="54"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will also be limited by manner of sale provisions and notice requirements and to the availability of current public information about us.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transfer agent, warrant agent and registrar for our Class A Common Stock, Class V Common Stock and Warrants is Continental Stock Transfer &amp; Trust Company.</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Nasdaq under the symbols “MAPS” and “MAPW,”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6" w:name="page137"/>
    <w:bookmarkEnd w:id="1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generally applicable to the purchase, ownership and disposition of our Class A Common Stock and the purchase, exercise, disposition and lapse of our Warrants. The Class A Common Stock and the Warrants are collectively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75"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9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8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68" w:lineRule="exact"/>
        <w:rPr>
          <w:sz w:val="20"/>
          <w:szCs w:val="20"/>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68" w:lineRule="exact"/>
        <w:rPr>
          <w:sz w:val="20"/>
          <w:szCs w:val="20"/>
          <w:color w:val="auto"/>
        </w:rPr>
      </w:pPr>
    </w:p>
    <w:p>
      <w:pPr>
        <w:jc w:val="both"/>
        <w:ind w:left="300" w:right="299"/>
        <w:spacing w:after="0" w:line="275"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securities that is neither a U.S. Holder nor a partnership or an entity or arrangement treated as a partnership for U.S. federal income tax purposes.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“Tax Considerations Applicable to U.S. Holders—Gain or Loss on Sale, Taxable Exchange or Other Taxable Disposition of Class A Common Stock” below.</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Class A Common Stock</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subject to U.S. federal income tax at ordinary income tax rates. The deductibility of capital losses is subject to limitations.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a Warrant, a U.S. Holder generally will not recognize taxable gain or loss upon exercise of a Warrant for cash. The U.S. Holder’s initial tax basis in the share of our Class A Common Stock received upon exercise of the Warrant will generally be an amount equal to the sum of the U.S. Holder’s acquisition cost of the Warrant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certain circumstances, the Warrants may be exercised on a cashless basis. The U.S. federal income tax treatment of an exercise of a warrant on a cashless basis is not clear, and could differ from the consequences described above. A cashless exercise may be nontaxable, either because the exercise is not a realization event or because the exercise is treated as a recapitalization for U.S. federal income tax purposes. It is also possible that a cashless exercise of a Warrant could be treated in part as a taxable exchange in which gain or loss is recognized. U.S. holders are urged to consult their tax advisors as to the consequences of an exercise of a Warrant on a cashless basis, including with respect to their holding period and tax basis in the Class A Common Stock received upon exercise of the Warrant.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Expiration of a Warrant</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Upon a sale, exchange (other than by exercise), redemption, or expiration of a Warrant, a U.S. Holder will recognize taxable gain or loss in an amount equal to the difference between (1) the amount realized upon such disposition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expiration and (2) the U.S. Holder’s adjusted tax basis in the Warrant. A U.S. Holder’s adjusted tax basis in its Warrants will generally equal the U.S. Holder’s acquisition cost, increased by the amount of any constructive distributions included in income by such U.S. Holder (as described below under “Tax Considerations Applicable to U.S. Holders—Possible Constructive Distributions”). Such gain or loss generally will be treated as long-term capital gain or loss if the Warrant is held by the U.S. Holder for more than one year at the time of such disposition or expiration.</w:t>
      </w:r>
    </w:p>
    <w:p>
      <w:pPr>
        <w:spacing w:after="0" w:line="7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If a Warrant is allowed to lapse unexercised, a U.S. Holder will generally recognize a capital loss equal to such holder’s adjusted tax basis in the Warrant. Because the term of the Warrants is more than one year, a U.S. Holder’s capital loss generally will be treated as a long-term capital loss. The deductibility of capital losses is subject to certain limitations.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 section of this prospectus entitled “Description of Securities—Warrants—Public Warrants.”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Such constructive distribution would be subject to tax as described above under “Tax Considerations Applicable to U.S. Holders—Taxation of Distributions” in the same manner as if such U.S. Holder received a cash distribution from us on Class A Common Stock equal to the fair market value of such increased interest.</w:t>
      </w: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dividends paid to a U.S. Holder and to the proceeds of the sale or other disposition of our shares of Class A Common Stock and Warrants,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U.S. Holders should consult their tax advisors regarding their qualification for an exemption from backup withholding and the procedures for obtaining such an exemption.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applicable).In the case of any constructive dividend (as described below under “Tax Considerations Applicable to Non-U.S. Holders—Possible Constructive Distributions”),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“Tax Considerations Applicable to Non-U.S. Holders— Gain on Sale, Exchange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9" w:name="page140"/>
    <w:bookmarkEnd w:id="1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or Other Taxable Disposition of Class A Common Stock and Warrants” below. In addition, if we determine that we are likely to be classified as a “United States real property holding corporation” (see the section entitled “Tax Considerations Applicable to Non-U.S. Holders—Gain on Sale, Exchange or Other Taxable Disposition of Class A Common Stock and Warrants” below), we will withhold 15% of any distribution that exceeds our current and accumulated earnings and profits.</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U.S. federal income tax treatment of a non-U.S. Holder’s exercise of a Warrant will generally correspond to the U.S. federal income tax treatment of the exercise of a Warrant by a U.S. Holder, as described under “Tax Considerations Applicable to U.S. Holders—Exercise of a Warrant” above, although to the extent a cashless exercise results in a taxable exchange, the tax consequences to the non-U.S. Holder would be the same as those described below in “Tax Considerations Applicable to Non-U.S. Holders—Gain on Sale, Exchange or Other Taxable Disposition of Class A Common Stock and Warrants.”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 of Class A Common Stock and Warrants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Class A Common Stock or Warrants or an expiration or redemption of our Warrants, unless:</w:t>
      </w:r>
    </w:p>
    <w:p>
      <w:pPr>
        <w:spacing w:after="0" w:line="68" w:lineRule="exact"/>
        <w:rPr>
          <w:sz w:val="20"/>
          <w:szCs w:val="20"/>
          <w:color w:val="auto"/>
        </w:rPr>
      </w:pPr>
    </w:p>
    <w:p>
      <w:pPr>
        <w:jc w:val="both"/>
        <w:ind w:left="1000" w:right="319" w:hanging="348"/>
        <w:spacing w:after="0" w:line="266"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or Warrants and, in the case where shares of our Class A Common Stock are regularly traded on an established securities market, (i)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or (ii), in the case where our Warrants are regularly traded on an established securities market, the non-U.S. Holder is disposing of our Warrants and has owned, directly or constructively, more than 5% of our Warrants at any time within the within the shorter of the five-year period preceding the disposition or such Non-U.S. Holder’s holding period for our Warrants. There can be no assurance that our Class A Common Stock or Warrants will be treated as regularly traded or not regularly traded on an established securities market for this purpose.</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If the third bullet point above applies to a non-U.S. Holder and applicable exceptions are not available, gain recognized by such holder on the sale, exchange or other disposition of our Class A Common Stock or Warrants, 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0" w:name="page141"/>
    <w:bookmarkEnd w:id="1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applicable, will be subject to tax at generally applicable U.S. federal income tax rates. In addition, a buyer of our Class A Common Stock or Warrants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Possible Constructive Distributions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 section entitled “Description of Securities—Warrants—Public Warrants.” An adjustment which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A non-U.S. Holder would be subject to U.S. federal income tax withholding as described above under “Tax Considerations Applicable to Non-U.S. Holders—Taxation of Distributions” in the same manner as if such non-U.S. Holder received a cash distribution from us on Class A Common Stock equal to the fair market value of such increased interest without any corresponding receipt of cash.</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Provisions of the Code and U.S.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51" w:lineRule="auto"/>
        <w:tabs>
          <w:tab w:leader="none" w:pos="56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foreign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proposed U.S. Treasury Regulations have been released that, if finalized in their proposed form, would eliminate the obligation under FATCA to withhold on such gross proceeds. Although these proposed Treasury Regulations are not final, the preamble states that taxpayers generally may rely on them until final U.S. Treasury Regulations are issued. Prospective investors should consult their tax advisors regarding the possible implications of FATCA on their investment in our securities.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dividends and the proceeds from a sale or other disposition of our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are registering the issuance by us of an aggregate of up to 110,898,382 shares of our Class A Common Stock consisting of (i) 7,000,000 shares of Class A Common Stock issuable upon exercise of the Private Placement Warrants by the holders thereof, (ii) 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 We are also registering the resale by the Selling Securityholders or their permitted transferees from time to time of up to</w:t>
      </w:r>
    </w:p>
    <w:p>
      <w:pPr>
        <w:spacing w:after="0" w:line="5" w:lineRule="exact"/>
        <w:rPr>
          <w:sz w:val="20"/>
          <w:szCs w:val="20"/>
          <w:color w:val="auto"/>
        </w:rPr>
      </w:pPr>
    </w:p>
    <w:p>
      <w:pPr>
        <w:jc w:val="both"/>
        <w:ind w:left="300" w:right="299" w:hanging="8"/>
        <w:spacing w:after="0" w:line="253" w:lineRule="auto"/>
        <w:tabs>
          <w:tab w:leader="none" w:pos="56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105,014,011 shares of Class A Common Stock, consisting of (i) 38,750,000 issued and outstanding shares of Class A Common Stock, (ii) 59,264,011 shares of Class A Common Stock issuable upon exchange of such Selling Securityholder’s Paired Interests or Class P Units, (iii) 7,000,000 shares of Class A Common Stock issuable upon exercise of the Private Placement Warrants and (b) 7,000,000 Private Placement Warrants.</w:t>
      </w:r>
    </w:p>
    <w:p>
      <w:pPr>
        <w:spacing w:after="0" w:line="8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are required to pay all fees and expenses incident to the registration of the securities to be offered and sold pursuant to this prospectus. The Selling Securityholders will bear all commissions and discounts, if any, attributable to their sale of securities.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84" w:lineRule="exact"/>
        <w:rPr>
          <w:sz w:val="20"/>
          <w:szCs w:val="20"/>
          <w:color w:val="auto"/>
        </w:rPr>
      </w:pPr>
    </w:p>
    <w:p>
      <w:pPr>
        <w:ind w:left="1000" w:right="319" w:hanging="348"/>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2" w:name="page143"/>
    <w:bookmarkEnd w:id="1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 holder of Warrants may exercise its Warrants in accordance with the Warrant Agreement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3" w:name="page144"/>
    <w:bookmarkEnd w:id="1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validity of any securities offered by this prospectus herein has been passed upon for us by Cooley LLP.</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WM Technology, Inc. as of and for the year ended December 31, 2023 included in this prospectus have been audited by Moss Adams LLP, an independent registered public accounting firm, as stated in their report (which report expresses an unqualified opinion and includes an explanatory paragraph relating to a restatement of previously reported 2023 quarterly revenue and credit losses), which is included herein. Such consolidated financial statements are included in reliance upon the report of such firm given their authority as experts in accounting and auditing.</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Company as of December 31, 2022 and for the year ended December 31, 2022 have been audited by Baker Tilly US, LLP (“Baker Tilly US, LLP”), an independent registered public accounting firm, given on the authority of said firm as experts in auditing and accounting.</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www.weedmaps.com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4" w:name="page145"/>
    <w:bookmarkEnd w:id="14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0"/>
        </w:trPr>
        <w:tc>
          <w:tcPr>
            <w:tcW w:w="1300" w:type="dxa"/>
            <w:vAlign w:val="bottom"/>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8060" w:type="dxa"/>
            <w:vAlign w:val="bottom"/>
            <w:tcBorders>
              <w:bottom w:val="single" w:sz="8" w:color="CCEEFF"/>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Financial Statements</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June 30, 2024 and December 31, 2023</w:t>
            </w:r>
          </w:p>
        </w:tc>
        <w:tc>
          <w:tcPr>
            <w:tcW w:w="8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F-2</w:t>
            </w: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340" w:type="dxa"/>
            <w:vAlign w:val="bottom"/>
            <w:tcBorders>
              <w:top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for the Three and Six Months Ended June 30, 2024 and</w:t>
            </w:r>
          </w:p>
        </w:tc>
        <w:tc>
          <w:tcPr>
            <w:tcW w:w="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640" w:type="dxa"/>
            <w:vAlign w:val="bottom"/>
            <w:tcBorders>
              <w:top w:val="single" w:sz="8" w:color="0000EE"/>
            </w:tcBorders>
            <w:gridSpan w:val="3"/>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EE"/>
              </w:rPr>
              <w:t>2023</w:t>
            </w:r>
          </w:p>
        </w:tc>
        <w:tc>
          <w:tcPr>
            <w:tcW w:w="14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900" w:type="dxa"/>
            <w:vAlign w:val="bottom"/>
            <w:tcBorders>
              <w:top w:val="single" w:sz="8" w:color="0000EE"/>
            </w:tcBorders>
            <w:shd w:val="clear" w:color="auto" w:fill="CCEEFF"/>
          </w:tcPr>
          <w:p>
            <w:pPr>
              <w:spacing w:after="0"/>
              <w:rPr>
                <w:sz w:val="17"/>
                <w:szCs w:val="17"/>
                <w:color w:val="auto"/>
              </w:rPr>
            </w:pPr>
          </w:p>
        </w:tc>
        <w:tc>
          <w:tcPr>
            <w:tcW w:w="1020" w:type="dxa"/>
            <w:vAlign w:val="bottom"/>
            <w:tcBorders>
              <w:top w:val="single" w:sz="8" w:color="0000EE"/>
            </w:tcBorders>
            <w:shd w:val="clear" w:color="auto" w:fill="CCEEFF"/>
          </w:tcPr>
          <w:p>
            <w:pPr>
              <w:spacing w:after="0"/>
              <w:rPr>
                <w:sz w:val="17"/>
                <w:szCs w:val="17"/>
                <w:color w:val="auto"/>
              </w:rPr>
            </w:pPr>
          </w:p>
        </w:tc>
        <w:tc>
          <w:tcPr>
            <w:tcW w:w="1340" w:type="dxa"/>
            <w:vAlign w:val="bottom"/>
            <w:tcBorders>
              <w:top w:val="single" w:sz="8" w:color="0000EE"/>
            </w:tcBorders>
            <w:shd w:val="clear" w:color="auto" w:fill="CCEEFF"/>
          </w:tcPr>
          <w:p>
            <w:pPr>
              <w:spacing w:after="0"/>
              <w:rPr>
                <w:sz w:val="17"/>
                <w:szCs w:val="17"/>
                <w:color w:val="auto"/>
              </w:rPr>
            </w:pPr>
          </w:p>
        </w:tc>
        <w:tc>
          <w:tcPr>
            <w:tcW w:w="124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5"/>
              </w:rPr>
              <w:t>F-3</w:t>
            </w:r>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34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Equity for the Three and Six Months Ended June 30, 2024 and</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640" w:type="dxa"/>
            <w:vAlign w:val="bottom"/>
            <w:tcBorders>
              <w:top w:val="single" w:sz="8" w:color="0000EE"/>
            </w:tcBorders>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0000EE"/>
              </w:rPr>
              <w:t>2023</w:t>
            </w: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F-4</w:t>
            </w: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June 30, 2024 and 2023</w:t>
            </w:r>
          </w:p>
        </w:tc>
        <w:tc>
          <w:tcPr>
            <w:tcW w:w="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0000EE"/>
                <w:w w:val="95"/>
              </w:rPr>
              <w:t>F-5</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0000EE"/>
            </w:tcBorders>
            <w:shd w:val="clear" w:color="auto" w:fill="CCEEFF"/>
          </w:tcPr>
          <w:p>
            <w:pPr>
              <w:spacing w:after="0"/>
              <w:rPr>
                <w:sz w:val="6"/>
                <w:szCs w:val="6"/>
                <w:color w:val="auto"/>
              </w:rPr>
            </w:pPr>
          </w:p>
        </w:tc>
        <w:tc>
          <w:tcPr>
            <w:tcW w:w="1340" w:type="dxa"/>
            <w:vAlign w:val="bottom"/>
            <w:tcBorders>
              <w:top w:val="single" w:sz="8" w:color="0000EE"/>
            </w:tcBorders>
            <w:shd w:val="clear" w:color="auto" w:fill="CCEEFF"/>
          </w:tcPr>
          <w:p>
            <w:pPr>
              <w:spacing w:after="0"/>
              <w:rPr>
                <w:sz w:val="6"/>
                <w:szCs w:val="6"/>
                <w:color w:val="auto"/>
              </w:rPr>
            </w:pPr>
          </w:p>
        </w:tc>
        <w:tc>
          <w:tcPr>
            <w:tcW w:w="12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8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F-6</w:t>
            </w: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324"/>
        </w:trPr>
        <w:tc>
          <w:tcPr>
            <w:tcW w:w="1300" w:type="dxa"/>
            <w:vAlign w:val="bottom"/>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0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29"/>
        </w:trPr>
        <w:tc>
          <w:tcPr>
            <w:tcW w:w="1300" w:type="dxa"/>
            <w:vAlign w:val="bottom"/>
          </w:tcPr>
          <w:p>
            <w:pPr>
              <w:spacing w:after="0"/>
              <w:rPr>
                <w:sz w:val="19"/>
                <w:szCs w:val="19"/>
                <w:color w:val="auto"/>
              </w:rPr>
            </w:pPr>
          </w:p>
        </w:tc>
        <w:tc>
          <w:tcPr>
            <w:tcW w:w="7600" w:type="dxa"/>
            <w:vAlign w:val="bottom"/>
            <w:tcBorders>
              <w:bottom w:val="single" w:sz="8" w:color="0000EE"/>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(Moss Adams LLP, Irvine, California, Auditor</w:t>
            </w: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80" w:type="dxa"/>
            <w:vAlign w:val="bottom"/>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ID: (PCAOB ID 659))</w:t>
            </w:r>
          </w:p>
        </w:tc>
        <w:tc>
          <w:tcPr>
            <w:tcW w:w="360" w:type="dxa"/>
            <w:vAlign w:val="bottom"/>
            <w:tcBorders>
              <w:right w:val="single" w:sz="8" w:color="CCEEFF"/>
            </w:tcBorders>
            <w:gridSpan w:val="2"/>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F-28</w:t>
            </w:r>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34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75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(Baker Tilly, LLP, Irvine, California, Auditor</w:t>
            </w:r>
          </w:p>
        </w:tc>
        <w:tc>
          <w:tcPr>
            <w:tcW w:w="56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ID: (PCAOB ID 23)</w:t>
            </w:r>
          </w:p>
        </w:tc>
        <w:tc>
          <w:tcPr>
            <w:tcW w:w="1660" w:type="dxa"/>
            <w:vAlign w:val="bottom"/>
            <w:gridSpan w:val="3"/>
          </w:tcPr>
          <w:p>
            <w:pPr>
              <w:jc w:val="center"/>
              <w:ind w:right="1320"/>
              <w:spacing w:after="0" w:line="196" w:lineRule="exact"/>
              <w:rPr>
                <w:sz w:val="20"/>
                <w:szCs w:val="20"/>
                <w:color w:val="auto"/>
              </w:rPr>
            </w:pPr>
            <w:r>
              <w:rPr>
                <w:rFonts w:ascii="Times New Roman" w:cs="Times New Roman" w:eastAsia="Times New Roman" w:hAnsi="Times New Roman"/>
                <w:sz w:val="18"/>
                <w:szCs w:val="18"/>
                <w:color w:val="0000EE"/>
                <w:w w:val="99"/>
              </w:rPr>
              <w:t>F-31</w:t>
            </w: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Consolidated Balance Sheets</w:t>
            </w:r>
          </w:p>
        </w:tc>
        <w:tc>
          <w:tcPr>
            <w:tcW w:w="3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F-32</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34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Consolidated Statements of Income</w:t>
            </w:r>
          </w:p>
        </w:tc>
        <w:tc>
          <w:tcPr>
            <w:tcW w:w="16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0000EE"/>
                <w:w w:val="99"/>
              </w:rPr>
              <w:t>F-33</w:t>
            </w: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Consolidated Statements of Equity</w:t>
            </w:r>
          </w:p>
        </w:tc>
        <w:tc>
          <w:tcPr>
            <w:tcW w:w="3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F-34</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34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Consolidated Statements of Cash Flows</w:t>
            </w:r>
          </w:p>
        </w:tc>
        <w:tc>
          <w:tcPr>
            <w:tcW w:w="16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0000EE"/>
                <w:w w:val="99"/>
              </w:rPr>
              <w:t>F-35</w:t>
            </w: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Notes to Audited Consolidated Financial Statements</w:t>
            </w:r>
          </w:p>
        </w:tc>
        <w:tc>
          <w:tcPr>
            <w:tcW w:w="3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F-37</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34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0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F-1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5852160</wp:posOffset>
            </wp:positionH>
            <wp:positionV relativeFrom="paragraph">
              <wp:posOffset>-4053840</wp:posOffset>
            </wp:positionV>
            <wp:extent cx="939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45" w:name="page146"/>
    <w:bookmarkEnd w:id="145"/>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35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45"/>
        </w:trPr>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8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WM TECHNOLOGY, INC. AND SUBSIDIARIES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00" w:type="dxa"/>
            <w:vAlign w:val="bottom"/>
            <w:gridSpan w:val="7"/>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8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8"/>
        </w:trPr>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8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95"/>
        </w:trPr>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0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  December 31, 2023</w:t>
            </w:r>
          </w:p>
        </w:tc>
      </w:tr>
      <w:tr>
        <w:trPr>
          <w:trHeight w:val="51"/>
        </w:trPr>
        <w:tc>
          <w:tcPr>
            <w:tcW w:w="88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46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311"/>
        </w:trPr>
        <w:tc>
          <w:tcPr>
            <w:tcW w:w="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tcBorders>
              <w:bottom w:val="single" w:sz="8" w:color="CCEEFF"/>
            </w:tcBorders>
            <w:shd w:val="clear" w:color="auto" w:fill="CCEEFF"/>
          </w:tcPr>
          <w:p>
            <w:pPr>
              <w:spacing w:after="0"/>
              <w:rPr>
                <w:sz w:val="24"/>
                <w:szCs w:val="24"/>
                <w:color w:val="auto"/>
              </w:rPr>
            </w:pPr>
          </w:p>
        </w:tc>
        <w:tc>
          <w:tcPr>
            <w:tcW w:w="4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4"/>
        </w:trPr>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660" w:type="dxa"/>
            <w:vAlign w:val="bottom"/>
            <w:tcBorders>
              <w:bottom w:val="single" w:sz="8" w:color="CCEEFF"/>
            </w:tcBorders>
            <w:shd w:val="clear" w:color="auto" w:fill="CCEEFF"/>
          </w:tcPr>
          <w:p>
            <w:pPr>
              <w:spacing w:after="0"/>
              <w:rPr>
                <w:sz w:val="24"/>
                <w:szCs w:val="24"/>
                <w:color w:val="auto"/>
              </w:rPr>
            </w:pPr>
          </w:p>
        </w:tc>
        <w:tc>
          <w:tcPr>
            <w:tcW w:w="46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$ 41,292</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$ 34,350</w:t>
            </w: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62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11,158</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4"/>
        </w:trPr>
        <w:tc>
          <w:tcPr>
            <w:tcW w:w="1540" w:type="dxa"/>
            <w:vAlign w:val="bottom"/>
            <w:gridSpan w:val="2"/>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7"/>
        </w:trPr>
        <w:tc>
          <w:tcPr>
            <w:tcW w:w="62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4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r>
      <w:tr>
        <w:trPr>
          <w:trHeight w:val="284"/>
        </w:trPr>
        <w:tc>
          <w:tcPr>
            <w:tcW w:w="6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53,839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51,486</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4"/>
        </w:trPr>
        <w:tc>
          <w:tcPr>
            <w:tcW w:w="1540" w:type="dxa"/>
            <w:vAlign w:val="bottom"/>
            <w:gridSpan w:val="2"/>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25,909</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24,255</w:t>
            </w: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6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68,368</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4"/>
        </w:trPr>
        <w:tc>
          <w:tcPr>
            <w:tcW w:w="1540" w:type="dxa"/>
            <w:vAlign w:val="bottom"/>
            <w:gridSpan w:val="2"/>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15,629</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4"/>
        </w:trPr>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7"/>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Other assets</w:t>
            </w:r>
          </w:p>
        </w:tc>
        <w:tc>
          <w:tcPr>
            <w:tcW w:w="660" w:type="dxa"/>
            <w:vAlign w:val="bottom"/>
            <w:shd w:val="clear" w:color="auto" w:fill="CCEEFF"/>
          </w:tcPr>
          <w:p>
            <w:pPr>
              <w:spacing w:after="0"/>
              <w:rPr>
                <w:sz w:val="22"/>
                <w:szCs w:val="22"/>
                <w:color w:val="auto"/>
              </w:rPr>
            </w:pPr>
          </w:p>
        </w:tc>
        <w:tc>
          <w:tcPr>
            <w:tcW w:w="468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4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r>
      <w:tr>
        <w:trPr>
          <w:trHeight w:val="270"/>
        </w:trPr>
        <w:tc>
          <w:tcPr>
            <w:tcW w:w="6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167,963</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167,021</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61"/>
        </w:trPr>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318"/>
        </w:trPr>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4"/>
        </w:trPr>
        <w:tc>
          <w:tcPr>
            <w:tcW w:w="1540" w:type="dxa"/>
            <w:vAlign w:val="bottom"/>
            <w:gridSpan w:val="2"/>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62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$ 18,563</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$ 21,182</w:t>
            </w: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62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4"/>
        </w:trPr>
        <w:tc>
          <w:tcPr>
            <w:tcW w:w="1540" w:type="dxa"/>
            <w:vAlign w:val="bottom"/>
            <w:gridSpan w:val="2"/>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62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56"/>
        </w:trPr>
        <w:tc>
          <w:tcPr>
            <w:tcW w:w="62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61"/>
        </w:trPr>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318"/>
        </w:trPr>
        <w:tc>
          <w:tcPr>
            <w:tcW w:w="622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30,333</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33,715</w:t>
            </w: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24,632</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26,550</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4"/>
        </w:trPr>
        <w:tc>
          <w:tcPr>
            <w:tcW w:w="1540" w:type="dxa"/>
            <w:vAlign w:val="bottom"/>
            <w:gridSpan w:val="2"/>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4"/>
        </w:trPr>
        <w:tc>
          <w:tcPr>
            <w:tcW w:w="1540" w:type="dxa"/>
            <w:vAlign w:val="bottom"/>
            <w:gridSpan w:val="2"/>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7"/>
        </w:trPr>
        <w:tc>
          <w:tcPr>
            <w:tcW w:w="6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4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r>
      <w:tr>
        <w:trPr>
          <w:trHeight w:val="284"/>
        </w:trPr>
        <w:tc>
          <w:tcPr>
            <w:tcW w:w="6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58,777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63,870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4"/>
        </w:trPr>
        <w:tc>
          <w:tcPr>
            <w:tcW w:w="1540" w:type="dxa"/>
            <w:vAlign w:val="bottom"/>
            <w:gridSpan w:val="2"/>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4"/>
        </w:trPr>
        <w:tc>
          <w:tcPr>
            <w:tcW w:w="1540" w:type="dxa"/>
            <w:vAlign w:val="bottom"/>
            <w:gridSpan w:val="2"/>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2"/>
        </w:trPr>
        <w:tc>
          <w:tcPr>
            <w:tcW w:w="62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 $0.0001 par value; 75,000,000 shares authorized; no shares</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68"/>
        </w:trPr>
        <w:tc>
          <w:tcPr>
            <w:tcW w:w="622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at June 30, 2024 and December 31, 2023</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62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Class A Common Stock - $0.0001 par value; 1,500,000,000 shares authorized;</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6"/>
        </w:trPr>
        <w:tc>
          <w:tcPr>
            <w:tcW w:w="6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96,948,250 shares issued and outstanding at June 30, 2024 and 94,383,053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6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at December 31, 2023</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54"/>
        </w:trPr>
        <w:tc>
          <w:tcPr>
            <w:tcW w:w="1540" w:type="dxa"/>
            <w:vAlign w:val="bottom"/>
            <w:gridSpan w:val="2"/>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2"/>
        </w:trPr>
        <w:tc>
          <w:tcPr>
            <w:tcW w:w="62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V Common Stock - $0.0001 par value; 500,000,000 shares authorized,</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16"/>
        </w:trPr>
        <w:tc>
          <w:tcPr>
            <w:tcW w:w="6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55,486,361 shares issued and outstanding at June 30, 2024 and December 31,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68"/>
        </w:trPr>
        <w:tc>
          <w:tcPr>
            <w:tcW w:w="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CCEEFF"/>
            </w:tcBorders>
            <w:shd w:val="clear" w:color="auto" w:fill="CCEEFF"/>
          </w:tcPr>
          <w:p>
            <w:pPr>
              <w:spacing w:after="0"/>
              <w:rPr>
                <w:sz w:val="23"/>
                <w:szCs w:val="23"/>
                <w:color w:val="auto"/>
              </w:rPr>
            </w:pPr>
          </w:p>
        </w:tc>
        <w:tc>
          <w:tcPr>
            <w:tcW w:w="46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r>
      <w:tr>
        <w:trPr>
          <w:trHeight w:val="270"/>
        </w:trPr>
        <w:tc>
          <w:tcPr>
            <w:tcW w:w="62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87,005</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80,884</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4"/>
        </w:trPr>
        <w:tc>
          <w:tcPr>
            <w:tcW w:w="1540" w:type="dxa"/>
            <w:vAlign w:val="bottom"/>
            <w:gridSpan w:val="2"/>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6"/>
        </w:trPr>
        <w:tc>
          <w:tcPr>
            <w:tcW w:w="62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(62,562)</w:t>
            </w:r>
          </w:p>
        </w:tc>
        <w:tc>
          <w:tcPr>
            <w:tcW w:w="160" w:type="dxa"/>
            <w:vAlign w:val="bottom"/>
            <w:shd w:val="clear" w:color="auto" w:fill="CCEEFF"/>
          </w:tcPr>
          <w:p>
            <w:pPr>
              <w:spacing w:after="0"/>
              <w:rPr>
                <w:sz w:val="22"/>
                <w:szCs w:val="22"/>
                <w:color w:val="auto"/>
              </w:rPr>
            </w:pPr>
          </w:p>
        </w:tc>
        <w:tc>
          <w:tcPr>
            <w:tcW w:w="118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(64,518)</w:t>
            </w: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4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r>
      <w:tr>
        <w:trPr>
          <w:trHeight w:val="284"/>
        </w:trPr>
        <w:tc>
          <w:tcPr>
            <w:tcW w:w="6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24,458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16,380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4"/>
        </w:trPr>
        <w:tc>
          <w:tcPr>
            <w:tcW w:w="1540" w:type="dxa"/>
            <w:vAlign w:val="bottom"/>
            <w:gridSpan w:val="2"/>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6"/>
        </w:trPr>
        <w:tc>
          <w:tcPr>
            <w:tcW w:w="62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84,728</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86,771</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4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r>
      <w:tr>
        <w:trPr>
          <w:trHeight w:val="270"/>
        </w:trPr>
        <w:tc>
          <w:tcPr>
            <w:tcW w:w="6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109,186</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103,151</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61"/>
        </w:trPr>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270"/>
        </w:trPr>
        <w:tc>
          <w:tcPr>
            <w:tcW w:w="6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167,963</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167,021</w:t>
            </w: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46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-8040370</wp:posOffset>
            </wp:positionV>
            <wp:extent cx="10287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-8040370</wp:posOffset>
            </wp:positionV>
            <wp:extent cx="514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3" w:right="1440" w:bottom="461" w:gutter="0" w:footer="0" w:header="0"/>
        </w:sectPr>
      </w:pPr>
    </w:p>
    <w:bookmarkStart w:id="146" w:name="page147"/>
    <w:bookmarkEnd w:id="1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8"/>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50"/>
        </w:trPr>
        <w:tc>
          <w:tcPr>
            <w:tcW w:w="3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195"/>
        </w:trPr>
        <w:tc>
          <w:tcPr>
            <w:tcW w:w="3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71"/>
        </w:trPr>
        <w:tc>
          <w:tcPr>
            <w:tcW w:w="39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311"/>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45,903</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48,423</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90,292</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94,839</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3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2"/>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68"/>
        </w:trPr>
        <w:tc>
          <w:tcPr>
            <w:tcW w:w="3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shown separately below)</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70"/>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11,069</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12,567</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3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20,134</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16,779</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3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61"/>
        </w:trPr>
        <w:tc>
          <w:tcPr>
            <w:tcW w:w="39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70"/>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44,672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44,640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85,300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95,204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61"/>
        </w:trPr>
        <w:tc>
          <w:tcPr>
            <w:tcW w:w="3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3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0" w:type="dxa"/>
            <w:vAlign w:val="bottom"/>
          </w:tcPr>
          <w:p>
            <w:pPr>
              <w:spacing w:after="0"/>
              <w:rPr>
                <w:sz w:val="23"/>
                <w:szCs w:val="23"/>
                <w:color w:val="auto"/>
              </w:rPr>
            </w:pPr>
          </w:p>
        </w:tc>
      </w:tr>
      <w:tr>
        <w:trPr>
          <w:trHeight w:val="54"/>
        </w:trPr>
        <w:tc>
          <w:tcPr>
            <w:tcW w:w="3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0" w:type="dxa"/>
            <w:vAlign w:val="bottom"/>
            <w:shd w:val="clear" w:color="auto" w:fill="CCEEFF"/>
          </w:tcPr>
          <w:p>
            <w:pPr>
              <w:spacing w:after="0"/>
              <w:rPr>
                <w:sz w:val="22"/>
                <w:szCs w:val="22"/>
                <w:color w:val="auto"/>
              </w:rPr>
            </w:pPr>
          </w:p>
        </w:tc>
      </w:tr>
      <w:tr>
        <w:trPr>
          <w:trHeight w:val="61"/>
        </w:trPr>
        <w:tc>
          <w:tcPr>
            <w:tcW w:w="39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4"/>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0" w:type="dxa"/>
            <w:vAlign w:val="bottom"/>
          </w:tcPr>
          <w:p>
            <w:pPr>
              <w:spacing w:after="0"/>
              <w:rPr>
                <w:sz w:val="24"/>
                <w:szCs w:val="24"/>
                <w:color w:val="auto"/>
              </w:rPr>
            </w:pPr>
          </w:p>
        </w:tc>
      </w:tr>
      <w:tr>
        <w:trPr>
          <w:trHeight w:val="54"/>
        </w:trPr>
        <w:tc>
          <w:tcPr>
            <w:tcW w:w="3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39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4"/>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0" w:type="dxa"/>
            <w:vAlign w:val="bottom"/>
          </w:tcPr>
          <w:p>
            <w:pPr>
              <w:spacing w:after="0"/>
              <w:rPr>
                <w:sz w:val="24"/>
                <w:szCs w:val="24"/>
                <w:color w:val="auto"/>
              </w:rPr>
            </w:pPr>
          </w:p>
        </w:tc>
      </w:tr>
      <w:tr>
        <w:trPr>
          <w:trHeight w:val="54"/>
        </w:trPr>
        <w:tc>
          <w:tcPr>
            <w:tcW w:w="3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2"/>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21"/>
        </w:trPr>
        <w:tc>
          <w:tcPr>
            <w:tcW w:w="3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 w:type="dxa"/>
            <w:vAlign w:val="bottom"/>
            <w:tcBorders>
              <w:bottom w:val="single" w:sz="8" w:color="CCEEFF"/>
            </w:tcBorders>
            <w:shd w:val="clear" w:color="auto" w:fill="CCEEFF"/>
          </w:tcPr>
          <w:p>
            <w:pPr>
              <w:spacing w:after="0"/>
              <w:rPr>
                <w:sz w:val="19"/>
                <w:szCs w:val="19"/>
                <w:color w:val="auto"/>
              </w:rPr>
            </w:pPr>
          </w:p>
        </w:tc>
      </w:tr>
      <w:tr>
        <w:trPr>
          <w:trHeight w:val="61"/>
        </w:trPr>
        <w:tc>
          <w:tcPr>
            <w:tcW w:w="39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65"/>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1"/>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(1,249)</w:t>
            </w:r>
          </w:p>
        </w:tc>
      </w:tr>
      <w:tr>
        <w:trPr>
          <w:trHeight w:val="61"/>
        </w:trPr>
        <w:tc>
          <w:tcPr>
            <w:tcW w:w="3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r>
      <w:tr>
        <w:trPr>
          <w:trHeight w:val="318"/>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23"/>
                <w:szCs w:val="23"/>
                <w:color w:val="auto"/>
              </w:rPr>
            </w:pPr>
          </w:p>
        </w:tc>
      </w:tr>
      <w:tr>
        <w:trPr>
          <w:trHeight w:val="54"/>
        </w:trPr>
        <w:tc>
          <w:tcPr>
            <w:tcW w:w="3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3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95,342,596</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92,851,349</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95,023,380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92,589,011</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97,275,700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93,622,582</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96,647,173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92,589,011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-5434330</wp:posOffset>
            </wp:positionV>
            <wp:extent cx="1028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-5434330</wp:posOffset>
            </wp:positionV>
            <wp:extent cx="1028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-5434330</wp:posOffset>
            </wp:positionV>
            <wp:extent cx="10287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-5434330</wp:posOffset>
            </wp:positionV>
            <wp:extent cx="514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jc w:val="both"/>
        <w:ind w:left="640" w:right="319" w:hanging="348"/>
        <w:spacing w:after="0" w:line="241" w:lineRule="auto"/>
        <w:tabs>
          <w:tab w:leader="none" w:pos="6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six months ended June 30, 2023, net revenues and general and administrative expenses have been retrospectively adjusted to reflect the restatement of previously reported revenue and credit losses. See Note 2, “Summary of Significant Accounting Policies,” for further information.</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7" w:name="page148"/>
    <w:bookmarkEnd w:id="1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60" w:type="dxa"/>
            <w:vAlign w:val="bottom"/>
            <w:gridSpan w:val="27"/>
          </w:tcPr>
          <w:p>
            <w:pPr>
              <w:ind w:left="40"/>
              <w:spacing w:after="0"/>
              <w:rPr>
                <w:sz w:val="20"/>
                <w:szCs w:val="20"/>
                <w:color w:val="auto"/>
              </w:rPr>
            </w:pPr>
            <w:r>
              <w:rPr>
                <w:rFonts w:ascii="Times New Roman" w:cs="Times New Roman" w:eastAsia="Times New Roman" w:hAnsi="Times New Roman"/>
                <w:sz w:val="14"/>
                <w:szCs w:val="14"/>
                <w:b w:val="1"/>
                <w:bCs w:val="1"/>
                <w:color w:val="auto"/>
              </w:rPr>
              <w:t>Three and Six Months Ended June 30, 2024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9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900" w:type="dxa"/>
            <w:vAlign w:val="bottom"/>
          </w:tcPr>
          <w:p>
            <w:pPr>
              <w:spacing w:after="0"/>
              <w:rPr>
                <w:sz w:val="16"/>
                <w:szCs w:val="16"/>
                <w:color w:val="auto"/>
              </w:rPr>
            </w:pPr>
          </w:p>
        </w:tc>
        <w:tc>
          <w:tcPr>
            <w:tcW w:w="126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40" w:type="dxa"/>
            <w:vAlign w:val="bottom"/>
            <w:gridSpan w:val="9"/>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WM</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260" w:type="dxa"/>
            <w:vAlign w:val="bottom"/>
            <w:gridSpan w:val="8"/>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140" w:type="dxa"/>
            <w:vAlign w:val="bottom"/>
            <w:gridSpan w:val="9"/>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9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7"/>
            <w:vMerge w:val="restart"/>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gridSpan w:val="6"/>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600" w:type="dxa"/>
            <w:vAlign w:val="bottom"/>
            <w:gridSpan w:val="4"/>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Par</w:t>
            </w: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w:t>
            </w:r>
          </w:p>
        </w:tc>
        <w:tc>
          <w:tcPr>
            <w:tcW w:w="740" w:type="dxa"/>
            <w:vAlign w:val="bottom"/>
            <w:gridSpan w:val="7"/>
            <w:vMerge w:val="continue"/>
          </w:tcPr>
          <w:p>
            <w:pPr>
              <w:spacing w:after="0"/>
              <w:rPr>
                <w:sz w:val="3"/>
                <w:szCs w:val="3"/>
                <w:color w:val="auto"/>
              </w:rPr>
            </w:pPr>
          </w:p>
        </w:tc>
        <w:tc>
          <w:tcPr>
            <w:tcW w:w="8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gridSpan w:val="6"/>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60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1900" w:type="dxa"/>
            <w:vAlign w:val="bottom"/>
          </w:tcPr>
          <w:p>
            <w:pPr>
              <w:spacing w:after="0"/>
              <w:rPr>
                <w:sz w:val="12"/>
                <w:szCs w:val="12"/>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4"/>
            <w:vMerge w:val="continue"/>
          </w:tcPr>
          <w:p>
            <w:pPr>
              <w:spacing w:after="0"/>
              <w:rPr>
                <w:sz w:val="12"/>
                <w:szCs w:val="12"/>
                <w:color w:val="auto"/>
              </w:rPr>
            </w:pPr>
          </w:p>
        </w:tc>
        <w:tc>
          <w:tcPr>
            <w:tcW w:w="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3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6"/>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9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50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700" w:type="dxa"/>
            <w:vAlign w:val="bottom"/>
            <w:gridSpan w:val="3"/>
            <w:vMerge w:val="continue"/>
          </w:tcPr>
          <w:p>
            <w:pPr>
              <w:spacing w:after="0"/>
              <w:rPr>
                <w:sz w:val="16"/>
                <w:szCs w:val="16"/>
                <w:color w:val="auto"/>
              </w:rPr>
            </w:pPr>
          </w:p>
        </w:tc>
        <w:tc>
          <w:tcPr>
            <w:tcW w:w="4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66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80" w:type="dxa"/>
            <w:vAlign w:val="bottom"/>
          </w:tcPr>
          <w:p>
            <w:pPr>
              <w:spacing w:after="0"/>
              <w:rPr>
                <w:sz w:val="16"/>
                <w:szCs w:val="16"/>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51"/>
        </w:trPr>
        <w:tc>
          <w:tcPr>
            <w:tcW w:w="19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94,383,053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0" w:type="dxa"/>
            <w:vAlign w:val="bottom"/>
            <w:tcBorders>
              <w:left w:val="single" w:sz="8" w:color="CCEEFF"/>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88"/>
              </w:rPr>
              <w:t>55,486,361</w:t>
            </w:r>
          </w:p>
        </w:tc>
        <w:tc>
          <w:tcPr>
            <w:tcW w:w="60" w:type="dxa"/>
            <w:vAlign w:val="bottom"/>
            <w:tcBorders>
              <w:bottom w:val="single" w:sz="8" w:color="CCEEFF"/>
              <w:right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$80,884</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$(64,518)</w:t>
            </w: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$16,380</w:t>
            </w: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$86,771</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$103,151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3,115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3,115</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3,175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1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vesting of restricted stock</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units, net of shares</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withheld for taxes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628,941</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right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gridSpan w:val="7"/>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35"/>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4"/>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5"/>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(1,455)</w:t>
            </w:r>
          </w:p>
        </w:tc>
        <w:tc>
          <w:tcPr>
            <w:tcW w:w="20" w:type="dxa"/>
            <w:vAlign w:val="bottom"/>
          </w:tcPr>
          <w:p>
            <w:pPr>
              <w:spacing w:after="0"/>
              <w:rPr>
                <w:sz w:val="20"/>
                <w:szCs w:val="20"/>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(1,455)</w:t>
            </w:r>
          </w:p>
        </w:tc>
        <w:tc>
          <w:tcPr>
            <w:tcW w:w="0" w:type="dxa"/>
            <w:vAlign w:val="bottom"/>
          </w:tcPr>
          <w:p>
            <w:pPr>
              <w:spacing w:after="0"/>
              <w:rPr>
                <w:sz w:val="1"/>
                <w:szCs w:val="1"/>
                <w:color w:val="auto"/>
              </w:rPr>
            </w:pPr>
          </w:p>
        </w:tc>
      </w:tr>
      <w:tr>
        <w:trPr>
          <w:trHeight w:val="35"/>
        </w:trPr>
        <w:tc>
          <w:tcPr>
            <w:tcW w:w="1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Class P Unit exchange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39,741</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1,240</w:t>
            </w:r>
          </w:p>
        </w:tc>
        <w:tc>
          <w:tcPr>
            <w:tcW w:w="100" w:type="dxa"/>
            <w:vAlign w:val="bottom"/>
          </w:tcPr>
          <w:p>
            <w:pPr>
              <w:spacing w:after="0"/>
              <w:rPr>
                <w:sz w:val="18"/>
                <w:szCs w:val="18"/>
                <w:color w:val="auto"/>
              </w:rPr>
            </w:pP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5"/>
                <w:szCs w:val="15"/>
                <w:color w:val="auto"/>
              </w:rPr>
              <w:t>1,240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719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March 31, 2024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95,051,735</w:t>
            </w:r>
          </w:p>
        </w:tc>
        <w:tc>
          <w:tcPr>
            <w:tcW w:w="80" w:type="dxa"/>
            <w:vAlign w:val="bottom"/>
            <w:shd w:val="clear" w:color="auto" w:fill="CCEEFF"/>
          </w:tcPr>
          <w:p>
            <w:pPr>
              <w:spacing w:after="0"/>
              <w:rPr>
                <w:sz w:val="19"/>
                <w:szCs w:val="19"/>
                <w:color w:val="auto"/>
              </w:rPr>
            </w:pPr>
          </w:p>
        </w:tc>
        <w:tc>
          <w:tcPr>
            <w:tcW w:w="80" w:type="dxa"/>
            <w:vAlign w:val="bottom"/>
            <w:tcBorders>
              <w:right w:val="single" w:sz="8" w:color="CCEEFF"/>
            </w:tcBorders>
            <w:gridSpan w:val="2"/>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$ 9</w:t>
            </w:r>
          </w:p>
        </w:tc>
        <w:tc>
          <w:tcPr>
            <w:tcW w:w="8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88"/>
              </w:rPr>
              <w:t>55,486,361</w:t>
            </w:r>
          </w:p>
        </w:tc>
        <w:tc>
          <w:tcPr>
            <w:tcW w:w="6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84,056</w:t>
            </w: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(63,278)</w:t>
            </w:r>
          </w:p>
        </w:tc>
        <w:tc>
          <w:tcPr>
            <w:tcW w:w="100" w:type="dxa"/>
            <w:vAlign w:val="bottom"/>
            <w:tcBorders>
              <w:left w:val="single" w:sz="8" w:color="CCEEFF"/>
            </w:tcBorders>
            <w:shd w:val="clear" w:color="auto" w:fill="CCEEFF"/>
          </w:tcPr>
          <w:p>
            <w:pPr>
              <w:spacing w:after="0"/>
              <w:rPr>
                <w:sz w:val="19"/>
                <w:szCs w:val="19"/>
                <w:color w:val="auto"/>
              </w:rPr>
            </w:pPr>
          </w:p>
        </w:tc>
        <w:tc>
          <w:tcPr>
            <w:tcW w:w="8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20,792</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86,036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106,828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9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right w:val="single" w:sz="8" w:color="CCEEFF"/>
            </w:tcBorders>
            <w:shd w:val="clear" w:color="auto" w:fill="CCEEFF"/>
          </w:tcPr>
          <w:p>
            <w:pPr>
              <w:spacing w:after="0"/>
              <w:rPr>
                <w:sz w:val="4"/>
                <w:szCs w:val="4"/>
                <w:color w:val="auto"/>
              </w:rPr>
            </w:pPr>
          </w:p>
        </w:tc>
        <w:tc>
          <w:tcPr>
            <w:tcW w:w="10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2,950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5"/>
                <w:szCs w:val="15"/>
                <w:color w:val="auto"/>
              </w:rPr>
              <w:t>2,950</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3,009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vesting of restricted stock</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units, net of shares</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withheld for taxes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1,896,515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Borders>
              <w:left w:val="single" w:sz="8" w:color="CCEEFF"/>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right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5"/>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4"/>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5"/>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(1,845)</w:t>
            </w:r>
          </w:p>
        </w:tc>
        <w:tc>
          <w:tcPr>
            <w:tcW w:w="20" w:type="dxa"/>
            <w:vAlign w:val="bottom"/>
          </w:tcPr>
          <w:p>
            <w:pPr>
              <w:spacing w:after="0"/>
              <w:rPr>
                <w:sz w:val="20"/>
                <w:szCs w:val="20"/>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(1,845)</w:t>
            </w:r>
          </w:p>
        </w:tc>
        <w:tc>
          <w:tcPr>
            <w:tcW w:w="0" w:type="dxa"/>
            <w:vAlign w:val="bottom"/>
          </w:tcPr>
          <w:p>
            <w:pPr>
              <w:spacing w:after="0"/>
              <w:rPr>
                <w:sz w:val="1"/>
                <w:szCs w:val="1"/>
                <w:color w:val="auto"/>
              </w:rPr>
            </w:pPr>
          </w:p>
        </w:tc>
      </w:tr>
      <w:tr>
        <w:trPr>
          <w:trHeight w:val="35"/>
        </w:trPr>
        <w:tc>
          <w:tcPr>
            <w:tcW w:w="1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w:t>
            </w:r>
          </w:p>
        </w:tc>
        <w:tc>
          <w:tcPr>
            <w:tcW w:w="10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716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1,194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right w:val="single" w:sz="8" w:color="CCEEFF"/>
            </w:tcBorders>
            <w:shd w:val="clear" w:color="auto" w:fill="CCEEFF"/>
          </w:tcPr>
          <w:p>
            <w:pPr>
              <w:spacing w:after="0"/>
              <w:rPr>
                <w:sz w:val="4"/>
                <w:szCs w:val="4"/>
                <w:color w:val="auto"/>
              </w:rPr>
            </w:pPr>
          </w:p>
        </w:tc>
        <w:tc>
          <w:tcPr>
            <w:tcW w:w="10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As of June 30, 2024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96,948,250</w:t>
            </w:r>
          </w:p>
        </w:tc>
        <w:tc>
          <w:tcPr>
            <w:tcW w:w="8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u w:val="single" w:color="auto"/>
                <w:color w:val="auto"/>
                <w:w w:val="88"/>
              </w:rPr>
              <w:t>$</w:t>
            </w:r>
            <w:r>
              <w:rPr>
                <w:rFonts w:ascii="Times New Roman" w:cs="Times New Roman" w:eastAsia="Times New Roman" w:hAnsi="Times New Roman"/>
                <w:sz w:val="15"/>
                <w:szCs w:val="15"/>
                <w:color w:val="auto"/>
                <w:w w:val="88"/>
              </w:rPr>
              <w:t>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88"/>
              </w:rPr>
              <w:t>55,486,361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5"/>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87,005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(62,562)</w:t>
            </w:r>
          </w:p>
        </w:tc>
        <w:tc>
          <w:tcPr>
            <w:tcW w:w="100" w:type="dxa"/>
            <w:vAlign w:val="bottom"/>
          </w:tcPr>
          <w:p>
            <w:pPr>
              <w:spacing w:after="0"/>
              <w:rPr>
                <w:sz w:val="19"/>
                <w:szCs w:val="19"/>
                <w:color w:val="auto"/>
              </w:rPr>
            </w:pP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24,458</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5"/>
          </w:tcPr>
          <w:p>
            <w:pPr>
              <w:jc w:val="right"/>
              <w:ind w:right="2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84,728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109,186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60" w:type="dxa"/>
            <w:vAlign w:val="bottom"/>
            <w:gridSpan w:val="27"/>
          </w:tcPr>
          <w:p>
            <w:pPr>
              <w:ind w:left="40"/>
              <w:spacing w:after="0"/>
              <w:rPr>
                <w:sz w:val="20"/>
                <w:szCs w:val="20"/>
                <w:color w:val="auto"/>
              </w:rPr>
            </w:pPr>
            <w:r>
              <w:rPr>
                <w:rFonts w:ascii="Times New Roman" w:cs="Times New Roman" w:eastAsia="Times New Roman" w:hAnsi="Times New Roman"/>
                <w:sz w:val="14"/>
                <w:szCs w:val="14"/>
                <w:b w:val="1"/>
                <w:bCs w:val="1"/>
                <w:color w:val="auto"/>
              </w:rPr>
              <w:t>Three and Six Months Ended June 30, 2023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9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gridSpan w:val="3"/>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3"/>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900" w:type="dxa"/>
            <w:vAlign w:val="bottom"/>
          </w:tcPr>
          <w:p>
            <w:pPr>
              <w:spacing w:after="0"/>
              <w:rPr>
                <w:sz w:val="16"/>
                <w:szCs w:val="16"/>
                <w:color w:val="auto"/>
              </w:rPr>
            </w:pPr>
          </w:p>
        </w:tc>
        <w:tc>
          <w:tcPr>
            <w:tcW w:w="126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40" w:type="dxa"/>
            <w:vAlign w:val="bottom"/>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Total WM</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260" w:type="dxa"/>
            <w:vAlign w:val="bottom"/>
            <w:gridSpan w:val="8"/>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140" w:type="dxa"/>
            <w:vAlign w:val="bottom"/>
            <w:gridSpan w:val="9"/>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9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gridSpan w:val="9"/>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8"/>
                <w:szCs w:val="8"/>
                <w:color w:val="auto"/>
              </w:rPr>
            </w:pPr>
          </w:p>
        </w:tc>
        <w:tc>
          <w:tcPr>
            <w:tcW w:w="1040" w:type="dxa"/>
            <w:vAlign w:val="bottom"/>
            <w:gridSpan w:val="7"/>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Technology, Inc.</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600" w:type="dxa"/>
            <w:vAlign w:val="bottom"/>
            <w:gridSpan w:val="4"/>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Par</w:t>
            </w: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w:t>
            </w: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gridSpan w:val="9"/>
            <w:vMerge w:val="continue"/>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gridSpan w:val="7"/>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60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1900" w:type="dxa"/>
            <w:vAlign w:val="bottom"/>
          </w:tcPr>
          <w:p>
            <w:pPr>
              <w:spacing w:after="0"/>
              <w:rPr>
                <w:sz w:val="12"/>
                <w:szCs w:val="12"/>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4"/>
            <w:vMerge w:val="continue"/>
          </w:tcPr>
          <w:p>
            <w:pPr>
              <w:spacing w:after="0"/>
              <w:rPr>
                <w:sz w:val="12"/>
                <w:szCs w:val="12"/>
                <w:color w:val="auto"/>
              </w:rPr>
            </w:pPr>
          </w:p>
        </w:tc>
        <w:tc>
          <w:tcPr>
            <w:tcW w:w="7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4"/>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60" w:type="dxa"/>
            <w:vAlign w:val="bottom"/>
          </w:tcPr>
          <w:p>
            <w:pPr>
              <w:spacing w:after="0"/>
              <w:rPr>
                <w:sz w:val="12"/>
                <w:szCs w:val="12"/>
                <w:color w:val="auto"/>
              </w:rPr>
            </w:pPr>
          </w:p>
        </w:tc>
        <w:tc>
          <w:tcPr>
            <w:tcW w:w="700" w:type="dxa"/>
            <w:vAlign w:val="bottom"/>
            <w:gridSpan w:val="6"/>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9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7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Interests</w:t>
            </w:r>
          </w:p>
        </w:tc>
        <w:tc>
          <w:tcPr>
            <w:tcW w:w="80" w:type="dxa"/>
            <w:vAlign w:val="bottom"/>
          </w:tcPr>
          <w:p>
            <w:pPr>
              <w:spacing w:after="0"/>
              <w:rPr>
                <w:sz w:val="16"/>
                <w:szCs w:val="16"/>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50"/>
        </w:trPr>
        <w:tc>
          <w:tcPr>
            <w:tcW w:w="19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December 31, 2022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92,062,468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0" w:type="dxa"/>
            <w:vAlign w:val="bottom"/>
            <w:tcBorders>
              <w:left w:val="single" w:sz="8" w:color="CCEEFF"/>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6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55,486,361</w:t>
            </w: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right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$ 5</w:t>
            </w:r>
          </w:p>
        </w:tc>
        <w:tc>
          <w:tcPr>
            <w:tcW w:w="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$67,986</w:t>
            </w:r>
          </w:p>
        </w:tc>
        <w:tc>
          <w:tcPr>
            <w:tcW w:w="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$(54,620)</w:t>
            </w: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$13,380</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$101,397</w:t>
            </w:r>
          </w:p>
        </w:tc>
        <w:tc>
          <w:tcPr>
            <w:tcW w:w="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$114,777</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4"/>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6"/>
          </w:tcPr>
          <w:p>
            <w:pPr>
              <w:jc w:val="right"/>
              <w:spacing w:after="0"/>
              <w:rPr>
                <w:sz w:val="20"/>
                <w:szCs w:val="20"/>
                <w:color w:val="auto"/>
              </w:rPr>
            </w:pPr>
            <w:r>
              <w:rPr>
                <w:rFonts w:ascii="Times New Roman" w:cs="Times New Roman" w:eastAsia="Times New Roman" w:hAnsi="Times New Roman"/>
                <w:sz w:val="15"/>
                <w:szCs w:val="15"/>
                <w:color w:val="auto"/>
              </w:rPr>
              <w:t>4,396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4,396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285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4,681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1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vesting of restricted stock</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units, net of shares</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withheld for taxes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475,510</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5"/>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4"/>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5"/>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(250)</w:t>
            </w:r>
          </w:p>
        </w:tc>
        <w:tc>
          <w:tcPr>
            <w:tcW w:w="2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1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Class P Unit exchange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35,488</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4"/>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(2,475)</w:t>
            </w:r>
          </w:p>
        </w:tc>
        <w:tc>
          <w:tcPr>
            <w:tcW w:w="100" w:type="dxa"/>
            <w:vAlign w:val="bottom"/>
          </w:tcPr>
          <w:p>
            <w:pPr>
              <w:spacing w:after="0"/>
              <w:rPr>
                <w:sz w:val="18"/>
                <w:szCs w:val="18"/>
                <w:color w:val="auto"/>
              </w:rPr>
            </w:pPr>
          </w:p>
        </w:tc>
        <w:tc>
          <w:tcPr>
            <w:tcW w:w="84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(2,475)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(1,494)</w:t>
            </w:r>
          </w:p>
        </w:tc>
        <w:tc>
          <w:tcPr>
            <w:tcW w:w="2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(3,969)</w:t>
            </w:r>
          </w:p>
        </w:tc>
        <w:tc>
          <w:tcPr>
            <w:tcW w:w="0" w:type="dxa"/>
            <w:vAlign w:val="bottom"/>
          </w:tcPr>
          <w:p>
            <w:pPr>
              <w:spacing w:after="0"/>
              <w:rPr>
                <w:sz w:val="1"/>
                <w:szCs w:val="1"/>
                <w:color w:val="auto"/>
              </w:rPr>
            </w:pPr>
          </w:p>
        </w:tc>
      </w:tr>
      <w:tr>
        <w:trPr>
          <w:trHeight w:val="48"/>
        </w:trPr>
        <w:tc>
          <w:tcPr>
            <w:tcW w:w="19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March 31, 2023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92,573,466</w:t>
            </w:r>
          </w:p>
        </w:tc>
        <w:tc>
          <w:tcPr>
            <w:tcW w:w="80" w:type="dxa"/>
            <w:vAlign w:val="bottom"/>
            <w:shd w:val="clear" w:color="auto" w:fill="CCEEFF"/>
          </w:tcPr>
          <w:p>
            <w:pPr>
              <w:spacing w:after="0"/>
              <w:rPr>
                <w:sz w:val="19"/>
                <w:szCs w:val="19"/>
                <w:color w:val="auto"/>
              </w:rPr>
            </w:pPr>
          </w:p>
        </w:tc>
        <w:tc>
          <w:tcPr>
            <w:tcW w:w="80" w:type="dxa"/>
            <w:vAlign w:val="bottom"/>
            <w:tcBorders>
              <w:right w:val="single" w:sz="8" w:color="CCEEFF"/>
            </w:tcBorders>
            <w:gridSpan w:val="2"/>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55,486,361</w:t>
            </w:r>
          </w:p>
        </w:tc>
        <w:tc>
          <w:tcPr>
            <w:tcW w:w="20" w:type="dxa"/>
            <w:vAlign w:val="bottom"/>
            <w:shd w:val="clear" w:color="auto" w:fill="CCEEFF"/>
          </w:tcPr>
          <w:p>
            <w:pPr>
              <w:spacing w:after="0"/>
              <w:rPr>
                <w:sz w:val="19"/>
                <w:szCs w:val="19"/>
                <w:color w:val="auto"/>
              </w:rPr>
            </w:pPr>
          </w:p>
        </w:tc>
        <w:tc>
          <w:tcPr>
            <w:tcW w:w="380" w:type="dxa"/>
            <w:vAlign w:val="bottom"/>
            <w:tcBorders>
              <w:right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$ 5</w:t>
            </w:r>
          </w:p>
        </w:tc>
        <w:tc>
          <w:tcPr>
            <w:tcW w:w="6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72,444</w:t>
            </w:r>
          </w:p>
        </w:tc>
        <w:tc>
          <w:tcPr>
            <w:tcW w:w="6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(57,095)</w:t>
            </w:r>
          </w:p>
        </w:tc>
        <w:tc>
          <w:tcPr>
            <w:tcW w:w="100" w:type="dxa"/>
            <w:vAlign w:val="bottom"/>
            <w:tcBorders>
              <w:left w:val="single" w:sz="8" w:color="CCEEFF"/>
            </w:tcBorders>
            <w:shd w:val="clear" w:color="auto" w:fill="CCEEFF"/>
          </w:tcPr>
          <w:p>
            <w:pPr>
              <w:spacing w:after="0"/>
              <w:rPr>
                <w:sz w:val="19"/>
                <w:szCs w:val="19"/>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15,363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$ 99,876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115,239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9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right w:val="single" w:sz="8" w:color="CCEEFF"/>
            </w:tcBorders>
            <w:shd w:val="clear" w:color="auto" w:fill="CCEEFF"/>
          </w:tcPr>
          <w:p>
            <w:pPr>
              <w:spacing w:after="0"/>
              <w:rPr>
                <w:sz w:val="4"/>
                <w:szCs w:val="4"/>
                <w:color w:val="auto"/>
              </w:rPr>
            </w:pPr>
          </w:p>
        </w:tc>
        <w:tc>
          <w:tcPr>
            <w:tcW w:w="10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3"/>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3,908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1"/>
                <w:szCs w:val="21"/>
                <w:color w:val="auto"/>
              </w:rPr>
            </w:pPr>
          </w:p>
        </w:tc>
        <w:tc>
          <w:tcPr>
            <w:tcW w:w="340" w:type="dxa"/>
            <w:vAlign w:val="bottom"/>
            <w:gridSpan w:val="3"/>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3,908</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3"/>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4,005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vesting of restricted stock</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units, net of shares</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withheld for taxes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842,178</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35"/>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4"/>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5"/>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(752)</w:t>
            </w:r>
          </w:p>
        </w:tc>
        <w:tc>
          <w:tcPr>
            <w:tcW w:w="2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1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left w:val="single" w:sz="8" w:color="CCEEFF"/>
              <w:right w:val="single" w:sz="8" w:color="CCEEFF"/>
            </w:tcBorders>
            <w:gridSpan w:val="3"/>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1,226</w:t>
            </w:r>
          </w:p>
        </w:tc>
        <w:tc>
          <w:tcPr>
            <w:tcW w:w="10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1,983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9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right w:val="single" w:sz="8" w:color="CCEEFF"/>
            </w:tcBorders>
            <w:shd w:val="clear" w:color="auto" w:fill="CCEEFF"/>
          </w:tcPr>
          <w:p>
            <w:pPr>
              <w:spacing w:after="0"/>
              <w:rPr>
                <w:sz w:val="4"/>
                <w:szCs w:val="4"/>
                <w:color w:val="auto"/>
              </w:rPr>
            </w:pPr>
          </w:p>
        </w:tc>
        <w:tc>
          <w:tcPr>
            <w:tcW w:w="10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As of June 30,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93,415,644</w:t>
            </w:r>
          </w:p>
        </w:tc>
        <w:tc>
          <w:tcPr>
            <w:tcW w:w="8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7"/>
              </w:rPr>
              <w:t>55,486,361</w:t>
            </w:r>
          </w:p>
        </w:tc>
        <w:tc>
          <w:tcPr>
            <w:tcW w:w="20" w:type="dxa"/>
            <w:vAlign w:val="bottom"/>
          </w:tcPr>
          <w:p>
            <w:pPr>
              <w:spacing w:after="0"/>
              <w:rPr>
                <w:sz w:val="19"/>
                <w:szCs w:val="19"/>
                <w:color w:val="auto"/>
              </w:rPr>
            </w:pPr>
          </w:p>
        </w:tc>
        <w:tc>
          <w:tcPr>
            <w:tcW w:w="380" w:type="dxa"/>
            <w:vAlign w:val="bottom"/>
            <w:gridSpan w:val="5"/>
          </w:tcPr>
          <w:p>
            <w:pPr>
              <w:jc w:val="right"/>
              <w:ind w:right="20"/>
              <w:spacing w:after="0"/>
              <w:rPr>
                <w:sz w:val="20"/>
                <w:szCs w:val="20"/>
                <w:color w:val="auto"/>
              </w:rPr>
            </w:pPr>
            <w:r>
              <w:rPr>
                <w:rFonts w:ascii="Times New Roman" w:cs="Times New Roman" w:eastAsia="Times New Roman" w:hAnsi="Times New Roman"/>
                <w:sz w:val="15"/>
                <w:szCs w:val="15"/>
                <w:color w:val="auto"/>
              </w:rPr>
              <w:t>$ 5</w:t>
            </w:r>
          </w:p>
        </w:tc>
        <w:tc>
          <w:tcPr>
            <w:tcW w:w="60" w:type="dxa"/>
            <w:vAlign w:val="bottom"/>
          </w:tcPr>
          <w:p>
            <w:pPr>
              <w:spacing w:after="0"/>
              <w:rPr>
                <w:sz w:val="19"/>
                <w:szCs w:val="19"/>
                <w:color w:val="auto"/>
              </w:rPr>
            </w:pPr>
          </w:p>
        </w:tc>
        <w:tc>
          <w:tcPr>
            <w:tcW w:w="680" w:type="dxa"/>
            <w:vAlign w:val="bottom"/>
            <w:gridSpan w:val="6"/>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76,351</w:t>
            </w:r>
          </w:p>
        </w:tc>
        <w:tc>
          <w:tcPr>
            <w:tcW w:w="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(55,869)</w:t>
            </w:r>
          </w:p>
        </w:tc>
        <w:tc>
          <w:tcPr>
            <w:tcW w:w="10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20,496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$ 99,978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120,474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-6505575</wp:posOffset>
            </wp:positionV>
            <wp:extent cx="514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-6505575</wp:posOffset>
            </wp:positionV>
            <wp:extent cx="514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-6505575</wp:posOffset>
            </wp:positionV>
            <wp:extent cx="514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-6505575</wp:posOffset>
            </wp:positionV>
            <wp:extent cx="2540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-6505575</wp:posOffset>
            </wp:positionV>
            <wp:extent cx="514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-6505575</wp:posOffset>
            </wp:positionV>
            <wp:extent cx="514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-6505575</wp:posOffset>
            </wp:positionV>
            <wp:extent cx="514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-6505575</wp:posOffset>
            </wp:positionV>
            <wp:extent cx="514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-6505575</wp:posOffset>
            </wp:positionV>
            <wp:extent cx="514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-2819400</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-2819400</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-2819400</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-2819400</wp:posOffset>
            </wp:positionV>
            <wp:extent cx="342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-2819400</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-2819400</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-2819400</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-2819400</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-2819400</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8" w:name="page149"/>
    <w:bookmarkEnd w:id="1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780" w:type="dxa"/>
            <w:vAlign w:val="bottom"/>
            <w:gridSpan w:val="12"/>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51"/>
        </w:trPr>
        <w:tc>
          <w:tcPr>
            <w:tcW w:w="66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195"/>
        </w:trPr>
        <w:tc>
          <w:tcPr>
            <w:tcW w:w="6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71"/>
        </w:trPr>
        <w:tc>
          <w:tcPr>
            <w:tcW w:w="664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311"/>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3,153</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lease assets</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(benefit) for credit losses</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(12,880)</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(3,543)</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shd w:val="clear" w:color="auto" w:fill="CCEEFF"/>
          </w:tcPr>
          <w:p>
            <w:pPr>
              <w:spacing w:after="0"/>
              <w:rPr>
                <w:sz w:val="22"/>
                <w:szCs w:val="22"/>
                <w:color w:val="auto"/>
              </w:rPr>
            </w:pPr>
          </w:p>
        </w:tc>
      </w:tr>
      <w:tr>
        <w:trPr>
          <w:trHeight w:val="61"/>
        </w:trPr>
        <w:tc>
          <w:tcPr>
            <w:tcW w:w="6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20,054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61"/>
        </w:trPr>
        <w:tc>
          <w:tcPr>
            <w:tcW w:w="6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338"/>
        </w:trPr>
        <w:tc>
          <w:tcPr>
            <w:tcW w:w="66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and expenditures</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(7,140)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00" w:type="dxa"/>
            <w:vAlign w:val="bottom"/>
            <w:shd w:val="clear" w:color="auto" w:fill="CCEEFF"/>
          </w:tcPr>
          <w:p>
            <w:pPr>
              <w:spacing w:after="0"/>
              <w:rPr>
                <w:sz w:val="22"/>
                <w:szCs w:val="22"/>
                <w:color w:val="auto"/>
              </w:rPr>
            </w:pPr>
          </w:p>
        </w:tc>
      </w:tr>
      <w:tr>
        <w:trPr>
          <w:trHeight w:val="61"/>
        </w:trPr>
        <w:tc>
          <w:tcPr>
            <w:tcW w:w="6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5"/>
              </w:rPr>
              <w:t>(7,140)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00" w:type="dxa"/>
            <w:vAlign w:val="bottom"/>
          </w:tcPr>
          <w:p>
            <w:pPr>
              <w:spacing w:after="0"/>
              <w:rPr>
                <w:sz w:val="23"/>
                <w:szCs w:val="23"/>
                <w:color w:val="auto"/>
              </w:rPr>
            </w:pPr>
          </w:p>
        </w:tc>
      </w:tr>
      <w:tr>
        <w:trPr>
          <w:trHeight w:val="61"/>
        </w:trPr>
        <w:tc>
          <w:tcPr>
            <w:tcW w:w="6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338"/>
        </w:trPr>
        <w:tc>
          <w:tcPr>
            <w:tcW w:w="66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insurance premium financing</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5"/>
              </w:rPr>
              <w:t>(5,950)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repayment of related party note</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payment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7"/>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61"/>
        </w:trPr>
        <w:tc>
          <w:tcPr>
            <w:tcW w:w="66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5"/>
              </w:rPr>
              <w:t>(5,972)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Pr>
          <w:p>
            <w:pPr>
              <w:spacing w:after="0"/>
              <w:rPr>
                <w:sz w:val="23"/>
                <w:szCs w:val="23"/>
                <w:color w:val="auto"/>
              </w:rPr>
            </w:pPr>
          </w:p>
        </w:tc>
      </w:tr>
      <w:tr>
        <w:trPr>
          <w:trHeight w:val="61"/>
        </w:trPr>
        <w:tc>
          <w:tcPr>
            <w:tcW w:w="6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338"/>
        </w:trPr>
        <w:tc>
          <w:tcPr>
            <w:tcW w:w="66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61"/>
        </w:trPr>
        <w:tc>
          <w:tcPr>
            <w:tcW w:w="6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 end of period</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41,292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61"/>
        </w:trPr>
        <w:tc>
          <w:tcPr>
            <w:tcW w:w="6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338"/>
        </w:trPr>
        <w:tc>
          <w:tcPr>
            <w:tcW w:w="66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capitalized for software development</w:t>
            </w:r>
          </w:p>
        </w:tc>
        <w:tc>
          <w:tcPr>
            <w:tcW w:w="1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613</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assets included in accounts payable and accrued expenses</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789</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-7937500</wp:posOffset>
            </wp:positionV>
            <wp:extent cx="857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-7937500</wp:posOffset>
            </wp:positionV>
            <wp:extent cx="431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jc w:val="both"/>
        <w:ind w:left="640" w:right="299" w:hanging="348"/>
        <w:spacing w:after="0" w:line="241" w:lineRule="auto"/>
        <w:tabs>
          <w:tab w:leader="none" w:pos="6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six months ended June 30, 2023, provision (benefit) for credit losses and change in accounts receivable have been retrospectively adjusted to reflect the restatement of previously reported revenue and credit losses. See Note 2, “Summary of Significant Accounting Policies,” for further information.</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0" w:gutter="0" w:footer="0" w:header="0"/>
        </w:sectPr>
      </w:pPr>
    </w:p>
    <w:bookmarkStart w:id="149" w:name="page150"/>
    <w:bookmarkEnd w:id="1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71" w:lineRule="exact"/>
        <w:rPr>
          <w:sz w:val="20"/>
          <w:szCs w:val="20"/>
          <w:color w:val="auto"/>
        </w:rPr>
      </w:pPr>
    </w:p>
    <w:p>
      <w:pPr>
        <w:ind w:left="640" w:hanging="348"/>
        <w:spacing w:after="0"/>
        <w:tabs>
          <w:tab w:leader="none" w:pos="6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Organization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two-sided marketplace of business-to-consumer and business-to-business suite of products afford cannabis retailers and brands of all sizes integrated tools to compliantly run their businesses and to reach, convert, and retain consumers.</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The Company believes the size, loyalty and engagement of its user base and the frequency of consumption of cannabis by its user base makes the Weedmaps marketplace highly valuable to its clients.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the development of Weedmaps for Business, the Company offers an end-to-end platform for licensed cannabis retailers to comply with state laws. The Company sells a monthly subscription offering to storefront, delivery and brand clients as well as upsell and add-on offerings to licensed clients. The Company also offers other ad solutions and WM Dispatch for additional fees.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(the “Closing”), Silver Spike was domesticated and continues as a Delaware corporation, changing its name to WM Technology, Inc.</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Legacy WHM was reorganized into an Up-C structure, in which substantially all of the assets and business of Legacy WHM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June 30, 2024, the Company had an accumulated deficit of $62.6 million. The Company has funded its operations primarily with customer payments for its services and proceeds from the issuance of common stock in connection with its initial public offering and follow-on offering. As of June 30, 2024, the Company had cash of $41.3 million. The Company believes that its existing sources of liquidity will satisfy its working capital and capital requirements for at least the next twelve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0" w:name="page151"/>
    <w:bookmarkEnd w:id="1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292" w:right="31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ind w:left="640" w:hanging="348"/>
        <w:spacing w:after="0"/>
        <w:tabs>
          <w:tab w:leader="none" w:pos="6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and the rules and regulations of the Securities and Exchange Commission (“SEC”) for quarterly reports on Form 10-Q and Article 10-1 of Regulation S-X. Accordingly, certain information and footnotes required by GAAP in annual financial statements have been omitted or condensed and these interim financial statements should be read in conjunction with the audited consolidated financial statements and notes thereto included in the Company’s Annual Report on Form 10-K for the year ended December 31, 2023, filed with the SEC on May 24, 2024. The condensed consolidated financial statements of the Company include all adjustments of a normal recurring nature which, in the opinion of management, are necessary for a fair statement of the Company’s financial position as of June 30, 2024, and results of its operations and its cash flows for the interim periods presented. Certain prior period amounts have been reclassified to conform to the current period presentation. The results of operations for the three and six months ended June 30, 2024 are not necessarily indicative of the results to be expected for the entire year. There have been no significant changes in the Company’s accounting policies from those described in the Company’s audited consolidated financial statements and the related notes to those statements.</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Previously Reported 2023 Quarterly Revenue and Credit Losses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preparation of the Company's Consolidated Financial Statements as of and for the fiscal year ended December 31, 2023, the Company discovered that in 2023, it had an inadequate policy associated with its revenue recognition related to the cash collection of a certain subset of its customers that had been placed on cash basis in 2023. For these customers, because the determination had been made that there was significant collection risk and the Company had no ability to estimate the collectability of the consideration it was entitled to, revenue recognition was prohibited under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until cash was collected for the services that were provided. The Company refers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this situation as customers that have been placed on cash basis. As further discussed below, in 2023 the Company misapplied this policy in each of the first three quarters of 2023 by failing to apply (in certain cases) cash receipts to prior accounts receivable (via a credit loss recovery) and instead recognized additional revenue for the cash receipt.</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recognizes revenue from contracts with customers under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Once the Company believes that it is no longer probable of collecting substantially all of the consideration to which it will be entitled in exchange for the goods or services transferred to the customer and as such is prohibited from recognizing revenue until it is probable that it will be entitled to all of the consideration. As such, when a customer with significant collection risk is identified, the Company fully reserves for all outstanding accounts receivable and records a credit loss for these receivables.</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Initially, revenue for contracts that the Company assesses are not probable of collection is not recognized until the customer has paid or settled all outstanding accounts receivable balances.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When services are still provided to customers that have been identified with significant collection risk, the Company initially applies all payments received against the customers oldest invoices. However, if the Company continues to provide services to these customers for a significant period of time, cash collections have stabilized and other factors indicate it is appropriate, cash collections are assessed to determine if any of the on-going cash receipts should be accounted for as variable consideration under ASC 606 for on-going services instead of recovery of credit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1" w:name="page152"/>
    <w:bookmarkEnd w:id="1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losses. To date, no material variable consideration has been recognized and after applying the corrections shown in the table below, all cash collections for these customers are reflected as recovery of credit losses.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Due to the inconsistency of the cash application related to the cash basis customers, and the prohibition on recognizing revenue when the Company does not believe it will receive the consideration it is entitled to, the Company had determined that it had improperly recognized revenue for these customers and should have instead recognized a credit loss recovery related to these cash receipts.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All periods presented below have been retrospectively restated to reflect the effects of the change to revenues and operating expenses. There was no impact to operating income (loss), net income (loss), net income (loss) per share, net cash provided by operating activities and adjusted EBITDA for any periods presented. The consolidated statement of equity is not affected by this restatement.</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operations for the period ended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June 30, 2023 as follows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248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gridSpan w:val="3"/>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6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6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140" w:type="dxa"/>
            <w:vAlign w:val="bottom"/>
          </w:tcPr>
          <w:p>
            <w:pPr>
              <w:spacing w:after="0"/>
              <w:rPr>
                <w:sz w:val="16"/>
                <w:szCs w:val="16"/>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120" w:type="dxa"/>
            <w:vAlign w:val="bottom"/>
          </w:tcPr>
          <w:p>
            <w:pPr>
              <w:spacing w:after="0"/>
              <w:rPr>
                <w:sz w:val="16"/>
                <w:szCs w:val="16"/>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36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$50,852</w:t>
            </w:r>
          </w:p>
        </w:tc>
        <w:tc>
          <w:tcPr>
            <w:tcW w:w="860" w:type="dxa"/>
            <w:vAlign w:val="bottom"/>
            <w:tcBorders>
              <w:bottom w:val="single" w:sz="8" w:color="CCEEFF"/>
            </w:tcBorders>
            <w:gridSpan w:val="2"/>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$48,423</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$98,859</w:t>
            </w:r>
          </w:p>
        </w:tc>
        <w:tc>
          <w:tcPr>
            <w:tcW w:w="840" w:type="dxa"/>
            <w:vAlign w:val="bottom"/>
            <w:tcBorders>
              <w:bottom w:val="single" w:sz="8" w:color="CCEEFF"/>
            </w:tcBorders>
            <w:gridSpan w:val="2"/>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rPr>
              <w:t>$(4,020)</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$94,839</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$19,208</w:t>
            </w:r>
          </w:p>
        </w:tc>
        <w:tc>
          <w:tcPr>
            <w:tcW w:w="860" w:type="dxa"/>
            <w:vAlign w:val="bottom"/>
            <w:gridSpan w:val="2"/>
          </w:tcPr>
          <w:p>
            <w:pPr>
              <w:jc w:val="center"/>
              <w:ind w:left="115"/>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$16,779</w:t>
            </w:r>
          </w:p>
        </w:tc>
        <w:tc>
          <w:tcPr>
            <w:tcW w:w="10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$41,708</w:t>
            </w:r>
          </w:p>
        </w:tc>
        <w:tc>
          <w:tcPr>
            <w:tcW w:w="840" w:type="dxa"/>
            <w:vAlign w:val="bottom"/>
            <w:gridSpan w:val="2"/>
          </w:tcPr>
          <w:p>
            <w:pPr>
              <w:jc w:val="center"/>
              <w:ind w:left="95"/>
              <w:spacing w:after="0"/>
              <w:rPr>
                <w:sz w:val="20"/>
                <w:szCs w:val="20"/>
                <w:color w:val="auto"/>
              </w:rPr>
            </w:pPr>
            <w:r>
              <w:rPr>
                <w:rFonts w:ascii="Times New Roman" w:cs="Times New Roman" w:eastAsia="Times New Roman" w:hAnsi="Times New Roman"/>
                <w:sz w:val="18"/>
                <w:szCs w:val="18"/>
                <w:color w:val="auto"/>
              </w:rPr>
              <w:t>$(4,020)</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$37,688</w:t>
            </w:r>
          </w:p>
        </w:tc>
        <w:tc>
          <w:tcPr>
            <w:tcW w:w="0" w:type="dxa"/>
            <w:vAlign w:val="bottom"/>
          </w:tcPr>
          <w:p>
            <w:pPr>
              <w:spacing w:after="0"/>
              <w:rPr>
                <w:sz w:val="1"/>
                <w:szCs w:val="1"/>
                <w:color w:val="auto"/>
              </w:rPr>
            </w:pPr>
          </w:p>
        </w:tc>
      </w:tr>
      <w:tr>
        <w:trPr>
          <w:trHeight w:val="54"/>
        </w:trPr>
        <w:tc>
          <w:tcPr>
            <w:tcW w:w="3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$47,069</w:t>
            </w:r>
          </w:p>
        </w:tc>
        <w:tc>
          <w:tcPr>
            <w:tcW w:w="860" w:type="dxa"/>
            <w:vAlign w:val="bottom"/>
            <w:gridSpan w:val="2"/>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$44,640</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$99,224</w:t>
            </w:r>
          </w:p>
        </w:tc>
        <w:tc>
          <w:tcPr>
            <w:tcW w:w="840" w:type="dxa"/>
            <w:vAlign w:val="bottom"/>
            <w:gridSpan w:val="2"/>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rPr>
              <w:t>$(4,020)</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$95,204</w:t>
            </w:r>
          </w:p>
        </w:tc>
        <w:tc>
          <w:tcPr>
            <w:tcW w:w="0" w:type="dxa"/>
            <w:vAlign w:val="bottom"/>
          </w:tcPr>
          <w:p>
            <w:pPr>
              <w:spacing w:after="0"/>
              <w:rPr>
                <w:sz w:val="1"/>
                <w:szCs w:val="1"/>
                <w:color w:val="auto"/>
              </w:rPr>
            </w:pPr>
          </w:p>
        </w:tc>
      </w:tr>
      <w:tr>
        <w:trPr>
          <w:trHeight w:val="54"/>
        </w:trPr>
        <w:tc>
          <w:tcPr>
            <w:tcW w:w="36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-633730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-633730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-633730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-633730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-633730</wp:posOffset>
            </wp:positionV>
            <wp:extent cx="857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-633730</wp:posOffset>
            </wp:positionV>
            <wp:extent cx="431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Cash Flows for period ended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June 30, 2023 as follows (in thousands):</w:t>
      </w:r>
    </w:p>
    <w:p>
      <w:pPr>
        <w:spacing w:after="0" w:line="200" w:lineRule="exact"/>
        <w:rPr>
          <w:sz w:val="20"/>
          <w:szCs w:val="20"/>
          <w:color w:val="auto"/>
        </w:rPr>
      </w:pP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5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0" w:type="dxa"/>
            <w:vAlign w:val="bottom"/>
          </w:tcPr>
          <w:p>
            <w:pPr>
              <w:spacing w:after="0"/>
              <w:rPr>
                <w:sz w:val="1"/>
                <w:szCs w:val="1"/>
                <w:color w:val="auto"/>
              </w:rPr>
            </w:pPr>
          </w:p>
        </w:tc>
      </w:tr>
      <w:tr>
        <w:trPr>
          <w:trHeight w:val="50"/>
        </w:trPr>
        <w:tc>
          <w:tcPr>
            <w:tcW w:w="5860" w:type="dxa"/>
            <w:vAlign w:val="bottom"/>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86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586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96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8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6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$ 3,605</w:t>
            </w:r>
          </w:p>
        </w:tc>
        <w:tc>
          <w:tcPr>
            <w:tcW w:w="200" w:type="dxa"/>
            <w:vAlign w:val="bottom"/>
          </w:tcPr>
          <w:p>
            <w:pPr>
              <w:spacing w:after="0"/>
              <w:rPr>
                <w:sz w:val="23"/>
                <w:szCs w:val="23"/>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$(4,020)</w:t>
            </w:r>
          </w:p>
        </w:tc>
        <w:tc>
          <w:tcPr>
            <w:tcW w:w="22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(415)</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$(1,138)</w:t>
            </w:r>
          </w:p>
        </w:tc>
        <w:tc>
          <w:tcPr>
            <w:tcW w:w="200" w:type="dxa"/>
            <w:vAlign w:val="bottom"/>
          </w:tcPr>
          <w:p>
            <w:pPr>
              <w:spacing w:after="0"/>
              <w:rPr>
                <w:sz w:val="23"/>
                <w:szCs w:val="23"/>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$ 4,020</w:t>
            </w:r>
          </w:p>
        </w:tc>
        <w:tc>
          <w:tcPr>
            <w:tcW w:w="22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-934085</wp:posOffset>
            </wp:positionV>
            <wp:extent cx="1371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-934085</wp:posOffset>
            </wp:positionV>
            <wp:extent cx="13716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-934085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and six months ended June 30, 2024 and 2023.</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75"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Significant estimates made by management include, the allowance for credit losses,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revenue recognition, performance and stock-based compensation and the recognition and disclosure of contingent liabilities.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2" w:name="page153"/>
    <w:bookmarkEnd w:id="1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Company operates in a relatively new industry where laws and regulations vary significantly by jurisdiction. Currently, thirty-nine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state that permits use of cannabis was to change their laws or the federal government was to actively enforce the CSA or other laws related to the federal prohibition on cannabis, the Company’s business could be adversely affected.</w:t>
      </w:r>
    </w:p>
    <w:p>
      <w:pPr>
        <w:spacing w:after="0" w:line="8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geographic concentration of the Company’s clients makes the Company vulnerable to a downturn in the local market area. Historically, the Company’s business operations have been located primarily in the State of California. See Note 3, “Revenue from Contracts with Customers,” to these condensed consolidated financial statements for additional information.</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w:t>
      </w:r>
      <w:r>
        <w:rPr>
          <w:rFonts w:ascii="Times New Roman" w:cs="Times New Roman" w:eastAsia="Times New Roman" w:hAnsi="Times New Roman"/>
          <w:sz w:val="18"/>
          <w:szCs w:val="18"/>
          <w:i w:val="1"/>
          <w:iCs w:val="1"/>
          <w:color w:val="auto"/>
        </w:rPr>
        <w:t>– 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See Note 5, “Fair Value Measurements” to these condensed consolidated financial statements for additional information.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A receivable is recorded when an unconditional right to invoice and receive payment exists. Accounts receivable primarily include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 w:cs="Times New Roman" w:eastAsia="Times New Roman" w:hAnsi="Times New Roman"/>
          <w:sz w:val="18"/>
          <w:szCs w:val="18"/>
          <w:i w:val="1"/>
          <w:iCs w:val="1"/>
          <w:color w:val="auto"/>
        </w:rPr>
        <w:t>– Financial Instruments – Credit Losses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Account balances are written off against the allowance when it is determined that it is probable that the receivable will not be recovered. The Company had allowance for credit losses of $2.8 million and $8.7 million as of June 30, 2024 and December 31, 2023, respectively.</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no customer accounted for more than 10% of the total gross accounts receivable outstanding.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3" w:name="page154"/>
    <w:bookmarkEnd w:id="1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020" w:type="dxa"/>
            <w:vAlign w:val="bottom"/>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70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50"/>
        </w:trPr>
        <w:tc>
          <w:tcPr>
            <w:tcW w:w="47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27"/>
        </w:trPr>
        <w:tc>
          <w:tcPr>
            <w:tcW w:w="47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1"/>
        </w:trPr>
        <w:tc>
          <w:tcPr>
            <w:tcW w:w="47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311"/>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beginning of period</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$ 6,596</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$11,822</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$ 8,748</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$12,232</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credit losses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140" w:type="dxa"/>
            <w:vAlign w:val="bottom"/>
          </w:tcPr>
          <w:p>
            <w:pPr>
              <w:spacing w:after="0"/>
              <w:rPr>
                <w:sz w:val="23"/>
                <w:szCs w:val="23"/>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(616)</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60" w:type="dxa"/>
            <w:vAlign w:val="bottom"/>
          </w:tcPr>
          <w:p>
            <w:pPr>
              <w:spacing w:after="0"/>
              <w:rPr>
                <w:sz w:val="23"/>
                <w:szCs w:val="23"/>
                <w:color w:val="auto"/>
              </w:rPr>
            </w:pPr>
          </w:p>
        </w:tc>
      </w:tr>
      <w:tr>
        <w:trPr>
          <w:trHeight w:val="54"/>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(3,882)</w:t>
            </w:r>
          </w:p>
        </w:tc>
        <w:tc>
          <w:tcPr>
            <w:tcW w:w="140" w:type="dxa"/>
            <w:vAlign w:val="bottom"/>
            <w:shd w:val="clear" w:color="auto" w:fill="CCEEFF"/>
          </w:tcPr>
          <w:p>
            <w:pPr>
              <w:spacing w:after="0"/>
              <w:rPr>
                <w:sz w:val="22"/>
                <w:szCs w:val="22"/>
                <w:color w:val="auto"/>
              </w:rPr>
            </w:pP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c>
          <w:tcPr>
            <w:tcW w:w="14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(5,376)</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60" w:type="dxa"/>
            <w:vAlign w:val="bottom"/>
            <w:shd w:val="clear" w:color="auto" w:fill="CCEEFF"/>
          </w:tcPr>
          <w:p>
            <w:pPr>
              <w:spacing w:after="0"/>
              <w:rPr>
                <w:sz w:val="22"/>
                <w:szCs w:val="22"/>
                <w:color w:val="auto"/>
              </w:rPr>
            </w:pPr>
          </w:p>
        </w:tc>
      </w:tr>
      <w:tr>
        <w:trPr>
          <w:trHeight w:val="61"/>
        </w:trPr>
        <w:tc>
          <w:tcPr>
            <w:tcW w:w="47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Allowance, end of period</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$ 2,756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10,202</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$ 2,756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10,202</w:t>
            </w:r>
          </w:p>
        </w:tc>
        <w:tc>
          <w:tcPr>
            <w:tcW w:w="60" w:type="dxa"/>
            <w:vAlign w:val="bottom"/>
          </w:tcPr>
          <w:p>
            <w:pPr>
              <w:spacing w:after="0"/>
              <w:rPr>
                <w:sz w:val="23"/>
                <w:szCs w:val="23"/>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-822325</wp:posOffset>
            </wp:positionV>
            <wp:extent cx="857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-822325</wp:posOffset>
            </wp:positionV>
            <wp:extent cx="857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-822325</wp:posOffset>
            </wp:positionV>
            <wp:extent cx="857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-822325</wp:posOffset>
            </wp:positionV>
            <wp:extent cx="514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8" w:lineRule="exact"/>
        <w:rPr>
          <w:sz w:val="20"/>
          <w:szCs w:val="20"/>
          <w:color w:val="auto"/>
        </w:rPr>
      </w:pPr>
    </w:p>
    <w:p>
      <w:pPr>
        <w:jc w:val="both"/>
        <w:ind w:left="640" w:right="319" w:hanging="348"/>
        <w:spacing w:after="0" w:line="241" w:lineRule="auto"/>
        <w:tabs>
          <w:tab w:leader="none" w:pos="6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Provision (benefit) for credit losses for the three and six months ended June 30, 2023 and related allowance at the end of the period June 30, 2023, has been retrospectively adjusted to reflect the restatement of previously reported credit losses. See </w:t>
      </w:r>
      <w:r>
        <w:rPr>
          <w:rFonts w:ascii="Times New Roman" w:cs="Times New Roman" w:eastAsia="Times New Roman" w:hAnsi="Times New Roman"/>
          <w:sz w:val="14"/>
          <w:szCs w:val="14"/>
          <w:i w:val="1"/>
          <w:iCs w:val="1"/>
          <w:color w:val="auto"/>
        </w:rPr>
        <w:t>Restatement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Previously Reported 2023 Quarterly Revenue and Credit Losses </w:t>
      </w:r>
      <w:r>
        <w:rPr>
          <w:rFonts w:ascii="Times New Roman" w:cs="Times New Roman" w:eastAsia="Times New Roman" w:hAnsi="Times New Roman"/>
          <w:sz w:val="14"/>
          <w:szCs w:val="14"/>
          <w:color w:val="auto"/>
        </w:rPr>
        <w:t>above for further information.</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three years for computer equipment and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are removed from the accounts and any resulting gain or loss is reflected in the Company’s condensed consolidated statements of operations.</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No impairments to property and equipment were recorded during the three and six months ended June 30, 2024 and 2023.</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Capitalized website and internal-use software development costs are included in property and equipment in the accompanying condensed consolidated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of June 30, 2024 and December 31, 2023, the Company has $24.4 million and $23.1 million in capitalized software costs, net, respectively which are recorded within property and equipment, net on the Company’s condensed consolidated balance sheets. During the three months ended June 30, 2024 and 2023, the Company amortized $2.8 million and $1.7 million, respectively. During the six months ended June 30, 2024 and 2023, the Company amortized $5.3 million and $3.2 million, respectively. Amortization of internal-use software development costs is included in depreciation and amortization expense in the accompanying condensed consolidated statements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4" w:name="page155"/>
    <w:bookmarkEnd w:id="1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such as changes in the business climate, poor indicators of operating performance or the sale or disposition of a significant portion of a reporting unit. As of June 30, 2024 and December 31, 2023, the Company has $68.4 million in goodwill.</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 No goodwill or intangible asset impairment charges were recorded for the three and six months ended June 30, 2024 and 2023.</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See Note 6, “Intangible Assets,” to these condensed consolidated financial statements for additional information.</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operating leases consist of office space located in the United States. The Company does not have any leases classified as financing leases. The Company classifies arrangements meeting the definition of a lease as operating or financing leases, and leases are recorded on the condensed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5" w:name="page156"/>
    <w:bookmarkEnd w:id="1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 a discounted cash flow approach using market participant assumptions of the expected cash flows. During the three and six months ended June 30, 2024 and 2023, the Company recognized no impairment charge related to ROU assets.</w:t>
      </w:r>
    </w:p>
    <w:p>
      <w:pPr>
        <w:spacing w:after="0" w:line="68"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Net rent expense for the three months ended June 30, 2024 and 2023 was $2.0 million and $2.2 million, respectively. Net rent expense for the six months ended June 30, 2024 and 2023 was $4.2 million and $4.4 million, respectively. Rent expense is included in general and administrative expense in the accompanying condensed consolidated statements of operations.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2022, the Company entered into a sublease agreement with an affiliate of the Executive Chair. The sublease commenced on June 1, 2022, and the term is for the remainder of the original lease and will expire on February 28, 2025, or sooner in the event that the original lease is cancelled prior to the expiration date. See Note 13, “Related Party Transactions,” to these condensed consolidated financial statements for additional information.</w:t>
      </w:r>
    </w:p>
    <w:p>
      <w:pPr>
        <w:spacing w:after="0" w:line="72" w:lineRule="exact"/>
        <w:rPr>
          <w:sz w:val="20"/>
          <w:szCs w:val="20"/>
          <w:color w:val="auto"/>
        </w:rPr>
      </w:pPr>
    </w:p>
    <w:p>
      <w:pPr>
        <w:jc w:val="both"/>
        <w:ind w:left="300" w:right="299"/>
        <w:spacing w:after="0" w:line="281" w:lineRule="auto"/>
        <w:rPr>
          <w:sz w:val="20"/>
          <w:szCs w:val="20"/>
          <w:color w:val="auto"/>
        </w:rPr>
      </w:pPr>
      <w:r>
        <w:rPr>
          <w:rFonts w:ascii="Times New Roman" w:cs="Times New Roman" w:eastAsia="Times New Roman" w:hAnsi="Times New Roman"/>
          <w:sz w:val="17"/>
          <w:szCs w:val="17"/>
          <w:color w:val="auto"/>
        </w:rPr>
        <w:t>During the three months ended June 30, 2024, the Company paid $0.1 million to terminate a lease agreement for one of the offices. In conjunction with the early lease termination, the Company reported a gain of $0.1 million which is recognized as a reduction to the related lease expense. The Company also de-recognized a ROU asset of $0.2 million and a lease liability of $0.4 million on the condensed consolidated balance sheet related to early lease termination.</w:t>
      </w:r>
    </w:p>
    <w:p>
      <w:pPr>
        <w:spacing w:after="0" w:line="56"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Sublease rental income is recognized as a reduction to the related lease expense on a straight-line basis over the sublease term. For the three months ended June 30, 2024 and 2023, the Company recorded rent income related to sublease of $0.5 million and $0.5 million, respectively. For the six months ended June 30, 2024 and 2023, the Company recorded rent income related to sublease of $1.1 million and $1.1 million, respectively.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 xml:space="preserve">The Company assumed public warrants originally issued in the initial public offering of Silver Spike (the “Public Warrants”) and private placement warrants that were originally issued in a private placement by Silver Spike (the “Private Placement Warrants” and, together with the Public Warrants, the “Warrants”) upon the Closing, all of which were issued in connection with Silver Spike’s initial public offering. The Company evaluated the Warrants under ASC 815-40 </w:t>
      </w:r>
      <w:r>
        <w:rPr>
          <w:rFonts w:ascii="Times New Roman" w:cs="Times New Roman" w:eastAsia="Times New Roman" w:hAnsi="Times New Roman"/>
          <w:sz w:val="18"/>
          <w:szCs w:val="18"/>
          <w:i w:val="1"/>
          <w:iCs w:val="1"/>
          <w:color w:val="auto"/>
        </w:rPr>
        <w:t>- Derivatives and Hedging - Contracts in Entity’s Own Equity</w:t>
      </w:r>
      <w:r>
        <w:rPr>
          <w:rFonts w:ascii="Times New Roman" w:cs="Times New Roman" w:eastAsia="Times New Roman" w:hAnsi="Times New Roman"/>
          <w:sz w:val="18"/>
          <w:szCs w:val="18"/>
          <w:color w:val="auto"/>
        </w:rPr>
        <w:t>, and concluded they do not meet the criteria to be classified in stockholders’ equity. See Note 9, “Warrant Liability,” to these condensed consolidated financial statements for additional information.</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TRA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(loss), net on the condensed consolidated statements of operations. As of June 30, 2024 and December 31, 2023, the TRA liability was $2.6 million and $1.8 million, respectively. During the three and six months ended June 30, 2024, the Company recognized a loss of $0.4 million and $0.9 million, respectively, related to the remeasurement of its TRA liability. During the three and six months ended June 30, 2023, the Company recognized a loss of $0.5 million and $0.6 million, respectively, related to the remeasurement of its TRA liability. See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below for information related to the Company’s allowance against its net deferred tax assets.</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spacing w:after="0" w:line="312" w:lineRule="auto"/>
        <w:rPr>
          <w:sz w:val="20"/>
          <w:szCs w:val="20"/>
          <w:color w:val="auto"/>
        </w:rPr>
      </w:pPr>
      <w:r>
        <w:rPr>
          <w:rFonts w:ascii="Times New Roman" w:cs="Times New Roman" w:eastAsia="Times New Roman" w:hAnsi="Times New Roman"/>
          <w:sz w:val="17"/>
          <w:szCs w:val="17"/>
          <w:color w:val="auto"/>
        </w:rPr>
        <w:t xml:space="preserve">The Company recognizes revenue when the fundamental criteria for revenue recognition are met. In accordance with ASC 606 </w:t>
      </w:r>
      <w:r>
        <w:rPr>
          <w:rFonts w:ascii="Times New Roman" w:cs="Times New Roman" w:eastAsia="Times New Roman" w:hAnsi="Times New Roman"/>
          <w:sz w:val="17"/>
          <w:szCs w:val="17"/>
          <w:i w:val="1"/>
          <w:iCs w:val="1"/>
          <w:color w:val="auto"/>
        </w:rPr>
        <w:t>- Revenue from Contracts with Customers,</w:t>
      </w:r>
      <w:r>
        <w:rPr>
          <w:rFonts w:ascii="Times New Roman" w:cs="Times New Roman" w:eastAsia="Times New Roman" w:hAnsi="Times New Roman"/>
          <w:sz w:val="17"/>
          <w:szCs w:val="17"/>
          <w:color w:val="auto"/>
        </w:rPr>
        <w:t xml:space="preserve"> the Company recognizes revenue by applying the following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6" w:name="page157"/>
    <w:bookmarkEnd w:id="1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five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The transaction price reflects the amount the Company expects to receive for such goods, net of discounts. Discounts issued are primarily related to the Company’s WM Teal program, which stands for “Together for Equity Access and Legislation”, through which the Company provides discounts including free software, advertising, educational materials and training programs to applicants or licenses under social equity licensing programs. The Company provides a discount to license holders who were awarded special status by the state based on owner qualifications. These are typically given in new markets to add more diversity and inclusion in the cannabis space. A license’s social equity status is validated by the Company on the applicable state’s website. For clients that pay in advance for listing and other services, the Company records deferred revenue and recognizes revenue over the applicable subscription term.</w:t>
      </w:r>
    </w:p>
    <w:p>
      <w:pPr>
        <w:spacing w:after="0" w:line="79"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17"/>
          <w:szCs w:val="17"/>
          <w:color w:val="auto"/>
        </w:rPr>
        <w:t>The Company’s revenues are derived primarily from monthly subscriptions to Weedmaps for Business, featured and deal listings and other ad solutions. The Company’s Weedmaps for Business subscriptions generally have one-month terms that automatically renew unless notice of cancellation is provided in advance. Featured and deal listings and other ad solutions are offered as add-on products to the Weedmaps for Business subscriptions. Featured and deal listings provide customers with premium placement ad solutions and discount and promotion pricing tools. Other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7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Note 3, “Revenue from Contracts with Customers,” to these condensed consolidated financial statements for additional information.</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Company’s cost of revenue primarily consists of web hosting, internet service costs, credit card processing costs and other third party services.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expenses the cost of advertising in the period incurred. Advertising expense totaled $3.8 million and $3.5 million for the three months ended June 30, 2024 and 2023, respectively, and $6.3 million and $4.6 million for the six months ended June 30, 2024 and 2023, respectively, and are included in sales and marketing expense in the accompanying condensed consolidated statements of operations.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7" w:name="page158"/>
    <w:bookmarkEnd w:id="1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Company records compensation cost when it becomes probable that the performance condition will be met and the expense will be attributed over the performance period. See Note 11, “Stock-based Compensation,” to these condensed consolidated financial statements for additional information.</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Company’s 401(k) saving plan is a tax-qualified deferred compensation arrangement under Section 401(k) of the Internal Revenue Code. Under the 401(k) Plan, participating U.S. employees may contribute a portion of their eligible earnings, subject to applicable U.S. Internal Revenue Service and plan limits. The Company matches up to 3.5% of the employee’s eligible compensation, vested upon two years of service. For the three months ended June 30, 2024 and 2023, the Company recognized an expense of $0.5 million and $0.4 million, respectively, and for the six months ended June 30, 2024 and 2023, the Company recognized an expense of $0.9 million and $0.9 million, respectively, related to employer contributions for the Company’s 401(k) plan.</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change in fair value of warrant liability, TRA liability remeasurement and other tax related expenses.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The Company uses the asset and liability method of accounting for income taxes under ASC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the guidance, deferred tax assets and liabilities are recognized for the future tax consequences of (i) temporary differences between the financial statement carrying amounts and the tax basis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w:t>
      </w:r>
    </w:p>
    <w:p>
      <w:pPr>
        <w:spacing w:after="0" w:line="7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“more-likely-than-not” that it will realize its deferred tax assets.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 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spacing w:after="0" w:line="80"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six months ended June 30, 2024 and for the year ending December 31, 2023, the Company conducted similar analyses, and determined that a full valuation allowance was still required. As of June 30, 2024 and December 31, 2023, the TRA liability was $2.6 million and $1.8 million, respectively.</w:t>
      </w:r>
    </w:p>
    <w:p>
      <w:pPr>
        <w:spacing w:after="0" w:line="68" w:lineRule="exact"/>
        <w:rPr>
          <w:sz w:val="20"/>
          <w:szCs w:val="20"/>
          <w:color w:val="auto"/>
        </w:rPr>
      </w:pPr>
    </w:p>
    <w:p>
      <w:pPr>
        <w:jc w:val="both"/>
        <w:ind w:left="300" w:right="299"/>
        <w:spacing w:after="0" w:line="274" w:lineRule="auto"/>
        <w:rPr>
          <w:sz w:val="20"/>
          <w:szCs w:val="20"/>
          <w:color w:val="auto"/>
        </w:rPr>
      </w:pPr>
      <w:r>
        <w:rPr>
          <w:rFonts w:ascii="Times New Roman" w:cs="Times New Roman" w:eastAsia="Times New Roman" w:hAnsi="Times New Roman"/>
          <w:sz w:val="17"/>
          <w:szCs w:val="17"/>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valuation allowances and tax law developments.</w:t>
      </w:r>
    </w:p>
    <w:p>
      <w:pPr>
        <w:spacing w:after="0" w:line="6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Any taxable income or loss generated by WMH LLC is passed through to and included in the taxable income or loss of its members, including WM Technology, Inc.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WMH LLC will generally be required from time to time to make pro rata distributions in cash to the Company and the other holders of WMH Units at certain assumed tax rates in amounts that are intended to be sufficient to cover the taxes on the Company’s and the other WMH equity holders’ respective allocable shares of the taxable income of WMH LLC.</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For the three and six ended June 30, 2024, the Company recorded $0.04 million and $0.05 million, respectively, in income tax provisions due to the impact of the full valuation allowance on its net deferred assets. For the three and six months ended June 30, 2023, the Company recorded zero in income tax provisions due to the impact of the full valuation allowance on its net deferred assets. The effective tax rates differ from the federal statutory rate of 21% primarily due to the impact of valuation allowances, warrant valuations, non-controlling interests represented by the portion of the flow-through income not subject to tax, permanent stock-based compensation and state taxes.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has identified one business segment which management also considers to be one reporting unit as the Company’s Executive Chair and Interim Chief Financial Officer allocate resources, assess performance and manage the businesses as one segment.</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12, “Earnings Per Share,” for additional information on dilutive securities.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June 30, 2024, the Company had cash balances that exceeded the FDIC limit with four financial institutions. Management believes that the risk of loss is not significant and has not experienced any losses in such accounts.</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 reviewed the accounting pronouncements that became effective for fiscal year 2024 and determined that either they were not applicable, or they did not have a material impact on the consolidated financial statements.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Accounting Standards Update (“ASU”)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xml:space="preserve"> requiring enhancements and further transparency to certain income tax disclosures, most notably the tax rate reconciliation and income taxes paid. This ASU is effective for fiscal years beginning after December 15, 2024 on a prospective basis and retrospective application is permitted. We are currently evaluating the impact of the adoption of this standard.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also reviewed other recently issued accounting pronouncements to be adopted in future periods and determined that they are not expected to have a material impact on the consolidated financial statements.</w:t>
      </w:r>
    </w:p>
    <w:p>
      <w:pPr>
        <w:spacing w:after="0" w:line="158" w:lineRule="exact"/>
        <w:rPr>
          <w:sz w:val="20"/>
          <w:szCs w:val="20"/>
          <w:color w:val="auto"/>
        </w:rPr>
      </w:pPr>
    </w:p>
    <w:p>
      <w:pPr>
        <w:ind w:left="640" w:hanging="348"/>
        <w:spacing w:after="0"/>
        <w:tabs>
          <w:tab w:leader="none" w:pos="6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sells a monthly subscription offering to retailer and brand clients as well as upsell and add-on offerings to licensed clients. The Company’s current Weedmaps for Business monthly subscription package includes:</w:t>
      </w:r>
    </w:p>
    <w:p>
      <w:pPr>
        <w:spacing w:after="0" w:line="68" w:lineRule="exact"/>
        <w:rPr>
          <w:sz w:val="20"/>
          <w:szCs w:val="20"/>
          <w:color w:val="auto"/>
        </w:rPr>
      </w:pPr>
    </w:p>
    <w:p>
      <w:pPr>
        <w:jc w:val="both"/>
        <w:ind w:left="1000" w:right="299" w:hanging="348"/>
        <w:spacing w:after="0" w:line="261"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294"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also offers other add-on products for additional fees, including:</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which includes, featured and deal listings and other ad solutions on the Weedmaps marketplace designed for clients to amplify their businesses and reach more highly engaged cannabis consumers throughout their buying journey including:</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39" w:lineRule="auto"/>
        <w:tabs>
          <w:tab w:leader="none" w:pos="1360" w:val="left"/>
        </w:tabs>
        <w:numPr>
          <w:ilvl w:val="1"/>
          <w:numId w:val="10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10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10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Other ad solutions: Includes banner ads and promotion tiles on our marketplace as well as banner ads that can be tied to keyword searches. These products provide clients with targeted ad solutions in highly visible slots across our digital surfaces.</w:t>
      </w:r>
    </w:p>
    <w:p>
      <w:pPr>
        <w:spacing w:after="0" w:line="91" w:lineRule="exact"/>
        <w:rPr>
          <w:rFonts w:ascii="Times New Roman" w:cs="Times New Roman" w:eastAsia="Times New Roman" w:hAnsi="Times New Roman"/>
          <w:sz w:val="22"/>
          <w:szCs w:val="22"/>
          <w:color w:val="auto"/>
          <w:vertAlign w:val="superscript"/>
        </w:rPr>
      </w:pPr>
    </w:p>
    <w:p>
      <w:pPr>
        <w:jc w:val="both"/>
        <w:ind w:left="1000" w:right="319" w:hanging="348"/>
        <w:spacing w:after="0" w:line="266"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0" w:name="page161"/>
    <w:bookmarkEnd w:id="1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net revenues information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200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7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50"/>
        </w:trPr>
        <w:tc>
          <w:tcPr>
            <w:tcW w:w="46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195"/>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r>
      <w:tr>
        <w:trPr>
          <w:trHeight w:val="271"/>
        </w:trPr>
        <w:tc>
          <w:tcPr>
            <w:tcW w:w="4680" w:type="dxa"/>
            <w:vAlign w:val="bottom"/>
          </w:tcPr>
          <w:p>
            <w:pPr>
              <w:spacing w:after="0"/>
              <w:rPr>
                <w:sz w:val="23"/>
                <w:szCs w:val="23"/>
                <w:color w:val="auto"/>
              </w:rPr>
            </w:pPr>
          </w:p>
        </w:tc>
        <w:tc>
          <w:tcPr>
            <w:tcW w:w="6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311"/>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40" w:type="dxa"/>
            <w:vAlign w:val="bottom"/>
            <w:tcBorders>
              <w:top w:val="single" w:sz="8" w:color="auto"/>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CCEEFF"/>
              <w:right w:val="single" w:sz="8" w:color="CCEEFF"/>
            </w:tcBorders>
            <w:shd w:val="clear" w:color="auto" w:fill="CCEEFF"/>
          </w:tcPr>
          <w:p>
            <w:pPr>
              <w:spacing w:after="0"/>
              <w:rPr>
                <w:sz w:val="24"/>
                <w:szCs w:val="24"/>
                <w:color w:val="auto"/>
              </w:rPr>
            </w:pPr>
          </w:p>
        </w:tc>
        <w:tc>
          <w:tcPr>
            <w:tcW w:w="6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CCEEFF"/>
              <w:right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CCEEFF"/>
            </w:tcBorders>
            <w:shd w:val="clear" w:color="auto" w:fill="CCEEFF"/>
          </w:tcPr>
          <w:p>
            <w:pPr>
              <w:spacing w:after="0"/>
              <w:rPr>
                <w:sz w:val="24"/>
                <w:szCs w:val="24"/>
                <w:color w:val="auto"/>
              </w:rPr>
            </w:pPr>
          </w:p>
        </w:tc>
      </w:tr>
      <w:tr>
        <w:trPr>
          <w:trHeight w:val="270"/>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Weedmaps for Business and other SaaS solutions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$26,702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$22,970</w:t>
            </w:r>
          </w:p>
        </w:tc>
        <w:tc>
          <w:tcPr>
            <w:tcW w:w="180" w:type="dxa"/>
            <w:vAlign w:val="bottom"/>
          </w:tcPr>
          <w:p>
            <w:pPr>
              <w:spacing w:after="0"/>
              <w:rPr>
                <w:sz w:val="23"/>
                <w:szCs w:val="23"/>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7"/>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Featured and deal listings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32,972</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56,581</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64,875</w:t>
            </w:r>
          </w:p>
        </w:tc>
        <w:tc>
          <w:tcPr>
            <w:tcW w:w="180" w:type="dxa"/>
            <w:vAlign w:val="bottom"/>
            <w:shd w:val="clear" w:color="auto" w:fill="CCEEFF"/>
          </w:tcPr>
          <w:p>
            <w:pPr>
              <w:spacing w:after="0"/>
              <w:rPr>
                <w:sz w:val="22"/>
                <w:szCs w:val="22"/>
                <w:color w:val="auto"/>
              </w:rPr>
            </w:pPr>
          </w:p>
        </w:tc>
      </w:tr>
      <w:tr>
        <w:trPr>
          <w:trHeight w:val="61"/>
        </w:trPr>
        <w:tc>
          <w:tcPr>
            <w:tcW w:w="4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auto"/>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auto"/>
              <w:right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r>
      <w:tr>
        <w:trPr>
          <w:trHeight w:val="284"/>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44,258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83,283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87,845</w:t>
            </w:r>
          </w:p>
        </w:tc>
        <w:tc>
          <w:tcPr>
            <w:tcW w:w="180" w:type="dxa"/>
            <w:vAlign w:val="bottom"/>
          </w:tcPr>
          <w:p>
            <w:pPr>
              <w:spacing w:after="0"/>
              <w:rPr>
                <w:sz w:val="24"/>
                <w:szCs w:val="24"/>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7"/>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 solutions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180" w:type="dxa"/>
            <w:vAlign w:val="bottom"/>
            <w:shd w:val="clear" w:color="auto" w:fill="CCEEFF"/>
          </w:tcPr>
          <w:p>
            <w:pPr>
              <w:spacing w:after="0"/>
              <w:rPr>
                <w:sz w:val="22"/>
                <w:szCs w:val="22"/>
                <w:color w:val="auto"/>
              </w:rPr>
            </w:pPr>
          </w:p>
        </w:tc>
      </w:tr>
      <w:tr>
        <w:trPr>
          <w:trHeight w:val="61"/>
        </w:trPr>
        <w:tc>
          <w:tcPr>
            <w:tcW w:w="4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auto"/>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auto"/>
              <w:right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r>
      <w:tr>
        <w:trPr>
          <w:trHeight w:val="311"/>
        </w:trPr>
        <w:tc>
          <w:tcPr>
            <w:tcW w:w="4680" w:type="dxa"/>
            <w:vAlign w:val="bottom"/>
          </w:tcPr>
          <w:p>
            <w:pPr>
              <w:ind w:left="360"/>
              <w:spacing w:after="0" w:line="310" w:lineRule="exact"/>
              <w:rPr>
                <w:sz w:val="20"/>
                <w:szCs w:val="20"/>
                <w:color w:val="auto"/>
              </w:rPr>
            </w:pPr>
            <w:r>
              <w:rPr>
                <w:rFonts w:ascii="Times New Roman" w:cs="Times New Roman" w:eastAsia="Times New Roman" w:hAnsi="Times New Roman"/>
                <w:sz w:val="18"/>
                <w:szCs w:val="18"/>
                <w:color w:val="auto"/>
              </w:rPr>
              <w:t>Total net revenues</w:t>
            </w:r>
            <w:r>
              <w:rPr>
                <w:rFonts w:ascii="Times New Roman" w:cs="Times New Roman" w:eastAsia="Times New Roman" w:hAnsi="Times New Roman"/>
                <w:sz w:val="29"/>
                <w:szCs w:val="29"/>
                <w:color w:val="auto"/>
                <w:vertAlign w:val="superscript"/>
              </w:rPr>
              <w:t>2</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45,903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48,423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90,292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94,839</w:t>
            </w:r>
          </w:p>
        </w:tc>
        <w:tc>
          <w:tcPr>
            <w:tcW w:w="180" w:type="dxa"/>
            <w:vAlign w:val="bottom"/>
          </w:tcPr>
          <w:p>
            <w:pPr>
              <w:spacing w:after="0"/>
              <w:rPr>
                <w:sz w:val="24"/>
                <w:szCs w:val="24"/>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-1276985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-1276985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-1276985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-1276985</wp:posOffset>
            </wp:positionV>
            <wp:extent cx="342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8" w:lineRule="exact"/>
        <w:rPr>
          <w:sz w:val="20"/>
          <w:szCs w:val="20"/>
          <w:color w:val="auto"/>
        </w:rPr>
      </w:pPr>
    </w:p>
    <w:p>
      <w:pPr>
        <w:ind w:left="640" w:right="299" w:hanging="348"/>
        <w:spacing w:after="0" w:line="261" w:lineRule="auto"/>
        <w:tabs>
          <w:tab w:leader="none" w:pos="6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six months ended June 30, 2023, net revenues have been retrospectively adjusted to reflect the restatement of previously reported 2023 revenue. See Note 2, “Summary of Significant Accounting Policies,” for further information.</w:t>
      </w:r>
    </w:p>
    <w:p>
      <w:pPr>
        <w:spacing w:after="0" w:line="1" w:lineRule="exact"/>
        <w:rPr>
          <w:sz w:val="20"/>
          <w:szCs w:val="20"/>
          <w:color w:val="auto"/>
        </w:rPr>
      </w:pPr>
    </w:p>
    <w:p>
      <w:pPr>
        <w:ind w:left="640" w:right="299" w:hanging="348"/>
        <w:spacing w:after="0" w:line="261" w:lineRule="auto"/>
        <w:tabs>
          <w:tab w:leader="none" w:pos="64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are net of discounts of $0.3 million and $1.1 million, respectively, for the three months ended June 30, 2024 and 2023 and $0.5 million and $2.2 million, respectively, for the six months ended June 30, 2024 and 2023.</w:t>
      </w:r>
    </w:p>
    <w:p>
      <w:pPr>
        <w:spacing w:after="0" w:line="59"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subscription offerings, as described above, and is recognized as the revenue recognition criteria are met. Deferred revenue balance as of June 30, 2024 and December 31, 2023 were $5.8 million and $5.9 million, respectively, and the balance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8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revenue has been generated in the United States for the three and six months ended June 30, 2024 and 2023. For the three and six ended June 30, 2024, approximately 53% of the Company’s net revenues originated in California. For the three and six ended June 30, 2023, approximately 52% of the Company’s net revenues originated in California.</w:t>
      </w:r>
    </w:p>
    <w:p>
      <w:pPr>
        <w:spacing w:after="0" w:line="176" w:lineRule="exact"/>
        <w:rPr>
          <w:sz w:val="20"/>
          <w:szCs w:val="20"/>
          <w:color w:val="auto"/>
        </w:rPr>
      </w:pPr>
    </w:p>
    <w:p>
      <w:pPr>
        <w:ind w:left="640" w:hanging="348"/>
        <w:spacing w:after="0"/>
        <w:tabs>
          <w:tab w:leader="none" w:pos="6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 Matter</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previously disclosed, in the second quarter of 2022, the Company’s board of directors received an internal complaint regarding the calculation, definition and reporting of the Company’s monthly active users (“MAUs”) metric. In response, the Company’s board of directors formed a special committee of independent directors to conduct an internal investigation with the assistance of outside counsel. As a result of the findings of that internal investigation, the Company provided certain additional information regarding the growth and nature of the Company’s previously-reported MAUs in the Company’s Quarterly Report on Form 10-Q for the quarter ended June 30, 2022 filed with the SEC on August 9, 2022. This investigation found no impact on the Company’s financial results under GAAP or the reporting or disclosure of any currently disclosed non-GAAP financial metric. As also previously reported, in the third quarter of 2022, the Company determined not to report MAUs going forward. 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1" w:name="page162"/>
    <w:bookmarkEnd w:id="1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August 2022, the Company’s board of directors determined to voluntarily report the internal complaint and subsequent internal investigation to the SEC, following which the SEC’s Division of Enforcement commenced an investigation. The Company has been fully cooperating with the SEC’s investigation.</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also previously reported in the Current Report on Form 8-K filed on July 25, 2024, on July 22, 2024 the Company reached an agreement in principle with the SEC staff to resolve the SEC’s investigation with respect to the Company. Under the terms of the settlement, the Company would consent, without admitting or denying the SEC’s findings, to the entry of an administrative cease-and-desist order finding violations of Sections 17(a)(2) and (3) of the Securities Act of 1933, as amended, Sections 13(a) and 14(a) of the Securities Exchange Act of 1934, as amended, and Rules 12b-20, 13a-1, 13a-11, 13a-13, and 14a-9 thereunder, and would pay a civil money penalty of $1.5 million. This agreement is subject to mutual agreement on the language of the settlement documents and then approval by the SEC. Accordingly, there can be no assurance that the settlement will be consummated or approved on the terms set forth above or at all.</w:t>
      </w:r>
    </w:p>
    <w:p>
      <w:pPr>
        <w:spacing w:after="0" w:line="8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of June 30, 2024, the Company recorded a liability of $1.5 million for the potential SEC settlement which is included in general and administrative expenses and accounts payable and accrued expenses in the condensed consolidated financial statements.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has minimum outstanding purchase obligations of $3.6 million for the remaining six months in 2024, $7.3 million in 2025 and $7.5 million in 2026, due under software license agreements, of which the majority relates to the Company’s three-year AWS Enterprise agreement.</w:t>
      </w:r>
    </w:p>
    <w:p>
      <w:pPr>
        <w:spacing w:after="0" w:line="172" w:lineRule="exact"/>
        <w:rPr>
          <w:sz w:val="20"/>
          <w:szCs w:val="20"/>
          <w:color w:val="auto"/>
        </w:rPr>
      </w:pPr>
    </w:p>
    <w:p>
      <w:pPr>
        <w:ind w:left="640" w:hanging="348"/>
        <w:spacing w:after="0"/>
        <w:tabs>
          <w:tab w:leader="none" w:pos="6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9" w:lineRule="exact"/>
        <w:rPr>
          <w:sz w:val="20"/>
          <w:szCs w:val="20"/>
          <w:color w:val="auto"/>
        </w:rPr>
      </w:pPr>
    </w:p>
    <w:p>
      <w:pPr>
        <w:jc w:val="both"/>
        <w:ind w:left="300" w:right="299"/>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w:t>
      </w:r>
    </w:p>
    <w:p>
      <w:pPr>
        <w:spacing w:after="0" w:line="5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1000" w:right="299" w:hanging="348"/>
        <w:spacing w:after="0" w:line="266"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the Company assessment of the assumptions that market participants would use in pricing the asset or liability.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2" w:name="page163"/>
    <w:bookmarkEnd w:id="1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June 30, 2024 and December 31, 2023, and indicates the fair value hierarchy of the valuation inputs the Company utilized to determine such fair value (in thousands):</w:t>
      </w:r>
    </w:p>
    <w:p>
      <w:pPr>
        <w:spacing w:after="0" w:line="200" w:lineRule="exact"/>
        <w:rPr>
          <w:sz w:val="20"/>
          <w:szCs w:val="20"/>
          <w:color w:val="auto"/>
        </w:rPr>
      </w:pP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1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50"/>
        </w:trPr>
        <w:tc>
          <w:tcPr>
            <w:tcW w:w="54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311"/>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right w:val="single" w:sz="8" w:color="CCEEFF"/>
            </w:tcBorders>
            <w:shd w:val="clear" w:color="auto" w:fill="CCEEFF"/>
          </w:tcPr>
          <w:p>
            <w:pPr>
              <w:spacing w:after="0"/>
              <w:rPr>
                <w:sz w:val="24"/>
                <w:szCs w:val="24"/>
                <w:color w:val="auto"/>
              </w:rPr>
            </w:pPr>
          </w:p>
        </w:tc>
        <w:tc>
          <w:tcPr>
            <w:tcW w:w="340" w:type="dxa"/>
            <w:vAlign w:val="bottom"/>
            <w:tcBorders>
              <w:bottom w:val="single" w:sz="8" w:color="CCEEFF"/>
              <w:right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$375</w:t>
            </w:r>
          </w:p>
        </w:tc>
      </w:tr>
      <w:tr>
        <w:trPr>
          <w:trHeight w:val="54"/>
        </w:trPr>
        <w:tc>
          <w:tcPr>
            <w:tcW w:w="5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57"/>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22"/>
                <w:szCs w:val="22"/>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40" w:type="dxa"/>
            <w:vAlign w:val="bottom"/>
            <w:shd w:val="clear" w:color="auto" w:fill="CCEEFF"/>
          </w:tcPr>
          <w:p>
            <w:pPr>
              <w:spacing w:after="0"/>
              <w:rPr>
                <w:sz w:val="22"/>
                <w:szCs w:val="22"/>
                <w:color w:val="auto"/>
              </w:rPr>
            </w:pPr>
          </w:p>
        </w:tc>
      </w:tr>
      <w:tr>
        <w:trPr>
          <w:trHeight w:val="61"/>
        </w:trPr>
        <w:tc>
          <w:tcPr>
            <w:tcW w:w="5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right w:val="single" w:sz="8" w:color="CCEEFF"/>
            </w:tcBorders>
            <w:shd w:val="clear" w:color="auto" w:fill="CCEEFF"/>
          </w:tcPr>
          <w:p>
            <w:pPr>
              <w:spacing w:after="0"/>
              <w:rPr>
                <w:sz w:val="5"/>
                <w:szCs w:val="5"/>
                <w:color w:val="auto"/>
              </w:rPr>
            </w:pPr>
          </w:p>
        </w:tc>
        <w:tc>
          <w:tcPr>
            <w:tcW w:w="340" w:type="dxa"/>
            <w:vAlign w:val="bottom"/>
            <w:tcBorders>
              <w:top w:val="single" w:sz="8" w:color="auto"/>
              <w:right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r>
      <w:tr>
        <w:trPr>
          <w:trHeight w:val="270"/>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warrant liability</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975</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585</w:t>
            </w:r>
          </w:p>
        </w:tc>
      </w:tr>
      <w:tr>
        <w:trPr>
          <w:trHeight w:val="20"/>
        </w:trPr>
        <w:tc>
          <w:tcPr>
            <w:tcW w:w="5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-822325</wp:posOffset>
            </wp:positionV>
            <wp:extent cx="17145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-822325</wp:posOffset>
            </wp:positionV>
            <wp:extent cx="17145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-822325</wp:posOffset>
            </wp:positionV>
            <wp:extent cx="857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tables summarize the changes in the fair value of the warrant liabilities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gridSpan w:val="19"/>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60" w:type="dxa"/>
            <w:vAlign w:val="bottom"/>
            <w:gridSpan w:val="1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4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0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Public</w:t>
            </w:r>
          </w:p>
        </w:tc>
        <w:tc>
          <w:tcPr>
            <w:tcW w:w="160" w:type="dxa"/>
            <w:vAlign w:val="bottom"/>
          </w:tcPr>
          <w:p>
            <w:pPr>
              <w:spacing w:after="0"/>
              <w:rPr>
                <w:sz w:val="16"/>
                <w:szCs w:val="16"/>
                <w:color w:val="auto"/>
              </w:rPr>
            </w:pPr>
          </w:p>
        </w:tc>
        <w:tc>
          <w:tcPr>
            <w:tcW w:w="78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76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60" w:type="dxa"/>
            <w:vAlign w:val="bottom"/>
          </w:tcPr>
          <w:p>
            <w:pPr>
              <w:spacing w:after="0"/>
              <w:rPr>
                <w:sz w:val="16"/>
                <w:szCs w:val="16"/>
                <w:color w:val="auto"/>
              </w:rPr>
            </w:pPr>
          </w:p>
        </w:tc>
        <w:tc>
          <w:tcPr>
            <w:tcW w:w="54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120" w:type="dxa"/>
            <w:vAlign w:val="bottom"/>
          </w:tcPr>
          <w:p>
            <w:pPr>
              <w:spacing w:after="0"/>
              <w:rPr>
                <w:sz w:val="16"/>
                <w:szCs w:val="16"/>
                <w:color w:val="auto"/>
              </w:rPr>
            </w:pPr>
          </w:p>
        </w:tc>
        <w:tc>
          <w:tcPr>
            <w:tcW w:w="76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60" w:type="dxa"/>
            <w:vAlign w:val="bottom"/>
          </w:tcPr>
          <w:p>
            <w:pPr>
              <w:spacing w:after="0"/>
              <w:rPr>
                <w:sz w:val="16"/>
                <w:szCs w:val="16"/>
                <w:color w:val="auto"/>
              </w:rPr>
            </w:pPr>
          </w:p>
        </w:tc>
        <w:tc>
          <w:tcPr>
            <w:tcW w:w="54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8"/>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76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40" w:type="dxa"/>
            <w:vAlign w:val="bottom"/>
          </w:tcPr>
          <w:p>
            <w:pPr>
              <w:spacing w:after="0"/>
              <w:rPr>
                <w:sz w:val="16"/>
                <w:szCs w:val="16"/>
                <w:color w:val="auto"/>
              </w:rPr>
            </w:pPr>
          </w:p>
        </w:tc>
        <w:tc>
          <w:tcPr>
            <w:tcW w:w="6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60" w:type="dxa"/>
            <w:vAlign w:val="bottom"/>
          </w:tcPr>
          <w:p>
            <w:pPr>
              <w:spacing w:after="0"/>
              <w:rPr>
                <w:sz w:val="16"/>
                <w:szCs w:val="16"/>
                <w:color w:val="auto"/>
              </w:rPr>
            </w:pPr>
          </w:p>
        </w:tc>
        <w:tc>
          <w:tcPr>
            <w:tcW w:w="78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7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0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20" w:type="dxa"/>
            <w:vAlign w:val="bottom"/>
          </w:tcPr>
          <w:p>
            <w:pPr>
              <w:spacing w:after="0"/>
              <w:rPr>
                <w:sz w:val="16"/>
                <w:szCs w:val="16"/>
                <w:color w:val="auto"/>
              </w:rPr>
            </w:pPr>
          </w:p>
        </w:tc>
        <w:tc>
          <w:tcPr>
            <w:tcW w:w="7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51"/>
        </w:trPr>
        <w:tc>
          <w:tcPr>
            <w:tcW w:w="40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54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$ 875</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$ 560</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$1,435</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$375</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$585</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60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800" w:type="dxa"/>
            <w:vAlign w:val="bottom"/>
            <w:gridSpan w:val="8"/>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22"/>
                <w:szCs w:val="22"/>
                <w:color w:val="auto"/>
              </w:rPr>
            </w:pP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40" w:type="dxa"/>
            <w:vAlign w:val="bottom"/>
          </w:tcPr>
          <w:p>
            <w:pPr>
              <w:spacing w:after="0"/>
              <w:rPr>
                <w:sz w:val="22"/>
                <w:szCs w:val="22"/>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0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80" w:type="dxa"/>
            <w:vAlign w:val="bottom"/>
            <w:gridSpan w:val="2"/>
            <w:shd w:val="clear" w:color="auto" w:fill="CCEEFF"/>
          </w:tcPr>
          <w:p>
            <w:pPr>
              <w:spacing w:after="0"/>
              <w:rPr>
                <w:sz w:val="23"/>
                <w:szCs w:val="23"/>
                <w:color w:val="auto"/>
              </w:rPr>
            </w:pPr>
          </w:p>
        </w:tc>
        <w:tc>
          <w:tcPr>
            <w:tcW w:w="4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$ 625</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$ 350</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975</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625</w:t>
            </w:r>
          </w:p>
        </w:tc>
        <w:tc>
          <w:tcPr>
            <w:tcW w:w="60" w:type="dxa"/>
            <w:vAlign w:val="bottom"/>
            <w:shd w:val="clear" w:color="auto" w:fill="CCEEFF"/>
          </w:tcPr>
          <w:p>
            <w:pPr>
              <w:spacing w:after="0"/>
              <w:rPr>
                <w:sz w:val="23"/>
                <w:szCs w:val="23"/>
                <w:color w:val="auto"/>
              </w:rPr>
            </w:pPr>
          </w:p>
        </w:tc>
        <w:tc>
          <w:tcPr>
            <w:tcW w:w="7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350</w:t>
            </w:r>
          </w:p>
        </w:tc>
        <w:tc>
          <w:tcPr>
            <w:tcW w:w="140" w:type="dxa"/>
            <w:vAlign w:val="bottom"/>
            <w:shd w:val="clear" w:color="auto" w:fill="CCEEFF"/>
          </w:tcPr>
          <w:p>
            <w:pPr>
              <w:spacing w:after="0"/>
              <w:rPr>
                <w:sz w:val="23"/>
                <w:szCs w:val="23"/>
                <w:color w:val="auto"/>
              </w:rPr>
            </w:pPr>
          </w:p>
        </w:tc>
        <w:tc>
          <w:tcPr>
            <w:tcW w:w="5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975</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40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556"/>
        </w:trPr>
        <w:tc>
          <w:tcPr>
            <w:tcW w:w="4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gridSpan w:val="19"/>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60" w:type="dxa"/>
            <w:vAlign w:val="bottom"/>
            <w:gridSpan w:val="1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4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0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Public</w:t>
            </w:r>
          </w:p>
        </w:tc>
        <w:tc>
          <w:tcPr>
            <w:tcW w:w="160" w:type="dxa"/>
            <w:vAlign w:val="bottom"/>
          </w:tcPr>
          <w:p>
            <w:pPr>
              <w:spacing w:after="0"/>
              <w:rPr>
                <w:sz w:val="16"/>
                <w:szCs w:val="16"/>
                <w:color w:val="auto"/>
              </w:rPr>
            </w:pPr>
          </w:p>
        </w:tc>
        <w:tc>
          <w:tcPr>
            <w:tcW w:w="78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76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60" w:type="dxa"/>
            <w:vAlign w:val="bottom"/>
          </w:tcPr>
          <w:p>
            <w:pPr>
              <w:spacing w:after="0"/>
              <w:rPr>
                <w:sz w:val="16"/>
                <w:szCs w:val="16"/>
                <w:color w:val="auto"/>
              </w:rPr>
            </w:pPr>
          </w:p>
        </w:tc>
        <w:tc>
          <w:tcPr>
            <w:tcW w:w="54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120" w:type="dxa"/>
            <w:vAlign w:val="bottom"/>
          </w:tcPr>
          <w:p>
            <w:pPr>
              <w:spacing w:after="0"/>
              <w:rPr>
                <w:sz w:val="16"/>
                <w:szCs w:val="16"/>
                <w:color w:val="auto"/>
              </w:rPr>
            </w:pPr>
          </w:p>
        </w:tc>
        <w:tc>
          <w:tcPr>
            <w:tcW w:w="76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60" w:type="dxa"/>
            <w:vAlign w:val="bottom"/>
          </w:tcPr>
          <w:p>
            <w:pPr>
              <w:spacing w:after="0"/>
              <w:rPr>
                <w:sz w:val="16"/>
                <w:szCs w:val="16"/>
                <w:color w:val="auto"/>
              </w:rPr>
            </w:pPr>
          </w:p>
        </w:tc>
        <w:tc>
          <w:tcPr>
            <w:tcW w:w="54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8"/>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76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40" w:type="dxa"/>
            <w:vAlign w:val="bottom"/>
          </w:tcPr>
          <w:p>
            <w:pPr>
              <w:spacing w:after="0"/>
              <w:rPr>
                <w:sz w:val="16"/>
                <w:szCs w:val="16"/>
                <w:color w:val="auto"/>
              </w:rPr>
            </w:pPr>
          </w:p>
        </w:tc>
        <w:tc>
          <w:tcPr>
            <w:tcW w:w="6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60" w:type="dxa"/>
            <w:vAlign w:val="bottom"/>
          </w:tcPr>
          <w:p>
            <w:pPr>
              <w:spacing w:after="0"/>
              <w:rPr>
                <w:sz w:val="16"/>
                <w:szCs w:val="16"/>
                <w:color w:val="auto"/>
              </w:rPr>
            </w:pPr>
          </w:p>
        </w:tc>
        <w:tc>
          <w:tcPr>
            <w:tcW w:w="78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7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0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20" w:type="dxa"/>
            <w:vAlign w:val="bottom"/>
          </w:tcPr>
          <w:p>
            <w:pPr>
              <w:spacing w:after="0"/>
              <w:rPr>
                <w:sz w:val="16"/>
                <w:szCs w:val="16"/>
                <w:color w:val="auto"/>
              </w:rPr>
            </w:pPr>
          </w:p>
        </w:tc>
        <w:tc>
          <w:tcPr>
            <w:tcW w:w="7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50"/>
        </w:trPr>
        <w:tc>
          <w:tcPr>
            <w:tcW w:w="40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560" w:type="dxa"/>
            <w:vAlign w:val="bottom"/>
            <w:tcBorders>
              <w:bottom w:val="single" w:sz="8" w:color="CCEEFF"/>
            </w:tcBorders>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875</w:t>
            </w:r>
          </w:p>
        </w:tc>
        <w:tc>
          <w:tcPr>
            <w:tcW w:w="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6"/>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w w:val="99"/>
              </w:rPr>
              <w:t>$490</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$1,365</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5"/>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$1,250</w:t>
            </w:r>
          </w:p>
        </w:tc>
        <w:tc>
          <w:tcPr>
            <w:tcW w:w="74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$840</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2,090</w:t>
            </w:r>
          </w:p>
        </w:tc>
        <w:tc>
          <w:tcPr>
            <w:tcW w:w="0" w:type="dxa"/>
            <w:vAlign w:val="bottom"/>
          </w:tcPr>
          <w:p>
            <w:pPr>
              <w:spacing w:after="0"/>
              <w:rPr>
                <w:sz w:val="1"/>
                <w:szCs w:val="1"/>
                <w:color w:val="auto"/>
              </w:rPr>
            </w:pPr>
          </w:p>
        </w:tc>
      </w:tr>
      <w:tr>
        <w:trPr>
          <w:trHeight w:val="25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Pr>
          <w:p>
            <w:pPr>
              <w:spacing w:after="0"/>
              <w:rPr>
                <w:sz w:val="22"/>
                <w:szCs w:val="22"/>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0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5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1,500</w:t>
            </w:r>
          </w:p>
        </w:tc>
        <w:tc>
          <w:tcPr>
            <w:tcW w:w="40" w:type="dxa"/>
            <w:vAlign w:val="bottom"/>
            <w:shd w:val="clear" w:color="auto" w:fill="CCEEFF"/>
          </w:tcPr>
          <w:p>
            <w:pPr>
              <w:spacing w:after="0"/>
              <w:rPr>
                <w:sz w:val="23"/>
                <w:szCs w:val="23"/>
                <w:color w:val="auto"/>
              </w:rPr>
            </w:pPr>
          </w:p>
        </w:tc>
        <w:tc>
          <w:tcPr>
            <w:tcW w:w="680" w:type="dxa"/>
            <w:vAlign w:val="bottom"/>
            <w:gridSpan w:val="6"/>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910</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2,410</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gridSpan w:val="5"/>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1,500</w:t>
            </w:r>
          </w:p>
        </w:tc>
        <w:tc>
          <w:tcPr>
            <w:tcW w:w="7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910</w:t>
            </w:r>
          </w:p>
        </w:tc>
        <w:tc>
          <w:tcPr>
            <w:tcW w:w="140" w:type="dxa"/>
            <w:vAlign w:val="bottom"/>
            <w:shd w:val="clear" w:color="auto" w:fill="CCEEFF"/>
          </w:tcPr>
          <w:p>
            <w:pPr>
              <w:spacing w:after="0"/>
              <w:rPr>
                <w:sz w:val="23"/>
                <w:szCs w:val="23"/>
                <w:color w:val="auto"/>
              </w:rPr>
            </w:pPr>
          </w:p>
        </w:tc>
        <w:tc>
          <w:tcPr>
            <w:tcW w:w="60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2,410</w:t>
            </w:r>
          </w:p>
        </w:tc>
        <w:tc>
          <w:tcPr>
            <w:tcW w:w="0" w:type="dxa"/>
            <w:vAlign w:val="bottom"/>
          </w:tcPr>
          <w:p>
            <w:pPr>
              <w:spacing w:after="0"/>
              <w:rPr>
                <w:sz w:val="1"/>
                <w:szCs w:val="1"/>
                <w:color w:val="auto"/>
              </w:rPr>
            </w:pPr>
          </w:p>
        </w:tc>
      </w:tr>
      <w:tr>
        <w:trPr>
          <w:trHeight w:val="48"/>
        </w:trPr>
        <w:tc>
          <w:tcPr>
            <w:tcW w:w="40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-2185035</wp:posOffset>
            </wp:positionV>
            <wp:extent cx="857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-2185035</wp:posOffset>
            </wp:positionV>
            <wp:extent cx="857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-2185035</wp:posOffset>
            </wp:positionV>
            <wp:extent cx="857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-2185035</wp:posOffset>
            </wp:positionV>
            <wp:extent cx="857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-2185035</wp:posOffset>
            </wp:positionV>
            <wp:extent cx="939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-2185035</wp:posOffset>
            </wp:positionV>
            <wp:extent cx="514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-650875</wp:posOffset>
            </wp:positionV>
            <wp:extent cx="8572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-650875</wp:posOffset>
            </wp:positionV>
            <wp:extent cx="8572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-650875</wp:posOffset>
            </wp:positionV>
            <wp:extent cx="857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-650875</wp:posOffset>
            </wp:positionV>
            <wp:extent cx="8572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-650875</wp:posOffset>
            </wp:positionV>
            <wp:extent cx="939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-650875</wp:posOffset>
            </wp:positionV>
            <wp:extent cx="514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determined the fair value of the Public Warrants, based on the publicly listed trading price of such warrants as of the valuation date. Accordingly, the Public Warrants are classified as Level 1 financial instruments. The fair value of the Public Warrants was $0.6 million and $0.4 million as of June 30, 2024 and December 31, 2023, respectively.</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3" w:name="page164"/>
    <w:bookmarkEnd w:id="16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200" w:lineRule="exact"/>
        <w:rPr>
          <w:sz w:val="20"/>
          <w:szCs w:val="20"/>
          <w:color w:val="auto"/>
        </w:rPr>
      </w:pPr>
    </w:p>
    <w:p>
      <w:pPr>
        <w:spacing w:after="0" w:line="347" w:lineRule="exact"/>
        <w:rPr>
          <w:sz w:val="20"/>
          <w:szCs w:val="20"/>
          <w:color w:val="auto"/>
        </w:rPr>
      </w:pPr>
    </w:p>
    <w:p>
      <w:pPr>
        <w:ind w:left="7540"/>
        <w:spacing w:after="0"/>
        <w:tabs>
          <w:tab w:leader="none" w:pos="8520" w:val="left"/>
        </w:tabs>
        <w:rPr>
          <w:sz w:val="20"/>
          <w:szCs w:val="20"/>
          <w:color w:val="auto"/>
        </w:rPr>
      </w:pPr>
      <w:r>
        <w:rPr>
          <w:rFonts w:ascii="Times New Roman" w:cs="Times New Roman" w:eastAsia="Times New Roman" w:hAnsi="Times New Roman"/>
          <w:sz w:val="14"/>
          <w:szCs w:val="14"/>
          <w:b w:val="1"/>
          <w:bCs w:val="1"/>
          <w:color w:val="auto"/>
        </w:rPr>
        <w:t>June 30, 2024</w:t>
        <w:tab/>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5320665</wp:posOffset>
            </wp:positionH>
            <wp:positionV relativeFrom="paragraph">
              <wp:posOffset>50800</wp:posOffset>
            </wp:positionV>
            <wp:extent cx="1028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50800</wp:posOffset>
            </wp:positionV>
            <wp:extent cx="514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40" w:lineRule="exact"/>
        <w:rPr>
          <w:sz w:val="20"/>
          <w:szCs w:val="20"/>
          <w:color w:val="auto"/>
        </w:rPr>
      </w:pPr>
    </w:p>
    <w:tbl>
      <w:tblPr>
        <w:tblLayout w:type="fixed"/>
        <w:tblInd w:w="1300" w:type="dxa"/>
        <w:tblCellMar>
          <w:top w:w="0" w:type="dxa"/>
          <w:left w:w="0" w:type="dxa"/>
          <w:bottom w:w="0" w:type="dxa"/>
          <w:right w:w="0" w:type="dxa"/>
        </w:tblCellMar>
      </w:tblPr>
      <w:tr>
        <w:trPr>
          <w:trHeight w:val="331"/>
        </w:trPr>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860" w:type="dxa"/>
            <w:vAlign w:val="bottom"/>
            <w:tcBorders>
              <w:top w:val="single" w:sz="8" w:color="auto"/>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1180" w:type="dxa"/>
            <w:vAlign w:val="bottom"/>
            <w:tcBorders>
              <w:top w:val="single" w:sz="8" w:color="auto"/>
              <w:bottom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$11.50</w:t>
            </w: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0.72</w:t>
            </w:r>
          </w:p>
        </w:tc>
      </w:tr>
      <w:tr>
        <w:trPr>
          <w:trHeight w:val="54"/>
        </w:trPr>
        <w:tc>
          <w:tcPr>
            <w:tcW w:w="6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304"/>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93.0%</w:t>
            </w:r>
          </w:p>
        </w:tc>
        <w:tc>
          <w:tcPr>
            <w:tcW w:w="1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87.5%</w:t>
            </w: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320" w:type="dxa"/>
            <w:vAlign w:val="bottom"/>
          </w:tcPr>
          <w:p>
            <w:pPr>
              <w:spacing w:after="0"/>
              <w:rPr>
                <w:sz w:val="23"/>
                <w:szCs w:val="23"/>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2.46</w:t>
            </w:r>
          </w:p>
        </w:tc>
      </w:tr>
      <w:tr>
        <w:trPr>
          <w:trHeight w:val="54"/>
        </w:trPr>
        <w:tc>
          <w:tcPr>
            <w:tcW w:w="6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7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20" w:type="dxa"/>
            <w:vAlign w:val="bottom"/>
            <w:shd w:val="clear" w:color="auto" w:fill="CCEEFF"/>
          </w:tcPr>
          <w:p>
            <w:pPr>
              <w:spacing w:after="0"/>
              <w:rPr>
                <w:sz w:val="23"/>
                <w:szCs w:val="23"/>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4.72%</w:t>
            </w: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4.13%</w:t>
            </w:r>
          </w:p>
        </w:tc>
      </w:tr>
      <w:tr>
        <w:trPr>
          <w:trHeight w:val="54"/>
        </w:trPr>
        <w:tc>
          <w:tcPr>
            <w:tcW w:w="62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jc w:val="both"/>
        <w:ind w:left="1300" w:right="1300"/>
        <w:spacing w:after="0" w:line="282" w:lineRule="auto"/>
        <w:rPr>
          <w:sz w:val="20"/>
          <w:szCs w:val="20"/>
          <w:color w:val="auto"/>
        </w:rPr>
      </w:pPr>
      <w:r>
        <w:rPr>
          <w:rFonts w:ascii="Times New Roman" w:cs="Times New Roman" w:eastAsia="Times New Roman" w:hAnsi="Times New Roman"/>
          <w:sz w:val="18"/>
          <w:szCs w:val="18"/>
          <w:color w:val="auto"/>
        </w:rPr>
        <w:t>Significant changes in the volatility would result in a significant lower or higher fair value measurement, respectively.</w:t>
      </w:r>
    </w:p>
    <w:p>
      <w:pPr>
        <w:spacing w:after="0" w:line="54"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fair value of the Private Placement Warrants was $0.4 million and $0.2 million as of June 30, 2024 and December 31, 2023, respectively. There were no transfers in or out of Level 3 from other levels in the fair value hierarchy.</w:t>
      </w:r>
    </w:p>
    <w:p>
      <w:pPr>
        <w:spacing w:after="0" w:line="172" w:lineRule="exact"/>
        <w:rPr>
          <w:sz w:val="20"/>
          <w:szCs w:val="20"/>
          <w:color w:val="auto"/>
        </w:rPr>
      </w:pPr>
    </w:p>
    <w:p>
      <w:pPr>
        <w:ind w:left="1640" w:hanging="348"/>
        <w:spacing w:after="0"/>
        <w:tabs>
          <w:tab w:leader="none" w:pos="16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Intangible assets consisted of the following as of June 30, 2024 and December 31, 2023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880" w:type="dxa"/>
            <w:vAlign w:val="bottom"/>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88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7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920" w:type="dxa"/>
            <w:vAlign w:val="bottom"/>
            <w:gridSpan w:val="4"/>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8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60" w:type="dxa"/>
            <w:vAlign w:val="bottom"/>
          </w:tcPr>
          <w:p>
            <w:pPr>
              <w:spacing w:after="0"/>
              <w:rPr>
                <w:sz w:val="16"/>
                <w:szCs w:val="16"/>
                <w:color w:val="auto"/>
              </w:rPr>
            </w:pPr>
          </w:p>
        </w:tc>
        <w:tc>
          <w:tcPr>
            <w:tcW w:w="6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50"/>
        </w:trPr>
        <w:tc>
          <w:tcPr>
            <w:tcW w:w="488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15.0</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$7,256</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84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54"/>
        </w:trPr>
        <w:tc>
          <w:tcPr>
            <w:tcW w:w="4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48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14.5</w:t>
            </w:r>
          </w:p>
        </w:tc>
        <w:tc>
          <w:tcPr>
            <w:tcW w:w="140" w:type="dxa"/>
            <w:vAlign w:val="bottom"/>
          </w:tcPr>
          <w:p>
            <w:pPr>
              <w:spacing w:after="0"/>
              <w:rPr>
                <w:sz w:val="24"/>
                <w:szCs w:val="2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7,675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(5,445)</w:t>
            </w:r>
          </w:p>
        </w:tc>
        <w:tc>
          <w:tcPr>
            <w:tcW w:w="100" w:type="dxa"/>
            <w:vAlign w:val="bottom"/>
          </w:tcPr>
          <w:p>
            <w:pPr>
              <w:spacing w:after="0"/>
              <w:rPr>
                <w:sz w:val="24"/>
                <w:szCs w:val="24"/>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4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4880" w:type="dxa"/>
            <w:vAlign w:val="bottom"/>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88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7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920" w:type="dxa"/>
            <w:vAlign w:val="bottom"/>
            <w:gridSpan w:val="4"/>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8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60" w:type="dxa"/>
            <w:vAlign w:val="bottom"/>
          </w:tcPr>
          <w:p>
            <w:pPr>
              <w:spacing w:after="0"/>
              <w:rPr>
                <w:sz w:val="16"/>
                <w:szCs w:val="16"/>
                <w:color w:val="auto"/>
              </w:rPr>
            </w:pPr>
          </w:p>
        </w:tc>
        <w:tc>
          <w:tcPr>
            <w:tcW w:w="6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50"/>
        </w:trPr>
        <w:tc>
          <w:tcPr>
            <w:tcW w:w="488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15.0</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$7,256</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84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48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14.5</w:t>
            </w:r>
          </w:p>
        </w:tc>
        <w:tc>
          <w:tcPr>
            <w:tcW w:w="140" w:type="dxa"/>
            <w:vAlign w:val="bottom"/>
          </w:tcPr>
          <w:p>
            <w:pPr>
              <w:spacing w:after="0"/>
              <w:rPr>
                <w:sz w:val="24"/>
                <w:szCs w:val="2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7,675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(5,168)</w:t>
            </w:r>
          </w:p>
        </w:tc>
        <w:tc>
          <w:tcPr>
            <w:tcW w:w="100" w:type="dxa"/>
            <w:vAlign w:val="bottom"/>
          </w:tcPr>
          <w:p>
            <w:pPr>
              <w:spacing w:after="0"/>
              <w:rPr>
                <w:sz w:val="24"/>
                <w:szCs w:val="24"/>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5535295</wp:posOffset>
            </wp:positionH>
            <wp:positionV relativeFrom="paragraph">
              <wp:posOffset>-2665095</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-2665095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-2665095</wp:posOffset>
            </wp:positionV>
            <wp:extent cx="857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-2665095</wp:posOffset>
            </wp:positionV>
            <wp:extent cx="431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5535295</wp:posOffset>
            </wp:positionH>
            <wp:positionV relativeFrom="paragraph">
              <wp:posOffset>-830580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-830580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-830580</wp:posOffset>
            </wp:positionV>
            <wp:extent cx="8572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-830580</wp:posOffset>
            </wp:positionV>
            <wp:extent cx="431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10"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$0.1 million and $0.5 million during the three months ended June 30, 2024 and 2023, respectively. Amortization expense for intangible assets was $0.3 million and $1.1 million during the six months ended June 30, 2024 and 2023, respectively.</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June 30, 2024 is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358"/>
        </w:trPr>
        <w:tc>
          <w:tcPr>
            <w:tcW w:w="1300" w:type="dxa"/>
            <w:vAlign w:val="bottom"/>
          </w:tcPr>
          <w:p>
            <w:pPr>
              <w:spacing w:after="0"/>
              <w:rPr>
                <w:sz w:val="24"/>
                <w:szCs w:val="24"/>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period in 2024 (six months)</w:t>
            </w:r>
          </w:p>
        </w:tc>
        <w:tc>
          <w:tcPr>
            <w:tcW w:w="4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4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420" w:type="dxa"/>
            <w:vAlign w:val="bottom"/>
          </w:tcPr>
          <w:p>
            <w:pPr>
              <w:spacing w:after="0"/>
              <w:rPr>
                <w:sz w:val="4"/>
                <w:szCs w:val="4"/>
                <w:color w:val="auto"/>
              </w:rPr>
            </w:pPr>
          </w:p>
        </w:tc>
        <w:tc>
          <w:tcPr>
            <w:tcW w:w="4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45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4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420" w:type="dxa"/>
            <w:vAlign w:val="bottom"/>
          </w:tcPr>
          <w:p>
            <w:pPr>
              <w:spacing w:after="0"/>
              <w:rPr>
                <w:sz w:val="4"/>
                <w:szCs w:val="4"/>
                <w:color w:val="auto"/>
              </w:rPr>
            </w:pPr>
          </w:p>
        </w:tc>
        <w:tc>
          <w:tcPr>
            <w:tcW w:w="4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45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5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42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7"/>
        </w:trPr>
        <w:tc>
          <w:tcPr>
            <w:tcW w:w="1300" w:type="dxa"/>
            <w:vAlign w:val="bottom"/>
          </w:tcPr>
          <w:p>
            <w:pPr>
              <w:spacing w:after="0"/>
              <w:rPr>
                <w:sz w:val="24"/>
                <w:szCs w:val="24"/>
                <w:color w:val="auto"/>
              </w:rPr>
            </w:pPr>
          </w:p>
        </w:tc>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0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2,230</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420" w:type="dxa"/>
            <w:vAlign w:val="bottom"/>
            <w:tcBorders>
              <w:top w:val="single" w:sz="8" w:color="CCEEFF"/>
            </w:tcBorders>
          </w:tcPr>
          <w:p>
            <w:pPr>
              <w:spacing w:after="0"/>
              <w:rPr>
                <w:sz w:val="24"/>
                <w:szCs w:val="24"/>
                <w:color w:val="auto"/>
              </w:rPr>
            </w:pPr>
          </w:p>
        </w:tc>
        <w:tc>
          <w:tcPr>
            <w:tcW w:w="4500" w:type="dxa"/>
            <w:vAlign w:val="bottom"/>
            <w:tcBorders>
              <w:top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F-20</w:t>
            </w: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tcPr>
          <w:p>
            <w:pPr>
              <w:spacing w:after="0"/>
              <w:rPr>
                <w:sz w:val="15"/>
                <w:szCs w:val="15"/>
                <w:color w:val="auto"/>
              </w:rPr>
            </w:pPr>
          </w:p>
        </w:tc>
        <w:tc>
          <w:tcPr>
            <w:tcW w:w="4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0" w:gutter="0" w:footer="0" w:header="0"/>
        </w:sectPr>
      </w:pPr>
    </w:p>
    <w:bookmarkStart w:id="164" w:name="page165"/>
    <w:bookmarkEnd w:id="1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292" w:right="31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ind w:left="640" w:hanging="348"/>
        <w:spacing w:after="0"/>
        <w:tabs>
          <w:tab w:leader="none" w:pos="6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9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as of June 30, 2024 and December 31, 2023 consisted of the following (in thousands):</w:t>
      </w:r>
    </w:p>
    <w:p>
      <w:pPr>
        <w:spacing w:after="0" w:line="398" w:lineRule="exact"/>
        <w:rPr>
          <w:sz w:val="20"/>
          <w:szCs w:val="20"/>
          <w:color w:val="auto"/>
        </w:rPr>
      </w:pPr>
    </w:p>
    <w:p>
      <w:pPr>
        <w:ind w:left="6540"/>
        <w:spacing w:after="0"/>
        <w:tabs>
          <w:tab w:leader="none" w:pos="7520" w:val="left"/>
        </w:tabs>
        <w:rPr>
          <w:sz w:val="20"/>
          <w:szCs w:val="20"/>
          <w:color w:val="auto"/>
        </w:rPr>
      </w:pPr>
      <w:r>
        <w:rPr>
          <w:rFonts w:ascii="Times New Roman" w:cs="Times New Roman" w:eastAsia="Times New Roman" w:hAnsi="Times New Roman"/>
          <w:sz w:val="14"/>
          <w:szCs w:val="14"/>
          <w:b w:val="1"/>
          <w:bCs w:val="1"/>
          <w:color w:val="auto"/>
        </w:rPr>
        <w:t>June 30, 2024</w:t>
        <w:tab/>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50800</wp:posOffset>
            </wp:positionV>
            <wp:extent cx="10287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50800</wp:posOffset>
            </wp:positionV>
            <wp:extent cx="5143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331"/>
        </w:trPr>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4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1180" w:type="dxa"/>
            <w:vAlign w:val="bottom"/>
            <w:tcBorders>
              <w:top w:val="single" w:sz="8" w:color="auto"/>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$1,530</w:t>
            </w: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Prepaid marketing</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40" w:type="dxa"/>
            <w:vAlign w:val="bottom"/>
          </w:tcPr>
          <w:p>
            <w:pPr>
              <w:spacing w:after="0"/>
              <w:rPr>
                <w:sz w:val="23"/>
                <w:szCs w:val="23"/>
                <w:color w:val="auto"/>
              </w:rPr>
            </w:pPr>
          </w:p>
        </w:tc>
      </w:tr>
      <w:tr>
        <w:trPr>
          <w:trHeight w:val="54"/>
        </w:trPr>
        <w:tc>
          <w:tcPr>
            <w:tcW w:w="6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304"/>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340" w:type="dxa"/>
            <w:vAlign w:val="bottom"/>
            <w:tcBorders>
              <w:bottom w:val="single" w:sz="8" w:color="CCEEFF"/>
            </w:tcBorders>
            <w:shd w:val="clear" w:color="auto" w:fill="CCEEFF"/>
          </w:tcPr>
          <w:p>
            <w:pPr>
              <w:spacing w:after="0"/>
              <w:rPr>
                <w:sz w:val="24"/>
                <w:szCs w:val="24"/>
                <w:color w:val="auto"/>
              </w:rPr>
            </w:pP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340" w:type="dxa"/>
            <w:vAlign w:val="bottom"/>
          </w:tcPr>
          <w:p>
            <w:pPr>
              <w:spacing w:after="0"/>
              <w:rPr>
                <w:sz w:val="23"/>
                <w:szCs w:val="23"/>
                <w:color w:val="auto"/>
              </w:rPr>
            </w:pPr>
          </w:p>
        </w:tc>
      </w:tr>
      <w:tr>
        <w:trPr>
          <w:trHeight w:val="48"/>
        </w:trPr>
        <w:tc>
          <w:tcPr>
            <w:tcW w:w="6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r>
      <w:tr>
        <w:trPr>
          <w:trHeight w:val="283"/>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5,547</w:t>
            </w:r>
          </w:p>
        </w:tc>
        <w:tc>
          <w:tcPr>
            <w:tcW w:w="160" w:type="dxa"/>
            <w:vAlign w:val="bottom"/>
            <w:shd w:val="clear" w:color="auto" w:fill="CCEEFF"/>
          </w:tcPr>
          <w:p>
            <w:pPr>
              <w:spacing w:after="0"/>
              <w:rPr>
                <w:sz w:val="24"/>
                <w:szCs w:val="24"/>
                <w:color w:val="auto"/>
              </w:rPr>
            </w:pPr>
          </w:p>
        </w:tc>
        <w:tc>
          <w:tcPr>
            <w:tcW w:w="1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5,978</w:t>
            </w:r>
          </w:p>
        </w:tc>
      </w:tr>
      <w:tr>
        <w:trPr>
          <w:trHeight w:val="34"/>
        </w:trPr>
        <w:tc>
          <w:tcPr>
            <w:tcW w:w="6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r>
    </w:tbl>
    <w:p>
      <w:pPr>
        <w:spacing w:after="0" w:line="9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185" w:lineRule="exact"/>
        <w:rPr>
          <w:sz w:val="20"/>
          <w:szCs w:val="20"/>
          <w:color w:val="auto"/>
        </w:rPr>
      </w:pPr>
    </w:p>
    <w:p>
      <w:pPr>
        <w:ind w:left="640" w:hanging="348"/>
        <w:spacing w:after="0"/>
        <w:tabs>
          <w:tab w:leader="none" w:pos="6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Accounts payable and accrued expenses as of June 30, 2024 and December 31, 2023 consisted of the following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11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50"/>
        </w:trPr>
        <w:tc>
          <w:tcPr>
            <w:tcW w:w="6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$ 8,159</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$ 7,323</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25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expenses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61"/>
        </w:trPr>
        <w:tc>
          <w:tcPr>
            <w:tcW w:w="6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r>
      <w:tr>
        <w:trPr>
          <w:trHeight w:val="270"/>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18,563</w:t>
            </w:r>
          </w:p>
        </w:tc>
        <w:tc>
          <w:tcPr>
            <w:tcW w:w="26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21,182</w:t>
            </w:r>
          </w:p>
        </w:tc>
        <w:tc>
          <w:tcPr>
            <w:tcW w:w="280" w:type="dxa"/>
            <w:vAlign w:val="bottom"/>
            <w:shd w:val="clear" w:color="auto" w:fill="CCEEFF"/>
          </w:tcPr>
          <w:p>
            <w:pPr>
              <w:spacing w:after="0"/>
              <w:rPr>
                <w:sz w:val="23"/>
                <w:szCs w:val="23"/>
                <w:color w:val="auto"/>
              </w:rPr>
            </w:pPr>
          </w:p>
        </w:tc>
      </w:tr>
      <w:tr>
        <w:trPr>
          <w:trHeight w:val="48"/>
        </w:trPr>
        <w:tc>
          <w:tcPr>
            <w:tcW w:w="6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-650875</wp:posOffset>
            </wp:positionV>
            <wp:extent cx="17145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-650875</wp:posOffset>
            </wp:positionV>
            <wp:extent cx="939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Accrued employee expenses include accrued bonuses and commission of $4.2 million and $7.4 million as of June 30, 2024 and December 31, 2023, respectively. Accounts payable and other accrued liabilities as of June 30, 2024 include $1.5 million in potential SEC settlement. See Note 4, “Commitments and Contingencies” to these condensed consolidated financial statements for further information.</w:t>
      </w:r>
    </w:p>
    <w:p>
      <w:pPr>
        <w:spacing w:after="0" w:line="176" w:lineRule="exact"/>
        <w:rPr>
          <w:sz w:val="20"/>
          <w:szCs w:val="20"/>
          <w:color w:val="auto"/>
        </w:rPr>
      </w:pPr>
    </w:p>
    <w:p>
      <w:pPr>
        <w:ind w:left="640" w:hanging="348"/>
        <w:spacing w:after="0"/>
        <w:tabs>
          <w:tab w:leader="none" w:pos="6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At June 30, 2024, there were 12,499,973 Public Warrants outstanding and 7,000,000 Private Placement Warrants outstanding.</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Each Private Placement Warrant is exercisable for one share of Class A Common Stock at a price of $11.50 per share, subject to adjustment. The Private Placement Warrants (including the shares of Class A Common Stock issuable upon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5" w:name="page166"/>
    <w:bookmarkEnd w:id="1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may exercise its redemption right even if it is unable to register or qualify the underlying securities for sale under all applicable state securities laws. 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concluded the Public Warrants and Private Placement Warrants, or the Warrants, meet the definition of a derivative under ASC 815- Derivatives and Hedging and are recorded as liabilities. Upon the Closing, the fair value of the Warrants was recorded on the balance sheet. The fair value of the Warrants are remeasured as of each balance sheet date, which resulted in a non-cash gain of $0.5 million and non-cash loss $0.4 million in the condensed consolidated statements of operations for the three and six months ended June 30, 2024, respectively, and a non-cash loss of $1.0 million and $0.3 million in the condensed consolidated statements of operations for the three and six months ended June 30, 2023, respectively. See Note 5, “Fair Value Measurements” to these condensed consolidated financial statements for additional information.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6" w:name="page167"/>
    <w:bookmarkEnd w:id="1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the Company’s board of directors.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the Company’s assets.</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June 30, 2024, there were no shares of preferred stock issued or outstanding.</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noncontrolling interest represents the Units held by holders other than the Company. As of June 30, 2024, the noncontrolling interests owned 37.3%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7" w:name="page168"/>
    <w:bookmarkEnd w:id="1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300" w:right="31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ind w:left="300"/>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Holding Company, LLC Equity Incentive Plan</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accounted for the issuance of Class A-3 and Class B Units issued under WM Holding Company, LLC’s Equity Incentive Plan in accordance with ASC 718 –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Class P Unit activity for the six months ended June 30, 2024 is as follows: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Units</w:t>
            </w:r>
          </w:p>
        </w:tc>
      </w:tr>
      <w:tr>
        <w:trPr>
          <w:trHeight w:val="50"/>
        </w:trPr>
        <w:tc>
          <w:tcPr>
            <w:tcW w:w="7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Class P Units, December 31, 2023</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14,804,507</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Cancellations</w:t>
            </w:r>
          </w:p>
        </w:tc>
        <w:tc>
          <w:tcPr>
            <w:tcW w:w="120" w:type="dxa"/>
            <w:vAlign w:val="bottom"/>
          </w:tcPr>
          <w:p>
            <w:pPr>
              <w:spacing w:after="0"/>
              <w:rPr>
                <w:sz w:val="23"/>
                <w:szCs w:val="23"/>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Exchanged for Class A Common Stock</w:t>
            </w:r>
          </w:p>
        </w:tc>
        <w:tc>
          <w:tcPr>
            <w:tcW w:w="10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(125,000)</w:t>
            </w: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Class P Units, June 30, 2024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14,679,507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61"/>
        </w:trPr>
        <w:tc>
          <w:tcPr>
            <w:tcW w:w="7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27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June 30, 2024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14,639,221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r>
      <w:tr>
        <w:trPr>
          <w:trHeight w:val="48"/>
        </w:trPr>
        <w:tc>
          <w:tcPr>
            <w:tcW w:w="7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-1079500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June 30, 2024, unrecognized stock-based compensation expense for non-vested Class P Units was $0.1 million which is expected to be recognized over a weighted-average period of 0.4 years. For the three months ended June 30, 2024 and 2023, the Company recorded stock-based compensation expense for the Class P Units of $0.1 million and $0.1 million, respectively. For the six months ended June 30, 2024 and 2023, the Company recorded stock-based compensation expense for the Class P Units of $0.1 million and $0.4 million, respectively.</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Technology, Inc. Equity Incentive Plan</w:t>
      </w:r>
    </w:p>
    <w:p>
      <w:pPr>
        <w:spacing w:after="0" w:line="11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June 30, 2024, 33,146,412 shares of Class A Common Stock were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w:t>
      </w:r>
    </w:p>
    <w:p>
      <w:pPr>
        <w:spacing w:after="0" w:line="6" w:lineRule="exact"/>
        <w:rPr>
          <w:sz w:val="20"/>
          <w:szCs w:val="20"/>
          <w:color w:val="auto"/>
        </w:rPr>
      </w:pPr>
    </w:p>
    <w:p>
      <w:pPr>
        <w:jc w:val="both"/>
        <w:ind w:left="300" w:right="299"/>
        <w:spacing w:after="0" w:line="221" w:lineRule="auto"/>
        <w:rPr>
          <w:sz w:val="20"/>
          <w:szCs w:val="20"/>
          <w:color w:val="auto"/>
        </w:rPr>
      </w:pPr>
      <w:r>
        <w:rPr>
          <w:rFonts w:ascii="Times New Roman" w:cs="Times New Roman" w:eastAsia="Times New Roman" w:hAnsi="Times New Roman"/>
          <w:sz w:val="18"/>
          <w:szCs w:val="18"/>
          <w:color w:val="auto"/>
        </w:rPr>
        <w:t>may act prior to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a given year to provide that the increase for such year will be a lesser number of shares of Common Stock. As of June 30, 2024, 20,415,013 shares of Class A Common Stock were available for future issuance.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8" w:name="page169"/>
    <w:bookmarkEnd w:id="1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restricted stock unit (“RSU”) activity for the six months ended June 30, 2024 is as follows:</w:t>
      </w:r>
    </w:p>
    <w:p>
      <w:pPr>
        <w:spacing w:after="0" w:line="200" w:lineRule="exact"/>
        <w:rPr>
          <w:sz w:val="20"/>
          <w:szCs w:val="20"/>
          <w:color w:val="auto"/>
        </w:rPr>
      </w:pP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3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940" w:type="dxa"/>
            <w:vAlign w:val="bottom"/>
          </w:tcPr>
          <w:p>
            <w:pPr>
              <w:spacing w:after="0"/>
              <w:rPr>
                <w:sz w:val="16"/>
                <w:szCs w:val="16"/>
                <w:color w:val="auto"/>
              </w:rPr>
            </w:pPr>
          </w:p>
        </w:tc>
        <w:tc>
          <w:tcPr>
            <w:tcW w:w="1360" w:type="dxa"/>
            <w:vAlign w:val="bottom"/>
            <w:gridSpan w:val="5"/>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50"/>
        </w:trPr>
        <w:tc>
          <w:tcPr>
            <w:tcW w:w="59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7,683,598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340,195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54"/>
        </w:trPr>
        <w:tc>
          <w:tcPr>
            <w:tcW w:w="5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(2,468,762)</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(1,049,381)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61"/>
        </w:trPr>
        <w:tc>
          <w:tcPr>
            <w:tcW w:w="5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June 30, 2024</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4,505,650</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48"/>
        </w:trPr>
        <w:tc>
          <w:tcPr>
            <w:tcW w:w="59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-1062355</wp:posOffset>
            </wp:positionV>
            <wp:extent cx="18859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-1062355</wp:posOffset>
            </wp:positionV>
            <wp:extent cx="939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June 30, 2024, unrecognized stock-based compensation expense for non-vested RSUs was $11.9 million, which is expected to be recognized over a weighted-average period of 1.4 years. For the three months ended June 30, 2024 and 2023, the Company recorded stock-based compensation expense for the RSUs of $2.7 million and $3.4 million, respectively. For the six months ended June 30, 2024 and 2023, the Company recorded stock-based compensation expense for the RSUs of $5.4 million and $7.4 million, respectively.</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200" w:lineRule="exact"/>
        <w:rPr>
          <w:sz w:val="20"/>
          <w:szCs w:val="20"/>
          <w:color w:val="auto"/>
        </w:rPr>
      </w:pP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3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PRSUs</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880" w:type="dxa"/>
            <w:vAlign w:val="bottom"/>
          </w:tcPr>
          <w:p>
            <w:pPr>
              <w:spacing w:after="0"/>
              <w:rPr>
                <w:sz w:val="16"/>
                <w:szCs w:val="16"/>
                <w:color w:val="auto"/>
              </w:rPr>
            </w:pPr>
          </w:p>
        </w:tc>
        <w:tc>
          <w:tcPr>
            <w:tcW w:w="1380" w:type="dxa"/>
            <w:vAlign w:val="bottom"/>
            <w:gridSpan w:val="5"/>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50"/>
        </w:trPr>
        <w:tc>
          <w:tcPr>
            <w:tcW w:w="5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234,375</w:t>
            </w:r>
          </w:p>
        </w:tc>
        <w:tc>
          <w:tcPr>
            <w:tcW w:w="1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54"/>
        </w:trPr>
        <w:tc>
          <w:tcPr>
            <w:tcW w:w="5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(58,594)</w:t>
            </w:r>
          </w:p>
        </w:tc>
        <w:tc>
          <w:tcPr>
            <w:tcW w:w="1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(175,781)</w:t>
            </w:r>
          </w:p>
        </w:tc>
        <w:tc>
          <w:tcPr>
            <w:tcW w:w="240" w:type="dxa"/>
            <w:vAlign w:val="bottom"/>
          </w:tcPr>
          <w:p>
            <w:pPr>
              <w:spacing w:after="0"/>
              <w:rPr>
                <w:sz w:val="23"/>
                <w:szCs w:val="23"/>
                <w:color w:val="auto"/>
              </w:rPr>
            </w:pPr>
          </w:p>
        </w:tc>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48"/>
        </w:trPr>
        <w:tc>
          <w:tcPr>
            <w:tcW w:w="5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June 30, 2024</w:t>
            </w:r>
          </w:p>
        </w:tc>
        <w:tc>
          <w:tcPr>
            <w:tcW w:w="260" w:type="dxa"/>
            <w:vAlign w:val="bottom"/>
            <w:shd w:val="clear" w:color="auto" w:fill="CCEEFF"/>
          </w:tcPr>
          <w:p>
            <w:pPr>
              <w:spacing w:after="0"/>
              <w:rPr>
                <w:sz w:val="24"/>
                <w:szCs w:val="24"/>
                <w:color w:val="auto"/>
              </w:rPr>
            </w:pPr>
          </w:p>
        </w:tc>
        <w:tc>
          <w:tcPr>
            <w:tcW w:w="112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
        </w:trPr>
        <w:tc>
          <w:tcPr>
            <w:tcW w:w="58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-1062355</wp:posOffset>
            </wp:positionV>
            <wp:extent cx="15430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-1062355</wp:posOffset>
            </wp:positionV>
            <wp:extent cx="7747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has no outstanding grants for PRSUs. For the three months ended June 30, 2024 and 2023, the Company recorded stock-based compensation expense for the PRSUs of $0.04 million and $0.2 million, respectively. For the six months ended June 30, 2024 and 2023, the Company recorded stock-based compensation expense for the PRSUs of $0.1 million and $0.3 million, respectively.</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cost related to the Class P Units, RSUs and PRSUs in the following expense categories on the accompanying condensed consolidated statements of operations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220" w:type="dxa"/>
            <w:vAlign w:val="bottom"/>
            <w:gridSpan w:val="10"/>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6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50"/>
        </w:trPr>
        <w:tc>
          <w:tcPr>
            <w:tcW w:w="43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27"/>
        </w:trPr>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9"/>
                <w:szCs w:val="19"/>
                <w:color w:val="auto"/>
              </w:rPr>
            </w:pPr>
          </w:p>
        </w:tc>
      </w:tr>
      <w:tr>
        <w:trPr>
          <w:trHeight w:val="50"/>
        </w:trPr>
        <w:tc>
          <w:tcPr>
            <w:tcW w:w="43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311"/>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765</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6"/>
              </w:rPr>
              <w:t>$1,593</w:t>
            </w:r>
          </w:p>
        </w:tc>
      </w:tr>
      <w:tr>
        <w:trPr>
          <w:trHeight w:val="27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1,114</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80" w:type="dxa"/>
            <w:vAlign w:val="bottom"/>
          </w:tcPr>
          <w:p>
            <w:pPr>
              <w:spacing w:after="0"/>
              <w:rPr>
                <w:sz w:val="23"/>
                <w:szCs w:val="23"/>
                <w:color w:val="auto"/>
              </w:rPr>
            </w:pPr>
          </w:p>
        </w:tc>
      </w:tr>
      <w:tr>
        <w:trPr>
          <w:trHeight w:val="54"/>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80" w:type="dxa"/>
            <w:vAlign w:val="bottom"/>
            <w:shd w:val="clear" w:color="auto" w:fill="CCEEFF"/>
          </w:tcPr>
          <w:p>
            <w:pPr>
              <w:spacing w:after="0"/>
              <w:rPr>
                <w:sz w:val="22"/>
                <w:szCs w:val="22"/>
                <w:color w:val="auto"/>
              </w:rPr>
            </w:pPr>
          </w:p>
        </w:tc>
      </w:tr>
      <w:tr>
        <w:trPr>
          <w:trHeight w:val="61"/>
        </w:trPr>
        <w:tc>
          <w:tcPr>
            <w:tcW w:w="43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right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r>
      <w:tr>
        <w:trPr>
          <w:trHeight w:val="284"/>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180" w:type="dxa"/>
            <w:vAlign w:val="bottom"/>
          </w:tcPr>
          <w:p>
            <w:pPr>
              <w:spacing w:after="0"/>
              <w:rPr>
                <w:sz w:val="24"/>
                <w:szCs w:val="24"/>
                <w:color w:val="auto"/>
              </w:rPr>
            </w:pPr>
          </w:p>
        </w:tc>
      </w:tr>
      <w:tr>
        <w:trPr>
          <w:trHeight w:val="54"/>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80" w:type="dxa"/>
            <w:vAlign w:val="bottom"/>
            <w:shd w:val="clear" w:color="auto" w:fill="CCEEFF"/>
          </w:tcPr>
          <w:p>
            <w:pPr>
              <w:spacing w:after="0"/>
              <w:rPr>
                <w:sz w:val="22"/>
                <w:szCs w:val="22"/>
                <w:color w:val="auto"/>
              </w:rPr>
            </w:pPr>
          </w:p>
        </w:tc>
      </w:tr>
      <w:tr>
        <w:trPr>
          <w:trHeight w:val="61"/>
        </w:trPr>
        <w:tc>
          <w:tcPr>
            <w:tcW w:w="43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right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r>
      <w:tr>
        <w:trPr>
          <w:trHeight w:val="27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20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3,009</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4,005</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6,184</w:t>
            </w:r>
          </w:p>
        </w:tc>
        <w:tc>
          <w:tcPr>
            <w:tcW w:w="220" w:type="dxa"/>
            <w:vAlign w:val="bottom"/>
          </w:tcPr>
          <w:p>
            <w:pPr>
              <w:spacing w:after="0"/>
              <w:rPr>
                <w:sz w:val="23"/>
                <w:szCs w:val="23"/>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8,686</w:t>
            </w:r>
          </w:p>
        </w:tc>
      </w:tr>
      <w:tr>
        <w:trPr>
          <w:trHeight w:val="20"/>
        </w:trPr>
        <w:tc>
          <w:tcPr>
            <w:tcW w:w="4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-1250950</wp:posOffset>
            </wp:positionV>
            <wp:extent cx="13716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-1250950</wp:posOffset>
            </wp:positionV>
            <wp:extent cx="13716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-1250950</wp:posOffset>
            </wp:positionV>
            <wp:extent cx="13716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-1250950</wp:posOffset>
            </wp:positionV>
            <wp:extent cx="6858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Basic income (loss) per share of Class A Common Stock is computed by dividing net earnings (loss) attributable to WM Technology, Inc. by the weighted-average number of shares of Class A Common Stock outstanding during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109" w:gutter="0" w:footer="0" w:header="0"/>
        </w:sectPr>
      </w:pPr>
    </w:p>
    <w:bookmarkStart w:id="169" w:name="page170"/>
    <w:bookmarkEnd w:id="16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1300" w:right="1300"/>
        <w:spacing w:after="0" w:line="256" w:lineRule="auto"/>
        <w:rPr>
          <w:sz w:val="20"/>
          <w:szCs w:val="20"/>
          <w:color w:val="auto"/>
        </w:rPr>
      </w:pPr>
      <w:r>
        <w:rPr>
          <w:rFonts w:ascii="Times New Roman" w:cs="Times New Roman" w:eastAsia="Times New Roman" w:hAnsi="Times New Roman"/>
          <w:sz w:val="18"/>
          <w:szCs w:val="18"/>
          <w:color w:val="auto"/>
        </w:rPr>
        <w:t>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79"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The computation of income (loss) per share attributable to WM Technology, Inc. and weighted-average shares of the Company’s Class A Common Stock outstanding are as follows for the three and six months ending June 30, 2024 and 2023 (in thousands, except for share and per share amounts):</w:t>
      </w:r>
    </w:p>
    <w:p>
      <w:pPr>
        <w:spacing w:after="0" w:line="200" w:lineRule="exact"/>
        <w:rPr>
          <w:sz w:val="20"/>
          <w:szCs w:val="20"/>
          <w:color w:val="auto"/>
        </w:rPr>
      </w:pPr>
    </w:p>
    <w:p>
      <w:pPr>
        <w:spacing w:after="0" w:line="226"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224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196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4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13"/>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
        </w:trPr>
        <w:tc>
          <w:tcPr>
            <w:tcW w:w="4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84"/>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(1,986)</w:t>
            </w:r>
          </w:p>
        </w:tc>
      </w:tr>
      <w:tr>
        <w:trPr>
          <w:trHeight w:val="41"/>
        </w:trPr>
        <w:tc>
          <w:tcPr>
            <w:tcW w:w="4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8"/>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68"/>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478</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 w:type="dxa"/>
            <w:vAlign w:val="bottom"/>
            <w:shd w:val="clear" w:color="auto" w:fill="CCEEFF"/>
          </w:tcPr>
          <w:p>
            <w:pPr>
              <w:spacing w:after="0"/>
              <w:rPr>
                <w:sz w:val="23"/>
                <w:szCs w:val="23"/>
                <w:color w:val="auto"/>
              </w:rPr>
            </w:pPr>
          </w:p>
        </w:tc>
      </w:tr>
      <w:tr>
        <w:trPr>
          <w:trHeight w:val="252"/>
        </w:trPr>
        <w:tc>
          <w:tcPr>
            <w:tcW w:w="4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WM Technology,</w:t>
            </w: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21"/>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 Class A Common Stock – 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(1,249)</w:t>
            </w:r>
          </w:p>
        </w:tc>
      </w:tr>
      <w:tr>
        <w:trPr>
          <w:trHeight w:val="48"/>
        </w:trPr>
        <w:tc>
          <w:tcPr>
            <w:tcW w:w="41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r>
      <w:tr>
        <w:trPr>
          <w:trHeight w:val="290"/>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of shares of Class A Common</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outstanding – basic</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95,342,596</w:t>
            </w:r>
          </w:p>
        </w:tc>
        <w:tc>
          <w:tcPr>
            <w:tcW w:w="2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92,851,349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95,023,380</w:t>
            </w:r>
          </w:p>
        </w:tc>
        <w:tc>
          <w:tcPr>
            <w:tcW w:w="20" w:type="dxa"/>
            <w:vAlign w:val="bottom"/>
          </w:tcPr>
          <w:p>
            <w:pPr>
              <w:spacing w:after="0"/>
              <w:rPr>
                <w:sz w:val="20"/>
                <w:szCs w:val="20"/>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92,589,011</w:t>
            </w:r>
          </w:p>
        </w:tc>
        <w:tc>
          <w:tcPr>
            <w:tcW w:w="20" w:type="dxa"/>
            <w:vAlign w:val="bottom"/>
          </w:tcPr>
          <w:p>
            <w:pPr>
              <w:spacing w:after="0"/>
              <w:rPr>
                <w:sz w:val="20"/>
                <w:szCs w:val="20"/>
                <w:color w:val="auto"/>
              </w:rPr>
            </w:pPr>
          </w:p>
        </w:tc>
      </w:tr>
      <w:tr>
        <w:trPr>
          <w:trHeight w:val="40"/>
        </w:trPr>
        <w:tc>
          <w:tcPr>
            <w:tcW w:w="4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7"/>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effect of dilutive securities:</w:t>
            </w: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holdback shares</w:t>
            </w:r>
          </w:p>
        </w:tc>
        <w:tc>
          <w:tcPr>
            <w:tcW w:w="1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677,847</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4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38"/>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1,916,690</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93,386</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1,614,946</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16,414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41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of shares of Class A Common</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68"/>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outstanding – diluted</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97,275,700</w:t>
            </w:r>
          </w:p>
        </w:tc>
        <w:tc>
          <w:tcPr>
            <w:tcW w:w="2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93,622,582</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96,647,173</w:t>
            </w:r>
          </w:p>
        </w:tc>
        <w:tc>
          <w:tcPr>
            <w:tcW w:w="20" w:type="dxa"/>
            <w:vAlign w:val="bottom"/>
            <w:shd w:val="clear" w:color="auto" w:fill="CCEEFF"/>
          </w:tcPr>
          <w:p>
            <w:pPr>
              <w:spacing w:after="0"/>
              <w:rPr>
                <w:sz w:val="23"/>
                <w:szCs w:val="23"/>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92,589,011</w:t>
            </w:r>
          </w:p>
        </w:tc>
        <w:tc>
          <w:tcPr>
            <w:tcW w:w="20" w:type="dxa"/>
            <w:vAlign w:val="bottom"/>
            <w:shd w:val="clear" w:color="auto" w:fill="CCEEFF"/>
          </w:tcPr>
          <w:p>
            <w:pPr>
              <w:spacing w:after="0"/>
              <w:rPr>
                <w:sz w:val="23"/>
                <w:szCs w:val="23"/>
                <w:color w:val="auto"/>
              </w:rPr>
            </w:pPr>
          </w:p>
        </w:tc>
      </w:tr>
      <w:tr>
        <w:trPr>
          <w:trHeight w:val="252"/>
        </w:trPr>
        <w:tc>
          <w:tcPr>
            <w:tcW w:w="4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 per share of Class A Common</w:t>
            </w: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21"/>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 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19"/>
                <w:szCs w:val="19"/>
                <w:color w:val="auto"/>
              </w:rPr>
            </w:pPr>
          </w:p>
        </w:tc>
      </w:tr>
      <w:tr>
        <w:trPr>
          <w:trHeight w:val="48"/>
        </w:trPr>
        <w:tc>
          <w:tcPr>
            <w:tcW w:w="41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of Class A Common</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21"/>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shd w:val="clear" w:color="auto" w:fill="CCEEFF"/>
          </w:tcPr>
          <w:p>
            <w:pPr>
              <w:spacing w:after="0"/>
              <w:rPr>
                <w:sz w:val="19"/>
                <w:szCs w:val="19"/>
                <w:color w:val="auto"/>
              </w:rPr>
            </w:pPr>
          </w:p>
        </w:tc>
      </w:tr>
      <w:tr>
        <w:trPr>
          <w:trHeight w:val="48"/>
        </w:trPr>
        <w:tc>
          <w:tcPr>
            <w:tcW w:w="4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5423535</wp:posOffset>
            </wp:positionH>
            <wp:positionV relativeFrom="paragraph">
              <wp:posOffset>-3411220</wp:posOffset>
            </wp:positionV>
            <wp:extent cx="13716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-3411220</wp:posOffset>
            </wp:positionV>
            <wp:extent cx="13716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4000500</wp:posOffset>
            </wp:positionH>
            <wp:positionV relativeFrom="paragraph">
              <wp:posOffset>-3411220</wp:posOffset>
            </wp:positionV>
            <wp:extent cx="13716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-3411220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111125</wp:posOffset>
            </wp:positionV>
            <wp:extent cx="8229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ind w:left="1640" w:hanging="348"/>
        <w:spacing w:after="0"/>
        <w:tabs>
          <w:tab w:leader="none" w:pos="16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the treasury stock method.</w:t>
      </w:r>
    </w:p>
    <w:p>
      <w:pPr>
        <w:spacing w:after="0" w:line="100" w:lineRule="exact"/>
        <w:rPr>
          <w:sz w:val="20"/>
          <w:szCs w:val="20"/>
          <w:color w:val="auto"/>
        </w:rPr>
      </w:pPr>
    </w:p>
    <w:p>
      <w:pPr>
        <w:jc w:val="both"/>
        <w:ind w:left="1300" w:right="1300"/>
        <w:spacing w:after="0" w:line="256" w:lineRule="auto"/>
        <w:rPr>
          <w:sz w:val="20"/>
          <w:szCs w:val="20"/>
          <w:color w:val="auto"/>
        </w:rPr>
      </w:pPr>
      <w:r>
        <w:rPr>
          <w:rFonts w:ascii="Times New Roman" w:cs="Times New Roman" w:eastAsia="Times New Roman" w:hAnsi="Times New Roman"/>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spacing w:after="0" w:line="79" w:lineRule="exact"/>
        <w:rPr>
          <w:sz w:val="20"/>
          <w:szCs w:val="20"/>
          <w:color w:val="auto"/>
        </w:rPr>
      </w:pPr>
    </w:p>
    <w:p>
      <w:pPr>
        <w:jc w:val="both"/>
        <w:ind w:left="1300" w:right="1300"/>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securities from its computation of diluted shares outstanding for the periods presented, as their effect would have been anti-dilutive:</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3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94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300" w:type="dxa"/>
            <w:vAlign w:val="bottom"/>
          </w:tcPr>
          <w:p>
            <w:pPr>
              <w:spacing w:after="0"/>
              <w:rPr>
                <w:sz w:val="16"/>
                <w:szCs w:val="16"/>
                <w:color w:val="auto"/>
              </w:rPr>
            </w:pPr>
          </w:p>
        </w:tc>
      </w:tr>
      <w:tr>
        <w:trPr>
          <w:trHeight w:val="37"/>
        </w:trPr>
        <w:tc>
          <w:tcPr>
            <w:tcW w:w="13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213"/>
        </w:trPr>
        <w:tc>
          <w:tcPr>
            <w:tcW w:w="1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20" w:type="dxa"/>
            <w:vAlign w:val="bottom"/>
            <w:gridSpan w:val="2"/>
          </w:tcPr>
          <w:p>
            <w:pPr>
              <w:jc w:val="center"/>
              <w:ind w:left="10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8"/>
                <w:szCs w:val="18"/>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8"/>
                <w:szCs w:val="18"/>
                <w:color w:val="auto"/>
              </w:rPr>
            </w:pP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8"/>
                <w:szCs w:val="18"/>
                <w:color w:val="auto"/>
              </w:rPr>
            </w:pP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tcPr>
          <w:p>
            <w:pPr>
              <w:spacing w:after="0"/>
              <w:rPr>
                <w:sz w:val="18"/>
                <w:szCs w:val="18"/>
                <w:color w:val="auto"/>
              </w:rPr>
            </w:pPr>
          </w:p>
        </w:tc>
      </w:tr>
      <w:tr>
        <w:trPr>
          <w:trHeight w:val="37"/>
        </w:trPr>
        <w:tc>
          <w:tcPr>
            <w:tcW w:w="1300" w:type="dxa"/>
            <w:vAlign w:val="bottom"/>
          </w:tcPr>
          <w:p>
            <w:pPr>
              <w:spacing w:after="0"/>
              <w:rPr>
                <w:sz w:val="3"/>
                <w:szCs w:val="3"/>
                <w:color w:val="auto"/>
              </w:rPr>
            </w:pPr>
          </w:p>
        </w:tc>
        <w:tc>
          <w:tcPr>
            <w:tcW w:w="304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284"/>
        </w:trPr>
        <w:tc>
          <w:tcPr>
            <w:tcW w:w="1300" w:type="dxa"/>
            <w:vAlign w:val="bottom"/>
          </w:tcPr>
          <w:p>
            <w:pPr>
              <w:spacing w:after="0"/>
              <w:rPr>
                <w:sz w:val="24"/>
                <w:szCs w:val="24"/>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V Units</w:t>
            </w:r>
          </w:p>
        </w:tc>
        <w:tc>
          <w:tcPr>
            <w:tcW w:w="2020" w:type="dxa"/>
            <w:vAlign w:val="bottom"/>
            <w:tcBorders>
              <w:bottom w:val="single" w:sz="8" w:color="CCEEFF"/>
            </w:tcBorders>
            <w:gridSpan w:val="2"/>
            <w:shd w:val="clear" w:color="auto" w:fill="CCEEFF"/>
          </w:tcPr>
          <w:p>
            <w:pPr>
              <w:jc w:val="center"/>
              <w:ind w:left="1033"/>
              <w:spacing w:after="0"/>
              <w:rPr>
                <w:sz w:val="20"/>
                <w:szCs w:val="20"/>
                <w:color w:val="auto"/>
              </w:rPr>
            </w:pPr>
            <w:r>
              <w:rPr>
                <w:rFonts w:ascii="Times New Roman" w:cs="Times New Roman" w:eastAsia="Times New Roman" w:hAnsi="Times New Roman"/>
                <w:sz w:val="18"/>
                <w:szCs w:val="18"/>
                <w:color w:val="auto"/>
              </w:rPr>
              <w:t>55,486,361</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55,486,361</w:t>
            </w:r>
          </w:p>
        </w:tc>
        <w:tc>
          <w:tcPr>
            <w:tcW w:w="2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55,486,361</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55,486,361</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Class P Units</w:t>
            </w:r>
          </w:p>
        </w:tc>
        <w:tc>
          <w:tcPr>
            <w:tcW w:w="2020" w:type="dxa"/>
            <w:vAlign w:val="bottom"/>
            <w:gridSpan w:val="2"/>
          </w:tcPr>
          <w:p>
            <w:pPr>
              <w:jc w:val="center"/>
              <w:ind w:left="1033"/>
              <w:spacing w:after="0"/>
              <w:rPr>
                <w:sz w:val="20"/>
                <w:szCs w:val="20"/>
                <w:color w:val="auto"/>
              </w:rPr>
            </w:pPr>
            <w:r>
              <w:rPr>
                <w:rFonts w:ascii="Times New Roman" w:cs="Times New Roman" w:eastAsia="Times New Roman" w:hAnsi="Times New Roman"/>
                <w:sz w:val="18"/>
                <w:szCs w:val="18"/>
                <w:color w:val="auto"/>
              </w:rPr>
              <w:t>14,679,507</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14,986,127</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14,679,507</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14,986,127</w:t>
            </w:r>
          </w:p>
        </w:tc>
        <w:tc>
          <w:tcPr>
            <w:tcW w:w="1300" w:type="dxa"/>
            <w:vAlign w:val="bottom"/>
          </w:tcPr>
          <w:p>
            <w:pPr>
              <w:spacing w:after="0"/>
              <w:rPr>
                <w:sz w:val="22"/>
                <w:szCs w:val="22"/>
                <w:color w:val="auto"/>
              </w:rPr>
            </w:pPr>
          </w:p>
        </w:tc>
      </w:tr>
      <w:tr>
        <w:trPr>
          <w:trHeight w:val="41"/>
        </w:trPr>
        <w:tc>
          <w:tcPr>
            <w:tcW w:w="13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2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4,505,650</w:t>
            </w: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4,505,650</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6,977,020</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PRSUs</w:t>
            </w:r>
          </w:p>
        </w:tc>
        <w:tc>
          <w:tcPr>
            <w:tcW w:w="1120" w:type="dxa"/>
            <w:vAlign w:val="bottom"/>
          </w:tcPr>
          <w:p>
            <w:pPr>
              <w:spacing w:after="0"/>
              <w:rPr>
                <w:sz w:val="22"/>
                <w:szCs w:val="22"/>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859,375</w:t>
            </w:r>
          </w:p>
        </w:tc>
        <w:tc>
          <w:tcPr>
            <w:tcW w:w="260" w:type="dxa"/>
            <w:vAlign w:val="bottom"/>
          </w:tcPr>
          <w:p>
            <w:pPr>
              <w:spacing w:after="0"/>
              <w:rPr>
                <w:sz w:val="22"/>
                <w:szCs w:val="22"/>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859,375</w:t>
            </w:r>
          </w:p>
        </w:tc>
        <w:tc>
          <w:tcPr>
            <w:tcW w:w="1300" w:type="dxa"/>
            <w:vAlign w:val="bottom"/>
          </w:tcPr>
          <w:p>
            <w:pPr>
              <w:spacing w:after="0"/>
              <w:rPr>
                <w:sz w:val="22"/>
                <w:szCs w:val="22"/>
                <w:color w:val="auto"/>
              </w:rPr>
            </w:pPr>
          </w:p>
        </w:tc>
      </w:tr>
      <w:tr>
        <w:trPr>
          <w:trHeight w:val="41"/>
        </w:trPr>
        <w:tc>
          <w:tcPr>
            <w:tcW w:w="13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2020" w:type="dxa"/>
            <w:vAlign w:val="bottom"/>
            <w:tcBorders>
              <w:bottom w:val="single" w:sz="8" w:color="CCEEFF"/>
            </w:tcBorders>
            <w:gridSpan w:val="2"/>
            <w:shd w:val="clear" w:color="auto" w:fill="CCEEFF"/>
          </w:tcPr>
          <w:p>
            <w:pPr>
              <w:jc w:val="center"/>
              <w:ind w:left="1033"/>
              <w:spacing w:after="0"/>
              <w:rPr>
                <w:sz w:val="20"/>
                <w:szCs w:val="20"/>
                <w:color w:val="auto"/>
              </w:rPr>
            </w:pPr>
            <w:r>
              <w:rPr>
                <w:rFonts w:ascii="Times New Roman" w:cs="Times New Roman" w:eastAsia="Times New Roman" w:hAnsi="Times New Roman"/>
                <w:sz w:val="18"/>
                <w:szCs w:val="18"/>
                <w:color w:val="auto"/>
              </w:rPr>
              <w:t>12,499,973</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c>
          <w:tcPr>
            <w:tcW w:w="2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12,499,973</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12,499,973</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300" w:type="dxa"/>
            <w:vAlign w:val="bottom"/>
          </w:tcPr>
          <w:p>
            <w:pPr>
              <w:spacing w:after="0"/>
              <w:rPr>
                <w:sz w:val="22"/>
                <w:szCs w:val="22"/>
                <w:color w:val="auto"/>
              </w:rPr>
            </w:pPr>
          </w:p>
        </w:tc>
      </w:tr>
      <w:tr>
        <w:trPr>
          <w:trHeight w:val="41"/>
        </w:trPr>
        <w:tc>
          <w:tcPr>
            <w:tcW w:w="13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1"/>
        </w:trPr>
        <w:tc>
          <w:tcPr>
            <w:tcW w:w="1300" w:type="dxa"/>
            <w:vAlign w:val="bottom"/>
          </w:tcPr>
          <w:p>
            <w:pPr>
              <w:spacing w:after="0"/>
              <w:rPr>
                <w:sz w:val="24"/>
                <w:szCs w:val="24"/>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holdback shares</w:t>
            </w:r>
          </w:p>
        </w:tc>
        <w:tc>
          <w:tcPr>
            <w:tcW w:w="1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677,847</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2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F-26</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5466715</wp:posOffset>
            </wp:positionH>
            <wp:positionV relativeFrom="paragraph">
              <wp:posOffset>-1748155</wp:posOffset>
            </wp:positionV>
            <wp:extent cx="17145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-1748155</wp:posOffset>
            </wp:positionV>
            <wp:extent cx="17145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4034790</wp:posOffset>
            </wp:positionH>
            <wp:positionV relativeFrom="paragraph">
              <wp:posOffset>-1748155</wp:posOffset>
            </wp:positionV>
            <wp:extent cx="17145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-1748155</wp:posOffset>
            </wp:positionV>
            <wp:extent cx="8572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020"/>
          </w:cols>
          <w:pgMar w:left="440" w:top="263" w:right="439" w:bottom="501" w:gutter="0" w:footer="0" w:header="0"/>
        </w:sectPr>
      </w:pPr>
    </w:p>
    <w:bookmarkStart w:id="170" w:name="page171"/>
    <w:bookmarkEnd w:id="1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300" w:right="31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ind w:left="300"/>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9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During the second quarter of 2022, the Company entered into a sublease agreement with an affiliate of the Executive Chair.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As of June 30, 2024 and December 31, 2023, rent receivable was $0.0 million and $0.7 million, respectively, and these amounts are included in prepaid expenses and other current assets on the accompanying condensed balance sheets. Rent receivable of $0.7 million from December 31, 2023 was subsequently collected in April 2024. For the three and six months ended June 30, 2024, income on the sublease with a related party was $0.2 million and $0.4 million, respectively. For the three and six months ended June 30, 2023, income on the sublease with a related party was $0.2 million and $0.4 million, respectively. The income on sublease is netted with rent expense and included in general and administrative expenses on the condensed consolidated statements of operations.</w:t>
      </w:r>
    </w:p>
    <w:p>
      <w:pPr>
        <w:spacing w:after="0" w:line="8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In an event of default, the outstanding principal amount shall bear interest for the entire period during which the principal balance is unpaid at a rate which is equal to 10% per annum. As of June 30, 2024, the remaining balance of the promissory note receivable was the $0.6 million of which $0.4 million was included in prepaid expenses and other current assets and $0.2 million was included in other assets on the condensed consolidated balance sheets. As of December 31, 2023, the remaining balance of the promissory note receivable was $0.7 million of which $0.4 million was included in prepaid expenses and other current assets and $0.3 million was included in other assets on the consolidated balance sheets. For the three and six ended June 30, 2024 and 2023, interest income on the promissory note was less than $0.1 million, which is included in other income (expense), net on the accompanying condensed consolidated statements of operations.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1" w:name="page172"/>
    <w:bookmarkEnd w:id="1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WM Technology, Inc. (the “Company”) as of December 31, 2023, the related consolidated statements of operations, equity and cash flows for the year ended December 31, 2023, and the related notes (collectively referred to as the “consolidated financial statements”).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our opinion, the consolidated financial statements present fairly, in all material respects, the consolidated financial position of the Company as of December 31, 2023, and the consolidated results of its operations and its cash flows for the year ended December 31, 2023, in conformity with accounting principles generally accepted in the United States of America.</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May 24, 2024 expressed an adverse opinion on the Company’s internal control over financial reporting due to material weaknesses.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Financial Statements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certain quarterly financial statements for the quarters ended March 31, 2023, June 30, 2023, and September 30, 2023 have been restated to correct a misstatement.</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 a reasonable basis for our opinion.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w:t>
      </w:r>
    </w:p>
    <w:p>
      <w:pPr>
        <w:jc w:val="both"/>
        <w:ind w:left="300" w:right="299" w:hanging="8"/>
        <w:spacing w:after="0" w:line="253" w:lineRule="auto"/>
        <w:tabs>
          <w:tab w:leader="none" w:pos="56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Allowance for Credit Losses on Accounts Receivable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maintains an allowance for credit losses that management believes to be sufficient to absorb estimated losses in the accounts receivable portfolio. As of December 31, 2023, the allowance for credit losses was $8.7 million. We identified the Company’s assessment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2" w:name="page173"/>
    <w:bookmarkEnd w:id="1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expected credit losses on its trade accounts receivable, as a critical audit matter. The determination of the allowance for credit losses involves significant judgment by management in assessing the likelihood of collection of a customer’s accounts receivable including assessment of various factors such as communications from the customer, historical collections, and the number of days accounts receivables have been outstanding. Auditing the significant assumptions and judgements used by management involved a high degree of auditor judgment and increased extent of effort when performing audit procedures and evaluating the results of those procedures. Additionally, as described in the “Basis for Opinions” section, a material weakness was identified in relation to this matter.</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ind w:left="1000" w:right="299" w:hanging="348"/>
        <w:spacing w:after="0" w:line="282"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understanding of management's processes and assumptions for developing the allowance for credit losses.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methods and significant assumptions used by management including:</w:t>
      </w:r>
    </w:p>
    <w:p>
      <w:pPr>
        <w:sectPr>
          <w:pgSz w:w="11900" w:h="16838" w:orient="portrait"/>
          <w:cols w:equalWidth="0" w:num="1">
            <w:col w:w="9019"/>
          </w:cols>
          <w:pgMar w:left="1440" w:top="263" w:right="1440" w:bottom="1440" w:gutter="0" w:footer="0" w:header="0"/>
        </w:sectPr>
      </w:pP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For customers that share similar risk characteristics, we evaluated the underlying assumptions in the determination of the allowance for credit losses including the historical credit loss rates and their application to a provisional matrix based on days outstanding;</w:t>
      </w:r>
    </w:p>
    <w:p>
      <w:pPr>
        <w:spacing w:after="0" w:line="68" w:lineRule="exact"/>
        <w:rPr>
          <w:sz w:val="20"/>
          <w:szCs w:val="20"/>
          <w:color w:val="auto"/>
        </w:rPr>
      </w:pPr>
    </w:p>
    <w:p>
      <w:pPr>
        <w:jc w:val="both"/>
        <w:ind w:right="319"/>
        <w:spacing w:after="0" w:line="258" w:lineRule="auto"/>
        <w:rPr>
          <w:sz w:val="20"/>
          <w:szCs w:val="20"/>
          <w:color w:val="auto"/>
        </w:rPr>
      </w:pPr>
      <w:r>
        <w:rPr>
          <w:rFonts w:ascii="Times New Roman" w:cs="Times New Roman" w:eastAsia="Times New Roman" w:hAnsi="Times New Roman"/>
          <w:sz w:val="18"/>
          <w:szCs w:val="18"/>
          <w:color w:val="auto"/>
        </w:rPr>
        <w:t>For customers that lack similar risk characteristics, we evaluated the rationale for establishing a specific customer allowance for credit losses and assessed the reasonable of management’s estimate of the specific customer allowance by evaluating historical credit loss rates for these specific customers, historical and current collection trends, and the number of days accounts receivables have been outstanding.</w:t>
      </w:r>
    </w:p>
    <w:p>
      <w:pPr>
        <w:spacing w:after="0" w:line="75"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ind w:left="1000" w:right="319" w:hanging="348"/>
        <w:spacing w:after="0" w:line="282"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underlying data and evaluating the relevance and reliability of the sources of the data used by management.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subsequent collections and write-offs occurring after the balance sheet date for select customers and considering the impact of potential subsequent events on the estimate of the specific customer allowance.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has a certain subset of customers for whom management determined it was no longer probable that the Company will collect the consideration to which it will be entitled resulting in revenue not being recognized until the contract is completed and payment is received in accordance with ASC 606. The Company refers to customers in this situation as customers that have been placed on “cash basis”. We identified the Company’s evaluation of when a customer is placed on “cash basis” as a critical audit matter because of the significant judgment required by management in both making that determination as well as the timing of such determination. Management’s evaluation is based on the best information available to the Company and takes into consideration industry-specific circumstances, current discussions with the customers, as well as historical and current collection trends. This, in turn, led to a high degree of auditor judgment, subjectivity, and effort in performing procedures and evaluating audit evidence related to the Company’s “cash basis” determination. Additionally, as described in the “Basis for Opinions” section, a material weakness was identified in relation to this matter.</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understanding of management’s process for evaluating whether it is probable the Company will collect the consideration to which it will be entitled for purposes of determining whether a contract exists under ASC 606.</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judgments made by management in determining whether to place a customer on a “cash basis” because it was no longer probable that the Company will collect the consideration to which it will be entitled.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the date at which management determined that it was no longer probable that the Company would collect the consideration to which it will be entitled. This included evaluating management’s assertions regarding collectability of outstanding accounts receivable for these customers.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73" w:name="page174"/>
    <w:bookmarkEnd w:id="1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whether the population of customers placed on a “cash basis” was complete as of December 31, 2023. This included comparing actual cash collections and write-offs to the assumptions made as of the determination date in order to evaluate the reasonableness of management’s estimate.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underlying data used in management’s analysis.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Moss Adams LLP</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24, 2024</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4" w:name="page175"/>
    <w:bookmarkEnd w:id="1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To the stockholders and board of directors of WM Technology, Inc.:</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WM Technology, Inc. (the “Company”) as of December 31, 2022, the related consolidated statements of operations, changes in stockholders’ equity and cash flows for the years ended December 31, 2022 and 2021, and the related notes (collectively referred to as the “consolidated financial statements”). In our opinion, the consolidated financial statements present fairly, in all material respects, the financial position of the Company as of December 31, 2022, and the results of its operations and its cash flows for years ended December 31, 2022 and 2021, in conformity with accounting principles generally accepted in the United States of America.</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Emphasis of Matter Related to the Company’s Operations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is an organization that provides online directory services to legalized cannabis companies. As discussed in Note 2, the Company operates in an industry where laws and regulations vary significantly by jurisdiction. Currently, several states permit medicinal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served as the Company's auditor from 2014 to 2023.</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16,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5" w:name="page176"/>
    <w:bookmarkEnd w:id="17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3060" w:type="dxa"/>
            <w:vAlign w:val="bottom"/>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50"/>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1"/>
        </w:trPr>
        <w:tc>
          <w:tcPr>
            <w:tcW w:w="1300" w:type="dxa"/>
            <w:vAlign w:val="bottom"/>
          </w:tcPr>
          <w:p>
            <w:pPr>
              <w:spacing w:after="0"/>
              <w:rPr>
                <w:sz w:val="4"/>
                <w:szCs w:val="4"/>
                <w:color w:val="auto"/>
              </w:rPr>
            </w:pPr>
          </w:p>
        </w:tc>
        <w:tc>
          <w:tcPr>
            <w:tcW w:w="66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$ 34,350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$ 28,583</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11,158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8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3"/>
        </w:trPr>
        <w:tc>
          <w:tcPr>
            <w:tcW w:w="1300" w:type="dxa"/>
            <w:vAlign w:val="bottom"/>
          </w:tcPr>
          <w:p>
            <w:pPr>
              <w:spacing w:after="0"/>
              <w:rPr>
                <w:sz w:val="24"/>
                <w:szCs w:val="24"/>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51,486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54,983</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24,255</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31,447</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8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167,021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199,035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$ 21,182</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$ 33,635</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4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4"/>
        </w:trPr>
        <w:tc>
          <w:tcPr>
            <w:tcW w:w="1300" w:type="dxa"/>
            <w:vAlign w:val="bottom"/>
          </w:tcPr>
          <w:p>
            <w:pPr>
              <w:spacing w:after="0"/>
              <w:rPr>
                <w:sz w:val="24"/>
                <w:szCs w:val="24"/>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33,715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46,323</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84,258</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2"/>
        </w:trPr>
        <w:tc>
          <w:tcPr>
            <w:tcW w:w="1300" w:type="dxa"/>
            <w:vAlign w:val="bottom"/>
          </w:tcPr>
          <w:p>
            <w:pPr>
              <w:spacing w:after="0"/>
              <w:rPr>
                <w:sz w:val="21"/>
                <w:szCs w:val="21"/>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 $0.0001 par value; 75,000,000 shares authorized; no shares issued</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outstanding at December 31, 2023 and December 31, 2022</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4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2"/>
        </w:trPr>
        <w:tc>
          <w:tcPr>
            <w:tcW w:w="1300" w:type="dxa"/>
            <w:vAlign w:val="bottom"/>
          </w:tcPr>
          <w:p>
            <w:pPr>
              <w:spacing w:after="0"/>
              <w:rPr>
                <w:sz w:val="21"/>
                <w:szCs w:val="21"/>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 $0.0001 par value; 1,500,000,000 shares authorized;</w:t>
            </w: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1300" w:type="dxa"/>
            <w:vAlign w:val="bottom"/>
          </w:tcPr>
          <w:p>
            <w:pPr>
              <w:spacing w:after="0"/>
              <w:rPr>
                <w:sz w:val="18"/>
                <w:szCs w:val="18"/>
                <w:color w:val="auto"/>
              </w:rPr>
            </w:pPr>
          </w:p>
        </w:tc>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94,383,053 shares issued and outstanding at December 31, 2023 and 92,062,468</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68"/>
        </w:trPr>
        <w:tc>
          <w:tcPr>
            <w:tcW w:w="1300" w:type="dxa"/>
            <w:vAlign w:val="bottom"/>
          </w:tcPr>
          <w:p>
            <w:pPr>
              <w:spacing w:after="0"/>
              <w:rPr>
                <w:sz w:val="23"/>
                <w:szCs w:val="23"/>
                <w:color w:val="auto"/>
              </w:rPr>
            </w:pPr>
          </w:p>
        </w:tc>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at December 31, 2022</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right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52"/>
        </w:trPr>
        <w:tc>
          <w:tcPr>
            <w:tcW w:w="1300" w:type="dxa"/>
            <w:vAlign w:val="bottom"/>
          </w:tcPr>
          <w:p>
            <w:pPr>
              <w:spacing w:after="0"/>
              <w:rPr>
                <w:sz w:val="21"/>
                <w:szCs w:val="21"/>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V Common Stock - $0.0001 par value; 500,000,000 shares authorized,</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1300" w:type="dxa"/>
            <w:vAlign w:val="bottom"/>
          </w:tcPr>
          <w:p>
            <w:pPr>
              <w:spacing w:after="0"/>
              <w:rPr>
                <w:sz w:val="18"/>
                <w:szCs w:val="18"/>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55,486,361 shares issued and outstanding at December 31, 2023 and December 31,</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79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80,884</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67,986</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(64,518)</w:t>
            </w:r>
          </w:p>
        </w:tc>
        <w:tc>
          <w:tcPr>
            <w:tcW w:w="20" w:type="dxa"/>
            <w:vAlign w:val="bottom"/>
          </w:tcPr>
          <w:p>
            <w:pPr>
              <w:spacing w:after="0"/>
              <w:rPr>
                <w:sz w:val="22"/>
                <w:szCs w:val="22"/>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(54,620)</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86,771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101,397</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103,151</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114,777</w:t>
            </w:r>
          </w:p>
        </w:tc>
        <w:tc>
          <w:tcPr>
            <w:tcW w:w="80" w:type="dxa"/>
            <w:vAlign w:val="bottom"/>
            <w:tcBorders>
              <w:right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167,021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199,035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0"/>
        </w:trPr>
        <w:tc>
          <w:tcPr>
            <w:tcW w:w="13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79"/>
        </w:trPr>
        <w:tc>
          <w:tcPr>
            <w:tcW w:w="1300" w:type="dxa"/>
            <w:vAlign w:val="bottom"/>
          </w:tcPr>
          <w:p>
            <w:pPr>
              <w:spacing w:after="0"/>
              <w:rPr>
                <w:sz w:val="24"/>
                <w:szCs w:val="24"/>
                <w:color w:val="auto"/>
              </w:rPr>
            </w:pPr>
          </w:p>
        </w:tc>
        <w:tc>
          <w:tcPr>
            <w:tcW w:w="7400" w:type="dxa"/>
            <w:vAlign w:val="bottom"/>
            <w:gridSpan w:val="5"/>
          </w:tcPr>
          <w:p>
            <w:pPr>
              <w:ind w:left="10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666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F-32</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66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5526405</wp:posOffset>
            </wp:positionH>
            <wp:positionV relativeFrom="paragraph">
              <wp:posOffset>-8923020</wp:posOffset>
            </wp:positionV>
            <wp:extent cx="17145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-8923020</wp:posOffset>
            </wp:positionV>
            <wp:extent cx="8572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020"/>
          </w:cols>
          <w:pgMar w:left="440" w:top="114" w:right="439" w:bottom="393" w:gutter="0" w:footer="0" w:header="0"/>
        </w:sectPr>
      </w:pPr>
    </w:p>
    <w:bookmarkStart w:id="176" w:name="page177"/>
    <w:bookmarkEnd w:id="1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gridSpan w:val="8"/>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0"/>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1"/>
        </w:trPr>
        <w:tc>
          <w:tcPr>
            <w:tcW w:w="45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187,993</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215,531</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193,146</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2"/>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68"/>
        </w:trPr>
        <w:tc>
          <w:tcPr>
            <w:tcW w:w="4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shown separately below)</w:t>
            </w:r>
          </w:p>
        </w:tc>
        <w:tc>
          <w:tcPr>
            <w:tcW w:w="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15,407</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82,624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50,520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74,313</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120,787</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11,498</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206,450</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285,153</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201,324</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61"/>
        </w:trPr>
        <w:tc>
          <w:tcPr>
            <w:tcW w:w="45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(18,457)</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20" w:type="dxa"/>
            <w:vAlign w:val="bottom"/>
          </w:tcPr>
          <w:p>
            <w:pPr>
              <w:spacing w:after="0"/>
              <w:rPr>
                <w:sz w:val="24"/>
                <w:szCs w:val="24"/>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25,370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166,518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(1,256)</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142,352</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2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4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(15,634)</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96,426</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151,617</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179,077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(82,651)</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152,218</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(5,829)</w:t>
            </w: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33,338</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91,835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(115,989)</w:t>
            </w: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60,383</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61"/>
        </w:trPr>
        <w:tc>
          <w:tcPr>
            <w:tcW w:w="45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338"/>
        </w:trPr>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0" w:type="dxa"/>
            <w:vAlign w:val="bottom"/>
            <w:tcBorders>
              <w:bottom w:val="single" w:sz="8" w:color="CCEEFF"/>
            </w:tcBorders>
            <w:shd w:val="clear" w:color="auto" w:fill="CCEEFF"/>
          </w:tcPr>
          <w:p>
            <w:pPr>
              <w:spacing w:after="0"/>
              <w:rPr>
                <w:sz w:val="24"/>
                <w:szCs w:val="24"/>
                <w:color w:val="auto"/>
              </w:rPr>
            </w:pPr>
          </w:p>
        </w:tc>
      </w:tr>
      <w:tr>
        <w:trPr>
          <w:trHeight w:val="324"/>
        </w:trPr>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93,244,911</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85,027,120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65,013,517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2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93,244,911</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85,027,120</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66,813,417</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54"/>
        </w:trPr>
        <w:tc>
          <w:tcPr>
            <w:tcW w:w="45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-5811520</wp:posOffset>
            </wp:positionV>
            <wp:extent cx="20574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-5811520</wp:posOffset>
            </wp:positionV>
            <wp:extent cx="20574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-5811520</wp:posOffset>
            </wp:positionV>
            <wp:extent cx="10287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6"/>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2"/>
                <w:szCs w:val="12"/>
                <w:color w:val="auto"/>
              </w:rPr>
            </w:pPr>
          </w:p>
        </w:tc>
        <w:tc>
          <w:tcPr>
            <w:tcW w:w="1360" w:type="dxa"/>
            <w:vAlign w:val="bottom"/>
            <w:gridSpan w:val="7"/>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4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Total WM</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4"/>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5"/>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Class V</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80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4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Technology, Inc.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17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68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vMerge w:val="restart"/>
          </w:tcPr>
          <w:p>
            <w:pPr>
              <w:spacing w:after="0"/>
              <w:rPr>
                <w:sz w:val="7"/>
                <w:szCs w:val="7"/>
                <w:color w:val="auto"/>
              </w:rPr>
            </w:pPr>
          </w:p>
        </w:tc>
        <w:tc>
          <w:tcPr>
            <w:tcW w:w="800" w:type="dxa"/>
            <w:vAlign w:val="bottom"/>
            <w:gridSpan w:val="5"/>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4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76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70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Members’</w:t>
            </w: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00" w:type="dxa"/>
            <w:vAlign w:val="bottom"/>
            <w:gridSpan w:val="5"/>
            <w:vMerge w:val="continue"/>
          </w:tcPr>
          <w:p>
            <w:pPr>
              <w:spacing w:after="0"/>
              <w:rPr>
                <w:sz w:val="3"/>
                <w:szCs w:val="3"/>
                <w:color w:val="auto"/>
              </w:rPr>
            </w:pPr>
          </w:p>
        </w:tc>
        <w:tc>
          <w:tcPr>
            <w:tcW w:w="1040" w:type="dxa"/>
            <w:vAlign w:val="bottom"/>
            <w:gridSpan w:val="6"/>
            <w:vMerge w:val="continue"/>
          </w:tcPr>
          <w:p>
            <w:pPr>
              <w:spacing w:after="0"/>
              <w:rPr>
                <w:sz w:val="3"/>
                <w:szCs w:val="3"/>
                <w:color w:val="auto"/>
              </w:rPr>
            </w:pPr>
          </w:p>
        </w:tc>
        <w:tc>
          <w:tcPr>
            <w:tcW w:w="760" w:type="dxa"/>
            <w:vAlign w:val="bottom"/>
            <w:gridSpan w:val="6"/>
            <w:vMerge w:val="continue"/>
          </w:tcPr>
          <w:p>
            <w:pPr>
              <w:spacing w:after="0"/>
              <w:rPr>
                <w:sz w:val="3"/>
                <w:szCs w:val="3"/>
                <w:color w:val="auto"/>
              </w:rPr>
            </w:pPr>
          </w:p>
        </w:tc>
        <w:tc>
          <w:tcPr>
            <w:tcW w:w="700" w:type="dxa"/>
            <w:vAlign w:val="bottom"/>
            <w:gridSpan w:val="6"/>
            <w:vMerge w:val="continue"/>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1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Par Value</w:t>
            </w:r>
          </w:p>
        </w:tc>
        <w:tc>
          <w:tcPr>
            <w:tcW w:w="80" w:type="dxa"/>
            <w:vAlign w:val="bottom"/>
          </w:tcPr>
          <w:p>
            <w:pPr>
              <w:spacing w:after="0"/>
              <w:rPr>
                <w:sz w:val="15"/>
                <w:szCs w:val="15"/>
                <w:color w:val="auto"/>
              </w:rPr>
            </w:pPr>
          </w:p>
        </w:tc>
        <w:tc>
          <w:tcPr>
            <w:tcW w:w="78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Par Value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5"/>
                <w:szCs w:val="15"/>
                <w:color w:val="auto"/>
              </w:rPr>
            </w:pPr>
          </w:p>
        </w:tc>
        <w:tc>
          <w:tcPr>
            <w:tcW w:w="8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5"/>
                <w:szCs w:val="15"/>
                <w:color w:val="auto"/>
              </w:rPr>
            </w:pPr>
          </w:p>
        </w:tc>
        <w:tc>
          <w:tcPr>
            <w:tcW w:w="70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55"/>
        </w:trPr>
        <w:tc>
          <w:tcPr>
            <w:tcW w:w="17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 of December 31, 2020</w:t>
            </w: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76"/>
              </w:rPr>
              <w:t>—</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29,271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$ 29,271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9,570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30,423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(888)</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4"/>
              </w:rPr>
              <w:t>(18,110)</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(18,998)</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Repurchase of Class B</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Units</w:t>
            </w:r>
          </w:p>
        </w:tc>
        <w:tc>
          <w:tcPr>
            <w:tcW w:w="4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(5,565)</w:t>
            </w:r>
          </w:p>
        </w:tc>
        <w:tc>
          <w:tcPr>
            <w:tcW w:w="80" w:type="dxa"/>
            <w:vAlign w:val="bottom"/>
          </w:tcPr>
          <w:p>
            <w:pPr>
              <w:spacing w:after="0"/>
              <w:rPr>
                <w:sz w:val="15"/>
                <w:szCs w:val="15"/>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(5,565)</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and shares issued</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 the Business</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Combination</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63,738,563</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65,502,347</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8"/>
              </w:rPr>
              <w:t>(20,118)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986</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(19,119)</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(44,928)</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(20,674)</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(84,721)</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 acquisitions</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1,938,798</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12,722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16,590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29,312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60,383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60,383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76,757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15,078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152,218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December 31, 2021</w:t>
            </w:r>
          </w:p>
        </w:tc>
        <w:tc>
          <w:tcPr>
            <w:tcW w:w="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65,677,361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65,502,347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1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61,369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63,556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68,384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$131,940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22,862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22,862</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2,298</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(2,448)</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vesting of restricted</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stock units, net of shares</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withheld for employee</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taxes</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3,447,946</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 acquisitions</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4,721,706</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12,836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12,836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15,889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28,725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warrants exercised</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Class A Common shares</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issued - Class A Unit</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exchange</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10,015,986</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(10,015,986)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2"/>
              </w:rPr>
              <w:t>(2)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8,993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(8,993)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A Common shares</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issued - Class P Unit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exchange</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8,199,449</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7,064</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7,064</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(7,064)</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Impact of tax receivable</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agreement due to</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exchanges of Class A</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Units</w:t>
            </w:r>
          </w:p>
        </w:tc>
        <w:tc>
          <w:tcPr>
            <w:tcW w:w="4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14,064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14,064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14,064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8"/>
              </w:rPr>
              <w:t>(115,989)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8"/>
              </w:rPr>
              <w:t>(115,989)</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33,338</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(82,651)</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December 31, 2022</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92,062,468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2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55,486,361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8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67,986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(54,620)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13,380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101,397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114,777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14,385</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14,901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(7,187)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(7,187)</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vesting of restricted</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stock units, net of shares</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withheld for employee</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taxes</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2,242,930</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Discharge of holdback</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obligation related to</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prior acquisition</w:t>
            </w:r>
          </w:p>
        </w:tc>
        <w:tc>
          <w:tcPr>
            <w:tcW w:w="4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(1,612)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(1,995)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(3,607)</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A Common shares</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issued - Class P Unit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exchange</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77,655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131</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3"/>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4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(9,898)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(5,829)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(15,727)</w:t>
            </w:r>
          </w:p>
        </w:tc>
        <w:tc>
          <w:tcPr>
            <w:tcW w:w="0" w:type="dxa"/>
            <w:vAlign w:val="bottom"/>
          </w:tcPr>
          <w:p>
            <w:pPr>
              <w:spacing w:after="0"/>
              <w:rPr>
                <w:sz w:val="1"/>
                <w:szCs w:val="1"/>
                <w:color w:val="auto"/>
              </w:rPr>
            </w:pPr>
          </w:p>
        </w:tc>
      </w:tr>
      <w:tr>
        <w:trPr>
          <w:trHeight w:val="48"/>
        </w:trPr>
        <w:tc>
          <w:tcPr>
            <w:tcW w:w="1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94,383,053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55,486,361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80,884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(64,518)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16,380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86,771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103,151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2437765</wp:posOffset>
            </wp:positionH>
            <wp:positionV relativeFrom="paragraph">
              <wp:posOffset>-6497320</wp:posOffset>
            </wp:positionV>
            <wp:extent cx="514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-6497320</wp:posOffset>
            </wp:positionV>
            <wp:extent cx="514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-6497320</wp:posOffset>
            </wp:positionV>
            <wp:extent cx="514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-6497320</wp:posOffset>
            </wp:positionV>
            <wp:extent cx="2540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5515610</wp:posOffset>
            </wp:positionH>
            <wp:positionV relativeFrom="paragraph">
              <wp:posOffset>-6497320</wp:posOffset>
            </wp:positionV>
            <wp:extent cx="514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-6497320</wp:posOffset>
            </wp:positionV>
            <wp:extent cx="514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-6497320</wp:posOffset>
            </wp:positionV>
            <wp:extent cx="5143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-6497320</wp:posOffset>
            </wp:positionV>
            <wp:extent cx="514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-6497320</wp:posOffset>
            </wp:positionV>
            <wp:extent cx="5143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-6497320</wp:posOffset>
            </wp:positionV>
            <wp:extent cx="514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114" w:right="1199" w:bottom="1440" w:gutter="0" w:footer="0" w:header="0"/>
        </w:sectPr>
      </w:pPr>
    </w:p>
    <w:bookmarkStart w:id="178" w:name="page179"/>
    <w:bookmarkEnd w:id="17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40" w:type="dxa"/>
            <w:vAlign w:val="bottom"/>
            <w:gridSpan w:val="14"/>
          </w:tcPr>
          <w:p>
            <w:pPr>
              <w:ind w:left="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1"/>
        </w:trPr>
        <w:tc>
          <w:tcPr>
            <w:tcW w:w="1300" w:type="dxa"/>
            <w:vAlign w:val="bottom"/>
          </w:tcPr>
          <w:p>
            <w:pPr>
              <w:spacing w:after="0"/>
              <w:rPr>
                <w:sz w:val="4"/>
                <w:szCs w:val="4"/>
                <w:color w:val="auto"/>
              </w:rPr>
            </w:pPr>
          </w:p>
        </w:tc>
        <w:tc>
          <w:tcPr>
            <w:tcW w:w="54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$(15,727)</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(82,651)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152,218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2"/>
        </w:trPr>
        <w:tc>
          <w:tcPr>
            <w:tcW w:w="1300" w:type="dxa"/>
            <w:vAlign w:val="bottom"/>
          </w:tcPr>
          <w:p>
            <w:pPr>
              <w:spacing w:after="0"/>
              <w:rPr>
                <w:sz w:val="21"/>
                <w:szCs w:val="21"/>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68"/>
        </w:trPr>
        <w:tc>
          <w:tcPr>
            <w:tcW w:w="1300" w:type="dxa"/>
            <w:vAlign w:val="bottom"/>
          </w:tcPr>
          <w:p>
            <w:pPr>
              <w:spacing w:after="0"/>
              <w:rPr>
                <w:sz w:val="23"/>
                <w:szCs w:val="23"/>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 operating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11,498</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(166,518)</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1,256</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(142,352)</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 -use lease assets</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3"/>
              </w:rPr>
              <w:t>4,930</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w:t>
            </w:r>
          </w:p>
        </w:tc>
        <w:tc>
          <w:tcPr>
            <w:tcW w:w="220" w:type="dxa"/>
            <w:vAlign w:val="bottom"/>
          </w:tcPr>
          <w:p>
            <w:pPr>
              <w:spacing w:after="0"/>
              <w:rPr>
                <w:sz w:val="23"/>
                <w:szCs w:val="23"/>
                <w:color w:val="auto"/>
              </w:rPr>
            </w:pPr>
          </w:p>
        </w:tc>
        <w:tc>
          <w:tcPr>
            <w:tcW w:w="9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179,077</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Discharge of holdback obligation related to prior acquisition</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1,792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4,488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(16,270)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(13,609)</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(43,323)</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3,335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(15,275)</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44,840</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22,928</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54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338"/>
        </w:trPr>
        <w:tc>
          <w:tcPr>
            <w:tcW w:w="1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software and expenditures</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(11,871)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(16,055)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(16,000)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acquisition holdback release</w:t>
            </w:r>
          </w:p>
        </w:tc>
        <w:tc>
          <w:tcPr>
            <w:tcW w:w="220" w:type="dxa"/>
            <w:vAlign w:val="bottom"/>
          </w:tcPr>
          <w:p>
            <w:pPr>
              <w:spacing w:after="0"/>
              <w:rPr>
                <w:sz w:val="23"/>
                <w:szCs w:val="23"/>
                <w:color w:val="auto"/>
              </w:rPr>
            </w:pPr>
          </w:p>
        </w:tc>
        <w:tc>
          <w:tcPr>
            <w:tcW w:w="9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other investments</w:t>
            </w:r>
          </w:p>
        </w:tc>
        <w:tc>
          <w:tcPr>
            <w:tcW w:w="220" w:type="dxa"/>
            <w:vAlign w:val="bottom"/>
            <w:shd w:val="clear" w:color="auto" w:fill="CCEEFF"/>
          </w:tcPr>
          <w:p>
            <w:pPr>
              <w:spacing w:after="0"/>
              <w:rPr>
                <w:sz w:val="22"/>
                <w:szCs w:val="22"/>
                <w:color w:val="auto"/>
              </w:rPr>
            </w:pPr>
          </w:p>
        </w:tc>
        <w:tc>
          <w:tcPr>
            <w:tcW w:w="92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4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(11,871)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(17,768)</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(30,435)</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338"/>
        </w:trPr>
        <w:tc>
          <w:tcPr>
            <w:tcW w:w="1300" w:type="dxa"/>
            <w:vAlign w:val="bottom"/>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(18,998)</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insurance premium financing</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collection of related party note receivable</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business combination</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79,969</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note payable</w:t>
            </w:r>
          </w:p>
        </w:tc>
        <w:tc>
          <w:tcPr>
            <w:tcW w:w="220" w:type="dxa"/>
            <w:vAlign w:val="bottom"/>
          </w:tcPr>
          <w:p>
            <w:pPr>
              <w:spacing w:after="0"/>
              <w:rPr>
                <w:sz w:val="23"/>
                <w:szCs w:val="23"/>
                <w:color w:val="auto"/>
              </w:rPr>
            </w:pPr>
          </w:p>
        </w:tc>
        <w:tc>
          <w:tcPr>
            <w:tcW w:w="9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Class B Units</w:t>
            </w:r>
          </w:p>
        </w:tc>
        <w:tc>
          <w:tcPr>
            <w:tcW w:w="220" w:type="dxa"/>
            <w:vAlign w:val="bottom"/>
            <w:shd w:val="clear" w:color="auto" w:fill="CCEEFF"/>
          </w:tcPr>
          <w:p>
            <w:pPr>
              <w:spacing w:after="0"/>
              <w:rPr>
                <w:sz w:val="22"/>
                <w:szCs w:val="22"/>
                <w:color w:val="auto"/>
              </w:rPr>
            </w:pPr>
          </w:p>
        </w:tc>
        <w:tc>
          <w:tcPr>
            <w:tcW w:w="92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4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48,103</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7"/>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3"/>
              </w:rPr>
              <w:t>5,767</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(39,194)</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 of year</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19,919</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end of year</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$ 34,350</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28,583</w:t>
            </w:r>
          </w:p>
        </w:tc>
        <w:tc>
          <w:tcPr>
            <w:tcW w:w="2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67,777</w:t>
            </w:r>
          </w:p>
        </w:tc>
        <w:tc>
          <w:tcPr>
            <w:tcW w:w="130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5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r>
      <w:tr>
        <w:trPr>
          <w:trHeight w:val="432"/>
        </w:trPr>
        <w:tc>
          <w:tcPr>
            <w:tcW w:w="1300" w:type="dxa"/>
            <w:vAlign w:val="bottom"/>
          </w:tcPr>
          <w:p>
            <w:pPr>
              <w:spacing w:after="0"/>
              <w:rPr>
                <w:sz w:val="24"/>
                <w:szCs w:val="24"/>
                <w:color w:val="auto"/>
              </w:rPr>
            </w:pPr>
          </w:p>
        </w:tc>
        <w:tc>
          <w:tcPr>
            <w:tcW w:w="7400" w:type="dxa"/>
            <w:vAlign w:val="bottom"/>
            <w:gridSpan w:val="11"/>
          </w:tcPr>
          <w:p>
            <w:pPr>
              <w:ind w:left="10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546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F-35</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5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5526405</wp:posOffset>
            </wp:positionH>
            <wp:positionV relativeFrom="paragraph">
              <wp:posOffset>-9385935</wp:posOffset>
            </wp:positionV>
            <wp:extent cx="13716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-9385935</wp:posOffset>
            </wp:positionV>
            <wp:extent cx="13716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-9385935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114" w:right="439" w:bottom="0" w:gutter="0" w:footer="0" w:header="0"/>
        </w:sectPr>
      </w:pPr>
    </w:p>
    <w:bookmarkStart w:id="179" w:name="page180"/>
    <w:bookmarkEnd w:id="1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7"/>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1"/>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7"/>
        </w:trPr>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0"/>
        </w:trPr>
        <w:tc>
          <w:tcPr>
            <w:tcW w:w="56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311"/>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(refunded from) paid for income taxes</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24"/>
        </w:trPr>
        <w:tc>
          <w:tcPr>
            <w:tcW w:w="56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7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equity for acquisitions</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$28,725</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29,312</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premium financing</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 assumed in connection with acquisition</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capitalized for software development</w:t>
            </w:r>
          </w:p>
        </w:tc>
        <w:tc>
          <w:tcPr>
            <w:tcW w:w="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$1,386</w:t>
            </w:r>
          </w:p>
        </w:tc>
        <w:tc>
          <w:tcPr>
            <w:tcW w:w="3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assets included in accounts payable and accrued expenses</w:t>
            </w:r>
          </w:p>
        </w:tc>
        <w:tc>
          <w:tcPr>
            <w:tcW w:w="7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$1,041</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Holdback liability recognized in connection with acquisition</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gridSpan w:val="2"/>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liability assumed from the Business Combination</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$193,978</w:t>
            </w:r>
          </w:p>
        </w:tc>
      </w:tr>
      <w:tr>
        <w:trPr>
          <w:trHeight w:val="252"/>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recognized in connection with the</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34"/>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Business Combination</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$128,567</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2"/>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 recognized in connection with the Business</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68"/>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Combination</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$151,255</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 assumed from the Business Combination</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-3136900</wp:posOffset>
            </wp:positionV>
            <wp:extent cx="20574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-3136900</wp:posOffset>
            </wp:positionV>
            <wp:extent cx="20574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-3136900</wp:posOffset>
            </wp:positionV>
            <wp:extent cx="10287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0" w:name="page181"/>
    <w:bookmarkEnd w:id="1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40" w:hanging="348"/>
        <w:spacing w:after="0"/>
        <w:tabs>
          <w:tab w:leader="none" w:pos="6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Organization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319"/>
        <w:spacing w:after="0" w:line="253" w:lineRule="auto"/>
        <w:rPr>
          <w:sz w:val="20"/>
          <w:szCs w:val="20"/>
          <w:color w:val="auto"/>
        </w:rPr>
      </w:pPr>
      <w:r>
        <w:rPr>
          <w:rFonts w:ascii="Times New Roman" w:cs="Times New Roman" w:eastAsia="Times New Roman" w:hAnsi="Times New Roman"/>
          <w:sz w:val="18"/>
          <w:szCs w:val="18"/>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the development of Weedmaps for Business, the Company offers an end-to-end platform for licensed cannabis retailers to comply with state law. The Company sells a monthly subscription offering to storefront, delivery and brand clients as well as upsell and add-on offerings to licensed clients. The Company also offers other add-on products for additional fees.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29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Legacy WMH was reorganized into an Up-C structure, in which substantially all of the assets and business of Legacy WMH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7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an accumulated deficit of $64.5 million. The Company has funded its operations primarily with customer payments for its services and proceeds from the issuance of common stock in connection with its initial public offering (IPO) and follow-on offering. As of December 31, 2023, the Company had cash of $34.4 million. The Company believes that its existing sources of liquidity will satisfy its working capital and capital requirements for at least the next twelve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1" w:name="page182"/>
    <w:bookmarkEnd w:id="1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GAAP and the rules and regulations of the Securities and Exchange Commission (“SEC”). The consolidated financial statements reflect all adjustments considered necessary for a fair presentation of the consolidated results of operations and financial position for the fiscal years presented. All such adjustments are of a normal recurring nature. Certain prior year amounts have been reclassified to conform to the current year presentation.</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Previously Reported 2023 Quarterly Revenue and Credit Losses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preparation of the Company's Consolidated Financial Statements as of and for the fiscal year ended December 31, 2023, the Company discovered that in 2023, it had an inadequate policy associated with its revenue recognition related to the cash collection of a certain subset of its customers that had been placed on cash basis in 2023. For these customers, because the determination had been made that there was significant collection risk and the Company had no ability to estimate the collectability of the consideration it was entitled to, revenue recognition was prohibited under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until cash was collected for the services that were provided. The Company refers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this situation as customers that have been placed on cash basis. As further discussed below, the Company misapplied this policy in each of the first three quarters of 2023 by failing to apply (in certain cases) cash receipts to prior accounts receivable (via a credit loss recovery) and instead recognized additional revenue for the cash receipt.</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recognizes revenue from contracts with customers under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Once the Company believes that it is no longer probable of collecting substantially all of the consideration to which it will be entitled in exchange for the goods or services transferred to the customer and as such is prohibited from recognizing revenue until it is probable that it will be entitled to all of the consideration. As such, when a customer with significant collection risk is identified, the Company fully reserves for all outstanding accounts receivable and records a credit loss for these receivables.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Initially, revenue for contracts that the Company assesses are not probable of collection is not recognized until the customer has paid or settled all outstanding accounts receivable balances.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When services are still provided to customers that have been identified with significant collection risk, the Company initially applies all payments received against the customers oldest invoices. However, if the Company continues to provide services to these customers for a significant period of time, cash collections have stabilized and other factors indicate it is appropriate, cash collections are assessed to determine if any of the on-going cash receipts should be accounted for as variable consideration under ASC 606 for on-going services instead of recovery of credit losses. To date, no material variable consideration has been recognized and after applying the corrections shown in the table below, all cash collections for these customers are reflected as recovery of credit losses.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Due to the inconsistency of the cash application related to the cash basis customers, and the prohibition on recognizing revenue when the Company does not believe it will receive the consideration it is entitled to, the Company had determined that it had improperly recognized revenue for these customers and should have instead recognized a credit loss recovery related to these cash receipts.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2" w:name="page183"/>
    <w:bookmarkEnd w:id="18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All periods presented below have been retrospectively restated to reflect the effects of the change to revenues and operating expenses. There was no impact to operating income (loss), net income (loss), net income (loss) per share, net cash provided by operating activities and adjusted EBITDA for any periods presented. The consolidated statement of equity is not affected by this restatement.</w:t>
      </w:r>
    </w:p>
    <w:p>
      <w:pPr>
        <w:spacing w:after="0" w:line="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operations for the periods ended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March 31, 2023, June 30, 2023 and September 30, 2023, as follows (in thousands):</w:t>
      </w:r>
    </w:p>
    <w:p>
      <w:pPr>
        <w:spacing w:after="0" w:line="200" w:lineRule="exact"/>
        <w:rPr>
          <w:sz w:val="20"/>
          <w:szCs w:val="20"/>
          <w:color w:val="auto"/>
        </w:rPr>
      </w:pPr>
    </w:p>
    <w:p>
      <w:pPr>
        <w:spacing w:after="0" w:line="257"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4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0" w:type="dxa"/>
            <w:vAlign w:val="bottom"/>
          </w:tcPr>
          <w:p>
            <w:pPr>
              <w:spacing w:after="0"/>
              <w:rPr>
                <w:sz w:val="1"/>
                <w:szCs w:val="1"/>
                <w:color w:val="auto"/>
              </w:rPr>
            </w:pPr>
          </w:p>
        </w:tc>
      </w:tr>
      <w:tr>
        <w:trPr>
          <w:trHeight w:val="51"/>
        </w:trPr>
        <w:tc>
          <w:tcPr>
            <w:tcW w:w="3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16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$48,007</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$46,416</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$22,500</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0" w:type="dxa"/>
            <w:vAlign w:val="bottom"/>
          </w:tcPr>
          <w:p>
            <w:pPr>
              <w:spacing w:after="0"/>
              <w:rPr>
                <w:sz w:val="23"/>
                <w:szCs w:val="23"/>
                <w:color w:val="auto"/>
              </w:rPr>
            </w:pPr>
          </w:p>
        </w:tc>
        <w:tc>
          <w:tcPr>
            <w:tcW w:w="94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$20,909</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$52,155</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$50,564</w:t>
            </w:r>
          </w:p>
        </w:tc>
        <w:tc>
          <w:tcPr>
            <w:tcW w:w="0" w:type="dxa"/>
            <w:vAlign w:val="bottom"/>
          </w:tcPr>
          <w:p>
            <w:pPr>
              <w:spacing w:after="0"/>
              <w:rPr>
                <w:sz w:val="1"/>
                <w:szCs w:val="1"/>
                <w:color w:val="auto"/>
              </w:rPr>
            </w:pPr>
          </w:p>
        </w:tc>
      </w:tr>
      <w:tr>
        <w:trPr>
          <w:trHeight w:val="598"/>
        </w:trPr>
        <w:tc>
          <w:tcPr>
            <w:tcW w:w="3160" w:type="dxa"/>
            <w:vAlign w:val="bottom"/>
          </w:tcPr>
          <w:p>
            <w:pPr>
              <w:spacing w:after="0"/>
              <w:rPr>
                <w:sz w:val="24"/>
                <w:szCs w:val="24"/>
                <w:color w:val="auto"/>
              </w:rPr>
            </w:pPr>
          </w:p>
        </w:tc>
        <w:tc>
          <w:tcPr>
            <w:tcW w:w="2660" w:type="dxa"/>
            <w:vAlign w:val="bottom"/>
            <w:gridSpan w:val="11"/>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0" w:type="dxa"/>
            <w:vAlign w:val="bottom"/>
          </w:tcPr>
          <w:p>
            <w:pPr>
              <w:spacing w:after="0"/>
              <w:rPr>
                <w:sz w:val="1"/>
                <w:szCs w:val="1"/>
                <w:color w:val="auto"/>
              </w:rPr>
            </w:pPr>
          </w:p>
        </w:tc>
      </w:tr>
      <w:tr>
        <w:trPr>
          <w:trHeight w:val="50"/>
        </w:trPr>
        <w:tc>
          <w:tcPr>
            <w:tcW w:w="3160" w:type="dxa"/>
            <w:vAlign w:val="bottom"/>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Borders>
              <w:bottom w:val="single" w:sz="8" w:color="auto"/>
            </w:tcBorders>
            <w:gridSpan w:val="3"/>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40" w:type="dxa"/>
            <w:vAlign w:val="bottom"/>
          </w:tcPr>
          <w:p>
            <w:pPr>
              <w:spacing w:after="0"/>
              <w:rPr>
                <w:sz w:val="16"/>
                <w:szCs w:val="16"/>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8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20" w:type="dxa"/>
            <w:vAlign w:val="bottom"/>
            <w:gridSpan w:val="4"/>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$50,852</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$(2,429)</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$48,423</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$98,859</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$(4,020)</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$94,839</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$19,208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$(2,429)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$16,779</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$41,708</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rPr>
              <w:t>$(4,020)</w:t>
            </w:r>
          </w:p>
        </w:tc>
        <w:tc>
          <w:tcPr>
            <w:tcW w:w="20" w:type="dxa"/>
            <w:vAlign w:val="bottom"/>
          </w:tcPr>
          <w:p>
            <w:pPr>
              <w:spacing w:after="0"/>
              <w:rPr>
                <w:sz w:val="23"/>
                <w:szCs w:val="23"/>
                <w:color w:val="auto"/>
              </w:rPr>
            </w:pPr>
          </w:p>
        </w:tc>
        <w:tc>
          <w:tcPr>
            <w:tcW w:w="94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$37,688</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$47,069</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$(2,429)</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$44,640</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$99,224</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$(4,020)</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$95,204</w:t>
            </w:r>
          </w:p>
        </w:tc>
        <w:tc>
          <w:tcPr>
            <w:tcW w:w="0" w:type="dxa"/>
            <w:vAlign w:val="bottom"/>
          </w:tcPr>
          <w:p>
            <w:pPr>
              <w:spacing w:after="0"/>
              <w:rPr>
                <w:sz w:val="1"/>
                <w:szCs w:val="1"/>
                <w:color w:val="auto"/>
              </w:rPr>
            </w:pPr>
          </w:p>
        </w:tc>
      </w:tr>
      <w:tr>
        <w:trPr>
          <w:trHeight w:val="598"/>
        </w:trPr>
        <w:tc>
          <w:tcPr>
            <w:tcW w:w="3160" w:type="dxa"/>
            <w:vAlign w:val="bottom"/>
          </w:tcPr>
          <w:p>
            <w:pPr>
              <w:spacing w:after="0"/>
              <w:rPr>
                <w:sz w:val="24"/>
                <w:szCs w:val="24"/>
                <w:color w:val="auto"/>
              </w:rPr>
            </w:pPr>
          </w:p>
        </w:tc>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50"/>
        </w:trPr>
        <w:tc>
          <w:tcPr>
            <w:tcW w:w="3160" w:type="dxa"/>
            <w:vAlign w:val="bottom"/>
          </w:tcPr>
          <w:p>
            <w:pPr>
              <w:spacing w:after="0"/>
              <w:rPr>
                <w:sz w:val="4"/>
                <w:szCs w:val="4"/>
                <w:color w:val="auto"/>
              </w:rPr>
            </w:pPr>
          </w:p>
        </w:tc>
        <w:tc>
          <w:tcPr>
            <w:tcW w:w="860" w:type="dxa"/>
            <w:vAlign w:val="bottom"/>
            <w:tcBorders>
              <w:bottom w:val="single" w:sz="8" w:color="auto"/>
            </w:tcBorders>
            <w:gridSpan w:val="4"/>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4"/>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20" w:type="dxa"/>
            <w:vAlign w:val="bottom"/>
            <w:gridSpan w:val="4"/>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$47,725</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7"/>
              </w:rPr>
              <w:t>$(1,038)</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$46,687</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$146,584</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$141,526</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$19,189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7"/>
              </w:rPr>
              <w:t>$(1,038)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$18,151</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$ 60,897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tcPr>
          <w:p>
            <w:pPr>
              <w:spacing w:after="0"/>
              <w:rPr>
                <w:sz w:val="23"/>
                <w:szCs w:val="23"/>
                <w:color w:val="auto"/>
              </w:rPr>
            </w:pPr>
          </w:p>
        </w:tc>
        <w:tc>
          <w:tcPr>
            <w:tcW w:w="94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$ 55,839</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4"/>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$53,273</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7"/>
              </w:rPr>
              <w:t>$(1,038)</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$52,235</w:t>
            </w: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8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$152,497</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shd w:val="clear" w:color="auto" w:fill="CCEEFF"/>
          </w:tcPr>
          <w:p>
            <w:pPr>
              <w:spacing w:after="0"/>
              <w:rPr>
                <w:sz w:val="23"/>
                <w:szCs w:val="23"/>
                <w:color w:val="auto"/>
              </w:rPr>
            </w:pPr>
          </w:p>
        </w:tc>
        <w:tc>
          <w:tcPr>
            <w:tcW w:w="94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$147,439</w:t>
            </w:r>
          </w:p>
        </w:tc>
        <w:tc>
          <w:tcPr>
            <w:tcW w:w="0" w:type="dxa"/>
            <w:vAlign w:val="bottom"/>
          </w:tcPr>
          <w:p>
            <w:pPr>
              <w:spacing w:after="0"/>
              <w:rPr>
                <w:sz w:val="1"/>
                <w:szCs w:val="1"/>
                <w:color w:val="auto"/>
              </w:rPr>
            </w:pPr>
          </w:p>
        </w:tc>
      </w:tr>
      <w:tr>
        <w:trPr>
          <w:trHeight w:val="54"/>
        </w:trPr>
        <w:tc>
          <w:tcPr>
            <w:tcW w:w="31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-3291205</wp:posOffset>
            </wp:positionV>
            <wp:extent cx="13716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4960620</wp:posOffset>
            </wp:positionH>
            <wp:positionV relativeFrom="paragraph">
              <wp:posOffset>-3291205</wp:posOffset>
            </wp:positionV>
            <wp:extent cx="13716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-3291205</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-1962150</wp:posOffset>
            </wp:positionV>
            <wp:extent cx="12001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-1962150</wp:posOffset>
            </wp:positionV>
            <wp:extent cx="12001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-1962150</wp:posOffset>
            </wp:positionV>
            <wp:extent cx="12001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-1962150</wp:posOffset>
            </wp:positionV>
            <wp:extent cx="12001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-1962150</wp:posOffset>
            </wp:positionV>
            <wp:extent cx="12001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-1962150</wp:posOffset>
            </wp:positionV>
            <wp:extent cx="6032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-633730</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5020945</wp:posOffset>
            </wp:positionH>
            <wp:positionV relativeFrom="paragraph">
              <wp:posOffset>-633730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-633730</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-633730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-633730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-633730</wp:posOffset>
            </wp:positionV>
            <wp:extent cx="342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Cash Flows for the periods ended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March 31, 2023, June 30, 2023 and September 30, 2023, as follows (in thousands):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588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58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5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$1,951</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$(1,591)</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360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8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   86</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$1,591</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$1,677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1"/>
        </w:trPr>
        <w:tc>
          <w:tcPr>
            <w:tcW w:w="13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300" w:type="dxa"/>
            <w:vAlign w:val="bottom"/>
          </w:tcPr>
          <w:p>
            <w:pPr>
              <w:spacing w:after="0"/>
              <w:rPr>
                <w:sz w:val="4"/>
                <w:szCs w:val="4"/>
                <w:color w:val="auto"/>
              </w:rPr>
            </w:pPr>
          </w:p>
        </w:tc>
        <w:tc>
          <w:tcPr>
            <w:tcW w:w="5880" w:type="dxa"/>
            <w:vAlign w:val="bottom"/>
          </w:tcPr>
          <w:p>
            <w:pPr>
              <w:spacing w:after="0"/>
              <w:rPr>
                <w:sz w:val="4"/>
                <w:szCs w:val="4"/>
                <w:color w:val="auto"/>
              </w:rPr>
            </w:pPr>
          </w:p>
        </w:tc>
        <w:tc>
          <w:tcPr>
            <w:tcW w:w="880" w:type="dxa"/>
            <w:vAlign w:val="bottom"/>
            <w:tcBorders>
              <w:bottom w:val="single" w:sz="8" w:color="auto"/>
            </w:tcBorders>
            <w:gridSpan w:val="3"/>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58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5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$ 3,605</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$(4,020)</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(415)</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8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$4,020</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$2,882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588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F-39</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5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5577840</wp:posOffset>
            </wp:positionH>
            <wp:positionV relativeFrom="paragraph">
              <wp:posOffset>-3042285</wp:posOffset>
            </wp:positionV>
            <wp:extent cx="12001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-3042285</wp:posOffset>
            </wp:positionV>
            <wp:extent cx="12001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-3042285</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-1379220</wp:posOffset>
            </wp:positionV>
            <wp:extent cx="12001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-1379220</wp:posOffset>
            </wp:positionV>
            <wp:extent cx="12001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-1379220</wp:posOffset>
            </wp:positionV>
            <wp:extent cx="6032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20"/>
          </w:cols>
          <w:pgMar w:left="440" w:top="263" w:right="439" w:bottom="946" w:gutter="0" w:footer="0" w:header="0"/>
        </w:sectPr>
      </w:pPr>
    </w:p>
    <w:bookmarkStart w:id="183" w:name="page184"/>
    <w:bookmarkEnd w:id="1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25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51"/>
        </w:trPr>
        <w:tc>
          <w:tcPr>
            <w:tcW w:w="5900" w:type="dxa"/>
            <w:vAlign w:val="bottom"/>
          </w:tcPr>
          <w:p>
            <w:pPr>
              <w:spacing w:after="0"/>
              <w:rPr>
                <w:sz w:val="4"/>
                <w:szCs w:val="4"/>
                <w:color w:val="auto"/>
              </w:rPr>
            </w:pPr>
          </w:p>
        </w:tc>
        <w:tc>
          <w:tcPr>
            <w:tcW w:w="800" w:type="dxa"/>
            <w:vAlign w:val="bottom"/>
            <w:tcBorders>
              <w:bottom w:val="single" w:sz="8" w:color="auto"/>
            </w:tcBorders>
            <w:gridSpan w:val="3"/>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90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590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9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$4,862</w:t>
            </w:r>
          </w:p>
        </w:tc>
        <w:tc>
          <w:tcPr>
            <w:tcW w:w="10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(196)</w:t>
            </w:r>
          </w:p>
        </w:tc>
        <w:tc>
          <w:tcPr>
            <w:tcW w:w="0" w:type="dxa"/>
            <w:vAlign w:val="bottom"/>
          </w:tcPr>
          <w:p>
            <w:pPr>
              <w:spacing w:after="0"/>
              <w:rPr>
                <w:sz w:val="1"/>
                <w:szCs w:val="1"/>
                <w:color w:val="auto"/>
              </w:rPr>
            </w:pPr>
          </w:p>
        </w:tc>
      </w:tr>
      <w:tr>
        <w:trPr>
          <w:trHeight w:val="54"/>
        </w:trPr>
        <w:tc>
          <w:tcPr>
            <w:tcW w:w="5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-934085</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-934085</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-934085</wp:posOffset>
            </wp:positionV>
            <wp:extent cx="342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2023, 2022 and 2021.</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Significant estimates made by management include, among others, the allowance for credit losses,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revenue recognition, performance and stock-based compensation and the recognition and disclosure of contingent liabilities.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Company operates in a relatively new industry where laws and regulations vary significantly by jurisdiction. Currently, thirty-nine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spacing w:after="0" w:line="8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geographic concentration of the Company’s clients makes the Company vulnerable to a downturn in the local markets. Historically, the Company’s business operations have been located primarily in the State of California. See Note 3, “Revenue from Contracts with Customers,” to these consolidated financial statements for additional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4" w:name="page185"/>
    <w:bookmarkEnd w:id="1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A receivable is recorded when an unconditional right to invoice and receive payment exists. Accounts receivable primarily include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Account balances are written off against the allowance when it is determined that it is probable that the receivable will not be recovered. The Company had allowance for credit losses of $8.7 million as of December 31, 2023 and $12.2 million of as of December 31, 2022, respectively.</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of December 31, 2023, no customer accounted for more than 10% of the total gross accounts receivable outstanding. As of December 31, 2022, a receivable due from one customer accounted for approximately 11% of the total gross accounts receivable outstanding.</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360" w:type="dxa"/>
            <w:vAlign w:val="bottom"/>
            <w:gridSpan w:val="1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60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6060" w:type="dxa"/>
            <w:vAlign w:val="bottom"/>
          </w:tcPr>
          <w:p>
            <w:pPr>
              <w:spacing w:after="0"/>
              <w:rPr>
                <w:sz w:val="19"/>
                <w:szCs w:val="19"/>
                <w:color w:val="auto"/>
              </w:rPr>
            </w:pPr>
          </w:p>
        </w:tc>
        <w:tc>
          <w:tcPr>
            <w:tcW w:w="5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1"/>
        </w:trPr>
        <w:tc>
          <w:tcPr>
            <w:tcW w:w="60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beginning of year</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$12,232</w:t>
            </w: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5,169</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credit losses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17,216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20" w:type="dxa"/>
            <w:vAlign w:val="bottom"/>
          </w:tcPr>
          <w:p>
            <w:pPr>
              <w:spacing w:after="0"/>
              <w:rPr>
                <w:sz w:val="23"/>
                <w:szCs w:val="23"/>
                <w:color w:val="auto"/>
              </w:rPr>
            </w:pPr>
          </w:p>
        </w:tc>
      </w:tr>
      <w:tr>
        <w:trPr>
          <w:trHeight w:val="54"/>
        </w:trPr>
        <w:tc>
          <w:tcPr>
            <w:tcW w:w="6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net of recoveries</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(10,153)</w:t>
            </w: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8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Allowance, end of year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$ 8,748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12,232</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5,169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-830580</wp:posOffset>
            </wp:positionV>
            <wp:extent cx="12001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-830580</wp:posOffset>
            </wp:positionV>
            <wp:extent cx="12001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-830580</wp:posOffset>
            </wp:positionV>
            <wp:extent cx="6032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Investments in equity securities that do not have a readily determinable fair value and qualify for the measurement alternative for equity investments provided in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are accounted for at cost, less any impairment, plus or minus changes resulting from observable price changes in orderly transactions for an identical or similar investment of the same issuer. As of December 31, 2022, the carrying value of the Company’s investments in equity securities without a readily determinable fair value was $3.5 million, which is recorded within other assets on the Company’s consolidated balance sheets.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performs a qualitative assessment at each reporting date to evaluate whether the investments in equity securities are impaired. When a qualitative assessment indicates that an investment is impaired, the investment is written down to its fair value. For the years ended December 31, 2023 and 2022, the Company recorded $3.5 million, $3.0 million, respectively, in impairment charges related to investments in equity securities. These impairment charges are included in asset impairment charges in the accompanying consolidated statements of operations. The Company did not have any impairment charges related to investments in equity securities. in 2021.</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amortization and asset impairment charges, and consist of internally developed software, computer equipment, furniture and fixtures and leasehold improvements. Depreciation is computed using the straight-line method over the estimated useful lives of the assets and generally over three years for computer equipment,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and amortization are removed from the accounts and any resulting gain or loss is reflected in the Company’s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5" w:name="page186"/>
    <w:bookmarkEnd w:id="1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For the year ended December 31, 2023, the Company recorded impairment charges of $3.9 million of which $2.7 million related to property and equipment associated with certain product offerings that were sunset in December 2023 and $1.3 million related to leasehold improvements associated with the impairment of a ROU asset both of which are included in asset impairment charges in the consolidated statements of operations. No impairments to property and equipment were recorded during the years ended December 31, 2022 and 2021.</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21"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Capitalized website and internal-use software development costs are included in property and equipment in the accompanying balance sheets. The Company capitalizes certain costs related to the development and enhancement of the Weedmaps platform and SaaS solutions when (i) the preliminary development project stage is completed,</w:t>
      </w:r>
    </w:p>
    <w:p>
      <w:pPr>
        <w:spacing w:after="0" w:line="1" w:lineRule="exact"/>
        <w:rPr>
          <w:sz w:val="20"/>
          <w:szCs w:val="20"/>
          <w:color w:val="auto"/>
        </w:rPr>
      </w:pPr>
    </w:p>
    <w:p>
      <w:pPr>
        <w:jc w:val="both"/>
        <w:ind w:left="300" w:right="299" w:hanging="8"/>
        <w:spacing w:after="0" w:line="251" w:lineRule="auto"/>
        <w:tabs>
          <w:tab w:leader="none" w:pos="59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authorized further funding for the completion of the project and (iii) it is probable that the project will be completed and performed as intended. These capitalized costs include personnel and related expenses for employees and costs of third-party contractors who are directly associated with and who devote time to internal-use software projects. Capitalization of these costs ceases once the project is substantially complete and the software is ready for its intended purpose.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amortized $7.7 million, $5.1 million and $0.1 million, respectively, of internal-use software development costs to subscription and support cost of revenues. For the years ended December 31, 2023 and 2022, the Company capitalized $13.1 million and $15.5 million of costs related to the development of software applications. At December 31, 2023 and 2022, the accumulated amortization of capitalized internal-use software development costs was $12.9 million and $5.1 million, respectively.</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or whenever events or circumstances indicate a likely reduction in the fair value of a reporting unit below its carrying amount such as changes in the business climate, poor indicators of operating performance or the sale or disposition of a significant portion of a reporting unit.</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The Company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 2021. See Note 9, “Goodwill and Intangible Assets,” to these consolidated financial statements for additional information.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6" w:name="page187"/>
    <w:bookmarkEnd w:id="1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operating leases consist of office space located primarily in the United States. The Company does not have any leases classified as financing leases. The Company classifies arrangements meeting the definition of a lease as operating or financing leases, and leases are recorded on the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The Company excludes short-term leases having initial terms of 12 months or less as an accounting policy election, and instead recognizes rent expense on a straight-line basis over the lease term.</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w:t>
      </w:r>
    </w:p>
    <w:p>
      <w:pPr>
        <w:spacing w:after="0" w:line="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2023, the Company recognized $10.9 million of ROU asset impairment charges driven by updated sublease assumptions for our second headquarter space in Los Angeles, California, pursuant to an operating lease that expires in 2031. In addition, the Company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impairment charges of ROU assets are included in asset impairment charges in the consolidated statements of operations. See Note 4, “Leases,” to these consolidated financial statements for additional information.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December 31, 2023,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7" w:name="page188"/>
    <w:bookmarkEnd w:id="1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7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evaluated the Warrants under ASC 815-40 </w:t>
      </w:r>
      <w:r>
        <w:rPr>
          <w:rFonts w:ascii="Times New Roman" w:cs="Times New Roman" w:eastAsia="Times New Roman" w:hAnsi="Times New Roman"/>
          <w:sz w:val="18"/>
          <w:szCs w:val="18"/>
          <w:i w:val="1"/>
          <w:iCs w:val="1"/>
          <w:color w:val="auto"/>
        </w:rPr>
        <w:t>- Derivatives and Hedging - Contracts in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and concluded they do not meet the criteria to be classified in stockholders’ equity. Specifically,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consolidated balance sheets at fair value, with subsequent changes in their respective fair values recognized in change in fair value of warrant liabilities within the consolidated statements of operations at each reporting date. See Note 12, “Warrant Liability,” to these consolidated financial statements for additional information.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tax receivable agreement (the “TRA”) with continuing members that provides for a payment to the continuing Class A Unit holders of 85% of the amount of tax benefits, if any, that the Company realizes, or is deemed to realize, as a result of redemptions or exchanges of Units (as defined below). In connection with such potential future tax benefits resulting from the Business Combination, and such subsequent redemptions and exchanges, the Company has established a deferred tax asset for the additional tax basis and a corresponding TRA liability of 85% of the expected benefit. The remaining 15% is recorded to additional paid-in capital.</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(expense), net on the consolidated statements of operations. See Note 16, “Income Taxes,” to these consolidated financial statements for additional information.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revenue when the fundamental criteria for revenue recognition are met.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recognizes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The transaction price reflects the amount the Company expects to receive for such goods, net of discounts. Discounts issued are primarily related to the Company’s WM Teal program, which stands for “Together for Equity Access and Legislation”, through which the Company provides discounts including free software, advertising, educational materials and training programs to applicants or licenses under social equity licensing programs. The Company provides a discount to license holders who were awarded special status by the state based on owner qualifications. These are typically given in new markets to add more diversity and inclusion in the cannabis space. A license’s social equity status is validated by the Company on the applicable state’s website. For the years ended December 31, 2023, 2022 and 2021, total discounts issued was $4.2 million, $4.5 million and $2.6 million, respectively. For clients that pay in advance for listing and other services, the Company records deferred revenue and recognizes revenue over the applicable subscription term.</w:t>
      </w:r>
    </w:p>
    <w:p>
      <w:pPr>
        <w:spacing w:after="0" w:line="8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Company’s revenues are derived primarily from monthly subscriptions to Weedmaps for Business, featured and deal listings and other WM Ad solutions. The Company’s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8" w:name="page189"/>
    <w:bookmarkEnd w:id="1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pricing tools. Other WM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84"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Note 3, “Revenue from Contracts with Customers,” to these consolidated financial statements for additional information.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Company’s cost of revenue primarily consists of web hosting, internet service costs, credit card processing costs and other third party services.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expenses the cost of advertising in the period incurred. Advertising expense totaled $11.8 million, $14.4 million and $17.7 million for the years ended December 31, 2023, 2022 and 2021, respectively, and are included in sales and marketing expense in the accompanying consolidated statements of operations.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 See Note 14, “Stock-based Compensation,” to these consolidated financial statements for additional information.</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401(k) saving plan is a tax-qualified deferred compensation arrangement under Section 401(k) of the Internal Revenue Code. Under the Company’s 401(k) plan, participating U.S. employees may contribute a portion of their eligible earnings, subject to applicable U.S. Internal Revenue Service and plan limits. The Company matches up to 3.5% of the employee’s eligible compensation, vested upon two years of service. For the years ended December 31, 2023, 2022 and 2021, the Company recognized $2.3 million, $2.4 million and $1.5 million, respectively, of expenses related to employer contributions for the Company’s 401(k) plan.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Other income (expense), net consists primarily of gain resulting from the discharge of a holdback obligation related to a prior acquisition, change in fair value of warrant liability and TRA liability remeasurement, political contributions, interest income, interest expense, financing fees and other tax related expenses. The Company recorded a non-cash gain of $3.7 million during the year ended December 31, 2023 resulting from the discharge of a holdback obligation related to a prior acquisition.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9" w:name="page190"/>
    <w:bookmarkEnd w:id="1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applicable to the periods in which the temporary differences are expected to reverse. Any effects of changes in income tax rates or laws are included in income tax expense in the period of enactment. A valuation allowance is recognized if the Company determines it is more-likely-than-not that all or a portion of a deferred tax asset will not be recognized. In making such determination, the Company considers all available evidence, including scheduled reversals of deferred tax liabilities, projected future taxable income, tax planning strategies and recent and expected future results of operation. See Note 16, “Income Taxes,” to these consolidated financial statements for additional information.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has identified one business segment which management also considers to be one reporting unit as the Company’s Executive Chair and Interim Chief Financial Officer allocate resources, assess performance and manage the businesses as one segment.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15, “Earnings Per Share,” for additional information on dilutive securities.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December 31, 2023, the Company had cash balances that exceeded the deposit insurance limit with five financial institutions. As of December 31, 2022, the Company had cash balances that exceeded the deposit insurance limit with four financial institutions. Management believes that the risk of loss is not significant and has not experienced any losses in such accounts.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 reviewed the accounting pronouncements that became effective for fiscal year 2023 and determined that either they were not applicable, or they did not have a material impact on the consolidated financial statements.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Accounting Standards Update (“ASU”)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xml:space="preserve"> requiring enhancements and further transparency to certain income tax disclosures, most notably the tax rate reconciliation and income taxes paid. This ASU is effective for fiscal years beginning after December 15, 2024 on a prospective basis and retrospective application is permitted. We are currently evaluating the impact of the adoption of this standard.</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also reviewed other recently issued accounting pronouncements to be adopted in future periods and determined that they are not expected to have a material impact on the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0" w:name="page191"/>
    <w:bookmarkEnd w:id="1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9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sells a monthly subscription offering to retailer and brand clients as well as upsell and add-on offerings to licensed clients. The Company’s current Weedmaps for Business monthly subscription package includes:</w:t>
      </w:r>
    </w:p>
    <w:p>
      <w:pPr>
        <w:spacing w:after="0" w:line="68" w:lineRule="exact"/>
        <w:rPr>
          <w:sz w:val="20"/>
          <w:szCs w:val="20"/>
          <w:color w:val="auto"/>
        </w:rPr>
      </w:pPr>
    </w:p>
    <w:p>
      <w:pPr>
        <w:jc w:val="both"/>
        <w:ind w:left="1000" w:right="299" w:hanging="348"/>
        <w:spacing w:after="0" w:line="261"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294"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also offers other add-on products for additional fees, including: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Ad solutions on the Weedmaps marketplace designed for clients to amplify their businesses and reach more highly engaged cannabis consumers throughout their buying journey including:</w:t>
      </w:r>
    </w:p>
    <w:p>
      <w:pPr>
        <w:sectPr>
          <w:pgSz w:w="11900" w:h="16838" w:orient="portrait"/>
          <w:cols w:equalWidth="0" w:num="1">
            <w:col w:w="9019"/>
          </w:cols>
          <w:pgMar w:left="1440" w:top="114" w:right="1440" w:bottom="1440" w:gutter="0" w:footer="0" w:header="0"/>
        </w:sectPr>
      </w:pP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pacing w:after="0" w:line="68"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68" w:lineRule="exact"/>
        <w:rPr>
          <w:sz w:val="20"/>
          <w:szCs w:val="20"/>
          <w:color w:val="auto"/>
        </w:rPr>
      </w:pPr>
    </w:p>
    <w:p>
      <w:pPr>
        <w:sectPr>
          <w:pgSz w:w="11900" w:h="16838" w:orient="portrait"/>
          <w:cols w:equalWidth="0" w:num="2">
            <w:col w:w="1080" w:space="280"/>
            <w:col w:w="7659"/>
          </w:cols>
          <w:pgMar w:left="1440" w:top="114" w:right="1440" w:bottom="1440" w:gutter="0" w:footer="0" w:header="0"/>
          <w:type w:val="continuous"/>
        </w:sectPr>
      </w:pPr>
    </w:p>
    <w:p>
      <w:pPr>
        <w:jc w:val="both"/>
        <w:ind w:left="1360" w:right="319" w:hanging="348"/>
        <w:spacing w:after="0" w:line="239" w:lineRule="auto"/>
        <w:tabs>
          <w:tab w:leader="none" w:pos="1360" w:val="left"/>
        </w:tabs>
        <w:numPr>
          <w:ilvl w:val="1"/>
          <w:numId w:val="1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Other WM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91" w:lineRule="exact"/>
        <w:rPr>
          <w:rFonts w:ascii="Times New Roman" w:cs="Times New Roman" w:eastAsia="Times New Roman" w:hAnsi="Times New Roman"/>
          <w:sz w:val="22"/>
          <w:szCs w:val="22"/>
          <w:color w:val="auto"/>
          <w:vertAlign w:val="superscript"/>
        </w:rPr>
      </w:pPr>
    </w:p>
    <w:p>
      <w:pPr>
        <w:jc w:val="both"/>
        <w:ind w:left="1000" w:right="319" w:hanging="348"/>
        <w:spacing w:after="0" w:line="266" w:lineRule="auto"/>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91" w:name="page192"/>
    <w:bookmarkEnd w:id="1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net revenue information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22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61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6180" w:type="dxa"/>
            <w:vAlign w:val="bottom"/>
          </w:tcPr>
          <w:p>
            <w:pPr>
              <w:spacing w:after="0"/>
              <w:rPr>
                <w:sz w:val="19"/>
                <w:szCs w:val="19"/>
                <w:color w:val="auto"/>
              </w:rPr>
            </w:pP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r>
      <w:tr>
        <w:trPr>
          <w:trHeight w:val="50"/>
        </w:trPr>
        <w:tc>
          <w:tcPr>
            <w:tcW w:w="61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Featured and deal listings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$126,546</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$149,621</w:t>
            </w:r>
          </w:p>
        </w:tc>
        <w:tc>
          <w:tcPr>
            <w:tcW w:w="10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$138,480</w:t>
            </w:r>
          </w:p>
        </w:tc>
      </w:tr>
      <w:tr>
        <w:trPr>
          <w:trHeight w:val="54"/>
        </w:trPr>
        <w:tc>
          <w:tcPr>
            <w:tcW w:w="6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Weedmaps for Business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46,730</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50,662</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42,611</w:t>
            </w:r>
          </w:p>
        </w:tc>
      </w:tr>
      <w:tr>
        <w:trPr>
          <w:trHeight w:val="61"/>
        </w:trPr>
        <w:tc>
          <w:tcPr>
            <w:tcW w:w="61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4"/>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173,276</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200,283</w:t>
            </w:r>
          </w:p>
        </w:tc>
        <w:tc>
          <w:tcPr>
            <w:tcW w:w="1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181,091</w:t>
            </w:r>
          </w:p>
        </w:tc>
      </w:tr>
      <w:tr>
        <w:trPr>
          <w:trHeight w:val="54"/>
        </w:trPr>
        <w:tc>
          <w:tcPr>
            <w:tcW w:w="6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6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 solutions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15,248</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w:t>
            </w:r>
          </w:p>
        </w:tc>
      </w:tr>
      <w:tr>
        <w:trPr>
          <w:trHeight w:val="61"/>
        </w:trPr>
        <w:tc>
          <w:tcPr>
            <w:tcW w:w="61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311"/>
        </w:trPr>
        <w:tc>
          <w:tcPr>
            <w:tcW w:w="6180" w:type="dxa"/>
            <w:vAlign w:val="bottom"/>
          </w:tcPr>
          <w:p>
            <w:pPr>
              <w:ind w:left="360"/>
              <w:spacing w:after="0" w:line="310" w:lineRule="exact"/>
              <w:rPr>
                <w:sz w:val="20"/>
                <w:szCs w:val="20"/>
                <w:color w:val="auto"/>
              </w:rPr>
            </w:pPr>
            <w:r>
              <w:rPr>
                <w:rFonts w:ascii="Times New Roman" w:cs="Times New Roman" w:eastAsia="Times New Roman" w:hAnsi="Times New Roman"/>
                <w:sz w:val="18"/>
                <w:szCs w:val="18"/>
                <w:color w:val="auto"/>
              </w:rPr>
              <w:t>Total net revenues</w:t>
            </w:r>
            <w:r>
              <w:rPr>
                <w:rFonts w:ascii="Times New Roman" w:cs="Times New Roman" w:eastAsia="Times New Roman" w:hAnsi="Times New Roman"/>
                <w:sz w:val="29"/>
                <w:szCs w:val="29"/>
                <w:color w:val="auto"/>
                <w:vertAlign w:val="superscript"/>
              </w:rPr>
              <w:t>1</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187,993</w:t>
            </w:r>
          </w:p>
        </w:tc>
        <w:tc>
          <w:tcPr>
            <w:tcW w:w="12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215,531</w:t>
            </w:r>
          </w:p>
        </w:tc>
        <w:tc>
          <w:tcPr>
            <w:tcW w:w="100" w:type="dxa"/>
            <w:vAlign w:val="bottom"/>
          </w:tcPr>
          <w:p>
            <w:pPr>
              <w:spacing w:after="0"/>
              <w:rPr>
                <w:sz w:val="24"/>
                <w:szCs w:val="24"/>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193,146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-1276985</wp:posOffset>
            </wp:positionV>
            <wp:extent cx="6858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-1276985</wp:posOffset>
            </wp:positionV>
            <wp:extent cx="6858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-1276985</wp:posOffset>
            </wp:positionV>
            <wp:extent cx="3429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jc w:val="both"/>
        <w:ind w:left="640" w:right="299" w:hanging="348"/>
        <w:spacing w:after="0" w:line="241" w:lineRule="auto"/>
        <w:tabs>
          <w:tab w:leader="none" w:pos="6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are net of discounts of $4.2 million in 2023, $4.5 million in 2022 and $2.6 million in 2021, primary related to the Company’s Teal program. See “Revenue Recognition” of Note 2, “Summary of Significant Accounting Policies” to the consolidated financial statements for further discussion.</w:t>
      </w:r>
    </w:p>
    <w:p>
      <w:pPr>
        <w:spacing w:after="0" w:line="31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subscription offerings, as described above, and is recognized as the revenue recognition criteria are met. The deferred revenue balance as of December 31, 2023 was $5.9 million and is expected to be fully recognized within the next twelve months. The deferred revenue balances as of December 31, 2022 and 2021 were $6.3 million and $8.1 million, respectively, and were fully recognized in the first quarter of the following fiscal year.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revenue has been generated in the United States for the years ended December 31, 2023, 2022 and 2021. For the year ended December 31, 2023, approximately 52% of the Company’s net revenue originated in California compared with 56% for the year ended December 31, 2022 and 61% for the year ended December 31, 2021.</w:t>
      </w:r>
    </w:p>
    <w:p>
      <w:pPr>
        <w:spacing w:after="0" w:line="176" w:lineRule="exact"/>
        <w:rPr>
          <w:sz w:val="20"/>
          <w:szCs w:val="20"/>
          <w:color w:val="auto"/>
        </w:rPr>
      </w:pPr>
    </w:p>
    <w:p>
      <w:pPr>
        <w:ind w:left="640" w:hanging="348"/>
        <w:spacing w:after="0"/>
        <w:tabs>
          <w:tab w:leader="none" w:pos="6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2021, the Company adopted ASC 842 -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using the modified retrospective transition approach for recording ROU assets and operating lease liabilities for its operating leases. The Company’s operating leases consist of office space located primarily in the United States. The Company does not have any leases classified as financing leases.</w:t>
      </w:r>
    </w:p>
    <w:p>
      <w:pPr>
        <w:spacing w:after="0" w:line="7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components of lease related costs, net for the years ended December 31, 2023, 2022 and 2021 are as follows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120" w:type="dxa"/>
            <w:vAlign w:val="bottom"/>
            <w:gridSpan w:val="8"/>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63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6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r>
      <w:tr>
        <w:trPr>
          <w:trHeight w:val="50"/>
        </w:trPr>
        <w:tc>
          <w:tcPr>
            <w:tcW w:w="63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$7,208</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$7,537</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$ 9,229</w:t>
            </w:r>
          </w:p>
        </w:tc>
      </w:tr>
      <w:tr>
        <w:trPr>
          <w:trHeight w:val="25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20" w:type="dxa"/>
            <w:vAlign w:val="bottom"/>
          </w:tcPr>
          <w:p>
            <w:pPr>
              <w:spacing w:after="0"/>
              <w:rPr>
                <w:sz w:val="22"/>
                <w:szCs w:val="22"/>
                <w:color w:val="auto"/>
              </w:rPr>
            </w:pPr>
          </w:p>
        </w:tc>
      </w:tr>
      <w:tr>
        <w:trPr>
          <w:trHeight w:val="61"/>
        </w:trPr>
        <w:tc>
          <w:tcPr>
            <w:tcW w:w="63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11,446</w:t>
            </w:r>
          </w:p>
        </w:tc>
      </w:tr>
      <w:tr>
        <w:trPr>
          <w:trHeight w:val="25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r>
        <w:trPr>
          <w:trHeight w:val="61"/>
        </w:trPr>
        <w:tc>
          <w:tcPr>
            <w:tcW w:w="63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cost, net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8,846</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9,074</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11,534</w:t>
            </w:r>
          </w:p>
        </w:tc>
      </w:tr>
      <w:tr>
        <w:trPr>
          <w:trHeight w:val="48"/>
        </w:trPr>
        <w:tc>
          <w:tcPr>
            <w:tcW w:w="63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-1079500</wp:posOffset>
            </wp:positionV>
            <wp:extent cx="15430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-1079500</wp:posOffset>
            </wp:positionV>
            <wp:extent cx="17145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-1079500</wp:posOffset>
            </wp:positionV>
            <wp:extent cx="8572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rent expense is included in general and administrative expense in the accompanying consolidated statements of operations. During the years ended December 31, 2023, 2022 and 2021, the Company made cash payments of $9.9 million, $9.6 million and $8.2 million respectively, on its operating leases, all of which were included in cash flows from operating activities within the consolidated statements of cash flows.</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Sublease rental income is recognized as a reduction to the related lease expense on a straight-line basis over the sublease term. For the years ended December 31, 2023, 2022 and 2021, the Company recorded rent income related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014" w:gutter="0" w:footer="0" w:header="0"/>
        </w:sectPr>
      </w:pPr>
    </w:p>
    <w:bookmarkStart w:id="192" w:name="page193"/>
    <w:bookmarkEnd w:id="1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 a sublease of $2.2 million, $1.9 million and $0.2 million, respectively. In 2022, the Company entered into a sublease agreement with an affiliate of the Executive Chair. The sublease commenced on June 1, 2022, and the term is for the remainder of the original lease and will expire on February 28, 2025, or sooner in the event that the original lease is cancelled prior to the expiration date. See Note 17, “Related Party Transactions,” to these consolidated financial statements for additional information.</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December 31, 2023, future minimum payments for the next five years and thereafter are as follows (in thousands):</w:t>
      </w: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90"/>
        </w:trPr>
        <w:tc>
          <w:tcPr>
            <w:tcW w:w="7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50"/>
        </w:trPr>
        <w:tc>
          <w:tcPr>
            <w:tcW w:w="77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61"/>
        </w:trPr>
        <w:tc>
          <w:tcPr>
            <w:tcW w:w="7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84"/>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
        </w:trPr>
        <w:tc>
          <w:tcPr>
            <w:tcW w:w="772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7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(11,923)</w:t>
            </w:r>
          </w:p>
        </w:tc>
      </w:tr>
      <w:tr>
        <w:trPr>
          <w:trHeight w:val="75"/>
        </w:trPr>
        <w:tc>
          <w:tcPr>
            <w:tcW w:w="77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83"/>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-2091055</wp:posOffset>
            </wp:positionV>
            <wp:extent cx="13716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of December 31, 2023 and 2022, the Company’s operating leases had a weighted average remaining lease term of 6.3 years and 6.8 years and a weighted-average discount rate of 9.8%. The Company’s lease agreements do not provide an implicit rate and as a result,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2023, the Company recognized a ROU asset impairment charge of $10.9 million and impairment of related leasehold improvements of $1.3 million, driven by updated sublease assumptions for our second headquarter space in Los Angeles, California, pursuant to an operating lease that expires in 2031. In addition, the Company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 The ROU impairment charges are included in asset impairment charges in the consolidated statements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3" w:name="page194"/>
    <w:bookmarkEnd w:id="1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has minimum outstanding purchase obligations of $7.1 million in 2024, $7.3 million in 2025 and $7.5 million in 2026, due under software license agreements, of which the majority relates to the Company’s three-year AWS Enterprise agreement.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Termination Costs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Company approved plans to reduce the workforce based on cost-reduction initiatives intended to reduce operating expenses and sharpen the Company’s focus on key growth priorities. The Company also incurred termination costs related to the departures of the Company’s former executives.</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provides a roll forward of employee termination costs:</w:t>
      </w:r>
    </w:p>
    <w:p>
      <w:pPr>
        <w:spacing w:after="0" w:line="200" w:lineRule="exact"/>
        <w:rPr>
          <w:sz w:val="20"/>
          <w:szCs w:val="20"/>
          <w:color w:val="auto"/>
        </w:rPr>
      </w:pPr>
    </w:p>
    <w:p>
      <w:pPr>
        <w:spacing w:after="0" w:line="24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Employee</w:t>
            </w:r>
          </w:p>
        </w:tc>
      </w:tr>
      <w:tr>
        <w:trPr>
          <w:trHeight w:val="190"/>
        </w:trPr>
        <w:tc>
          <w:tcPr>
            <w:tcW w:w="7280" w:type="dxa"/>
            <w:vAlign w:val="bottom"/>
          </w:tcPr>
          <w:p>
            <w:pPr>
              <w:spacing w:after="0"/>
              <w:rPr>
                <w:sz w:val="16"/>
                <w:szCs w:val="16"/>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Costs</w:t>
            </w:r>
          </w:p>
        </w:tc>
      </w:tr>
      <w:tr>
        <w:trPr>
          <w:trHeight w:val="50"/>
        </w:trPr>
        <w:tc>
          <w:tcPr>
            <w:tcW w:w="72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r>
        <w:trPr>
          <w:trHeight w:val="311"/>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employee termination costs, January 1, 2022</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Employee termination costs - severance and other cash costs</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7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18"/>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paid</w:t>
            </w:r>
          </w:p>
        </w:tc>
        <w:tc>
          <w:tcPr>
            <w:tcW w:w="3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240" w:type="dxa"/>
            <w:vAlign w:val="bottom"/>
            <w:tcBorders>
              <w:bottom w:val="single" w:sz="8" w:color="CCEEFF"/>
            </w:tcBorders>
            <w:shd w:val="clear" w:color="auto" w:fill="CCEEFF"/>
          </w:tcPr>
          <w:p>
            <w:pPr>
              <w:spacing w:after="0"/>
              <w:rPr>
                <w:sz w:val="24"/>
                <w:szCs w:val="24"/>
                <w:color w:val="auto"/>
              </w:rPr>
            </w:pPr>
          </w:p>
        </w:tc>
      </w:tr>
      <w:tr>
        <w:trPr>
          <w:trHeight w:val="28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Unpaid employee termination costs, December 31, 2022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3,646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4"/>
        </w:trPr>
        <w:tc>
          <w:tcPr>
            <w:tcW w:w="7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termination costs - severance and other cash costs</w:t>
            </w:r>
          </w:p>
        </w:tc>
        <w:tc>
          <w:tcPr>
            <w:tcW w:w="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paid</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40" w:type="dxa"/>
            <w:vAlign w:val="bottom"/>
          </w:tcPr>
          <w:p>
            <w:pPr>
              <w:spacing w:after="0"/>
              <w:rPr>
                <w:sz w:val="23"/>
                <w:szCs w:val="23"/>
                <w:color w:val="auto"/>
              </w:rPr>
            </w:pPr>
          </w:p>
        </w:tc>
      </w:tr>
      <w:tr>
        <w:trPr>
          <w:trHeight w:val="48"/>
        </w:trPr>
        <w:tc>
          <w:tcPr>
            <w:tcW w:w="7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84"/>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employee termination costs, December 31, 2023</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7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4694555</wp:posOffset>
            </wp:positionH>
            <wp:positionV relativeFrom="paragraph">
              <wp:posOffset>-1490980</wp:posOffset>
            </wp:positionV>
            <wp:extent cx="12001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13"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Employee termination costs are included in general and administrative expenses on the consolidated statements of operations.</w:t>
      </w:r>
    </w:p>
    <w:p>
      <w:pPr>
        <w:spacing w:after="0" w:line="158" w:lineRule="exact"/>
        <w:rPr>
          <w:sz w:val="20"/>
          <w:szCs w:val="20"/>
          <w:color w:val="auto"/>
        </w:rPr>
      </w:pPr>
    </w:p>
    <w:p>
      <w:pPr>
        <w:ind w:left="640" w:hanging="348"/>
        <w:spacing w:after="0"/>
        <w:tabs>
          <w:tab w:leader="none" w:pos="6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ind w:left="300" w:right="299"/>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w:t>
      </w:r>
    </w:p>
    <w:p>
      <w:pPr>
        <w:spacing w:after="0" w:line="5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1000" w:right="299" w:hanging="348"/>
        <w:spacing w:after="0" w:line="266"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the Company assessment of the assumptions that market participants would use in pricing the asset or liability.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4" w:name="page195"/>
    <w:bookmarkEnd w:id="19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December 31, 2023 and 2022, and indicates the fair value hierarchy of the valuation inputs the Company utilized to determine such fair value (in thousands):</w:t>
      </w:r>
    </w:p>
    <w:p>
      <w:pPr>
        <w:spacing w:after="0" w:line="200" w:lineRule="exact"/>
        <w:rPr>
          <w:sz w:val="20"/>
          <w:szCs w:val="20"/>
          <w:color w:val="auto"/>
        </w:rPr>
      </w:pPr>
    </w:p>
    <w:p>
      <w:pPr>
        <w:spacing w:after="0" w:line="226"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7"/>
        </w:trPr>
        <w:tc>
          <w:tcPr>
            <w:tcW w:w="53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284"/>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r>
      <w:tr>
        <w:trPr>
          <w:trHeight w:val="257"/>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$1,250</w:t>
            </w:r>
          </w:p>
        </w:tc>
      </w:tr>
      <w:tr>
        <w:trPr>
          <w:trHeight w:val="40"/>
        </w:trPr>
        <w:tc>
          <w:tcPr>
            <w:tcW w:w="5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90"/>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340" w:type="dxa"/>
            <w:vAlign w:val="bottom"/>
            <w:tcBorders>
              <w:bottom w:val="single" w:sz="8" w:color="CCEEFF"/>
            </w:tcBorders>
            <w:shd w:val="clear" w:color="auto" w:fill="CCEEFF"/>
          </w:tcPr>
          <w:p>
            <w:pPr>
              <w:spacing w:after="0"/>
              <w:rPr>
                <w:sz w:val="24"/>
                <w:szCs w:val="24"/>
                <w:color w:val="auto"/>
              </w:rPr>
            </w:pPr>
          </w:p>
        </w:tc>
      </w:tr>
      <w:tr>
        <w:trPr>
          <w:trHeight w:val="257"/>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warrant liability</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585</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2,090</w:t>
            </w:r>
          </w:p>
        </w:tc>
      </w:tr>
      <w:tr>
        <w:trPr>
          <w:trHeight w:val="20"/>
        </w:trPr>
        <w:tc>
          <w:tcPr>
            <w:tcW w:w="5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5320665</wp:posOffset>
            </wp:positionH>
            <wp:positionV relativeFrom="paragraph">
              <wp:posOffset>-762000</wp:posOffset>
            </wp:positionV>
            <wp:extent cx="10287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-762000</wp:posOffset>
            </wp:positionV>
            <wp:extent cx="11176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-762000</wp:posOffset>
            </wp:positionV>
            <wp:extent cx="6032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tables summarize the changes in the fair value of the warrant liabilities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40" w:type="dxa"/>
            <w:vAlign w:val="bottom"/>
            <w:gridSpan w:val="21"/>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0" w:type="dxa"/>
            <w:vAlign w:val="bottom"/>
          </w:tcPr>
          <w:p>
            <w:pPr>
              <w:spacing w:after="0"/>
              <w:rPr>
                <w:sz w:val="1"/>
                <w:szCs w:val="1"/>
                <w:color w:val="auto"/>
              </w:rPr>
            </w:pPr>
          </w:p>
        </w:tc>
      </w:tr>
      <w:tr>
        <w:trPr>
          <w:trHeight w:val="37"/>
        </w:trPr>
        <w:tc>
          <w:tcPr>
            <w:tcW w:w="5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7"/>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37"/>
        </w:trPr>
        <w:tc>
          <w:tcPr>
            <w:tcW w:w="57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72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w:t>
            </w: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$ 840</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$ 2,090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7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90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(630)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34"/>
        </w:trPr>
        <w:tc>
          <w:tcPr>
            <w:tcW w:w="5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7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375</w:t>
            </w:r>
          </w:p>
        </w:tc>
        <w:tc>
          <w:tcPr>
            <w:tcW w:w="40" w:type="dxa"/>
            <w:vAlign w:val="bottom"/>
            <w:shd w:val="clear" w:color="auto" w:fill="CCEEFF"/>
          </w:tcPr>
          <w:p>
            <w:pPr>
              <w:spacing w:after="0"/>
              <w:rPr>
                <w:sz w:val="23"/>
                <w:szCs w:val="23"/>
                <w:color w:val="auto"/>
              </w:rPr>
            </w:pP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$ 210</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98"/>
        </w:trPr>
        <w:tc>
          <w:tcPr>
            <w:tcW w:w="5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gridSpan w:val="21"/>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0" w:type="dxa"/>
            <w:vAlign w:val="bottom"/>
          </w:tcPr>
          <w:p>
            <w:pPr>
              <w:spacing w:after="0"/>
              <w:rPr>
                <w:sz w:val="1"/>
                <w:szCs w:val="1"/>
                <w:color w:val="auto"/>
              </w:rPr>
            </w:pPr>
          </w:p>
        </w:tc>
      </w:tr>
      <w:tr>
        <w:trPr>
          <w:trHeight w:val="37"/>
        </w:trPr>
        <w:tc>
          <w:tcPr>
            <w:tcW w:w="57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9"/>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60" w:type="dxa"/>
            <w:vAlign w:val="bottom"/>
          </w:tcPr>
          <w:p>
            <w:pPr>
              <w:spacing w:after="0"/>
              <w:rPr>
                <w:sz w:val="16"/>
                <w:szCs w:val="16"/>
                <w:color w:val="auto"/>
              </w:rPr>
            </w:pPr>
          </w:p>
        </w:tc>
        <w:tc>
          <w:tcPr>
            <w:tcW w:w="76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20" w:type="dxa"/>
            <w:vAlign w:val="bottom"/>
          </w:tcPr>
          <w:p>
            <w:pPr>
              <w:spacing w:after="0"/>
              <w:rPr>
                <w:sz w:val="16"/>
                <w:szCs w:val="16"/>
                <w:color w:val="auto"/>
              </w:rPr>
            </w:pPr>
          </w:p>
        </w:tc>
        <w:tc>
          <w:tcPr>
            <w:tcW w:w="72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37"/>
        </w:trPr>
        <w:tc>
          <w:tcPr>
            <w:tcW w:w="57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$ 16,750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7"/>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$10,710</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$ 27,460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(15,500)</w:t>
            </w:r>
          </w:p>
        </w:tc>
        <w:tc>
          <w:tcPr>
            <w:tcW w:w="40" w:type="dxa"/>
            <w:vAlign w:val="bottom"/>
          </w:tcPr>
          <w:p>
            <w:pPr>
              <w:spacing w:after="0"/>
              <w:rPr>
                <w:sz w:val="22"/>
                <w:szCs w:val="22"/>
                <w:color w:val="auto"/>
              </w:rPr>
            </w:pPr>
          </w:p>
        </w:tc>
        <w:tc>
          <w:tcPr>
            <w:tcW w:w="9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57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1,250</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840</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2,090</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5569585</wp:posOffset>
            </wp:positionH>
            <wp:positionV relativeFrom="paragraph">
              <wp:posOffset>-1979295</wp:posOffset>
            </wp:positionV>
            <wp:extent cx="18859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-1979295</wp:posOffset>
            </wp:positionV>
            <wp:extent cx="18859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4489450</wp:posOffset>
            </wp:positionH>
            <wp:positionV relativeFrom="paragraph">
              <wp:posOffset>-1979295</wp:posOffset>
            </wp:positionV>
            <wp:extent cx="939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-607695</wp:posOffset>
            </wp:positionV>
            <wp:extent cx="17145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-607695</wp:posOffset>
            </wp:positionV>
            <wp:extent cx="17145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-607695</wp:posOffset>
            </wp:positionV>
            <wp:extent cx="8572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Public Warrants, based on the publicly listed trading price of such warrants as of the valuation date. Accordingly, the Public Warrants are classified as Level 1 financial instruments.</w:t>
      </w: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1300" w:right="1300"/>
        <w:spacing w:after="0" w:line="253"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84"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00" w:type="dxa"/>
            <w:vAlign w:val="bottom"/>
          </w:tcPr>
          <w:p>
            <w:pPr>
              <w:spacing w:after="0"/>
              <w:rPr>
                <w:sz w:val="16"/>
                <w:szCs w:val="16"/>
                <w:color w:val="auto"/>
              </w:rPr>
            </w:pPr>
          </w:p>
        </w:tc>
      </w:tr>
      <w:tr>
        <w:trPr>
          <w:trHeight w:val="37"/>
        </w:trPr>
        <w:tc>
          <w:tcPr>
            <w:tcW w:w="1300" w:type="dxa"/>
            <w:vAlign w:val="bottom"/>
          </w:tcPr>
          <w:p>
            <w:pPr>
              <w:spacing w:after="0"/>
              <w:rPr>
                <w:sz w:val="3"/>
                <w:szCs w:val="3"/>
                <w:color w:val="auto"/>
              </w:rPr>
            </w:pPr>
          </w:p>
        </w:tc>
        <w:tc>
          <w:tcPr>
            <w:tcW w:w="2800" w:type="dxa"/>
            <w:vAlign w:val="bottom"/>
            <w:tcBorders>
              <w:bottom w:val="single" w:sz="8" w:color="CCEEFF"/>
            </w:tcBorders>
          </w:tcPr>
          <w:p>
            <w:pPr>
              <w:spacing w:after="0"/>
              <w:rPr>
                <w:sz w:val="3"/>
                <w:szCs w:val="3"/>
                <w:color w:val="auto"/>
              </w:rPr>
            </w:pPr>
          </w:p>
        </w:tc>
        <w:tc>
          <w:tcPr>
            <w:tcW w:w="308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300" w:type="dxa"/>
            <w:vAlign w:val="bottom"/>
          </w:tcPr>
          <w:p>
            <w:pPr>
              <w:spacing w:after="0"/>
              <w:rPr>
                <w:sz w:val="3"/>
                <w:szCs w:val="3"/>
                <w:color w:val="auto"/>
              </w:rPr>
            </w:pPr>
          </w:p>
        </w:tc>
      </w:tr>
      <w:tr>
        <w:trPr>
          <w:trHeight w:val="284"/>
        </w:trPr>
        <w:tc>
          <w:tcPr>
            <w:tcW w:w="1300" w:type="dxa"/>
            <w:vAlign w:val="bottom"/>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426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$11.50</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0.72</w:t>
            </w:r>
          </w:p>
        </w:tc>
        <w:tc>
          <w:tcPr>
            <w:tcW w:w="1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w:t>
            </w:r>
          </w:p>
        </w:tc>
        <w:tc>
          <w:tcPr>
            <w:tcW w:w="1300" w:type="dxa"/>
            <w:vAlign w:val="bottom"/>
          </w:tcPr>
          <w:p>
            <w:pPr>
              <w:spacing w:after="0"/>
              <w:rPr>
                <w:sz w:val="22"/>
                <w:szCs w:val="22"/>
                <w:color w:val="auto"/>
              </w:rPr>
            </w:pPr>
          </w:p>
        </w:tc>
      </w:tr>
      <w:tr>
        <w:trPr>
          <w:trHeight w:val="41"/>
        </w:trPr>
        <w:tc>
          <w:tcPr>
            <w:tcW w:w="130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0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82.3%</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30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3.46</w:t>
            </w:r>
          </w:p>
        </w:tc>
        <w:tc>
          <w:tcPr>
            <w:tcW w:w="1300" w:type="dxa"/>
            <w:vAlign w:val="bottom"/>
          </w:tcPr>
          <w:p>
            <w:pPr>
              <w:spacing w:after="0"/>
              <w:rPr>
                <w:sz w:val="22"/>
                <w:szCs w:val="22"/>
                <w:color w:val="auto"/>
              </w:rPr>
            </w:pPr>
          </w:p>
        </w:tc>
      </w:tr>
      <w:tr>
        <w:trPr>
          <w:trHeight w:val="41"/>
        </w:trPr>
        <w:tc>
          <w:tcPr>
            <w:tcW w:w="130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1"/>
        </w:trPr>
        <w:tc>
          <w:tcPr>
            <w:tcW w:w="1300" w:type="dxa"/>
            <w:vAlign w:val="bottom"/>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4.17%</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560" w:type="dxa"/>
            <w:vAlign w:val="bottom"/>
            <w:gridSpan w:val="2"/>
          </w:tcPr>
          <w:p>
            <w:pPr>
              <w:jc w:val="right"/>
              <w:ind w:right="1908"/>
              <w:spacing w:after="0"/>
              <w:rPr>
                <w:sz w:val="20"/>
                <w:szCs w:val="20"/>
                <w:color w:val="auto"/>
              </w:rPr>
            </w:pPr>
            <w:r>
              <w:rPr>
                <w:rFonts w:ascii="Times New Roman" w:cs="Times New Roman" w:eastAsia="Times New Roman" w:hAnsi="Times New Roman"/>
                <w:sz w:val="18"/>
                <w:szCs w:val="18"/>
                <w:color w:val="auto"/>
              </w:rPr>
              <w:t>F-51</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5303520</wp:posOffset>
            </wp:positionH>
            <wp:positionV relativeFrom="paragraph">
              <wp:posOffset>-1379220</wp:posOffset>
            </wp:positionV>
            <wp:extent cx="10287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-1379220</wp:posOffset>
            </wp:positionV>
            <wp:extent cx="5143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020"/>
          </w:cols>
          <w:pgMar w:left="440" w:top="263" w:right="439" w:bottom="501" w:gutter="0" w:footer="0" w:header="0"/>
        </w:sectPr>
      </w:pPr>
    </w:p>
    <w:bookmarkStart w:id="195" w:name="page196"/>
    <w:bookmarkEnd w:id="1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Significant changes in the volatility would result in a significant lower or higher fair value measurement, respectively.</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were no transfers in or out of Level 3 from other levels in the fair value hierarchy.</w:t>
      </w:r>
    </w:p>
    <w:p>
      <w:pPr>
        <w:spacing w:after="0" w:line="221" w:lineRule="exact"/>
        <w:rPr>
          <w:sz w:val="20"/>
          <w:szCs w:val="20"/>
          <w:color w:val="auto"/>
        </w:rPr>
      </w:pPr>
    </w:p>
    <w:p>
      <w:pPr>
        <w:ind w:left="640" w:hanging="348"/>
        <w:spacing w:after="0"/>
        <w:tabs>
          <w:tab w:leader="none" w:pos="64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Accordingly, for accounting purposes, the Reverse Recapitalization was treated as the equivalent of Legacy WMH issuing stock for the net assets of Silver Spike, accompanied by a recapitalization.</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Legacy WMH was determined to be the accounting acquirer based on evaluation of the following facts and circumstances:</w:t>
      </w:r>
    </w:p>
    <w:p>
      <w:pPr>
        <w:spacing w:after="0" w:line="54" w:lineRule="exact"/>
        <w:rPr>
          <w:sz w:val="20"/>
          <w:szCs w:val="20"/>
          <w:color w:val="auto"/>
        </w:rPr>
      </w:pPr>
    </w:p>
    <w:p>
      <w:pPr>
        <w:ind w:left="1000" w:right="319" w:hanging="348"/>
        <w:spacing w:after="0" w:line="282"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Class A Unit holders, through their ownership of the Class V Common Stock, had the greatest voting interest in the Company with over 50% of the voting interest;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selected the majority of the new board of directors of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senior management was the senior management of the Company;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was the larger entity based on historical operating activity and had the larger employee base.</w:t>
      </w:r>
    </w:p>
    <w:p>
      <w:pPr>
        <w:spacing w:after="0" w:line="5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Thus, the financial statements included in this annual report reflect (i) the historical operating results of Legacy WMH prior to the Business Combination; (ii) the combined results of the WMH LLC and Silver Spike following the Business Combination; and (iii) the acquired assets and liabilities of Silver Spike stated at historical cost, with no goodwill or other intangible assets recorded.</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connection with the Closing, the following occurred:</w:t>
      </w:r>
    </w:p>
    <w:p>
      <w:pPr>
        <w:spacing w:after="0" w:line="117" w:lineRule="exact"/>
        <w:rPr>
          <w:sz w:val="20"/>
          <w:szCs w:val="20"/>
          <w:color w:val="auto"/>
        </w:rPr>
      </w:pPr>
    </w:p>
    <w:p>
      <w:pPr>
        <w:ind w:left="1000" w:right="319" w:hanging="348"/>
        <w:spacing w:after="0" w:line="282" w:lineRule="auto"/>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 Spike was domesticated and continues as a Delaware corporation, changing its name to “WM Technology, Inc.”</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contributed approximately $80.3 million of cash to WMH LLC, representing (a) the net amount held in the Company’s trust account following the redemption of 10,012 shares of Class A Common Stock originally sold in the Silver Spike’s initial public offering, less (b) cash consideration of $455.2 million paid to Legacy WMH Class A equity holders, plus (c) $325.0 million in aggregate proceeds from the PIPE Financing, less (d) the aggregate amount of transaction expenses incurred by the parties to the Business Combination Agreement.</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transferred $455.2 million to the Legacy WMH equity holders as cash consideration.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WMH equity holders retained an aggregate of 65,502,347 Class A Units and 25,896,042 Class P Units.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65,502,347 shares of Class V Common Stock to Class A Unit holders, representing the same number of Class A Units retained by the Legacy WMH equity holders.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89" w:lineRule="auto"/>
        <w:tabs>
          <w:tab w:leader="none" w:pos="100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the Holder Representative and the Class A Unit holders entered into the TRA, pursuant to which WM Technology, Inc. will pay to WMH LLC Class A equity holders 85% of the net income tax savings that WM Technology, Inc. actually realizes as a result of increases in the tax basis of WMH LLC’s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6" w:name="page197"/>
    <w:bookmarkEnd w:id="1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assets as a result of the exchange of Units for cash in the Business Combination and future exchanges of the Class A Units for shares of Class A Common Stock or cash pursuant to the Exchange Agreement, and certain other tax attributes of WMH LLC and tax benefits related to the TRA, including tax benefits attributable to payments under the TRA.</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(as defined in Note 14, “Stock-based Compensation” to our consolidated financial statements included herein),for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elements of the Business Combination to the consolidated statements of cash flows and the consolidated statements of equity for the year ended December 31, 2021 (in thousands):</w:t>
      </w: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Business</w:t>
            </w:r>
          </w:p>
        </w:tc>
      </w:tr>
      <w:tr>
        <w:trPr>
          <w:trHeight w:val="190"/>
        </w:trPr>
        <w:tc>
          <w:tcPr>
            <w:tcW w:w="7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Combination</w:t>
            </w:r>
          </w:p>
        </w:tc>
      </w:tr>
      <w:tr>
        <w:trPr>
          <w:trHeight w:val="37"/>
        </w:trPr>
        <w:tc>
          <w:tcPr>
            <w:tcW w:w="72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1"/>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Silver Spike trust and cash, net of redemptions</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$ 254,203</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Cash - PIPE Financing</w:t>
            </w:r>
          </w:p>
        </w:tc>
        <w:tc>
          <w:tcPr>
            <w:tcW w:w="11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325,000</w:t>
            </w:r>
          </w:p>
        </w:tc>
        <w:tc>
          <w:tcPr>
            <w:tcW w:w="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consideration paid to Legacy WMH equity holders</w:t>
            </w:r>
          </w:p>
        </w:tc>
        <w:tc>
          <w:tcPr>
            <w:tcW w:w="11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(455,182)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2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transaction costs and advisory fees</w:t>
            </w: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(44,052)</w:t>
            </w:r>
          </w:p>
        </w:tc>
      </w:tr>
      <w:tr>
        <w:trPr>
          <w:trHeight w:val="48"/>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7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the Business Combination</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79,969</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initial fair value of warrant liability recognized in the Business Combination</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(193,978)</w:t>
            </w:r>
          </w:p>
        </w:tc>
        <w:tc>
          <w:tcPr>
            <w:tcW w:w="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transaction costs allocated to Warrants</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5,547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Add: non-cash assets assumed from Silver Spike</w:t>
            </w:r>
          </w:p>
        </w:tc>
        <w:tc>
          <w:tcPr>
            <w:tcW w:w="11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1,053</w:t>
            </w:r>
          </w:p>
        </w:tc>
        <w:tc>
          <w:tcPr>
            <w:tcW w:w="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deferred tax asset</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151,255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2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tax receivable agreement liability</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(128,567)</w:t>
            </w:r>
          </w:p>
        </w:tc>
        <w:tc>
          <w:tcPr>
            <w:tcW w:w="20" w:type="dxa"/>
            <w:vAlign w:val="bottom"/>
          </w:tcPr>
          <w:p>
            <w:pPr>
              <w:spacing w:after="0"/>
              <w:rPr>
                <w:sz w:val="19"/>
                <w:szCs w:val="19"/>
                <w:color w:val="auto"/>
              </w:rPr>
            </w:pPr>
          </w:p>
        </w:tc>
      </w:tr>
      <w:tr>
        <w:trPr>
          <w:trHeight w:val="48"/>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adjustment to total equity from the Business Combination</w:t>
            </w: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(84,721)</w:t>
            </w:r>
          </w:p>
        </w:tc>
        <w:tc>
          <w:tcPr>
            <w:tcW w:w="20" w:type="dxa"/>
            <w:vAlign w:val="bottom"/>
            <w:shd w:val="clear" w:color="auto" w:fill="CCEEFF"/>
          </w:tcPr>
          <w:p>
            <w:pPr>
              <w:spacing w:after="0"/>
              <w:rPr>
                <w:sz w:val="24"/>
                <w:szCs w:val="24"/>
                <w:color w:val="auto"/>
              </w:rPr>
            </w:pPr>
          </w:p>
        </w:tc>
      </w:tr>
      <w:tr>
        <w:trPr>
          <w:trHeight w:val="324"/>
        </w:trPr>
        <w:tc>
          <w:tcPr>
            <w:tcW w:w="7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 number of shares of common stock issued immediately following the Closing:</w:t>
            </w: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638"/>
        </w:trPr>
        <w:tc>
          <w:tcPr>
            <w:tcW w:w="7280" w:type="dxa"/>
            <w:vAlign w:val="bottom"/>
          </w:tcPr>
          <w:p>
            <w:pPr>
              <w:spacing w:after="0"/>
              <w:rPr>
                <w:sz w:val="24"/>
                <w:szCs w:val="24"/>
                <w:color w:val="auto"/>
              </w:rPr>
            </w:pP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50"/>
        </w:trPr>
        <w:tc>
          <w:tcPr>
            <w:tcW w:w="72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 prior to the Business Combination</w:t>
            </w: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24,998,575</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redemption of shares of Silver Spike’s Class A common stock</w:t>
            </w:r>
          </w:p>
        </w:tc>
        <w:tc>
          <w:tcPr>
            <w:tcW w:w="11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10,012</w:t>
            </w:r>
          </w:p>
        </w:tc>
        <w:tc>
          <w:tcPr>
            <w:tcW w:w="20" w:type="dxa"/>
            <w:vAlign w:val="bottom"/>
          </w:tcPr>
          <w:p>
            <w:pPr>
              <w:spacing w:after="0"/>
              <w:rPr>
                <w:sz w:val="22"/>
                <w:szCs w:val="22"/>
                <w:color w:val="auto"/>
              </w:rPr>
            </w:pPr>
          </w:p>
        </w:tc>
      </w:tr>
      <w:tr>
        <w:trPr>
          <w:trHeight w:val="61"/>
        </w:trPr>
        <w:tc>
          <w:tcPr>
            <w:tcW w:w="7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7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of Silver Spike’s Class A common stock</w:t>
            </w: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24,988,563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Shares of Class A Common Stock held by Silver Spike’s Sponsor</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A Common Stock issued in the PIPE Financing</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32,500,000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61"/>
        </w:trPr>
        <w:tc>
          <w:tcPr>
            <w:tcW w:w="7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4"/>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of Class A Common Stock issued in the Business Combination</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63,738,563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V Common Stock issued to Legacy WMH equity holders</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65,502,347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61"/>
        </w:trPr>
        <w:tc>
          <w:tcPr>
            <w:tcW w:w="7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shares of common stock issued in the Business Combination</w:t>
            </w:r>
          </w:p>
        </w:tc>
        <w:tc>
          <w:tcPr>
            <w:tcW w:w="120" w:type="dxa"/>
            <w:vAlign w:val="bottom"/>
          </w:tcPr>
          <w:p>
            <w:pPr>
              <w:spacing w:after="0"/>
              <w:rPr>
                <w:sz w:val="23"/>
                <w:szCs w:val="23"/>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129,240,910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-4319905</wp:posOffset>
            </wp:positionV>
            <wp:extent cx="15430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-1679575</wp:posOffset>
            </wp:positionV>
            <wp:extent cx="431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income for the period from June 16, 2021 (Closing Date) to December 31, 2021 was $137.1 million, which includes change in fair value of warrant liability of $166.5 million, stock-based compensation expense of $29.3 million and transaction costs related to the warrant liability of $5.5 million. The transaction costs related to the warrant liability is included in other expense, net on the consolidated statements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7" w:name="page198"/>
    <w:bookmarkEnd w:id="1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Eyechronic</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On January 14, 2022, the Company acquired all the equity interests of Eyechronic LLC (“Eyechronic”) d/b/a Enlighten and rebranded as WM Screens, a Delaware limited liability company and a provider of software, digital signage services and multi-media offerings to dispensaries and brands, for total consideration of approximately $29.4 million. The Company accounted for the Eyechronic acquisition as an acquisition of a business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acquired assets and liabilities of Eyechronic were recorded at their acquisition date fair values.</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estimated fair value of assets acquired (in thousands):</w:t>
      </w:r>
    </w:p>
    <w:p>
      <w:pPr>
        <w:spacing w:after="0" w:line="3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Consideration Transferred:</w:t>
      </w:r>
    </w:p>
    <w:p>
      <w:pPr>
        <w:spacing w:after="0" w:line="80" w:lineRule="exact"/>
        <w:rPr>
          <w:sz w:val="20"/>
          <w:szCs w:val="20"/>
          <w:color w:val="auto"/>
        </w:rPr>
      </w:pPr>
    </w:p>
    <w:tbl>
      <w:tblPr>
        <w:tblLayout w:type="fixed"/>
        <w:tblInd w:w="300" w:type="dxa"/>
        <w:tblCellMar>
          <w:top w:w="0" w:type="dxa"/>
          <w:left w:w="0" w:type="dxa"/>
          <w:bottom w:w="0" w:type="dxa"/>
          <w:right w:w="0" w:type="dxa"/>
        </w:tblCellMar>
      </w:tblPr>
      <w:tr>
        <w:trPr>
          <w:trHeight w:val="37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 w:type="dxa"/>
            <w:vAlign w:val="bottom"/>
            <w:shd w:val="clear" w:color="auto" w:fill="CCEEFF"/>
          </w:tcPr>
          <w:p>
            <w:pPr>
              <w:spacing w:after="0"/>
              <w:rPr>
                <w:sz w:val="24"/>
                <w:szCs w:val="24"/>
                <w:color w:val="auto"/>
              </w:rPr>
            </w:pPr>
          </w:p>
        </w:tc>
      </w:tr>
      <w:tr>
        <w:trPr>
          <w:trHeight w:val="310"/>
        </w:trPr>
        <w:tc>
          <w:tcPr>
            <w:tcW w:w="7820" w:type="dxa"/>
            <w:vAlign w:val="bottom"/>
          </w:tcPr>
          <w:p>
            <w:pPr>
              <w:spacing w:after="0" w:line="310"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9"/>
                <w:szCs w:val="29"/>
                <w:color w:val="auto"/>
                <w:vertAlign w:val="superscript"/>
              </w:rPr>
              <w:t>(2)</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28,725</w:t>
            </w:r>
          </w:p>
        </w:tc>
        <w:tc>
          <w:tcPr>
            <w:tcW w:w="20" w:type="dxa"/>
            <w:vAlign w:val="bottom"/>
          </w:tcPr>
          <w:p>
            <w:pPr>
              <w:spacing w:after="0"/>
              <w:rPr>
                <w:sz w:val="24"/>
                <w:szCs w:val="24"/>
                <w:color w:val="auto"/>
              </w:rPr>
            </w:pPr>
          </w:p>
        </w:tc>
      </w:tr>
      <w:tr>
        <w:trPr>
          <w:trHeight w:val="48"/>
        </w:trPr>
        <w:tc>
          <w:tcPr>
            <w:tcW w:w="7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83"/>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29,422</w:t>
            </w:r>
          </w:p>
        </w:tc>
      </w:tr>
      <w:tr>
        <w:trPr>
          <w:trHeight w:val="34"/>
        </w:trPr>
        <w:tc>
          <w:tcPr>
            <w:tcW w:w="78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61" w:lineRule="auto"/>
        <w:tabs>
          <w:tab w:leader="none" w:pos="6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$0.2 million settlement of pre-existing accounts payable with Eyechronic and holdback of $0.1 million recorded within other current liabilities on the Company’s accompanying consolidated balance sheets.</w:t>
      </w:r>
    </w:p>
    <w:p>
      <w:pPr>
        <w:ind w:left="640" w:right="319" w:hanging="348"/>
        <w:spacing w:after="0" w:line="261" w:lineRule="auto"/>
        <w:tabs>
          <w:tab w:leader="none" w:pos="6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was calculated based on 5,399,553 shares of Class A common stock multiplied by the share price on the closing date of $5.32. This includes 677,847 of holdback shares to be issued subject to customary indemnification obligations.</w:t>
      </w:r>
    </w:p>
    <w:p>
      <w:pPr>
        <w:spacing w:after="0" w:line="200" w:lineRule="exact"/>
        <w:rPr>
          <w:sz w:val="20"/>
          <w:szCs w:val="20"/>
          <w:color w:val="auto"/>
        </w:rPr>
      </w:pP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Estimated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5349240" cy="21399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349240" cy="213995"/>
                    </a:xfrm>
                    <a:prstGeom prst="rect">
                      <a:avLst/>
                    </a:prstGeom>
                    <a:noFill/>
                  </pic:spPr>
                </pic:pic>
              </a:graphicData>
            </a:graphic>
          </wp:anchor>
        </w:drawing>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Assets acquired:</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20"/>
                <w:szCs w:val="20"/>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23"/>
                <w:szCs w:val="2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technology</w:t>
            </w: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Order Backlog</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7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31,658</w:t>
            </w:r>
          </w:p>
        </w:tc>
        <w:tc>
          <w:tcPr>
            <w:tcW w:w="20" w:type="dxa"/>
            <w:vAlign w:val="bottom"/>
            <w:shd w:val="clear" w:color="auto" w:fill="CCEEFF"/>
          </w:tcPr>
          <w:p>
            <w:pPr>
              <w:spacing w:after="0"/>
              <w:rPr>
                <w:sz w:val="23"/>
                <w:szCs w:val="23"/>
                <w:color w:val="auto"/>
              </w:rPr>
            </w:pPr>
          </w:p>
        </w:tc>
      </w:tr>
      <w:tr>
        <w:trPr>
          <w:trHeight w:val="61"/>
        </w:trPr>
        <w:tc>
          <w:tcPr>
            <w:tcW w:w="7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23"/>
                <w:szCs w:val="23"/>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23"/>
                <w:szCs w:val="23"/>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(1,650)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61"/>
        </w:trPr>
        <w:tc>
          <w:tcPr>
            <w:tcW w:w="7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(2,236)</w:t>
            </w:r>
          </w:p>
        </w:tc>
      </w:tr>
      <w:tr>
        <w:trPr>
          <w:trHeight w:val="61"/>
        </w:trPr>
        <w:tc>
          <w:tcPr>
            <w:tcW w:w="7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29,422</w:t>
            </w:r>
          </w:p>
        </w:tc>
        <w:tc>
          <w:tcPr>
            <w:tcW w:w="20" w:type="dxa"/>
            <w:vAlign w:val="bottom"/>
            <w:shd w:val="clear" w:color="auto" w:fill="CCEEFF"/>
          </w:tcPr>
          <w:p>
            <w:pPr>
              <w:spacing w:after="0"/>
              <w:rPr>
                <w:sz w:val="23"/>
                <w:szCs w:val="23"/>
                <w:color w:val="auto"/>
              </w:rPr>
            </w:pPr>
          </w:p>
        </w:tc>
      </w:tr>
      <w:tr>
        <w:trPr>
          <w:trHeight w:val="48"/>
        </w:trPr>
        <w:tc>
          <w:tcPr>
            <w:tcW w:w="7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9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2022, the Company made an adjustment to the purchase price allocation of Eyechronic related to certain pre-acquisition deferred tax and other sales tax liabilities that resulted in an increase of long-term liabilities of $1.7 million.</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incurred transaction expenses associated with the Eyechronic acquisition of $0.1 million, which is included in general and administrative expenses in the accompanying consolidated statements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8" w:name="page199"/>
    <w:bookmarkEnd w:id="1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revenue and operating loss from Eyechronic included the Company’s consolidated statements of operations for the year ended December 31, 2022 were not material. Pro forma revenue and earnings amounts on a combined basis have not been presented as they are not material to the Company’s historical pre-acquisition financial statements.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fair values of the trade name and software technology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these assets. Owning these intangible assets means that the underlying entity wouldn’t have to pay for the privilege of deploying those assets. Therefore, a portion of the acquired entity’s earnings, equal to the after-tax royalty that would have been paid for the use of the assets, can be attributed to the firm’s ownership. The fair values of the customer relationships and customer backlog assets were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w:t>
      </w:r>
    </w:p>
    <w:p>
      <w:pPr>
        <w:spacing w:after="0" w:line="8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December 31, 2023, the Company completed the sunset of certain product offerings including WM Screens, a product offering associated with our acquisition of Eyechronic, as the Company continues to focus the efforts on other Weedmaps for Business products that support the Weedmaps marketplace and improve the eCommerce experience for the Company’s clients and users. For the year ended December 31, 2023 the Company recorded impairment charges of $3.8 million related to intangible assets and $2.6 million related to property and equipment associated with the sunset of WM Screens, which is included in asset impairment charges in the consolidated statements of operations.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Transport Logistics Holding</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w:t>
      </w:r>
    </w:p>
    <w:p>
      <w:pPr>
        <w:spacing w:after="0" w:line="9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208280</wp:posOffset>
            </wp:positionV>
            <wp:extent cx="5349240" cy="2228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3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p>
      <w:pPr>
        <w:spacing w:after="0" w:line="35" w:lineRule="exact"/>
        <w:rPr>
          <w:sz w:val="20"/>
          <w:szCs w:val="20"/>
          <w:color w:val="auto"/>
        </w:rPr>
      </w:pPr>
    </w:p>
    <w:tbl>
      <w:tblPr>
        <w:tblLayout w:type="fixed"/>
        <w:tblInd w:w="300" w:type="dxa"/>
        <w:tblCellMar>
          <w:top w:w="0" w:type="dxa"/>
          <w:left w:w="0" w:type="dxa"/>
          <w:bottom w:w="0" w:type="dxa"/>
          <w:right w:w="0" w:type="dxa"/>
        </w:tblCellMar>
      </w:tblPr>
      <w:tr>
        <w:trPr>
          <w:trHeight w:val="33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r>
              <w:rPr>
                <w:rFonts w:ascii="Times New Roman" w:cs="Times New Roman" w:eastAsia="Times New Roman" w:hAnsi="Times New Roman"/>
                <w:sz w:val="29"/>
                <w:szCs w:val="29"/>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24"/>
                <w:szCs w:val="24"/>
                <w:color w:val="auto"/>
              </w:rPr>
            </w:pPr>
          </w:p>
        </w:tc>
      </w:tr>
      <w:tr>
        <w:trPr>
          <w:trHeight w:val="323"/>
        </w:trPr>
        <w:tc>
          <w:tcPr>
            <w:tcW w:w="7820" w:type="dxa"/>
            <w:vAlign w:val="bottom"/>
            <w:tcBorders>
              <w:bottom w:val="single" w:sz="8" w:color="CCEEFF"/>
            </w:tcBorders>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9"/>
                <w:szCs w:val="29"/>
                <w:color w:val="auto"/>
                <w:vertAlign w:val="superscript"/>
              </w:rPr>
              <w:t>(2)</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78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580" w:type="dxa"/>
            <w:vAlign w:val="bottom"/>
            <w:tcBorders>
              <w:top w:val="single" w:sz="8" w:color="CCEEFF"/>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15,126</w:t>
            </w:r>
          </w:p>
        </w:tc>
        <w:tc>
          <w:tcPr>
            <w:tcW w:w="20" w:type="dxa"/>
            <w:vAlign w:val="bottom"/>
            <w:tcBorders>
              <w:top w:val="single" w:sz="8" w:color="CCEEFF"/>
            </w:tcBorders>
          </w:tcPr>
          <w:p>
            <w:pPr>
              <w:spacing w:after="0"/>
              <w:rPr>
                <w:sz w:val="22"/>
                <w:szCs w:val="22"/>
                <w:color w:val="auto"/>
              </w:rPr>
            </w:pPr>
          </w:p>
        </w:tc>
      </w:tr>
      <w:tr>
        <w:trPr>
          <w:trHeight w:val="372"/>
        </w:trPr>
        <w:tc>
          <w:tcPr>
            <w:tcW w:w="7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282"/>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7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 acquired</w:t>
            </w:r>
          </w:p>
        </w:tc>
        <w:tc>
          <w:tcPr>
            <w:tcW w:w="580" w:type="dxa"/>
            <w:vAlign w:val="bottom"/>
            <w:tcBorders>
              <w:top w:val="single" w:sz="8" w:color="CCEEFF"/>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15,126</w:t>
            </w:r>
          </w:p>
        </w:tc>
        <w:tc>
          <w:tcPr>
            <w:tcW w:w="2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holdback of $1.0 million, which was paid during the second quarter of 2022.</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issued in connection with the TLH acquisition was calculated based on 694,540 shares of Class A common stock issued multiplied by the share price on the closing date of $14.58.</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9" w:name="page200"/>
    <w:bookmarkEnd w:id="1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the expected synergies from combining operations. Goodwill recognized was allocated to the Company’s one operating segment and is generally deductible for tax purposes.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fair values of the trade name intangible assets were determined using an “income approach”, specifically, the relief-from royalty approach, as described above. The fair value of the software technology intangible asset was also determined using an “income approach”, specifically a multi-period excess earnings approach, as described above. The fair value of the customer relationships was determined using an “income approach”, as described above.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Sprout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September 3, 2021, the Company acquired certain assets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w:t>
      </w:r>
    </w:p>
    <w:p>
      <w:pPr>
        <w:spacing w:after="0" w:line="9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208280</wp:posOffset>
            </wp:positionV>
            <wp:extent cx="5349240" cy="24003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3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$12,000</w:t>
            </w: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97"/>
        </w:trPr>
        <w:tc>
          <w:tcPr>
            <w:tcW w:w="7760" w:type="dxa"/>
            <w:vAlign w:val="bottom"/>
            <w:shd w:val="clear" w:color="auto" w:fill="CCEEFF"/>
          </w:tcPr>
          <w:p>
            <w:pPr>
              <w:spacing w:after="0" w:line="296"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9"/>
                <w:szCs w:val="29"/>
                <w:color w:val="auto"/>
                <w:vertAlign w:val="superscript"/>
              </w:rPr>
              <w:t>(1)</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20" w:type="dxa"/>
            <w:vAlign w:val="bottom"/>
            <w:shd w:val="clear" w:color="auto" w:fill="CCEEFF"/>
          </w:tcPr>
          <w:p>
            <w:pPr>
              <w:spacing w:after="0"/>
              <w:rPr>
                <w:sz w:val="24"/>
                <w:szCs w:val="24"/>
                <w:color w:val="auto"/>
              </w:rPr>
            </w:pPr>
          </w:p>
        </w:tc>
      </w:tr>
      <w:tr>
        <w:trPr>
          <w:trHeight w:val="61"/>
        </w:trPr>
        <w:tc>
          <w:tcPr>
            <w:tcW w:w="77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31,186</w:t>
            </w:r>
          </w:p>
        </w:tc>
      </w:tr>
      <w:tr>
        <w:trPr>
          <w:trHeight w:val="371"/>
        </w:trPr>
        <w:tc>
          <w:tcPr>
            <w:tcW w:w="7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 and Liabilities Assumed:</w:t>
            </w: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Asset acquired:</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technology</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$ 2,973</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26,686</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77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31,286</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61"/>
        </w:trPr>
        <w:tc>
          <w:tcPr>
            <w:tcW w:w="77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31,186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8" w:lineRule="exact"/>
        <w:rPr>
          <w:sz w:val="20"/>
          <w:szCs w:val="20"/>
          <w:color w:val="auto"/>
        </w:rPr>
      </w:pPr>
    </w:p>
    <w:p>
      <w:pPr>
        <w:ind w:left="640" w:right="319" w:hanging="348"/>
        <w:spacing w:after="0" w:line="261" w:lineRule="auto"/>
        <w:tabs>
          <w:tab w:leader="none" w:pos="64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issued in connection with the Spout acquisition was calculated based on 1,244,258 shares of Class A common stock issued multiplied by the share price on the closing date of $15.42.</w:t>
      </w:r>
    </w:p>
    <w:p>
      <w:pPr>
        <w:spacing w:after="0" w:line="5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the expected synergies from combining operations. Goodwill recognized was allocated to the Company’s one operating segment and is generally deductible for tax purposes.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fair values of the trade name intangible assets were determined using an “income approach”, specifically, the relief-from royalty approach, as described above. The fair value of the software technology intangible asset was also determined using an “income approach”, specifically a multi-period excess earnings approach, as described above.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8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December 31, 2023, the Company completed the sunset of certain product offerings including WM CRM, a product offering associated with the acquisition of Sprout, as the Company continues to focus the efforts on other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0" w:name="page201"/>
    <w:bookmarkEnd w:id="20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Weedmaps for Business products that support the Weedmaps marketplace and improve the eCommerce experience for the Company’s clients and users. For the year ended December 31, 2023 the Company recorded an impairment charge of $2.3 million related to intangible assets and $0.1 million related to property and equipment associated with WM CRM, which is included in asset impairment charges in the consolidated statements of operations.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Pro Forma Results and Acquisition-Related Costs</w:t>
      </w:r>
    </w:p>
    <w:p>
      <w:pPr>
        <w:spacing w:after="0" w:line="121"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for the years ended December 31, 2023, 2022 and 2021 include the financial results of the above acquisitions from the date of the acquisitions. Pro forma financial results have not been presented since these acquisitions were not material to our financial results.</w:t>
      </w:r>
    </w:p>
    <w:p>
      <w:pPr>
        <w:spacing w:after="0" w:line="172" w:lineRule="exact"/>
        <w:rPr>
          <w:sz w:val="20"/>
          <w:szCs w:val="20"/>
          <w:color w:val="auto"/>
        </w:rPr>
      </w:pPr>
    </w:p>
    <w:p>
      <w:pPr>
        <w:ind w:left="1640" w:hanging="348"/>
        <w:spacing w:after="0"/>
        <w:tabs>
          <w:tab w:leader="none" w:pos="164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Goodwill totaled $68.4 million as of December 31, 2023 and 2022. No goodwill impairment charges were recorded for the years ended December 31, 2023, 2022 and 2021.</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Intangible assets consisted of the following for the periods presented below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180" w:type="dxa"/>
            <w:vAlign w:val="bottom"/>
            <w:gridSpan w:val="6"/>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Gross Intangible</w:t>
            </w:r>
          </w:p>
        </w:tc>
        <w:tc>
          <w:tcPr>
            <w:tcW w:w="9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5"/>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1180" w:type="dxa"/>
            <w:vAlign w:val="bottom"/>
            <w:gridSpan w:val="6"/>
            <w:vMerge w:val="continue"/>
          </w:tcPr>
          <w:p>
            <w:pPr>
              <w:spacing w:after="0"/>
              <w:rPr>
                <w:sz w:val="12"/>
                <w:szCs w:val="12"/>
                <w:color w:val="auto"/>
              </w:rPr>
            </w:pPr>
          </w:p>
        </w:tc>
        <w:tc>
          <w:tcPr>
            <w:tcW w:w="960" w:type="dxa"/>
            <w:vAlign w:val="bottom"/>
            <w:gridSpan w:val="6"/>
            <w:vMerge w:val="continue"/>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37"/>
        </w:trPr>
        <w:tc>
          <w:tcPr>
            <w:tcW w:w="392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30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3"/>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rPr>
              <w:t>$7,256</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center"/>
              <w:ind w:left="75"/>
              <w:spacing w:after="0"/>
              <w:rPr>
                <w:sz w:val="20"/>
                <w:szCs w:val="20"/>
                <w:color w:val="auto"/>
              </w:rPr>
            </w:pPr>
            <w:r>
              <w:rPr>
                <w:rFonts w:ascii="Times New Roman" w:cs="Times New Roman" w:eastAsia="Times New Roman" w:hAnsi="Times New Roman"/>
                <w:sz w:val="18"/>
                <w:szCs w:val="18"/>
                <w:color w:val="auto"/>
              </w:rPr>
              <w:t>$2,248</w:t>
            </w: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30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760" w:type="dxa"/>
            <w:vAlign w:val="bottom"/>
            <w:gridSpan w:val="3"/>
          </w:tcPr>
          <w:p>
            <w:pPr>
              <w:jc w:val="center"/>
              <w:ind w:left="394"/>
              <w:spacing w:after="0"/>
              <w:rPr>
                <w:sz w:val="20"/>
                <w:szCs w:val="20"/>
                <w:color w:val="auto"/>
              </w:rPr>
            </w:pPr>
            <w:r>
              <w:rPr>
                <w:rFonts w:ascii="Times New Roman" w:cs="Times New Roman" w:eastAsia="Times New Roman" w:hAnsi="Times New Roman"/>
                <w:sz w:val="18"/>
                <w:szCs w:val="18"/>
                <w:color w:val="auto"/>
              </w:rPr>
              <w:t>249</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0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center"/>
              <w:ind w:left="139"/>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gridSpan w:val="2"/>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30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2"/>
                <w:szCs w:val="22"/>
                <w:color w:val="auto"/>
              </w:rPr>
            </w:pPr>
          </w:p>
        </w:tc>
        <w:tc>
          <w:tcPr>
            <w:tcW w:w="260" w:type="dxa"/>
            <w:vAlign w:val="bottom"/>
            <w:gridSpan w:val="2"/>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7,675</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gridSpan w:val="2"/>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(5,168)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4"/>
          </w:tcPr>
          <w:p>
            <w:pPr>
              <w:jc w:val="center"/>
              <w:ind w:left="75"/>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2,507</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3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180" w:type="dxa"/>
            <w:vAlign w:val="bottom"/>
            <w:gridSpan w:val="6"/>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Gross Intangible</w:t>
            </w:r>
          </w:p>
        </w:tc>
        <w:tc>
          <w:tcPr>
            <w:tcW w:w="9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5"/>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1180" w:type="dxa"/>
            <w:vAlign w:val="bottom"/>
            <w:gridSpan w:val="6"/>
            <w:vMerge w:val="continue"/>
          </w:tcPr>
          <w:p>
            <w:pPr>
              <w:spacing w:after="0"/>
              <w:rPr>
                <w:sz w:val="12"/>
                <w:szCs w:val="12"/>
                <w:color w:val="auto"/>
              </w:rPr>
            </w:pPr>
          </w:p>
        </w:tc>
        <w:tc>
          <w:tcPr>
            <w:tcW w:w="960" w:type="dxa"/>
            <w:vAlign w:val="bottom"/>
            <w:gridSpan w:val="6"/>
            <w:vMerge w:val="continue"/>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37"/>
        </w:trPr>
        <w:tc>
          <w:tcPr>
            <w:tcW w:w="392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30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4"/>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$ 7,635</w:t>
            </w: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(4,699)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$ 2,936</w:t>
            </w: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30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800" w:type="dxa"/>
            <w:vAlign w:val="bottom"/>
            <w:gridSpan w:val="4"/>
          </w:tcPr>
          <w:p>
            <w:pPr>
              <w:jc w:val="center"/>
              <w:ind w:left="314"/>
              <w:spacing w:after="0"/>
              <w:rPr>
                <w:sz w:val="20"/>
                <w:szCs w:val="20"/>
                <w:color w:val="auto"/>
              </w:rPr>
            </w:pPr>
            <w:r>
              <w:rPr>
                <w:rFonts w:ascii="Times New Roman" w:cs="Times New Roman" w:eastAsia="Times New Roman" w:hAnsi="Times New Roman"/>
                <w:sz w:val="18"/>
                <w:szCs w:val="18"/>
                <w:color w:val="auto"/>
                <w:w w:val="98"/>
              </w:rPr>
              <w:t>7,516</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0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4"/>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8"/>
              </w:rPr>
              <w:t>5,211</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130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800" w:type="dxa"/>
            <w:vAlign w:val="bottom"/>
            <w:gridSpan w:val="4"/>
          </w:tcPr>
          <w:p>
            <w:pPr>
              <w:jc w:val="center"/>
              <w:ind w:left="134"/>
              <w:spacing w:after="0"/>
              <w:rPr>
                <w:sz w:val="20"/>
                <w:szCs w:val="20"/>
                <w:color w:val="auto"/>
              </w:rPr>
            </w:pPr>
            <w:r>
              <w:rPr>
                <w:rFonts w:ascii="Times New Roman" w:cs="Times New Roman" w:eastAsia="Times New Roman" w:hAnsi="Times New Roman"/>
                <w:sz w:val="18"/>
                <w:szCs w:val="18"/>
                <w:color w:val="auto"/>
              </w:rPr>
              <w:t>$   210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30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22"/>
                <w:szCs w:val="22"/>
                <w:color w:val="auto"/>
              </w:rPr>
            </w:pPr>
          </w:p>
        </w:tc>
        <w:tc>
          <w:tcPr>
            <w:tcW w:w="1060" w:type="dxa"/>
            <w:vAlign w:val="bottom"/>
            <w:gridSpan w:val="5"/>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20,572</w:t>
            </w:r>
          </w:p>
        </w:tc>
        <w:tc>
          <w:tcPr>
            <w:tcW w:w="120" w:type="dxa"/>
            <w:vAlign w:val="bottom"/>
            <w:shd w:val="clear" w:color="auto" w:fill="CCEEFF"/>
          </w:tcPr>
          <w:p>
            <w:pPr>
              <w:spacing w:after="0"/>
              <w:rPr>
                <w:sz w:val="22"/>
                <w:szCs w:val="22"/>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(10,233)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10,339</w:t>
            </w: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392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5509260</wp:posOffset>
            </wp:positionH>
            <wp:positionV relativeFrom="paragraph">
              <wp:posOffset>-2459355</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-2459355</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-2459355</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-2459355</wp:posOffset>
            </wp:positionV>
            <wp:extent cx="342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-934085</wp:posOffset>
            </wp:positionV>
            <wp:extent cx="6858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-934085</wp:posOffset>
            </wp:positionV>
            <wp:extent cx="6858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-934085</wp:posOffset>
            </wp:positionV>
            <wp:extent cx="6858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-934085</wp:posOffset>
            </wp:positionV>
            <wp:extent cx="3429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70" w:lineRule="exact"/>
        <w:rPr>
          <w:sz w:val="20"/>
          <w:szCs w:val="20"/>
          <w:color w:val="auto"/>
        </w:rPr>
      </w:pPr>
    </w:p>
    <w:p>
      <w:pPr>
        <w:jc w:val="both"/>
        <w:ind w:left="1300" w:right="1300"/>
        <w:spacing w:after="0" w:line="256" w:lineRule="auto"/>
        <w:rPr>
          <w:sz w:val="20"/>
          <w:szCs w:val="20"/>
          <w:color w:val="auto"/>
        </w:rPr>
      </w:pPr>
      <w:r>
        <w:rPr>
          <w:rFonts w:ascii="Times New Roman" w:cs="Times New Roman" w:eastAsia="Times New Roman" w:hAnsi="Times New Roman"/>
          <w:sz w:val="18"/>
          <w:szCs w:val="18"/>
          <w:color w:val="auto"/>
        </w:rPr>
        <w:t>Amortization expense for intangible assets was $7.8 million, $2.7 million and $1.3 million for the years ended December 31, 2023, 2022 and 2021, respectively. The Company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 2021.</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December 31, 2023 is as follows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300" w:type="dxa"/>
            <w:vAlign w:val="bottom"/>
          </w:tcPr>
          <w:p>
            <w:pPr>
              <w:spacing w:after="0"/>
              <w:rPr>
                <w:sz w:val="16"/>
                <w:szCs w:val="16"/>
                <w:color w:val="auto"/>
              </w:rPr>
            </w:pPr>
          </w:p>
        </w:tc>
      </w:tr>
      <w:tr>
        <w:trPr>
          <w:trHeight w:val="37"/>
        </w:trPr>
        <w:tc>
          <w:tcPr>
            <w:tcW w:w="1300" w:type="dxa"/>
            <w:vAlign w:val="bottom"/>
          </w:tcPr>
          <w:p>
            <w:pPr>
              <w:spacing w:after="0"/>
              <w:rPr>
                <w:sz w:val="3"/>
                <w:szCs w:val="3"/>
                <w:color w:val="auto"/>
              </w:rPr>
            </w:pPr>
          </w:p>
        </w:tc>
        <w:tc>
          <w:tcPr>
            <w:tcW w:w="2980" w:type="dxa"/>
            <w:vAlign w:val="bottom"/>
            <w:tcBorders>
              <w:bottom w:val="single" w:sz="8" w:color="CCEEFF"/>
            </w:tcBorders>
          </w:tcPr>
          <w:p>
            <w:pPr>
              <w:spacing w:after="0"/>
              <w:rPr>
                <w:sz w:val="3"/>
                <w:szCs w:val="3"/>
                <w:color w:val="auto"/>
              </w:rPr>
            </w:pPr>
          </w:p>
        </w:tc>
        <w:tc>
          <w:tcPr>
            <w:tcW w:w="46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271"/>
        </w:trPr>
        <w:tc>
          <w:tcPr>
            <w:tcW w:w="1300" w:type="dxa"/>
            <w:vAlign w:val="bottom"/>
          </w:tcPr>
          <w:p>
            <w:pPr>
              <w:spacing w:after="0"/>
              <w:rPr>
                <w:sz w:val="23"/>
                <w:szCs w:val="23"/>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ended December 31,</w:t>
            </w:r>
          </w:p>
        </w:tc>
        <w:tc>
          <w:tcPr>
            <w:tcW w:w="46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43"/>
        </w:trPr>
        <w:tc>
          <w:tcPr>
            <w:tcW w:w="1300" w:type="dxa"/>
            <w:vAlign w:val="bottom"/>
          </w:tcPr>
          <w:p>
            <w:pPr>
              <w:spacing w:after="0"/>
              <w:rPr>
                <w:sz w:val="21"/>
                <w:szCs w:val="21"/>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130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48"/>
        </w:trPr>
        <w:tc>
          <w:tcPr>
            <w:tcW w:w="1300" w:type="dxa"/>
            <w:vAlign w:val="bottom"/>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46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4760" w:type="dxa"/>
            <w:vAlign w:val="bottom"/>
            <w:gridSpan w:val="2"/>
          </w:tcPr>
          <w:p>
            <w:pPr>
              <w:spacing w:after="0"/>
              <w:rPr>
                <w:sz w:val="22"/>
                <w:szCs w:val="22"/>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2,507</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9"/>
        </w:trPr>
        <w:tc>
          <w:tcPr>
            <w:tcW w:w="1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920" w:type="dxa"/>
            <w:vAlign w:val="bottom"/>
            <w:gridSpan w:val="3"/>
          </w:tcPr>
          <w:p>
            <w:pPr>
              <w:jc w:val="right"/>
              <w:ind w:right="3430"/>
              <w:spacing w:after="0"/>
              <w:rPr>
                <w:sz w:val="20"/>
                <w:szCs w:val="20"/>
                <w:color w:val="auto"/>
              </w:rPr>
            </w:pPr>
            <w:r>
              <w:rPr>
                <w:rFonts w:ascii="Times New Roman" w:cs="Times New Roman" w:eastAsia="Times New Roman" w:hAnsi="Times New Roman"/>
                <w:sz w:val="18"/>
                <w:szCs w:val="18"/>
                <w:color w:val="auto"/>
              </w:rPr>
              <w:t>F-57</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4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-1851025</wp:posOffset>
            </wp:positionV>
            <wp:extent cx="7747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020"/>
          </w:cols>
          <w:pgMar w:left="440" w:top="263" w:right="439" w:bottom="447" w:gutter="0" w:footer="0" w:header="0"/>
        </w:sectPr>
      </w:pPr>
    </w:p>
    <w:bookmarkStart w:id="201" w:name="page202"/>
    <w:bookmarkEnd w:id="2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ind w:left="300" w:right="2179" w:firstLine="1832"/>
        <w:spacing w:after="0" w:line="26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 10. Prepaid Expenses and Other Current Assets</w:t>
      </w:r>
    </w:p>
    <w:p>
      <w:pPr>
        <w:spacing w:after="0" w:line="7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as of</w:t>
            </w:r>
          </w:p>
        </w:tc>
        <w:tc>
          <w:tcPr>
            <w:tcW w:w="31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December 31, 2023 and 2022 consisted</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of the following</w:t>
            </w: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624"/>
        </w:trPr>
        <w:tc>
          <w:tcPr>
            <w:tcW w:w="3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24"/>
                <w:szCs w:val="24"/>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50"/>
        </w:trPr>
        <w:tc>
          <w:tcPr>
            <w:tcW w:w="3840" w:type="dxa"/>
            <w:vAlign w:val="bottom"/>
            <w:tcBorders>
              <w:bottom w:val="single" w:sz="8" w:color="CCEEFF"/>
            </w:tcBorders>
          </w:tcPr>
          <w:p>
            <w:pPr>
              <w:spacing w:after="0"/>
              <w:rPr>
                <w:sz w:val="4"/>
                <w:szCs w:val="4"/>
                <w:color w:val="auto"/>
              </w:rPr>
            </w:pPr>
          </w:p>
        </w:tc>
        <w:tc>
          <w:tcPr>
            <w:tcW w:w="20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r>
      <w:tr>
        <w:trPr>
          <w:trHeight w:val="311"/>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180" w:type="dxa"/>
            <w:vAlign w:val="bottom"/>
            <w:tcBorders>
              <w:bottom w:val="single" w:sz="8" w:color="CCEEFF"/>
            </w:tcBorders>
            <w:gridSpan w:val="4"/>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auto"/>
              </w:rPr>
              <w:t>$1,530</w:t>
            </w:r>
          </w:p>
        </w:tc>
        <w:tc>
          <w:tcPr>
            <w:tcW w:w="140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$2,869</w:t>
            </w:r>
          </w:p>
        </w:tc>
      </w:tr>
      <w:tr>
        <w:trPr>
          <w:trHeight w:val="27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Prepaid marketing</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4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340" w:type="dxa"/>
            <w:vAlign w:val="bottom"/>
          </w:tcPr>
          <w:p>
            <w:pPr>
              <w:spacing w:after="0"/>
              <w:rPr>
                <w:sz w:val="23"/>
                <w:szCs w:val="23"/>
                <w:color w:val="auto"/>
              </w:rPr>
            </w:pPr>
          </w:p>
        </w:tc>
      </w:tr>
      <w:tr>
        <w:trPr>
          <w:trHeight w:val="54"/>
        </w:trPr>
        <w:tc>
          <w:tcPr>
            <w:tcW w:w="38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304"/>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2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3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340" w:type="dxa"/>
            <w:vAlign w:val="bottom"/>
            <w:tcBorders>
              <w:bottom w:val="single" w:sz="8" w:color="CCEEFF"/>
            </w:tcBorders>
            <w:shd w:val="clear" w:color="auto" w:fill="CCEEFF"/>
          </w:tcPr>
          <w:p>
            <w:pPr>
              <w:spacing w:after="0"/>
              <w:rPr>
                <w:sz w:val="24"/>
                <w:szCs w:val="24"/>
                <w:color w:val="auto"/>
              </w:rPr>
            </w:pPr>
          </w:p>
        </w:tc>
      </w:tr>
      <w:tr>
        <w:trPr>
          <w:trHeight w:val="27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34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340" w:type="dxa"/>
            <w:vAlign w:val="bottom"/>
          </w:tcPr>
          <w:p>
            <w:pPr>
              <w:spacing w:after="0"/>
              <w:rPr>
                <w:sz w:val="23"/>
                <w:szCs w:val="23"/>
                <w:color w:val="auto"/>
              </w:rPr>
            </w:pPr>
          </w:p>
        </w:tc>
      </w:tr>
      <w:tr>
        <w:trPr>
          <w:trHeight w:val="48"/>
        </w:trPr>
        <w:tc>
          <w:tcPr>
            <w:tcW w:w="38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r>
      <w:tr>
        <w:trPr>
          <w:trHeight w:val="283"/>
        </w:trPr>
        <w:tc>
          <w:tcPr>
            <w:tcW w:w="3840" w:type="dxa"/>
            <w:vAlign w:val="bottom"/>
            <w:shd w:val="clear" w:color="auto" w:fill="CCEEFF"/>
          </w:tcPr>
          <w:p>
            <w:pPr>
              <w:spacing w:after="0"/>
              <w:rPr>
                <w:sz w:val="24"/>
                <w:szCs w:val="24"/>
                <w:color w:val="auto"/>
              </w:rPr>
            </w:pPr>
          </w:p>
        </w:tc>
        <w:tc>
          <w:tcPr>
            <w:tcW w:w="3180" w:type="dxa"/>
            <w:vAlign w:val="bottom"/>
            <w:gridSpan w:val="4"/>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5,978</w:t>
            </w:r>
          </w:p>
        </w:tc>
        <w:tc>
          <w:tcPr>
            <w:tcW w:w="140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8,962</w:t>
            </w:r>
          </w:p>
        </w:tc>
      </w:tr>
      <w:tr>
        <w:trPr>
          <w:trHeight w:val="34"/>
        </w:trPr>
        <w:tc>
          <w:tcPr>
            <w:tcW w:w="384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-1062355</wp:posOffset>
            </wp:positionV>
            <wp:extent cx="13716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-1062355</wp:posOffset>
            </wp:positionV>
            <wp:extent cx="6858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 impairment charge was recognized during the year ended December 31, 2023, related to certain capitalized implementation costs for a cloud computing arrangement that was abandoned. The Company recognized an impairment charge of $0.8 million during the year ended December 31, 2022, related to certain capitalized implementation costs for a cloud computing arrangement that was abandoned.</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11.  Accounts Payable and Accrued Expenses</w:t>
      </w:r>
    </w:p>
    <w:p>
      <w:pPr>
        <w:spacing w:after="0" w:line="14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Accounts payable and accrued liabilities as of December 31, 2023 and 2022 consisted of the following (in thousands):</w:t>
      </w:r>
    </w:p>
    <w:p>
      <w:pPr>
        <w:spacing w:after="0" w:line="39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3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50"/>
        </w:trPr>
        <w:tc>
          <w:tcPr>
            <w:tcW w:w="58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$ 7,323</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$ 9,561</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expenses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24,074</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48"/>
        </w:trPr>
        <w:tc>
          <w:tcPr>
            <w:tcW w:w="5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83"/>
        </w:trPr>
        <w:tc>
          <w:tcPr>
            <w:tcW w:w="58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21,182</w:t>
            </w:r>
          </w:p>
        </w:tc>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33,635</w:t>
            </w:r>
          </w:p>
        </w:tc>
        <w:tc>
          <w:tcPr>
            <w:tcW w:w="280" w:type="dxa"/>
            <w:vAlign w:val="bottom"/>
            <w:shd w:val="clear" w:color="auto" w:fill="CCEEFF"/>
          </w:tcPr>
          <w:p>
            <w:pPr>
              <w:spacing w:after="0"/>
              <w:rPr>
                <w:sz w:val="24"/>
                <w:szCs w:val="24"/>
                <w:color w:val="auto"/>
              </w:rPr>
            </w:pPr>
          </w:p>
        </w:tc>
      </w:tr>
      <w:tr>
        <w:trPr>
          <w:trHeight w:val="34"/>
        </w:trPr>
        <w:tc>
          <w:tcPr>
            <w:tcW w:w="58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-650875</wp:posOffset>
            </wp:positionV>
            <wp:extent cx="13716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-650875</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Accrued employee expenses include accrued bonuses of $2.6 million and $9.9 million as of December 31, 2023 and 2022, respectively, primarily related to certain employment agreements entered into in connection with prior acquisitions. The decrease in accrued employee expenses as of December 31, 2023 compared with December 31, 2022 is primarily due to a decline in bonuses accrual of $5.9 million related to certain employment agreements entered into in connection with prior acquisitions, payment of employee termination cost of $3.6 million and a decline in other employee bonuses of $0.6 million due to a decrease in employee headcount.</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Warrant Liability</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At December 31, 2023, there were 12,499,973 Public Warrants outstanding and 7,000,000 Private Placement Warrants outstanding.</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7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2" w:name="page203"/>
    <w:bookmarkEnd w:id="2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 may exercise its redemption right even if it is unable to register or qualify the underlying securities for sale under all applicable state securities laws.</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The Company concluded the Public Warrants and Private Placement Warrants, or the Warrants, meet the definition of a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 described in Note 2) and are recorded as liabilities. Upon the Closing, the fair value of the Warrants was recorded on the balance sheet. The fair value of the Warrants is remeasured as of each balance sheet date, which resulted in non-cash gain of $1.5 million, $25.4 million and $166.5 million in the consolidated statements of operations for the years ended December 31, 2023, 2022 and 2021, respectively. For additional information, see Note 6, “Fair Value Measurements.”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3" w:name="page204"/>
    <w:bookmarkEnd w:id="2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the Company’s board of directors.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the Company’s assets.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December 31, 2023, there were no shares of preferred stock issued or outstanding.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4" w:name="page205"/>
    <w:bookmarkEnd w:id="2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noncontrolling interest represents the Units held by holders other than the Company. As of December 31, 2023, the noncontrolling interests owned 37.2%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 Net income for the period prior to the Business Combination from January 1, 2021 to June 15, 2021 is allocated to net income attributable to noncontrolling interests on the consolidated statements of operations for the year ended December 31, 2021.</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Holding Company, LLC Equity Incentive Plan</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accounted for the issuance of Class A-3 and Class B Units issued under the WM Holding Company, LLC Equity Incentive Plan in accordance with ASC 718 -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The Company considered the limitation on the exercisability of the Class A-3 and Class B Units to be a performance condition and recorded compensation cost when it became probable that the performance condition would be met.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Class P Unit activity for the periods presented is as follows:</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Units</w:t>
            </w:r>
          </w:p>
        </w:tc>
      </w:tr>
      <w:tr>
        <w:trPr>
          <w:trHeight w:val="50"/>
        </w:trPr>
        <w:tc>
          <w:tcPr>
            <w:tcW w:w="7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Class P Units, December 31, 2022</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15,125,429</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Cancellations</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(75,922)</w:t>
            </w:r>
          </w:p>
        </w:tc>
        <w:tc>
          <w:tcPr>
            <w:tcW w:w="80" w:type="dxa"/>
            <w:vAlign w:val="bottom"/>
          </w:tcPr>
          <w:p>
            <w:pPr>
              <w:spacing w:after="0"/>
              <w:rPr>
                <w:sz w:val="23"/>
                <w:szCs w:val="23"/>
                <w:color w:val="auto"/>
              </w:rPr>
            </w:pPr>
          </w:p>
        </w:tc>
      </w:tr>
      <w:tr>
        <w:trPr>
          <w:trHeight w:val="54"/>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Exchanged for Class A Common Stock</w:t>
            </w: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(245,000)</w:t>
            </w:r>
          </w:p>
        </w:tc>
      </w:tr>
      <w:tr>
        <w:trPr>
          <w:trHeight w:val="283"/>
        </w:trPr>
        <w:tc>
          <w:tcPr>
            <w:tcW w:w="7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Class P Units, December 31, 2023</w:t>
            </w:r>
          </w:p>
        </w:tc>
        <w:tc>
          <w:tcPr>
            <w:tcW w:w="120" w:type="dxa"/>
            <w:vAlign w:val="bottom"/>
            <w:tcBorders>
              <w:top w:val="single" w:sz="8" w:color="CCEEFF"/>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14,804,507</w:t>
            </w: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8"/>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83"/>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December 31, 2023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14,723,936</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34"/>
        </w:trPr>
        <w:tc>
          <w:tcPr>
            <w:tcW w:w="7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-1079500</wp:posOffset>
            </wp:positionV>
            <wp:extent cx="11176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of December 31, 2023, unrecognized stock-based compensation expense for non-vested Class P Units were $0.2 million, which is expected to be recognized over a weighted-average period of 0.9 years. For the years ended December 31, 2023, 2022 and 2021, the Company recorded stock-based compensation expense for the Class P Units of $0.5 million, $2.3 million and $20.9 million, respectively. Due to the Business Combination completed in the second quarter of 2021, certain limitations on exercisability related to the Company’s Class P equity awards issued to employees and consultants were removed and as a result the Company recognized the life-to-date expense on units vested through the Business Combination date on those equity awards. The stock-based compensation expense recognized during the year ended December 31, 2021 includes a one-time incremental expense of $4.1 million related to an award modification as a result of an advisory agreement entered into with a former executive.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5" w:name="page206"/>
    <w:bookmarkEnd w:id="2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Technology, Inc. Equity Incentive Plan</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December 31, 2023, 33,146,412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December 31, 2023, 19,530,046 shares of Class A Common Stock are available for future issuance.</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restricted stock unit (“RSU”) activity for the year ended December 31, 2023 is as follows:</w:t>
      </w:r>
    </w:p>
    <w:p>
      <w:pPr>
        <w:spacing w:after="0" w:line="200" w:lineRule="exact"/>
        <w:rPr>
          <w:sz w:val="20"/>
          <w:szCs w:val="20"/>
          <w:color w:val="auto"/>
        </w:rPr>
      </w:pP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3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940" w:type="dxa"/>
            <w:vAlign w:val="bottom"/>
          </w:tcPr>
          <w:p>
            <w:pPr>
              <w:spacing w:after="0"/>
              <w:rPr>
                <w:sz w:val="16"/>
                <w:szCs w:val="16"/>
                <w:color w:val="auto"/>
              </w:rPr>
            </w:pPr>
          </w:p>
        </w:tc>
        <w:tc>
          <w:tcPr>
            <w:tcW w:w="1360" w:type="dxa"/>
            <w:vAlign w:val="bottom"/>
            <w:gridSpan w:val="5"/>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50"/>
        </w:trPr>
        <w:tc>
          <w:tcPr>
            <w:tcW w:w="59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6,269,868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6,634,013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54"/>
        </w:trPr>
        <w:tc>
          <w:tcPr>
            <w:tcW w:w="5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(2,245,844)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Cancelled/Forfeited/Expired</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(2,974,439)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61"/>
        </w:trPr>
        <w:tc>
          <w:tcPr>
            <w:tcW w:w="5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7,683,598</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48"/>
        </w:trPr>
        <w:tc>
          <w:tcPr>
            <w:tcW w:w="59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-1062355</wp:posOffset>
            </wp:positionV>
            <wp:extent cx="18859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-1062355</wp:posOffset>
            </wp:positionV>
            <wp:extent cx="9398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of December 31, 2023, unrecognized stock-based compensation expense for non-vested RSUs was $20.6 million, which is expected to be recognized over a weighted-average period of 1.8 years. For the years ended December 31, 2023, 2022 and 2021, the Company recorded stock-based compensation expense for the RSUs of $13.1 million, $21.2 million and $8.0 million, respectively. Stock-based compensation recognized during the year ended December 31, 2022 included a $0.6 million expense related to an award modification as a result of the departure of the Company’s former chief executive officer.</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PRSU activity for the year ended December 31, 2023 is as follows:</w:t>
      </w:r>
    </w:p>
    <w:p>
      <w:pPr>
        <w:spacing w:after="0" w:line="200" w:lineRule="exact"/>
        <w:rPr>
          <w:sz w:val="20"/>
          <w:szCs w:val="20"/>
          <w:color w:val="auto"/>
        </w:rPr>
      </w:pP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3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PRSUs</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880" w:type="dxa"/>
            <w:vAlign w:val="bottom"/>
          </w:tcPr>
          <w:p>
            <w:pPr>
              <w:spacing w:after="0"/>
              <w:rPr>
                <w:sz w:val="16"/>
                <w:szCs w:val="16"/>
                <w:color w:val="auto"/>
              </w:rPr>
            </w:pPr>
          </w:p>
        </w:tc>
        <w:tc>
          <w:tcPr>
            <w:tcW w:w="1380" w:type="dxa"/>
            <w:vAlign w:val="bottom"/>
            <w:gridSpan w:val="5"/>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50"/>
        </w:trPr>
        <w:tc>
          <w:tcPr>
            <w:tcW w:w="5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859,375</w:t>
            </w:r>
          </w:p>
        </w:tc>
        <w:tc>
          <w:tcPr>
            <w:tcW w:w="1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60" w:type="dxa"/>
            <w:vAlign w:val="bottom"/>
          </w:tcPr>
          <w:p>
            <w:pPr>
              <w:spacing w:after="0"/>
              <w:rPr>
                <w:sz w:val="23"/>
                <w:szCs w:val="23"/>
                <w:color w:val="auto"/>
              </w:rPr>
            </w:pPr>
          </w:p>
        </w:tc>
        <w:tc>
          <w:tcPr>
            <w:tcW w:w="112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Cancelled/Forfeited/Expired</w:t>
            </w: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(625,000)</w:t>
            </w:r>
          </w:p>
        </w:tc>
        <w:tc>
          <w:tcPr>
            <w:tcW w:w="240" w:type="dxa"/>
            <w:vAlign w:val="bottom"/>
          </w:tcPr>
          <w:p>
            <w:pPr>
              <w:spacing w:after="0"/>
              <w:rPr>
                <w:sz w:val="22"/>
                <w:szCs w:val="22"/>
                <w:color w:val="auto"/>
              </w:rPr>
            </w:pPr>
          </w:p>
        </w:tc>
        <w:tc>
          <w:tcPr>
            <w:tcW w:w="116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61"/>
        </w:trPr>
        <w:tc>
          <w:tcPr>
            <w:tcW w:w="5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234,375</w:t>
            </w: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48"/>
        </w:trPr>
        <w:tc>
          <w:tcPr>
            <w:tcW w:w="58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-1062355</wp:posOffset>
            </wp:positionV>
            <wp:extent cx="15430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-1062355</wp:posOffset>
            </wp:positionV>
            <wp:extent cx="7747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Based on the probability of attainment as of December 31, 2023, the unrecognized stock-based compensation expense for non-vested PRSUs was nil. For the years ended December 31, 2023 and 2022, the Company recorded stock-based compensation credit of $0.1 million and less than $0.1 million, respectively, related to the PRSUs. For the year ended December 31, 2021, the Company recorded stock-based compensation expense of $0.4 million related to the PRSUs. Stock-based compensation expense related to these PRSUs decreased due to the reassessment of vesting probability and the forfeitures resulting from the executive departures.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6" w:name="page207"/>
    <w:bookmarkEnd w:id="2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cost related to the Class P Units, RSUs and PRSUs in the following expense categories on the consolidated statements of operations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60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58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13"/>
        </w:trPr>
        <w:tc>
          <w:tcPr>
            <w:tcW w:w="5820" w:type="dxa"/>
            <w:vAlign w:val="bottom"/>
          </w:tcPr>
          <w:p>
            <w:pPr>
              <w:spacing w:after="0"/>
              <w:rPr>
                <w:sz w:val="18"/>
                <w:szCs w:val="18"/>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8"/>
                <w:szCs w:val="18"/>
                <w:color w:val="auto"/>
              </w:rPr>
            </w:pPr>
          </w:p>
        </w:tc>
      </w:tr>
      <w:tr>
        <w:trPr>
          <w:trHeight w:val="37"/>
        </w:trPr>
        <w:tc>
          <w:tcPr>
            <w:tcW w:w="582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71"/>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$ 2,706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$ 6,358</w:t>
            </w:r>
          </w:p>
        </w:tc>
        <w:tc>
          <w:tcPr>
            <w:tcW w:w="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$ 6,021</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4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4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4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40" w:type="dxa"/>
            <w:vAlign w:val="bottom"/>
            <w:shd w:val="clear" w:color="auto" w:fill="CCEEFF"/>
          </w:tcPr>
          <w:p>
            <w:pPr>
              <w:spacing w:after="0"/>
              <w:rPr>
                <w:sz w:val="24"/>
                <w:szCs w:val="24"/>
                <w:color w:val="auto"/>
              </w:rPr>
            </w:pPr>
          </w:p>
        </w:tc>
      </w:tr>
      <w:tr>
        <w:trPr>
          <w:trHeight w:val="270"/>
        </w:trPr>
        <w:tc>
          <w:tcPr>
            <w:tcW w:w="58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400" w:type="dxa"/>
            <w:vAlign w:val="bottom"/>
            <w:tcBorders>
              <w:top w:val="single" w:sz="8" w:color="CCEEFF"/>
            </w:tcBorders>
          </w:tcPr>
          <w:p>
            <w:pPr>
              <w:spacing w:after="0"/>
              <w:rPr>
                <w:sz w:val="23"/>
                <w:szCs w:val="2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40" w:type="dxa"/>
            <w:vAlign w:val="bottom"/>
            <w:tcBorders>
              <w:top w:val="single" w:sz="8" w:color="CCEEFF"/>
            </w:tcBorders>
          </w:tcPr>
          <w:p>
            <w:pPr>
              <w:spacing w:after="0"/>
              <w:rPr>
                <w:sz w:val="23"/>
                <w:szCs w:val="23"/>
                <w:color w:val="auto"/>
              </w:rPr>
            </w:pPr>
          </w:p>
        </w:tc>
      </w:tr>
      <w:tr>
        <w:trPr>
          <w:trHeight w:val="27"/>
        </w:trPr>
        <w:tc>
          <w:tcPr>
            <w:tcW w:w="5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7"/>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4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5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14,901</w:t>
            </w:r>
          </w:p>
        </w:tc>
        <w:tc>
          <w:tcPr>
            <w:tcW w:w="4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25,160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40" w:type="dxa"/>
            <w:vAlign w:val="bottom"/>
          </w:tcPr>
          <w:p>
            <w:pPr>
              <w:spacing w:after="0"/>
              <w:rPr>
                <w:sz w:val="22"/>
                <w:szCs w:val="22"/>
                <w:color w:val="auto"/>
              </w:rPr>
            </w:pPr>
          </w:p>
        </w:tc>
      </w:tr>
      <w:tr>
        <w:trPr>
          <w:trHeight w:val="20"/>
        </w:trPr>
        <w:tc>
          <w:tcPr>
            <w:tcW w:w="5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-1105535</wp:posOffset>
            </wp:positionV>
            <wp:extent cx="25717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-1105535</wp:posOffset>
            </wp:positionV>
            <wp:extent cx="25717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-1105535</wp:posOffset>
            </wp:positionV>
            <wp:extent cx="12890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consolidated financial statements. Therefore, net earnings per share information has not been presented for periods prior to the Business Combination on June 16, 2021. The basic and diluted income (loss) per share for the year ended December 31, 2021 represent the period from June 16, 2021 (Closing Date) to December 31, 2021.</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computation of (loss) income per share attributable to WM Technology, Inc. and weighted-average shares of the Company’s Class A Common Stock outstanding are as follows for the years ended December 31, 2023, 2022 and 2021 (amounts in thousands, except for share and per share amounts):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11"/>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52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13"/>
        </w:trPr>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r>
      <w:tr>
        <w:trPr>
          <w:trHeight w:val="37"/>
        </w:trPr>
        <w:tc>
          <w:tcPr>
            <w:tcW w:w="52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57"/>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24"/>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(15,727)</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(82,651)</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152,218</w:t>
            </w:r>
          </w:p>
        </w:tc>
      </w:tr>
      <w:tr>
        <w:trPr>
          <w:trHeight w:val="33"/>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6"/>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net income attributable to WMH prior to the Business Combination</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15,078</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after the</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5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Business Combination</w:t>
            </w: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(5,829)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33,338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76,757</w:t>
            </w:r>
          </w:p>
        </w:tc>
      </w:tr>
      <w:tr>
        <w:trPr>
          <w:trHeight w:val="37"/>
        </w:trPr>
        <w:tc>
          <w:tcPr>
            <w:tcW w:w="5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63"/>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WM Technology, Inc. - basic</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(9,898)</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(115,989)</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60,383</w:t>
            </w: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3"/>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Public and Private Placement Warrants, net of</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amounts attributable to noncontrolling interests</w:t>
            </w: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72,483</w:t>
            </w:r>
          </w:p>
        </w:tc>
      </w:tr>
      <w:tr>
        <w:trPr>
          <w:trHeight w:val="37"/>
        </w:trPr>
        <w:tc>
          <w:tcPr>
            <w:tcW w:w="5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r>
      <w:tr>
        <w:trPr>
          <w:trHeight w:val="253"/>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WM Technology, Inc. - diluted</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(9,898)</w:t>
            </w:r>
          </w:p>
        </w:tc>
        <w:tc>
          <w:tcPr>
            <w:tcW w:w="28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(115,989)</w:t>
            </w:r>
          </w:p>
        </w:tc>
        <w:tc>
          <w:tcPr>
            <w:tcW w:w="28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(12,100)</w:t>
            </w:r>
          </w:p>
        </w:tc>
      </w:tr>
      <w:tr>
        <w:trPr>
          <w:trHeight w:val="37"/>
        </w:trPr>
        <w:tc>
          <w:tcPr>
            <w:tcW w:w="5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64"/>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7"/>
              </w:rPr>
              <w:t>93,244,911</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85,027,120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65,013,517</w:t>
            </w:r>
          </w:p>
        </w:tc>
      </w:tr>
      <w:tr>
        <w:trPr>
          <w:trHeight w:val="33"/>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6"/>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effect of dilutive securities:</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Public warrants¹</w:t>
            </w:r>
          </w:p>
        </w:tc>
        <w:tc>
          <w:tcPr>
            <w:tcW w:w="80" w:type="dxa"/>
            <w:vAlign w:val="bottom"/>
          </w:tcPr>
          <w:p>
            <w:pPr>
              <w:spacing w:after="0"/>
              <w:rPr>
                <w:sz w:val="19"/>
                <w:szCs w:val="19"/>
                <w:color w:val="auto"/>
              </w:rPr>
            </w:pPr>
          </w:p>
        </w:tc>
        <w:tc>
          <w:tcPr>
            <w:tcW w:w="106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1,153,782</w:t>
            </w:r>
          </w:p>
        </w:tc>
      </w:tr>
      <w:tr>
        <w:trPr>
          <w:trHeight w:val="33"/>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7"/>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Private warrants¹</w:t>
            </w:r>
          </w:p>
        </w:tc>
        <w:tc>
          <w:tcPr>
            <w:tcW w:w="8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646,118</w:t>
            </w:r>
          </w:p>
        </w:tc>
        <w:tc>
          <w:tcPr>
            <w:tcW w:w="60" w:type="dxa"/>
            <w:vAlign w:val="bottom"/>
            <w:shd w:val="clear" w:color="auto" w:fill="CCEEFF"/>
          </w:tcPr>
          <w:p>
            <w:pPr>
              <w:spacing w:after="0"/>
              <w:rPr>
                <w:sz w:val="19"/>
                <w:szCs w:val="19"/>
                <w:color w:val="auto"/>
              </w:rPr>
            </w:pPr>
          </w:p>
        </w:tc>
      </w:tr>
      <w:tr>
        <w:trPr>
          <w:trHeight w:val="37"/>
        </w:trPr>
        <w:tc>
          <w:tcPr>
            <w:tcW w:w="5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r>
      <w:tr>
        <w:trPr>
          <w:trHeight w:val="254"/>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8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7"/>
              </w:rPr>
              <w:t>93,244,911</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85,027,120</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66,813,417</w:t>
            </w:r>
          </w:p>
        </w:tc>
      </w:tr>
      <w:tr>
        <w:trPr>
          <w:trHeight w:val="37"/>
        </w:trPr>
        <w:tc>
          <w:tcPr>
            <w:tcW w:w="5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64"/>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 per share of Class A Common Stock:</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26"/>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per Class A common share - basic</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0.93</w:t>
            </w:r>
          </w:p>
        </w:tc>
      </w:tr>
      <w:tr>
        <w:trPr>
          <w:trHeight w:val="37"/>
        </w:trPr>
        <w:tc>
          <w:tcPr>
            <w:tcW w:w="5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53"/>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Class A common share - diluted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r>
      <w:tr>
        <w:trPr>
          <w:trHeight w:val="37"/>
        </w:trPr>
        <w:tc>
          <w:tcPr>
            <w:tcW w:w="5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4814570</wp:posOffset>
            </wp:positionH>
            <wp:positionV relativeFrom="paragraph">
              <wp:posOffset>-3274060</wp:posOffset>
            </wp:positionV>
            <wp:extent cx="17145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-3274060</wp:posOffset>
            </wp:positionV>
            <wp:extent cx="17145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-3274060</wp:posOffset>
            </wp:positionV>
            <wp:extent cx="8572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ind w:left="640" w:hanging="348"/>
        <w:spacing w:after="0"/>
        <w:tabs>
          <w:tab w:leader="none" w:pos="64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the treasury stock method.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609" w:gutter="0" w:footer="0" w:header="0"/>
        </w:sectPr>
      </w:pPr>
    </w:p>
    <w:bookmarkStart w:id="207" w:name="page208"/>
    <w:bookmarkEnd w:id="2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securities from its computation of diluted shares outstanding, as their effect would have been anti-dilutive:</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58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38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13"/>
        </w:trPr>
        <w:tc>
          <w:tcPr>
            <w:tcW w:w="3840" w:type="dxa"/>
            <w:vAlign w:val="bottom"/>
          </w:tcPr>
          <w:p>
            <w:pPr>
              <w:spacing w:after="0"/>
              <w:rPr>
                <w:sz w:val="18"/>
                <w:szCs w:val="18"/>
                <w:color w:val="auto"/>
              </w:rPr>
            </w:pPr>
          </w:p>
        </w:tc>
        <w:tc>
          <w:tcPr>
            <w:tcW w:w="274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8"/>
                <w:szCs w:val="18"/>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8"/>
                <w:szCs w:val="18"/>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3840" w:type="dxa"/>
            <w:vAlign w:val="bottom"/>
            <w:tcBorders>
              <w:bottom w:val="single" w:sz="8" w:color="CCEEFF"/>
            </w:tcBorders>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5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V Shares</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55,486,361</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55,486,361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65,502,347</w:t>
            </w:r>
          </w:p>
        </w:tc>
      </w:tr>
      <w:tr>
        <w:trPr>
          <w:trHeight w:val="224"/>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Class P Units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14,804,507</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15,125,429</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25,660,529</w:t>
            </w:r>
          </w:p>
        </w:tc>
      </w:tr>
      <w:tr>
        <w:trPr>
          <w:trHeight w:val="33"/>
        </w:trPr>
        <w:tc>
          <w:tcPr>
            <w:tcW w:w="3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RSUs outstanding</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7,683,598</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6,269,868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6,398,707</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PRSUs outstanding</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234,375</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859,375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2,437,500</w:t>
            </w:r>
          </w:p>
        </w:tc>
      </w:tr>
      <w:tr>
        <w:trPr>
          <w:trHeight w:val="33"/>
        </w:trPr>
        <w:tc>
          <w:tcPr>
            <w:tcW w:w="3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Warrants</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12,499,973</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12,499,973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Private Placement Warrants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7,000,000</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7,000,000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holdback shares</w:t>
            </w:r>
          </w:p>
        </w:tc>
        <w:tc>
          <w:tcPr>
            <w:tcW w:w="20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677,847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60"/>
        </w:trPr>
        <w:tc>
          <w:tcPr>
            <w:tcW w:w="3840" w:type="dxa"/>
            <w:vAlign w:val="bottom"/>
            <w:shd w:val="clear" w:color="auto" w:fill="CCEEFF"/>
          </w:tcPr>
          <w:p>
            <w:pPr>
              <w:spacing w:after="0"/>
              <w:rPr>
                <w:sz w:val="5"/>
                <w:szCs w:val="5"/>
                <w:color w:val="auto"/>
              </w:rPr>
            </w:pPr>
          </w:p>
        </w:tc>
        <w:tc>
          <w:tcPr>
            <w:tcW w:w="20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-1182370</wp:posOffset>
            </wp:positionV>
            <wp:extent cx="12001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-1182370</wp:posOffset>
            </wp:positionV>
            <wp:extent cx="12001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-1182370</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prior to June 16, 2021, as this period was prior to the Business Combination.</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Following the Business Combination, any taxable income or loss generated by WMH LLC is passed through to and included in the taxable income or loss of its members, including WM Technology, Inc., on a pro rata basis, with the remainder reflected in the line item Income Taxed to Owners of Non-controlling Interests. WM Technology, Inc. is subject to U.S. federal income taxes, in addition to state and local income taxes with respect to its allocable share of any taxable income of WMH following the Business Combination. The owners of the non-controlling interests are taxed as a partnership, and therefore, no tax provision is allocated to non-controlling interests on the consolidated statements of operations. The Company is also subject to taxes in foreign jurisdictions.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components of income (loss) before taxes are as follows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58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38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13"/>
        </w:trPr>
        <w:tc>
          <w:tcPr>
            <w:tcW w:w="3840" w:type="dxa"/>
            <w:vAlign w:val="bottom"/>
          </w:tcPr>
          <w:p>
            <w:pPr>
              <w:spacing w:after="0"/>
              <w:rPr>
                <w:sz w:val="18"/>
                <w:szCs w:val="18"/>
                <w:color w:val="auto"/>
              </w:rPr>
            </w:pPr>
          </w:p>
        </w:tc>
        <w:tc>
          <w:tcPr>
            <w:tcW w:w="26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r>
      <w:tr>
        <w:trPr>
          <w:trHeight w:val="37"/>
        </w:trPr>
        <w:tc>
          <w:tcPr>
            <w:tcW w:w="3840" w:type="dxa"/>
            <w:vAlign w:val="bottom"/>
            <w:tcBorders>
              <w:bottom w:val="single" w:sz="8" w:color="CCEEFF"/>
            </w:tcBorders>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5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Domestic</w:t>
            </w:r>
          </w:p>
        </w:tc>
        <w:tc>
          <w:tcPr>
            <w:tcW w:w="2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$(15,582)</w:t>
            </w:r>
          </w:p>
        </w:tc>
        <w:tc>
          <w:tcPr>
            <w:tcW w:w="3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$97,639</w:t>
            </w:r>
          </w:p>
        </w:tc>
        <w:tc>
          <w:tcPr>
            <w:tcW w:w="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$151,987</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3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48"/>
        </w:trPr>
        <w:tc>
          <w:tcPr>
            <w:tcW w:w="38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r>
      <w:tr>
        <w:trPr>
          <w:trHeight w:val="24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(15,634)</w:t>
            </w:r>
          </w:p>
        </w:tc>
        <w:tc>
          <w:tcPr>
            <w:tcW w:w="3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96,426</w:t>
            </w:r>
          </w:p>
        </w:tc>
        <w:tc>
          <w:tcPr>
            <w:tcW w:w="6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151,617</w:t>
            </w:r>
          </w:p>
        </w:tc>
      </w:tr>
      <w:tr>
        <w:trPr>
          <w:trHeight w:val="48"/>
        </w:trPr>
        <w:tc>
          <w:tcPr>
            <w:tcW w:w="384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-565150</wp:posOffset>
            </wp:positionV>
            <wp:extent cx="22288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-565150</wp:posOffset>
            </wp:positionV>
            <wp:extent cx="22288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-565150</wp:posOffset>
            </wp:positionV>
            <wp:extent cx="11176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components of the provision for (benefit from) income taxes are as follows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gridSpan w:val="9"/>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
        </w:trPr>
        <w:tc>
          <w:tcPr>
            <w:tcW w:w="60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13"/>
        </w:trPr>
        <w:tc>
          <w:tcPr>
            <w:tcW w:w="6020" w:type="dxa"/>
            <w:vAlign w:val="bottom"/>
          </w:tcPr>
          <w:p>
            <w:pPr>
              <w:spacing w:after="0"/>
              <w:rPr>
                <w:sz w:val="18"/>
                <w:szCs w:val="18"/>
                <w:color w:val="auto"/>
              </w:rPr>
            </w:pP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
        </w:trPr>
        <w:tc>
          <w:tcPr>
            <w:tcW w:w="60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7"/>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224"/>
        </w:trPr>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6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1"/>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6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(341)</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241</w:t>
            </w:r>
          </w:p>
        </w:tc>
        <w:tc>
          <w:tcPr>
            <w:tcW w:w="20" w:type="dxa"/>
            <w:vAlign w:val="bottom"/>
          </w:tcPr>
          <w:p>
            <w:pPr>
              <w:spacing w:after="0"/>
              <w:rPr>
                <w:sz w:val="18"/>
                <w:szCs w:val="18"/>
                <w:color w:val="auto"/>
              </w:rPr>
            </w:pPr>
          </w:p>
        </w:tc>
      </w:tr>
      <w:tr>
        <w:trPr>
          <w:trHeight w:val="48"/>
        </w:trPr>
        <w:tc>
          <w:tcPr>
            <w:tcW w:w="60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0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(341)</w:t>
            </w: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241</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Deferred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
        </w:trPr>
        <w:tc>
          <w:tcPr>
            <w:tcW w:w="6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131,766</w:t>
            </w: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2"/>
              </w:rPr>
              <w:t>(508)</w:t>
            </w:r>
          </w:p>
        </w:tc>
      </w:tr>
      <w:tr>
        <w:trPr>
          <w:trHeight w:val="224"/>
        </w:trPr>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6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47,652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2"/>
              </w:rPr>
              <w:t>(334)</w:t>
            </w:r>
          </w:p>
        </w:tc>
      </w:tr>
      <w:tr>
        <w:trPr>
          <w:trHeight w:val="33"/>
        </w:trPr>
        <w:tc>
          <w:tcPr>
            <w:tcW w:w="6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8"/>
        </w:trPr>
        <w:tc>
          <w:tcPr>
            <w:tcW w:w="6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43"/>
        </w:trPr>
        <w:tc>
          <w:tcPr>
            <w:tcW w:w="6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179,418</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2"/>
              </w:rPr>
              <w:t>(842)</w:t>
            </w:r>
          </w:p>
        </w:tc>
      </w:tr>
      <w:tr>
        <w:trPr>
          <w:trHeight w:val="48"/>
        </w:trPr>
        <w:tc>
          <w:tcPr>
            <w:tcW w:w="60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93</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179,077</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2"/>
              </w:rPr>
              <w:t>(601)</w:t>
            </w:r>
          </w:p>
        </w:tc>
      </w:tr>
      <w:tr>
        <w:trPr>
          <w:trHeight w:val="48"/>
        </w:trPr>
        <w:tc>
          <w:tcPr>
            <w:tcW w:w="6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-1936750</wp:posOffset>
            </wp:positionV>
            <wp:extent cx="27432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-1936750</wp:posOffset>
            </wp:positionV>
            <wp:extent cx="27432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-1936750</wp:posOffset>
            </wp:positionV>
            <wp:extent cx="13716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326" w:gutter="0" w:footer="0" w:header="0"/>
        </w:sectPr>
      </w:pPr>
    </w:p>
    <w:bookmarkStart w:id="208" w:name="page209"/>
    <w:bookmarkEnd w:id="2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change in the Company’s income tax provision/(benefit) from 2022 to 2023 is due to the continuation of recording a full valuation allowance on our deferred tax assets as of December 31, 2023, and continued remeasurement of the related TRA liability.</w:t>
      </w:r>
    </w:p>
    <w:p>
      <w:pPr>
        <w:spacing w:after="0" w:line="68"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change in the Company’s income tax provision/(benefit) from 2021 to 2022 is due to the recording of a full valuation allowance on our deferred tax assets as of December 31, 2022 and remeasurement of the related TRA liability. In previous periods, the provision/(benefit) was also impacted by the Business Combination and settlement of a foreign income tax examination.</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actual income tax expense differs from the expected amount computed by applying the federal statutory corporate tax rate of 21 percent as follows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1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1"/>
        </w:trPr>
        <w:tc>
          <w:tcPr>
            <w:tcW w:w="58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27"/>
        </w:trPr>
        <w:tc>
          <w:tcPr>
            <w:tcW w:w="5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50"/>
        </w:trPr>
        <w:tc>
          <w:tcPr>
            <w:tcW w:w="58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r>
      <w:tr>
        <w:trPr>
          <w:trHeight w:val="311"/>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6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$(3,283)</w:t>
            </w: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$ 20,249</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$ 31,844</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State blended statutory rate</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(828)</w:t>
            </w:r>
          </w:p>
        </w:tc>
        <w:tc>
          <w:tcPr>
            <w:tcW w:w="6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taxed to owners of noncontrolling interests</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(11,285)</w:t>
            </w:r>
          </w:p>
        </w:tc>
        <w:tc>
          <w:tcPr>
            <w:tcW w:w="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(21,762)</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Foreign tax impact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(3,718)</w:t>
            </w:r>
          </w:p>
        </w:tc>
        <w:tc>
          <w:tcPr>
            <w:tcW w:w="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(19,669)</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permanent items</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548</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901</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(502)</w:t>
            </w:r>
          </w:p>
        </w:tc>
        <w:tc>
          <w:tcPr>
            <w:tcW w:w="60" w:type="dxa"/>
            <w:vAlign w:val="bottom"/>
          </w:tcPr>
          <w:p>
            <w:pPr>
              <w:spacing w:after="0"/>
              <w:rPr>
                <w:sz w:val="23"/>
                <w:szCs w:val="23"/>
                <w:color w:val="auto"/>
              </w:rPr>
            </w:pPr>
          </w:p>
        </w:tc>
        <w:tc>
          <w:tcPr>
            <w:tcW w:w="9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(2,514)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Provision</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Holdback Share Release</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186,954</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 revaluation</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(20,462)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57"/>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State Tax Rate</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58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179,077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23"/>
                <w:szCs w:val="23"/>
                <w:color w:val="auto"/>
              </w:rPr>
            </w:pPr>
          </w:p>
        </w:tc>
      </w:tr>
      <w:tr>
        <w:trPr>
          <w:trHeight w:val="61"/>
        </w:trPr>
        <w:tc>
          <w:tcPr>
            <w:tcW w:w="580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318"/>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940" w:type="dxa"/>
            <w:vAlign w:val="bottom"/>
            <w:tcBorders>
              <w:bottom w:val="single" w:sz="8" w:color="CCEEFF"/>
            </w:tcBorders>
            <w:gridSpan w:val="8"/>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185.7%</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r>
      <w:tr>
        <w:trPr>
          <w:trHeight w:val="32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The significant components of the net deferred tax assets are as follows: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38"/>
        </w:trPr>
        <w:tc>
          <w:tcPr>
            <w:tcW w:w="5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gridSpan w:val="21"/>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2023   December 31, 2022</w:t>
            </w:r>
          </w:p>
        </w:tc>
      </w:tr>
      <w:tr>
        <w:trPr>
          <w:trHeight w:val="50"/>
        </w:trPr>
        <w:tc>
          <w:tcPr>
            <w:tcW w:w="58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311"/>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$ 129,297</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$ 133,569</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gridSpan w:val="4"/>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receivable agreement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37,021</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37,254</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gridSpan w:val="4"/>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credit carryovers</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5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61"/>
        </w:trPr>
        <w:tc>
          <w:tcPr>
            <w:tcW w:w="5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318"/>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asset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186,682</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187,066</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5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(186,682)</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(187,066)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61"/>
        </w:trPr>
        <w:tc>
          <w:tcPr>
            <w:tcW w:w="5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7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40" w:type="dxa"/>
            <w:vAlign w:val="bottom"/>
            <w:gridSpan w:val="8"/>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7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5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-5682615</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-5682615</wp:posOffset>
            </wp:positionV>
            <wp:extent cx="13716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-5682615</wp:posOffset>
            </wp:positionV>
            <wp:extent cx="13716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-5682615</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-1902460</wp:posOffset>
            </wp:positionV>
            <wp:extent cx="13716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-1902460</wp:posOffset>
            </wp:positionV>
            <wp:extent cx="6858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valuation allowance decreased $0.4 million for the year ended December 31, 2023 and increased $187.0 million for the year ended December 31, 2022. Realization of deferred tax assets is dependent on future earning, if any, the timing of which are uncertain. Accordingly, the net deferred tax assets have been fully offset by a valuation allowance.</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federal and state net operating loss carry forwards of approximately $57.8 million and $51.1 million, respectively, available to reduce future taxable income, if any. The federal net operating loss carries forward indefinitely and most of the state net operating losses will expire beginning in 2041. The Company also has foreign net operating loss carry forwards of approximately $0.1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677" w:gutter="0" w:footer="0" w:header="0"/>
        </w:sectPr>
      </w:pPr>
    </w:p>
    <w:bookmarkStart w:id="209" w:name="page210"/>
    <w:bookmarkEnd w:id="2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federal and California research credit carryforwards of $3.9 million and $1.5 million, respectively, available to reduce future tax. Federal tax credits begin to expire in 2041 and California credits carry forward indefinitely.</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Utilization of the net operating loss and tax credit carryforwards may be subject to an annual limitation due to the ownership change limitations provided by the Internal Revenue Code of 1986, as amended and similar state provisions. An “ownership change” would occur for these purposes if one or more stockholders or groups of stockholders, who own at least 5% of the Company’s stock, increase their ownership by more than 50 percentage points over their lowest ownership percentage within a rolling three-year period. Utilization of federal net operating loss carryforwards is also limited to 80% of the Company’s taxable income in the year of deduction.</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deferred tax asset is primarily attributable to future tax amortization deductions of tax basis created from the Business Combination, subsequent redemptions and exchanges of WMH Units, and future TRA payments. These deferred tax assets generally amortize over 15 years beginning on the date the WMH Units are deemed to have been exchanged or redeemed, or TRA payments are made, as applicable. Tax amortization deductions in excess of taxable income from operations result in a net operating loss, which can be carried forward indefinitely for federal tax purposes.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“more-likely-than-not” that it will realize its deferred tax assets (“DTAs”).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judgement.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Based on the weight of all available evidence, both positive and negative, the Company determined during the fourth quarter of 2022 that a full valuation allowance was required against its net DTAs. Management assessed the available positive and negative evidence to estimate whether sufficient future taxable income will be generated to permit use of the existing deferred tax assets. Significant pieces of negative evidence evaluated were the book operating loss incurred during the year ended December 31, 2022 and lowered forecasts at that time. For the period ending December 31, 2023, management conducted a similar analysis, and determined that a full valuation allowance was still required. Payment under the TRA liability was not probable, resulting from the full valuation allowance and accordingly, substantially all of the TRA liability was reversed. As of December 31, 2023 and 2022, the TRA liability was $1.8 million and $0.5 million, respectively.</w:t>
      </w:r>
    </w:p>
    <w:p>
      <w:pPr>
        <w:spacing w:after="0" w:line="78" w:lineRule="exact"/>
        <w:rPr>
          <w:sz w:val="20"/>
          <w:szCs w:val="20"/>
          <w:color w:val="auto"/>
        </w:rPr>
      </w:pPr>
    </w:p>
    <w:p>
      <w:pPr>
        <w:jc w:val="both"/>
        <w:ind w:left="300" w:right="319"/>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the provisions of FASB ASC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ASC 740-10 prescribes a comprehensive model for the recognition, measurement, presentation and disclosure in financial statements of any uncertain tax positions that have been taken or expected to be taken on a tax return.</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reflects changes in the unrecognized tax benefits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50"/>
        </w:trPr>
        <w:tc>
          <w:tcPr>
            <w:tcW w:w="58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amount of unrecognized tax benefits as of the beginning of the period</w:t>
            </w: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3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$188</w:t>
            </w:r>
          </w:p>
        </w:tc>
      </w:tr>
      <w:tr>
        <w:trPr>
          <w:trHeight w:val="27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Decreases related to prior year tax provisions</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18"/>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Increases related to current year tax provisions</w:t>
            </w:r>
          </w:p>
        </w:tc>
        <w:tc>
          <w:tcPr>
            <w:tcW w:w="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00" w:type="dxa"/>
            <w:vAlign w:val="bottom"/>
            <w:tcBorders>
              <w:bottom w:val="single" w:sz="8" w:color="CCEEFF"/>
            </w:tcBorders>
            <w:shd w:val="clear" w:color="auto" w:fill="CCEEFF"/>
          </w:tcPr>
          <w:p>
            <w:pPr>
              <w:spacing w:after="0"/>
              <w:rPr>
                <w:sz w:val="24"/>
                <w:szCs w:val="24"/>
                <w:color w:val="auto"/>
              </w:rPr>
            </w:pPr>
          </w:p>
        </w:tc>
      </w:tr>
      <w:tr>
        <w:trPr>
          <w:trHeight w:val="28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Gross amount of unrecognized tax benefits as of the end of the period</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1,024</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920</w:t>
            </w:r>
          </w:p>
        </w:tc>
      </w:tr>
      <w:tr>
        <w:trPr>
          <w:trHeight w:val="20"/>
        </w:trPr>
        <w:tc>
          <w:tcPr>
            <w:tcW w:w="5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-830580</wp:posOffset>
            </wp:positionV>
            <wp:extent cx="13716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-830580</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has unrecognized tax benefits of approximately $1.0 million, which would affect its effective tax rate if recognized, and without consideration of valuation allowance. It is unlikely that the amount of liability for unrecognized tax benefits will significantly change over the next 12 months. It is the Company’s policy to include penalties and interest expense related to income taxes as a component of other expense and interest expense, respectively, as necessary.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0" w:name="page211"/>
    <w:bookmarkEnd w:id="2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file income tax returns with the U.S. federal government, various U.S. states and several foreign jurisdictions. The Company’s U.S. federal and state tax returns remain open to examination for 2019 through 2023. In addition, tax returns remain open to examination in non-U.S. subsidiaries, including Canada.</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During the second quarter of 2022, the Company entered into a sublease agreement with an affiliate of the Executive Chair.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Rent receivable of $0.7 million is included in prepaid expenses and other current assets on the accompanying consolidated balance sheets as of December 31, 2023, and was subsequently collected in April 2024. As of December 31, 2022, $0.1 million of rent receivable was included in accounts receivable, net on the accompanying consolidated balance sheets. For the years ended December 31, 2023 and 2022, income on the sublease from the related party transactions were $0.7 million and $0.4 million, respectively. The income on sublease is netted with rent expense and included in general and administrative expenses on the consolidated statements of operations.</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In an event of default, the outstanding principal amount shall bear interest for the entire period during which the principal balance is unpaid at a rate which is equal to 10% per annum. As of December 31, 2023, the remaining balance of the promissory note receivable was $0.7 million of which, $0.4 million was included in prepaid expenses and other current assets and $0.3 million was included in other assets on the consolidated balance sheets. As of December 31, 2022, $1.1 million of related party note receivable was included in other assets on the accompanying consolidated balance sheets. For the year ended December 31, 2023, interest income on the promissory note was less than $0.1 million, which is included in other income (expense), net on the consolidated statement of operations.</w:t>
      </w:r>
    </w:p>
    <w:p>
      <w:pPr>
        <w:spacing w:after="0" w:line="82"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During the fourth quarter of 2023, the Company reimbursed $0.4 million in certain legal fee to Silver Spike Holdings, an affiliate to a member of the board of directors in connection with responding to the SEC investigation. See Part I. Item 3. “Legal Proceedings” for further discussion. The expense is included in general and administrative expenses on the consolidated statements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1" w:name="page212"/>
    <w:bookmarkEnd w:id="2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other than underwriting discounts and commissions, payable by us in connection with the sale of the securities being registered. All amounts shown are estimates except for the SEC registration fee.</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50"/>
        </w:trPr>
        <w:tc>
          <w:tcPr>
            <w:tcW w:w="4860" w:type="dxa"/>
            <w:vAlign w:val="bottom"/>
            <w:tcBorders>
              <w:bottom w:val="single" w:sz="8" w:color="CCEEFF"/>
            </w:tcBorders>
          </w:tcPr>
          <w:p>
            <w:pPr>
              <w:spacing w:after="0"/>
              <w:rPr>
                <w:sz w:val="4"/>
                <w:szCs w:val="4"/>
                <w:color w:val="auto"/>
              </w:rPr>
            </w:pPr>
          </w:p>
        </w:tc>
        <w:tc>
          <w:tcPr>
            <w:tcW w:w="26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r>
      <w:tr>
        <w:trPr>
          <w:trHeight w:val="311"/>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560" w:type="dxa"/>
            <w:vAlign w:val="bottom"/>
            <w:tcBorders>
              <w:bottom w:val="single" w:sz="8" w:color="CCEEFF"/>
            </w:tcBorders>
            <w:gridSpan w:val="3"/>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$401,800+</w:t>
            </w: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8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04"/>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6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8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7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2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860" w:type="dxa"/>
            <w:vAlign w:val="bottom"/>
            <w:shd w:val="clear" w:color="auto" w:fill="CCEEFF"/>
          </w:tcPr>
          <w:p>
            <w:pPr>
              <w:spacing w:after="0"/>
              <w:rPr>
                <w:sz w:val="4"/>
                <w:szCs w:val="4"/>
                <w:color w:val="auto"/>
              </w:rPr>
            </w:pPr>
          </w:p>
        </w:tc>
        <w:tc>
          <w:tcPr>
            <w:tcW w:w="26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-1045210</wp:posOffset>
            </wp:positionV>
            <wp:extent cx="9461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paid</w:t>
      </w:r>
    </w:p>
    <w:p>
      <w:pPr>
        <w:spacing w:after="0" w:line="42" w:lineRule="exact"/>
        <w:rPr>
          <w:sz w:val="20"/>
          <w:szCs w:val="20"/>
          <w:color w:val="auto"/>
        </w:rPr>
      </w:pPr>
    </w:p>
    <w:p>
      <w:pPr>
        <w:jc w:val="both"/>
        <w:ind w:left="640" w:right="299" w:hanging="348"/>
        <w:spacing w:after="0" w:line="236" w:lineRule="auto"/>
        <w:tabs>
          <w:tab w:leader="none" w:pos="6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the SEC registration fee, estimated expenses are not presently known. The foregoing sets forth the general categories of expenses (other than underwriting discounts and commissions) that we anticipate we will incur in connection with the offering of securities under this registration statement. To the extent required, any applicable prospectus supplement will set forth the estimated aggregate amount of expenses payable in respect of any offering of securities under the registration statement.</w:t>
      </w:r>
    </w:p>
    <w:p>
      <w:pPr>
        <w:spacing w:after="0" w:line="177"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14.</w:t>
        <w:tab/>
        <w:t>Indemnification of Directors and Officers.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8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2" w:name="page213"/>
    <w:bookmarkEnd w:id="2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Additionally, 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w:t>
      </w:r>
    </w:p>
    <w:p>
      <w:pPr>
        <w:spacing w:after="0" w:line="158"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June 2021, the PIPE Investors purchased from the Company an aggregate of 32,500,000 shares of Class A Common Stock, for a purchase price of $10.00 per share and an aggregate purchase price of $325.0 million, pursuant to Subscription Agreements entered into effective as of December 2020. The sale of the PIPE Shares was made in reliance on the exemption from registration in Section 4(a)(2) under the Securities Act.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September 3, 2021, the Company entered into the Asset Purchase Agreement with Sprout, Text Ripple, WM Loyalty, LLC, certain equityholders of Sprout and Text Ripple, and Jaret Christopher, as sellers’ representative pursuant to which the Company acquired certain assets of Sprout for a total consideration of approximately $31.2 million, including the issuance by the Company of 1,244,258 shares of Class A Common Stock. The shares were issued in reliance on the exemption from registration in Section 4(a)(2) under the Securities Act.</w:t>
      </w:r>
    </w:p>
    <w:p>
      <w:pPr>
        <w:spacing w:after="0" w:line="75" w:lineRule="exact"/>
        <w:rPr>
          <w:sz w:val="20"/>
          <w:szCs w:val="20"/>
          <w:color w:val="auto"/>
        </w:rPr>
      </w:pPr>
    </w:p>
    <w:p>
      <w:pPr>
        <w:jc w:val="both"/>
        <w:ind w:left="300" w:right="299"/>
        <w:spacing w:after="0" w:line="277" w:lineRule="auto"/>
        <w:rPr>
          <w:sz w:val="20"/>
          <w:szCs w:val="20"/>
          <w:color w:val="auto"/>
        </w:rPr>
      </w:pPr>
      <w:r>
        <w:rPr>
          <w:rFonts w:ascii="Times New Roman" w:cs="Times New Roman" w:eastAsia="Times New Roman" w:hAnsi="Times New Roman"/>
          <w:sz w:val="17"/>
          <w:szCs w:val="17"/>
          <w:color w:val="auto"/>
        </w:rPr>
        <w:t>On September 28, 2021, Ghost Management Group, LLC, a subsidiary of the Company, entered into the Equity Interest Purchase Agreement with TLHC, certain securityholders of TLHC, and Justin Morris, as sellers’ representative, pursuant to which the Company acquired all of the equity interests of TLHC for total consideration of approximately $15.1 million, including the issuance by the Company of 694,540 shares of Class A Common Stock. The shares were issued in reliance on the exemption from registration in Section 4(a)(2) under the Securities Act.</w:t>
      </w:r>
    </w:p>
    <w:p>
      <w:pPr>
        <w:spacing w:after="0" w:line="6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 January 14, 2022, WM In-Store Solutions, LLC (“Merger Sub”), a subsidiary of the Company, acquired Eyechronic LLC d/b/a Enlighten (“Eyechronic”) for total consideration of approximately $35 million, including the issuance by the Company of 4,721,706 shares of Class A Common Stock, pursuant to that certain Agreement and Plan of Reorganization dated as of January 3, 2022 by and among the Company, Eyechronic, Merger Sub, Janus Merger Sub I, LLC and Brian Schwartz, as representative of company indemnitors. The shares were issued in reliance on the exemption from registration in Section 4(a)(2) under the Securities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3" w:name="page214"/>
    <w:bookmarkEnd w:id="2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0" w:lineRule="exact"/>
        <w:rPr>
          <w:sz w:val="20"/>
          <w:szCs w:val="20"/>
          <w:color w:val="auto"/>
        </w:rPr>
      </w:pPr>
    </w:p>
    <w:p>
      <w:pPr>
        <w:ind w:left="300"/>
        <w:spacing w:after="0"/>
        <w:tabs>
          <w:tab w:leader="none" w:pos="456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50800</wp:posOffset>
            </wp:positionV>
            <wp:extent cx="6858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257"/>
        </w:trPr>
        <w:tc>
          <w:tcPr>
            <w:tcW w:w="400" w:type="dxa"/>
            <w:vAlign w:val="bottom"/>
            <w:tcBorders>
              <w:top w:val="single" w:sz="8" w:color="auto"/>
            </w:tcBorders>
            <w:gridSpan w:val="4"/>
            <w:shd w:val="clear" w:color="auto" w:fill="CCEEFF"/>
          </w:tcPr>
          <w:p>
            <w:pPr>
              <w:spacing w:after="0"/>
              <w:rPr>
                <w:rFonts w:ascii="Times New Roman" w:cs="Times New Roman" w:eastAsia="Times New Roman" w:hAnsi="Times New Roman"/>
                <w:sz w:val="18"/>
                <w:szCs w:val="18"/>
                <w:color w:val="0000EE"/>
              </w:rPr>
            </w:pPr>
            <w:hyperlink r:id="rId631">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2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7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 and Plan of Merger, dated December 10, 2020, by and among Silver Spike, Merger Sub,</w:t>
            </w: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Legacy WMH, and the Holder Representative named therein (incorporated by reference to Exhibit 2.1 to</w:t>
            </w:r>
          </w:p>
        </w:tc>
      </w:tr>
      <w:tr>
        <w:trPr>
          <w:trHeight w:val="268"/>
        </w:trPr>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Current Report on Form 8-K filed on December 10, 2020).</w:t>
            </w:r>
          </w:p>
        </w:tc>
      </w:tr>
      <w:tr>
        <w:trPr>
          <w:trHeight w:val="229"/>
        </w:trPr>
        <w:tc>
          <w:tcPr>
            <w:tcW w:w="300" w:type="dxa"/>
            <w:vAlign w:val="bottom"/>
            <w:gridSpan w:val="2"/>
          </w:tcPr>
          <w:p>
            <w:pPr>
              <w:spacing w:after="0"/>
              <w:rPr>
                <w:rFonts w:ascii="Times New Roman" w:cs="Times New Roman" w:eastAsia="Times New Roman" w:hAnsi="Times New Roman"/>
                <w:sz w:val="18"/>
                <w:szCs w:val="18"/>
                <w:color w:val="0000EE"/>
              </w:rPr>
            </w:pPr>
            <w:hyperlink r:id="rId632">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Certificate of Incorporation of the Company, dated June 15, 2021 (incorporated by reference to</w:t>
            </w: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Exhibit 3.1 to the Current Report on Form 8-K filed on June 21, 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29"/>
        </w:trPr>
        <w:tc>
          <w:tcPr>
            <w:tcW w:w="300" w:type="dxa"/>
            <w:vAlign w:val="bottom"/>
            <w:gridSpan w:val="2"/>
            <w:shd w:val="clear" w:color="auto" w:fill="CCEEFF"/>
          </w:tcPr>
          <w:p>
            <w:pPr>
              <w:spacing w:after="0"/>
              <w:rPr>
                <w:rFonts w:ascii="Times New Roman" w:cs="Times New Roman" w:eastAsia="Times New Roman" w:hAnsi="Times New Roman"/>
                <w:sz w:val="18"/>
                <w:szCs w:val="18"/>
                <w:color w:val="0000EE"/>
              </w:rPr>
            </w:pPr>
            <w:hyperlink r:id="rId633">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Amended and Restated Bylaws of the Company, dated June 16, 2021 (incorporated by reference to</w:t>
            </w:r>
          </w:p>
        </w:tc>
      </w:tr>
      <w:tr>
        <w:trPr>
          <w:trHeight w:val="271"/>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 3.2 to the Current Report on Form 8-K filed on June 21, 2021).</w:t>
            </w:r>
          </w:p>
        </w:tc>
      </w:tr>
      <w:tr>
        <w:trPr>
          <w:trHeight w:val="229"/>
        </w:trPr>
        <w:tc>
          <w:tcPr>
            <w:tcW w:w="300" w:type="dxa"/>
            <w:vAlign w:val="bottom"/>
            <w:gridSpan w:val="2"/>
          </w:tcPr>
          <w:p>
            <w:pPr>
              <w:spacing w:after="0"/>
              <w:rPr>
                <w:rFonts w:ascii="Times New Roman" w:cs="Times New Roman" w:eastAsia="Times New Roman" w:hAnsi="Times New Roman"/>
                <w:sz w:val="18"/>
                <w:szCs w:val="18"/>
                <w:color w:val="0000EE"/>
              </w:rPr>
            </w:pPr>
            <w:hyperlink r:id="rId63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Common Stock Certificate of the Company (incorporated by reference to Exhibit 4.1 to the</w:t>
            </w: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Report on Form 8-K filed on June 21, 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29"/>
        </w:trPr>
        <w:tc>
          <w:tcPr>
            <w:tcW w:w="300" w:type="dxa"/>
            <w:vAlign w:val="bottom"/>
            <w:gridSpan w:val="2"/>
            <w:shd w:val="clear" w:color="auto" w:fill="CCEEFF"/>
          </w:tcPr>
          <w:p>
            <w:pPr>
              <w:spacing w:after="0"/>
              <w:rPr>
                <w:rFonts w:ascii="Times New Roman" w:cs="Times New Roman" w:eastAsia="Times New Roman" w:hAnsi="Times New Roman"/>
                <w:sz w:val="18"/>
                <w:szCs w:val="18"/>
                <w:color w:val="0000EE"/>
              </w:rPr>
            </w:pPr>
            <w:hyperlink r:id="rId63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of Warrant Certificate of the Company (incorporated by reference to Exhibit 4.2 to the Current</w:t>
            </w:r>
          </w:p>
        </w:tc>
      </w:tr>
      <w:tr>
        <w:trPr>
          <w:trHeight w:val="271"/>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Report on Form 8-K filed on June 21, 2021).</w:t>
            </w:r>
          </w:p>
        </w:tc>
      </w:tr>
      <w:tr>
        <w:trPr>
          <w:trHeight w:val="229"/>
        </w:trPr>
        <w:tc>
          <w:tcPr>
            <w:tcW w:w="300" w:type="dxa"/>
            <w:vAlign w:val="bottom"/>
            <w:gridSpan w:val="2"/>
          </w:tcPr>
          <w:p>
            <w:pPr>
              <w:spacing w:after="0"/>
              <w:rPr>
                <w:rFonts w:ascii="Times New Roman" w:cs="Times New Roman" w:eastAsia="Times New Roman" w:hAnsi="Times New Roman"/>
                <w:sz w:val="18"/>
                <w:szCs w:val="18"/>
                <w:color w:val="0000EE"/>
              </w:rPr>
            </w:pPr>
            <w:hyperlink r:id="rId63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Warrant Agreement, dated August 7, 2019, between the Company and Continental Stock Transfer &amp;</w:t>
            </w: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 Company, as warrant agent (incorporated by reference to Exhibit 4.1 filed on Silver Spike’s</w:t>
            </w:r>
          </w:p>
        </w:tc>
      </w:tr>
      <w:tr>
        <w:trPr>
          <w:trHeight w:val="234"/>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Report on Form 8-K, filed by the Company on August 12, 2019).</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29"/>
        </w:trPr>
        <w:tc>
          <w:tcPr>
            <w:tcW w:w="300" w:type="dxa"/>
            <w:vAlign w:val="bottom"/>
            <w:gridSpan w:val="2"/>
            <w:shd w:val="clear" w:color="auto" w:fill="CCEEFF"/>
          </w:tcPr>
          <w:p>
            <w:pPr>
              <w:spacing w:after="0"/>
              <w:rPr>
                <w:rFonts w:ascii="Times New Roman" w:cs="Times New Roman" w:eastAsia="Times New Roman" w:hAnsi="Times New Roman"/>
                <w:sz w:val="18"/>
                <w:szCs w:val="18"/>
                <w:color w:val="0000EE"/>
              </w:rPr>
            </w:pPr>
            <w:hyperlink r:id="rId63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Description of Securities (incorporated by reference to Exhibit 4.5 to the Annual Report on Form 10-K</w:t>
            </w:r>
          </w:p>
        </w:tc>
      </w:tr>
      <w:tr>
        <w:trPr>
          <w:trHeight w:val="271"/>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filed on May 24, 2024).</w:t>
            </w:r>
          </w:p>
        </w:tc>
      </w:tr>
      <w:tr>
        <w:trPr>
          <w:trHeight w:val="229"/>
        </w:trPr>
        <w:tc>
          <w:tcPr>
            <w:tcW w:w="300" w:type="dxa"/>
            <w:vAlign w:val="bottom"/>
            <w:gridSpan w:val="2"/>
          </w:tcPr>
          <w:p>
            <w:pPr>
              <w:spacing w:after="0"/>
              <w:rPr>
                <w:rFonts w:ascii="Times New Roman" w:cs="Times New Roman" w:eastAsia="Times New Roman" w:hAnsi="Times New Roman"/>
                <w:sz w:val="18"/>
                <w:szCs w:val="18"/>
                <w:color w:val="0000EE"/>
              </w:rPr>
            </w:pPr>
            <w:hyperlink r:id="rId638">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Opinion of Cooley LLP*</w:t>
            </w:r>
          </w:p>
        </w:tc>
      </w:tr>
      <w:tr>
        <w:trPr>
          <w:trHeight w:val="74"/>
        </w:trPr>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580" w:type="dxa"/>
            <w:vAlign w:val="bottom"/>
          </w:tcPr>
          <w:p>
            <w:pPr>
              <w:spacing w:after="0"/>
              <w:rPr>
                <w:sz w:val="6"/>
                <w:szCs w:val="6"/>
                <w:color w:val="auto"/>
              </w:rPr>
            </w:pPr>
          </w:p>
        </w:tc>
      </w:tr>
      <w:tr>
        <w:trPr>
          <w:trHeight w:val="230"/>
        </w:trPr>
        <w:tc>
          <w:tcPr>
            <w:tcW w:w="320" w:type="dxa"/>
            <w:vAlign w:val="bottom"/>
            <w:gridSpan w:val="3"/>
            <w:shd w:val="clear" w:color="auto" w:fill="CCEEFF"/>
          </w:tcPr>
          <w:p>
            <w:pPr>
              <w:spacing w:after="0"/>
              <w:rPr>
                <w:rFonts w:ascii="Times New Roman" w:cs="Times New Roman" w:eastAsia="Times New Roman" w:hAnsi="Times New Roman"/>
                <w:sz w:val="18"/>
                <w:szCs w:val="18"/>
                <w:color w:val="0000EE"/>
                <w:w w:val="95"/>
              </w:rPr>
            </w:pPr>
            <w:hyperlink r:id="rId639">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Exchange Agreement, dated as of June 16, 2021, by and among the Company, Silver Spike Sponsor and</w:t>
            </w: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other parties thereto (incorporated by reference to Exhibit 10.1 to the Current Report on Form 8-K</w:t>
            </w:r>
          </w:p>
        </w:tc>
      </w:tr>
      <w:tr>
        <w:trPr>
          <w:trHeight w:val="268"/>
        </w:trPr>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filed on June 21, 2021).</w:t>
            </w:r>
          </w:p>
        </w:tc>
      </w:tr>
      <w:tr>
        <w:trPr>
          <w:trHeight w:val="229"/>
        </w:trPr>
        <w:tc>
          <w:tcPr>
            <w:tcW w:w="320" w:type="dxa"/>
            <w:vAlign w:val="bottom"/>
            <w:gridSpan w:val="3"/>
          </w:tcPr>
          <w:p>
            <w:pPr>
              <w:spacing w:after="0"/>
              <w:rPr>
                <w:rFonts w:ascii="Times New Roman" w:cs="Times New Roman" w:eastAsia="Times New Roman" w:hAnsi="Times New Roman"/>
                <w:sz w:val="18"/>
                <w:szCs w:val="18"/>
                <w:color w:val="0000EE"/>
                <w:w w:val="95"/>
              </w:rPr>
            </w:pPr>
            <w:hyperlink r:id="rId640">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Tax Receivable Agreement, dated as of June 16, 2021, by and among the Company and the other parties</w:t>
            </w: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thereto (incorporated by reference to Exhibit 10.2 to the Current Report on Form 8-K filed on June 21,</w:t>
            </w:r>
          </w:p>
        </w:tc>
      </w:tr>
      <w:tr>
        <w:trPr>
          <w:trHeight w:val="234"/>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29"/>
        </w:trPr>
        <w:tc>
          <w:tcPr>
            <w:tcW w:w="320" w:type="dxa"/>
            <w:vAlign w:val="bottom"/>
            <w:gridSpan w:val="3"/>
            <w:shd w:val="clear" w:color="auto" w:fill="CCEEFF"/>
          </w:tcPr>
          <w:p>
            <w:pPr>
              <w:spacing w:after="0"/>
              <w:rPr>
                <w:rFonts w:ascii="Times New Roman" w:cs="Times New Roman" w:eastAsia="Times New Roman" w:hAnsi="Times New Roman"/>
                <w:sz w:val="18"/>
                <w:szCs w:val="18"/>
                <w:color w:val="0000EE"/>
                <w:w w:val="95"/>
              </w:rPr>
            </w:pPr>
            <w:hyperlink r:id="rId641">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hyperlink>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Fourth Amended and Restated Operating Agreement of WMH LLC (incorporated by reference to</w:t>
            </w:r>
          </w:p>
        </w:tc>
      </w:tr>
      <w:tr>
        <w:trPr>
          <w:trHeight w:val="270"/>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 10.3 to the Current Report on Form 8-K filed on June 21, 2021).</w:t>
            </w:r>
          </w:p>
        </w:tc>
      </w:tr>
      <w:tr>
        <w:trPr>
          <w:trHeight w:val="230"/>
        </w:trPr>
        <w:tc>
          <w:tcPr>
            <w:tcW w:w="320" w:type="dxa"/>
            <w:vAlign w:val="bottom"/>
            <w:gridSpan w:val="3"/>
          </w:tcPr>
          <w:p>
            <w:pPr>
              <w:spacing w:after="0"/>
              <w:rPr>
                <w:rFonts w:ascii="Times New Roman" w:cs="Times New Roman" w:eastAsia="Times New Roman" w:hAnsi="Times New Roman"/>
                <w:sz w:val="18"/>
                <w:szCs w:val="18"/>
                <w:color w:val="0000EE"/>
                <w:w w:val="95"/>
              </w:rPr>
            </w:pPr>
            <w:hyperlink r:id="rId642">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hyperlink>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Subscription Agreement (incorporated by reference to Exhibit 10.1 to the Current Report on</w:t>
            </w: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8-K filed on December 10, 2020).</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30"/>
        </w:trPr>
        <w:tc>
          <w:tcPr>
            <w:tcW w:w="320" w:type="dxa"/>
            <w:vAlign w:val="bottom"/>
            <w:gridSpan w:val="3"/>
            <w:shd w:val="clear" w:color="auto" w:fill="CCEEFF"/>
          </w:tcPr>
          <w:p>
            <w:pPr>
              <w:spacing w:after="0"/>
              <w:rPr>
                <w:rFonts w:ascii="Times New Roman" w:cs="Times New Roman" w:eastAsia="Times New Roman" w:hAnsi="Times New Roman"/>
                <w:sz w:val="18"/>
                <w:szCs w:val="18"/>
                <w:color w:val="0000EE"/>
                <w:w w:val="95"/>
              </w:rPr>
            </w:pPr>
            <w:hyperlink r:id="rId643">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5</w:t>
              </w:r>
            </w:hyperlink>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Amended and Restated Registration Rights Agreement, dated as of June 16, 2021, by and among the</w:t>
            </w: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Company, Silver Spike Sponsor and the other parties thereto (incorporated by reference to Exhibit 10.5</w:t>
            </w:r>
          </w:p>
        </w:tc>
      </w:tr>
      <w:tr>
        <w:trPr>
          <w:trHeight w:val="268"/>
        </w:trPr>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 the Current Report on Form 8-K filed on June 21, 2021).</w:t>
            </w:r>
          </w:p>
        </w:tc>
      </w:tr>
      <w:tr>
        <w:trPr>
          <w:trHeight w:val="229"/>
        </w:trPr>
        <w:tc>
          <w:tcPr>
            <w:tcW w:w="600" w:type="dxa"/>
            <w:vAlign w:val="bottom"/>
            <w:gridSpan w:val="5"/>
          </w:tcPr>
          <w:p>
            <w:pPr>
              <w:spacing w:after="0"/>
              <w:rPr>
                <w:rFonts w:ascii="Times New Roman" w:cs="Times New Roman" w:eastAsia="Times New Roman" w:hAnsi="Times New Roman"/>
                <w:sz w:val="18"/>
                <w:szCs w:val="18"/>
                <w:color w:val="0000EE"/>
              </w:rPr>
            </w:pPr>
            <w:hyperlink r:id="rId64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14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Indemnification Agreement by and between the Company and its directors and officers</w:t>
            </w: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(incorporated by reference to Exhibit 10.6 to the Current Report on Form 8-K filed on June 21, 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30"/>
        </w:trPr>
        <w:tc>
          <w:tcPr>
            <w:tcW w:w="600" w:type="dxa"/>
            <w:vAlign w:val="bottom"/>
            <w:gridSpan w:val="5"/>
            <w:shd w:val="clear" w:color="auto" w:fill="CCEEFF"/>
          </w:tcPr>
          <w:p>
            <w:pPr>
              <w:spacing w:after="0"/>
              <w:rPr>
                <w:rFonts w:ascii="Times New Roman" w:cs="Times New Roman" w:eastAsia="Times New Roman" w:hAnsi="Times New Roman"/>
                <w:sz w:val="18"/>
                <w:szCs w:val="18"/>
                <w:color w:val="0000EE"/>
              </w:rPr>
            </w:pPr>
            <w:hyperlink r:id="rId64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14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WM Technology, Inc. 2021 Equity Incentive Plan (incorporated by reference to Exhibit 10.7 to the</w:t>
            </w:r>
          </w:p>
        </w:tc>
      </w:tr>
      <w:tr>
        <w:trPr>
          <w:trHeight w:val="270"/>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Report on Form 8-K filed on June 21, 2021).</w:t>
            </w:r>
          </w:p>
        </w:tc>
      </w:tr>
      <w:tr>
        <w:trPr>
          <w:trHeight w:val="230"/>
        </w:trPr>
        <w:tc>
          <w:tcPr>
            <w:tcW w:w="740" w:type="dxa"/>
            <w:vAlign w:val="bottom"/>
            <w:gridSpan w:val="6"/>
          </w:tcPr>
          <w:p>
            <w:pPr>
              <w:spacing w:after="0"/>
              <w:rPr>
                <w:rFonts w:ascii="Times New Roman" w:cs="Times New Roman" w:eastAsia="Times New Roman" w:hAnsi="Times New Roman"/>
                <w:sz w:val="18"/>
                <w:szCs w:val="18"/>
                <w:color w:val="0000EE"/>
              </w:rPr>
            </w:pPr>
            <w:hyperlink r:id="rId64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7(a)#</w:t>
              </w:r>
            </w:hyperlink>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Stock Option Grant Notice (incorporated by reference to Exhibit 10.7(a) to the Current Report</w:t>
            </w: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on Form 8-K filed on June 21, 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30"/>
        </w:trPr>
        <w:tc>
          <w:tcPr>
            <w:tcW w:w="740" w:type="dxa"/>
            <w:vAlign w:val="bottom"/>
            <w:gridSpan w:val="6"/>
            <w:shd w:val="clear" w:color="auto" w:fill="CCEEFF"/>
          </w:tcPr>
          <w:p>
            <w:pPr>
              <w:spacing w:after="0"/>
              <w:rPr>
                <w:rFonts w:ascii="Times New Roman" w:cs="Times New Roman" w:eastAsia="Times New Roman" w:hAnsi="Times New Roman"/>
                <w:sz w:val="18"/>
                <w:szCs w:val="18"/>
                <w:color w:val="0000EE"/>
              </w:rPr>
            </w:pPr>
            <w:hyperlink r:id="rId64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7(b)#</w:t>
              </w:r>
            </w:hyperlink>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Form of RSU Award Grant Notice (incorporated by reference to Exhibit 10.7(b) to the Current Report on</w:t>
            </w:r>
          </w:p>
        </w:tc>
      </w:tr>
      <w:tr>
        <w:trPr>
          <w:trHeight w:val="270"/>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200" w:type="dxa"/>
            <w:vAlign w:val="bottom"/>
            <w:tcBorders>
              <w:top w:val="single" w:sz="8" w:color="0000EE"/>
              <w:bottom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8-K filed on June 21, 2021).</w:t>
            </w:r>
          </w:p>
        </w:tc>
      </w:tr>
      <w:tr>
        <w:trPr>
          <w:trHeight w:val="230"/>
        </w:trPr>
        <w:tc>
          <w:tcPr>
            <w:tcW w:w="600" w:type="dxa"/>
            <w:vAlign w:val="bottom"/>
            <w:gridSpan w:val="5"/>
          </w:tcPr>
          <w:p>
            <w:pPr>
              <w:spacing w:after="0"/>
              <w:rPr>
                <w:rFonts w:ascii="Times New Roman" w:cs="Times New Roman" w:eastAsia="Times New Roman" w:hAnsi="Times New Roman"/>
                <w:sz w:val="18"/>
                <w:szCs w:val="18"/>
                <w:color w:val="0000EE"/>
              </w:rPr>
            </w:pPr>
            <w:hyperlink r:id="rId64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14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WM Technology, Inc. 2021 Employee Stock Purchase Plan (incorporated by reference to Exhibit 10.8 to</w:t>
            </w:r>
          </w:p>
        </w:tc>
      </w:tr>
      <w:tr>
        <w:trPr>
          <w:trHeight w:val="236"/>
        </w:trPr>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Current Report on Form 8-K filed on June 21, 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30"/>
        </w:trPr>
        <w:tc>
          <w:tcPr>
            <w:tcW w:w="320" w:type="dxa"/>
            <w:vAlign w:val="bottom"/>
            <w:gridSpan w:val="3"/>
            <w:shd w:val="clear" w:color="auto" w:fill="CCEEFF"/>
          </w:tcPr>
          <w:p>
            <w:pPr>
              <w:spacing w:after="0"/>
              <w:rPr>
                <w:rFonts w:ascii="Times New Roman" w:cs="Times New Roman" w:eastAsia="Times New Roman" w:hAnsi="Times New Roman"/>
                <w:sz w:val="18"/>
                <w:szCs w:val="18"/>
                <w:color w:val="0000EE"/>
                <w:w w:val="95"/>
              </w:rPr>
            </w:pPr>
            <w:hyperlink r:id="rId649">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9</w:t>
              </w:r>
            </w:hyperlink>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by and between the Irvine Company LLC and Ghost Media Group, LLC, dated November 11,</w:t>
            </w: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2013, as amended (incorporated by reference to Exhibit 10.12 to the Current Report on Form 8-K filed</w:t>
            </w:r>
          </w:p>
        </w:tc>
      </w:tr>
      <w:tr>
        <w:trPr>
          <w:trHeight w:val="268"/>
        </w:trPr>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on June 21, 2021).</w:t>
            </w:r>
          </w:p>
        </w:tc>
      </w:tr>
      <w:tr>
        <w:trPr>
          <w:trHeight w:val="229"/>
        </w:trPr>
        <w:tc>
          <w:tcPr>
            <w:tcW w:w="600" w:type="dxa"/>
            <w:vAlign w:val="bottom"/>
            <w:gridSpan w:val="5"/>
          </w:tcPr>
          <w:p>
            <w:pPr>
              <w:spacing w:after="0"/>
              <w:rPr>
                <w:rFonts w:ascii="Times New Roman" w:cs="Times New Roman" w:eastAsia="Times New Roman" w:hAnsi="Times New Roman"/>
                <w:sz w:val="18"/>
                <w:szCs w:val="18"/>
                <w:color w:val="0000EE"/>
              </w:rPr>
            </w:pPr>
            <w:hyperlink r:id="rId65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w:t>
              </w:r>
            </w:hyperlink>
          </w:p>
        </w:tc>
        <w:tc>
          <w:tcPr>
            <w:tcW w:w="14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First Amendment to Lease and Consent to Assignment by and between Discovery Business Center LLC,</w:t>
            </w: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 successor-in-interest to the Irvine Company LLC, and Ghost Management Group, LLC, as successor-</w:t>
            </w: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in-interest to Ghost Media Group, LLC, dated January 27, 2016 (incorporated by reference to</w:t>
            </w:r>
          </w:p>
        </w:tc>
      </w:tr>
      <w:tr>
        <w:trPr>
          <w:trHeight w:val="234"/>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Exhibit 10.13 to the Current Report on Form 8-K filed on June 21, 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29"/>
        </w:trPr>
        <w:tc>
          <w:tcPr>
            <w:tcW w:w="400" w:type="dxa"/>
            <w:vAlign w:val="bottom"/>
            <w:tcBorders>
              <w:bottom w:val="single" w:sz="8" w:color="0000EE"/>
            </w:tcBorders>
            <w:gridSpan w:val="4"/>
            <w:shd w:val="clear" w:color="auto" w:fill="CCEEFF"/>
          </w:tcPr>
          <w:p>
            <w:pPr>
              <w:spacing w:after="0"/>
              <w:rPr>
                <w:rFonts w:ascii="Times New Roman" w:cs="Times New Roman" w:eastAsia="Times New Roman" w:hAnsi="Times New Roman"/>
                <w:sz w:val="18"/>
                <w:szCs w:val="18"/>
                <w:color w:val="0000EE"/>
                <w:w w:val="93"/>
              </w:rPr>
            </w:pPr>
            <w:hyperlink r:id="rId651">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11</w:t>
              </w:r>
            </w:hyperlink>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Second Amendment to Lease, by and between Discovery Business Center LLC and Ghost Management</w:t>
            </w:r>
          </w:p>
        </w:tc>
      </w:tr>
      <w:tr>
        <w:trPr>
          <w:trHeight w:val="218"/>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Group, LLC, dated April 7, 2017 (incorporated by reference to Exhibit 10.14 to the Current Report on</w:t>
            </w:r>
          </w:p>
        </w:tc>
      </w:tr>
      <w:tr>
        <w:trPr>
          <w:trHeight w:val="234"/>
        </w:trPr>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8-K filed on June 21, 2021).</w:t>
            </w:r>
          </w:p>
        </w:tc>
      </w:tr>
      <w:tr>
        <w:trPr>
          <w:trHeight w:val="54"/>
        </w:trPr>
        <w:tc>
          <w:tcPr>
            <w:tcW w:w="2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580" w:type="dxa"/>
            <w:vAlign w:val="bottom"/>
            <w:shd w:val="clear" w:color="auto" w:fill="CCEEFF"/>
          </w:tcPr>
          <w:p>
            <w:pPr>
              <w:spacing w:after="0"/>
              <w:rPr>
                <w:sz w:val="4"/>
                <w:szCs w:val="4"/>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4" w:name="page215"/>
    <w:bookmarkEnd w:id="2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6"/>
                <w:szCs w:val="16"/>
                <w:color w:val="auto"/>
              </w:rPr>
            </w:pPr>
          </w:p>
        </w:tc>
        <w:tc>
          <w:tcPr>
            <w:tcW w:w="7580" w:type="dxa"/>
            <w:vAlign w:val="bottom"/>
          </w:tcPr>
          <w:p>
            <w:pPr>
              <w:ind w:left="34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50"/>
        </w:trPr>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580" w:type="dxa"/>
            <w:vAlign w:val="bottom"/>
            <w:tcBorders>
              <w:bottom w:val="single" w:sz="8" w:color="auto"/>
            </w:tcBorders>
          </w:tcPr>
          <w:p>
            <w:pPr>
              <w:spacing w:after="0"/>
              <w:rPr>
                <w:sz w:val="4"/>
                <w:szCs w:val="4"/>
                <w:color w:val="auto"/>
              </w:rPr>
            </w:pPr>
          </w:p>
        </w:tc>
      </w:tr>
      <w:tr>
        <w:trPr>
          <w:trHeight w:val="237"/>
        </w:trPr>
        <w:tc>
          <w:tcPr>
            <w:tcW w:w="480" w:type="dxa"/>
            <w:vAlign w:val="bottom"/>
            <w:gridSpan w:val="3"/>
            <w:shd w:val="clear" w:color="auto" w:fill="CCEEFF"/>
          </w:tcPr>
          <w:p>
            <w:pPr>
              <w:spacing w:after="0"/>
              <w:rPr>
                <w:rFonts w:ascii="Times New Roman" w:cs="Times New Roman" w:eastAsia="Times New Roman" w:hAnsi="Times New Roman"/>
                <w:sz w:val="18"/>
                <w:szCs w:val="18"/>
                <w:color w:val="0000EE"/>
              </w:rPr>
            </w:pPr>
            <w:hyperlink r:id="rId65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12</w:t>
              </w:r>
            </w:hyperlink>
          </w:p>
        </w:tc>
        <w:tc>
          <w:tcPr>
            <w:tcW w:w="260" w:type="dxa"/>
            <w:vAlign w:val="bottom"/>
            <w:shd w:val="clear" w:color="auto" w:fill="CCEEFF"/>
          </w:tcPr>
          <w:p>
            <w:pPr>
              <w:spacing w:after="0"/>
              <w:rPr>
                <w:sz w:val="20"/>
                <w:szCs w:val="20"/>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Third Amendment to Lease, by and between Discovery Business Center LLC and Ghost Management</w:t>
            </w:r>
          </w:p>
        </w:tc>
      </w:tr>
      <w:tr>
        <w:trPr>
          <w:trHeight w:val="218"/>
        </w:trPr>
        <w:tc>
          <w:tcPr>
            <w:tcW w:w="3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Group, LLC, dated December 29, 2017 (incorporated by reference to Exhibit 10.15 to the Current Report</w:t>
            </w:r>
          </w:p>
        </w:tc>
      </w:tr>
      <w:tr>
        <w:trPr>
          <w:trHeight w:val="268"/>
        </w:trPr>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on Form 8-K filed on June 21, 2021).</w:t>
            </w:r>
          </w:p>
        </w:tc>
      </w:tr>
      <w:tr>
        <w:trPr>
          <w:trHeight w:val="229"/>
        </w:trPr>
        <w:tc>
          <w:tcPr>
            <w:tcW w:w="480" w:type="dxa"/>
            <w:vAlign w:val="bottom"/>
            <w:gridSpan w:val="3"/>
          </w:tcPr>
          <w:p>
            <w:pPr>
              <w:spacing w:after="0"/>
              <w:rPr>
                <w:rFonts w:ascii="Times New Roman" w:cs="Times New Roman" w:eastAsia="Times New Roman" w:hAnsi="Times New Roman"/>
                <w:sz w:val="18"/>
                <w:szCs w:val="18"/>
                <w:color w:val="0000EE"/>
              </w:rPr>
            </w:pPr>
            <w:hyperlink r:id="rId65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13</w:t>
              </w:r>
            </w:hyperlink>
          </w:p>
        </w:tc>
        <w:tc>
          <w:tcPr>
            <w:tcW w:w="26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Fourth Amendment to Lease, by and between Discovery Business Center LLC and Ghost Management</w:t>
            </w:r>
          </w:p>
        </w:tc>
      </w:tr>
      <w:tr>
        <w:trPr>
          <w:trHeight w:val="218"/>
        </w:trPr>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Group, LLC, dated May 3, 2018 (incorporated by reference to Exhibit 10.16 to the Current Report on</w:t>
            </w:r>
          </w:p>
        </w:tc>
      </w:tr>
      <w:tr>
        <w:trPr>
          <w:trHeight w:val="234"/>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8-K filed on June 21, 2021).</w:t>
            </w: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29"/>
        </w:trPr>
        <w:tc>
          <w:tcPr>
            <w:tcW w:w="480" w:type="dxa"/>
            <w:vAlign w:val="bottom"/>
            <w:gridSpan w:val="3"/>
            <w:shd w:val="clear" w:color="auto" w:fill="CCEEFF"/>
          </w:tcPr>
          <w:p>
            <w:pPr>
              <w:spacing w:after="0"/>
              <w:rPr>
                <w:rFonts w:ascii="Times New Roman" w:cs="Times New Roman" w:eastAsia="Times New Roman" w:hAnsi="Times New Roman"/>
                <w:sz w:val="18"/>
                <w:szCs w:val="18"/>
                <w:color w:val="0000EE"/>
              </w:rPr>
            </w:pPr>
            <w:hyperlink r:id="rId65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14</w:t>
              </w:r>
            </w:hyperlink>
          </w:p>
        </w:tc>
        <w:tc>
          <w:tcPr>
            <w:tcW w:w="26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WM Technology, Inc. Non-Employee Director Compensation Policy (incorporated by reference to</w:t>
            </w:r>
          </w:p>
        </w:tc>
      </w:tr>
      <w:tr>
        <w:trPr>
          <w:trHeight w:val="271"/>
        </w:trPr>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1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 10.1 to the Quarterly Report on Form 10-Q filed on November 12, 2021).</w:t>
            </w:r>
          </w:p>
        </w:tc>
      </w:tr>
      <w:tr>
        <w:trPr>
          <w:trHeight w:val="229"/>
        </w:trPr>
        <w:tc>
          <w:tcPr>
            <w:tcW w:w="740" w:type="dxa"/>
            <w:vAlign w:val="bottom"/>
            <w:gridSpan w:val="4"/>
          </w:tcPr>
          <w:p>
            <w:pPr>
              <w:spacing w:after="0"/>
              <w:rPr>
                <w:rFonts w:ascii="Times New Roman" w:cs="Times New Roman" w:eastAsia="Times New Roman" w:hAnsi="Times New Roman"/>
                <w:sz w:val="18"/>
                <w:szCs w:val="18"/>
                <w:color w:val="0000EE"/>
              </w:rPr>
            </w:pPr>
            <w:hyperlink r:id="rId65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hyperlink>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and Restated WM Technology, Inc. Non-Employee Director Compensation Policy</w:t>
            </w: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(incorporated by reference to Exhibit 10.2 to the Current Report on Form 8-K filed on October 6, 2023).</w:t>
            </w: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29"/>
        </w:trPr>
        <w:tc>
          <w:tcPr>
            <w:tcW w:w="740" w:type="dxa"/>
            <w:vAlign w:val="bottom"/>
            <w:gridSpan w:val="4"/>
            <w:shd w:val="clear" w:color="auto" w:fill="CCEEFF"/>
          </w:tcPr>
          <w:p>
            <w:pPr>
              <w:spacing w:after="0"/>
              <w:rPr>
                <w:rFonts w:ascii="Times New Roman" w:cs="Times New Roman" w:eastAsia="Times New Roman" w:hAnsi="Times New Roman"/>
                <w:sz w:val="18"/>
                <w:szCs w:val="18"/>
                <w:color w:val="0000EE"/>
              </w:rPr>
            </w:pPr>
            <w:hyperlink r:id="rId65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16#</w:t>
              </w:r>
            </w:hyperlink>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Separation and Release Agreement by and between Ghost Management Group, LLC and Duncan</w:t>
            </w:r>
          </w:p>
        </w:tc>
      </w:tr>
      <w:tr>
        <w:trPr>
          <w:trHeight w:val="271"/>
        </w:trPr>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1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26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Grazier, dated August 2, 2024.</w:t>
            </w:r>
          </w:p>
        </w:tc>
      </w:tr>
      <w:tr>
        <w:trPr>
          <w:trHeight w:val="229"/>
        </w:trPr>
        <w:tc>
          <w:tcPr>
            <w:tcW w:w="740" w:type="dxa"/>
            <w:vAlign w:val="bottom"/>
            <w:gridSpan w:val="4"/>
          </w:tcPr>
          <w:p>
            <w:pPr>
              <w:spacing w:after="0"/>
              <w:rPr>
                <w:rFonts w:ascii="Times New Roman" w:cs="Times New Roman" w:eastAsia="Times New Roman" w:hAnsi="Times New Roman"/>
                <w:sz w:val="18"/>
                <w:szCs w:val="18"/>
                <w:color w:val="0000EE"/>
              </w:rPr>
            </w:pPr>
            <w:hyperlink r:id="rId65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w:t>
              </w:r>
            </w:hyperlink>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Retention Agreement, effective October 2, 2023, by and between the Company and Duncan Grazier</w:t>
            </w: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(incorporated by reference to Exhibit 10.1 to the Current Report on Form 8-K filed on October 6, 2023).</w:t>
            </w: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29"/>
        </w:trPr>
        <w:tc>
          <w:tcPr>
            <w:tcW w:w="740" w:type="dxa"/>
            <w:vAlign w:val="bottom"/>
            <w:gridSpan w:val="4"/>
            <w:shd w:val="clear" w:color="auto" w:fill="CCEEFF"/>
          </w:tcPr>
          <w:p>
            <w:pPr>
              <w:spacing w:after="0"/>
              <w:rPr>
                <w:rFonts w:ascii="Times New Roman" w:cs="Times New Roman" w:eastAsia="Times New Roman" w:hAnsi="Times New Roman"/>
                <w:sz w:val="18"/>
                <w:szCs w:val="18"/>
                <w:color w:val="0000EE"/>
              </w:rPr>
            </w:pPr>
            <w:hyperlink r:id="rId65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18#</w:t>
              </w:r>
            </w:hyperlink>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Employment Agreement, dated August 15, 2023, by and between the Company and Douglas Francis</w:t>
            </w:r>
          </w:p>
        </w:tc>
      </w:tr>
      <w:tr>
        <w:trPr>
          <w:trHeight w:val="271"/>
        </w:trPr>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1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26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(incorporated by reference to Exhibit 10.1 to the Current Report on Form 8-K filed on October 6, 2023).</w:t>
            </w:r>
          </w:p>
        </w:tc>
      </w:tr>
      <w:tr>
        <w:trPr>
          <w:trHeight w:val="229"/>
        </w:trPr>
        <w:tc>
          <w:tcPr>
            <w:tcW w:w="740" w:type="dxa"/>
            <w:vAlign w:val="bottom"/>
            <w:gridSpan w:val="4"/>
          </w:tcPr>
          <w:p>
            <w:pPr>
              <w:spacing w:after="0"/>
              <w:rPr>
                <w:rFonts w:ascii="Times New Roman" w:cs="Times New Roman" w:eastAsia="Times New Roman" w:hAnsi="Times New Roman"/>
                <w:sz w:val="18"/>
                <w:szCs w:val="18"/>
                <w:color w:val="0000EE"/>
              </w:rPr>
            </w:pPr>
            <w:hyperlink r:id="rId66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19#</w:t>
              </w:r>
            </w:hyperlink>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Employment Agreement, dated April 4, 2019, by and between the Company and Brian Camire</w:t>
            </w: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(incorporated by reference to Exhibit 10.20 to the Annual Report on Form 10-K filed on May 24, 2024).</w:t>
            </w: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29"/>
        </w:trPr>
        <w:tc>
          <w:tcPr>
            <w:tcW w:w="740" w:type="dxa"/>
            <w:vAlign w:val="bottom"/>
            <w:gridSpan w:val="4"/>
            <w:shd w:val="clear" w:color="auto" w:fill="CCEEFF"/>
          </w:tcPr>
          <w:p>
            <w:pPr>
              <w:spacing w:after="0"/>
              <w:rPr>
                <w:rFonts w:ascii="Times New Roman" w:cs="Times New Roman" w:eastAsia="Times New Roman" w:hAnsi="Times New Roman"/>
                <w:sz w:val="18"/>
                <w:szCs w:val="18"/>
                <w:color w:val="0000EE"/>
              </w:rPr>
            </w:pPr>
            <w:hyperlink r:id="rId66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20#</w:t>
              </w:r>
            </w:hyperlink>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Services Agreement, dated July 16, 2023, by and between SeatonHill Partners, L.P. and WM</w:t>
            </w:r>
          </w:p>
        </w:tc>
      </w:tr>
      <w:tr>
        <w:trPr>
          <w:trHeight w:val="218"/>
        </w:trPr>
        <w:tc>
          <w:tcPr>
            <w:tcW w:w="3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Technology Inc. (incorporated herein by reference to Exhibit 10.1 to the Current Report on Form 8-K</w:t>
            </w:r>
          </w:p>
        </w:tc>
      </w:tr>
      <w:tr>
        <w:trPr>
          <w:trHeight w:val="268"/>
        </w:trPr>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filed by WM Technology, Inc. on July 20, 2023).</w:t>
            </w:r>
          </w:p>
        </w:tc>
      </w:tr>
      <w:tr>
        <w:trPr>
          <w:trHeight w:val="229"/>
        </w:trPr>
        <w:tc>
          <w:tcPr>
            <w:tcW w:w="740" w:type="dxa"/>
            <w:vAlign w:val="bottom"/>
            <w:gridSpan w:val="4"/>
          </w:tcPr>
          <w:p>
            <w:pPr>
              <w:spacing w:after="0"/>
              <w:rPr>
                <w:rFonts w:ascii="Times New Roman" w:cs="Times New Roman" w:eastAsia="Times New Roman" w:hAnsi="Times New Roman"/>
                <w:sz w:val="18"/>
                <w:szCs w:val="18"/>
                <w:color w:val="0000EE"/>
              </w:rPr>
            </w:pPr>
            <w:hyperlink r:id="rId66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21#</w:t>
              </w:r>
            </w:hyperlink>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Separation and Release Agreement, by and between Randa McMinn and WM Technology, Inc, dated</w:t>
            </w:r>
          </w:p>
        </w:tc>
      </w:tr>
      <w:tr>
        <w:trPr>
          <w:trHeight w:val="218"/>
        </w:trPr>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October 18, 2023 (incorporated herein by reference to Exhibit 10.5# to the Quarterly Report on</w:t>
            </w:r>
          </w:p>
        </w:tc>
      </w:tr>
      <w:tr>
        <w:trPr>
          <w:trHeight w:val="234"/>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10-Q filed on November 8, 2023).</w:t>
            </w: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29"/>
        </w:trPr>
        <w:tc>
          <w:tcPr>
            <w:tcW w:w="740" w:type="dxa"/>
            <w:vAlign w:val="bottom"/>
            <w:gridSpan w:val="4"/>
            <w:shd w:val="clear" w:color="auto" w:fill="CCEEFF"/>
          </w:tcPr>
          <w:p>
            <w:pPr>
              <w:spacing w:after="0"/>
              <w:rPr>
                <w:rFonts w:ascii="Times New Roman" w:cs="Times New Roman" w:eastAsia="Times New Roman" w:hAnsi="Times New Roman"/>
                <w:sz w:val="18"/>
                <w:szCs w:val="18"/>
                <w:color w:val="0000EE"/>
              </w:rPr>
            </w:pPr>
            <w:hyperlink r:id="rId66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22#</w:t>
              </w:r>
            </w:hyperlink>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Amendment to Executive Services Agreement, by and between SeatonHill Partners, L.P. and WM</w:t>
            </w:r>
          </w:p>
        </w:tc>
      </w:tr>
      <w:tr>
        <w:trPr>
          <w:trHeight w:val="218"/>
        </w:trPr>
        <w:tc>
          <w:tcPr>
            <w:tcW w:w="3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Technology Inc., dated February 26, 2024 (incorporated by reference to Exhibit 10.23 to the Annual</w:t>
            </w:r>
          </w:p>
        </w:tc>
      </w:tr>
      <w:tr>
        <w:trPr>
          <w:trHeight w:val="268"/>
        </w:trPr>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Report on Form 10-K filed on May 24, 2024).</w:t>
            </w:r>
          </w:p>
        </w:tc>
      </w:tr>
      <w:tr>
        <w:trPr>
          <w:trHeight w:val="230"/>
        </w:trPr>
        <w:tc>
          <w:tcPr>
            <w:tcW w:w="400" w:type="dxa"/>
            <w:vAlign w:val="bottom"/>
            <w:gridSpan w:val="2"/>
          </w:tcPr>
          <w:p>
            <w:pPr>
              <w:spacing w:after="0"/>
              <w:rPr>
                <w:rFonts w:ascii="Times New Roman" w:cs="Times New Roman" w:eastAsia="Times New Roman" w:hAnsi="Times New Roman"/>
                <w:sz w:val="18"/>
                <w:szCs w:val="18"/>
                <w:color w:val="0000EE"/>
              </w:rPr>
            </w:pPr>
            <w:hyperlink r:id="rId664">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u w:val="single" w:color="auto"/>
                  <w:color w:val="0000EE"/>
                </w:rPr>
                <w:t>1</w:t>
              </w:r>
            </w:hyperlink>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List of Subsidiaries of the Registrant (incorporated by reference to Exhibit 10.7 to the Annual Report on</w:t>
            </w: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10-K filed on May 24, 2024).</w:t>
            </w: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30"/>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Consent of Baker Tilly US, LLP</w:t>
            </w:r>
          </w:p>
        </w:tc>
      </w:tr>
      <w:tr>
        <w:trPr>
          <w:trHeight w:val="74"/>
        </w:trPr>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580" w:type="dxa"/>
            <w:vAlign w:val="bottom"/>
            <w:tcBorders>
              <w:top w:val="single" w:sz="8" w:color="CCEEFF"/>
            </w:tcBorders>
            <w:shd w:val="clear" w:color="auto" w:fill="CCEEFF"/>
          </w:tcPr>
          <w:p>
            <w:pPr>
              <w:spacing w:after="0"/>
              <w:rPr>
                <w:sz w:val="6"/>
                <w:szCs w:val="6"/>
                <w:color w:val="auto"/>
              </w:rPr>
            </w:pPr>
          </w:p>
        </w:tc>
      </w:tr>
      <w:tr>
        <w:trPr>
          <w:trHeight w:val="230"/>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Consent of Moss Adams, LLP</w:t>
            </w:r>
          </w:p>
        </w:tc>
      </w:tr>
      <w:tr>
        <w:trPr>
          <w:trHeight w:val="75"/>
        </w:trPr>
        <w:tc>
          <w:tcPr>
            <w:tcW w:w="3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580" w:type="dxa"/>
            <w:vAlign w:val="bottom"/>
          </w:tcPr>
          <w:p>
            <w:pPr>
              <w:spacing w:after="0"/>
              <w:rPr>
                <w:sz w:val="6"/>
                <w:szCs w:val="6"/>
                <w:color w:val="auto"/>
              </w:rPr>
            </w:pPr>
          </w:p>
        </w:tc>
      </w:tr>
      <w:tr>
        <w:trPr>
          <w:trHeight w:val="230"/>
        </w:trPr>
        <w:tc>
          <w:tcPr>
            <w:tcW w:w="480" w:type="dxa"/>
            <w:vAlign w:val="bottom"/>
            <w:gridSpan w:val="3"/>
            <w:shd w:val="clear" w:color="auto" w:fill="CCEEFF"/>
          </w:tcPr>
          <w:p>
            <w:pPr>
              <w:spacing w:after="0"/>
              <w:rPr>
                <w:rFonts w:ascii="Times New Roman" w:cs="Times New Roman" w:eastAsia="Times New Roman" w:hAnsi="Times New Roman"/>
                <w:sz w:val="18"/>
                <w:szCs w:val="18"/>
                <w:color w:val="0000EE"/>
              </w:rPr>
            </w:pPr>
            <w:hyperlink r:id="rId665">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3*</w:t>
              </w:r>
            </w:hyperlink>
          </w:p>
        </w:tc>
        <w:tc>
          <w:tcPr>
            <w:tcW w:w="26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Consent of Cooley LLP (included in Exhibit 5.1)</w:t>
            </w:r>
          </w:p>
        </w:tc>
      </w:tr>
      <w:tr>
        <w:trPr>
          <w:trHeight w:val="74"/>
        </w:trPr>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580" w:type="dxa"/>
            <w:vAlign w:val="bottom"/>
            <w:tcBorders>
              <w:top w:val="single" w:sz="8" w:color="CCEEFF"/>
            </w:tcBorders>
            <w:shd w:val="clear" w:color="auto" w:fill="CCEEFF"/>
          </w:tcPr>
          <w:p>
            <w:pPr>
              <w:spacing w:after="0"/>
              <w:rPr>
                <w:sz w:val="6"/>
                <w:szCs w:val="6"/>
                <w:color w:val="auto"/>
              </w:rPr>
            </w:pPr>
          </w:p>
        </w:tc>
      </w:tr>
      <w:tr>
        <w:trPr>
          <w:trHeight w:val="230"/>
        </w:trPr>
        <w:tc>
          <w:tcPr>
            <w:tcW w:w="480" w:type="dxa"/>
            <w:vAlign w:val="bottom"/>
            <w:gridSpan w:val="3"/>
          </w:tcPr>
          <w:p>
            <w:pPr>
              <w:spacing w:after="0"/>
              <w:rPr>
                <w:rFonts w:ascii="Times New Roman" w:cs="Times New Roman" w:eastAsia="Times New Roman" w:hAnsi="Times New Roman"/>
                <w:sz w:val="18"/>
                <w:szCs w:val="18"/>
                <w:color w:val="0000EE"/>
              </w:rPr>
            </w:pPr>
            <w:hyperlink r:id="rId666">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hyperlink>
          </w:p>
        </w:tc>
        <w:tc>
          <w:tcPr>
            <w:tcW w:w="26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 of Attorney (included on signature page of Registration Statement on Form S-1 filed on July 8,</w:t>
            </w: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2021)</w:t>
            </w: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30"/>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r>
      <w:tr>
        <w:trPr>
          <w:trHeight w:val="75"/>
        </w:trPr>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580" w:type="dxa"/>
            <w:vAlign w:val="bottom"/>
            <w:tcBorders>
              <w:top w:val="single" w:sz="8" w:color="CCEEFF"/>
            </w:tcBorders>
            <w:shd w:val="clear" w:color="auto" w:fill="CCEEFF"/>
          </w:tcPr>
          <w:p>
            <w:pPr>
              <w:spacing w:after="0"/>
              <w:rPr>
                <w:sz w:val="6"/>
                <w:szCs w:val="6"/>
                <w:color w:val="auto"/>
              </w:rPr>
            </w:pPr>
          </w:p>
        </w:tc>
      </w:tr>
      <w:tr>
        <w:trPr>
          <w:trHeight w:val="252"/>
        </w:trPr>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w:t>
            </w:r>
          </w:p>
        </w:tc>
      </w:tr>
      <w:tr>
        <w:trPr>
          <w:trHeight w:val="234"/>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304"/>
        </w:trPr>
        <w:tc>
          <w:tcPr>
            <w:tcW w:w="7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304"/>
        </w:trPr>
        <w:tc>
          <w:tcPr>
            <w:tcW w:w="7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304"/>
        </w:trPr>
        <w:tc>
          <w:tcPr>
            <w:tcW w:w="7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5349240" cy="3429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67">
                      <a:extLst>
                        <a:ext uri="{28A0092B-C50C-407E-A947-70E740481C1C}"/>
                      </a:extLst>
                    </a:blip>
                    <a:srcRect/>
                    <a:stretch>
                      <a:fillRect/>
                    </a:stretch>
                  </pic:blipFill>
                  <pic:spPr bwMode="auto">
                    <a:xfrm>
                      <a:off x="0" y="0"/>
                      <a:ext cx="5349240" cy="34290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-7526020</wp:posOffset>
            </wp:positionV>
            <wp:extent cx="6858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140" w:right="519" w:hanging="848"/>
        <w:spacing w:after="0" w:line="282" w:lineRule="auto"/>
        <w:tabs>
          <w:tab w:leader="none" w:pos="1140" w:val="left"/>
        </w:tabs>
        <w:numPr>
          <w:ilvl w:val="0"/>
          <w:numId w:val="14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Filing Fee Table (incorporated by reference to the Registration Statement on Form S-1 filed on July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200025</wp:posOffset>
            </wp:positionV>
            <wp:extent cx="82296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40" w:lineRule="exact"/>
        <w:rPr>
          <w:sz w:val="20"/>
          <w:szCs w:val="20"/>
          <w:color w:val="auto"/>
        </w:rPr>
      </w:pPr>
    </w:p>
    <w:p>
      <w:pPr>
        <w:ind w:left="640" w:right="319" w:hanging="348"/>
        <w:spacing w:after="0" w:line="261" w:lineRule="auto"/>
        <w:tabs>
          <w:tab w:leader="none" w:pos="64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exhibits and schedules to this Exhibit have been omitted in accordance with Regulation S-K Item 601(b)(2). We agree to furnish a copy of all omitted exhibits and schedules to the SEC upon request.</w:t>
      </w:r>
    </w:p>
    <w:p>
      <w:pPr>
        <w:spacing w:after="0" w:line="1" w:lineRule="exact"/>
        <w:rPr>
          <w:sz w:val="20"/>
          <w:szCs w:val="20"/>
          <w:color w:val="auto"/>
        </w:rPr>
      </w:pPr>
    </w:p>
    <w:p>
      <w:pPr>
        <w:ind w:left="300" w:right="3939" w:hanging="8"/>
        <w:spacing w:after="0" w:line="342" w:lineRule="auto"/>
        <w:tabs>
          <w:tab w:leader="none" w:pos="651"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 contract or agreement. * Previously filed.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5" w:name="page216"/>
    <w:bookmarkEnd w:id="2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17.</w:t>
        <w:tab/>
        <w:t>Undertakings.</w:t>
      </w:r>
    </w:p>
    <w:p>
      <w:pPr>
        <w:spacing w:after="0" w:line="121" w:lineRule="exact"/>
        <w:rPr>
          <w:sz w:val="20"/>
          <w:szCs w:val="20"/>
          <w:color w:val="auto"/>
        </w:rPr>
      </w:pPr>
    </w:p>
    <w:p>
      <w:pPr>
        <w:ind w:left="1000" w:hanging="348"/>
        <w:spacing w:after="0"/>
        <w:tabs>
          <w:tab w:leader="none" w:pos="10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720" w:hanging="348"/>
        <w:spacing w:after="0"/>
        <w:tabs>
          <w:tab w:leader="none" w:pos="172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jc w:val="both"/>
        <w:ind w:left="1720" w:right="299" w:hanging="348"/>
        <w:spacing w:after="0" w:line="253" w:lineRule="auto"/>
        <w:tabs>
          <w:tab w:leader="none" w:pos="172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6" w:lineRule="exact"/>
        <w:rPr>
          <w:rFonts w:ascii="Times New Roman" w:cs="Times New Roman" w:eastAsia="Times New Roman" w:hAnsi="Times New Roman"/>
          <w:sz w:val="18"/>
          <w:szCs w:val="18"/>
          <w:color w:val="auto"/>
        </w:rPr>
      </w:pPr>
    </w:p>
    <w:p>
      <w:pPr>
        <w:jc w:val="both"/>
        <w:ind w:left="1720" w:right="299" w:hanging="348"/>
        <w:spacing w:after="0" w:line="266" w:lineRule="auto"/>
        <w:tabs>
          <w:tab w:leader="none" w:pos="172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6" w:lineRule="exact"/>
        <w:rPr>
          <w:sz w:val="20"/>
          <w:szCs w:val="20"/>
          <w:color w:val="auto"/>
        </w:rPr>
      </w:pPr>
    </w:p>
    <w:p>
      <w:pPr>
        <w:jc w:val="both"/>
        <w:ind w:left="660" w:right="299"/>
        <w:spacing w:after="0" w:line="25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of this section do not apply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76" w:lineRule="exact"/>
        <w:rPr>
          <w:sz w:val="20"/>
          <w:szCs w:val="20"/>
          <w:color w:val="auto"/>
        </w:rPr>
      </w:pPr>
    </w:p>
    <w:p>
      <w:pPr>
        <w:jc w:val="both"/>
        <w:ind w:left="1360" w:right="319" w:hanging="348"/>
        <w:spacing w:after="0" w:line="261" w:lineRule="auto"/>
        <w:tabs>
          <w:tab w:leader="none" w:pos="13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jc w:val="both"/>
        <w:ind w:left="1720" w:right="299" w:hanging="348"/>
        <w:spacing w:after="0" w:line="266" w:lineRule="auto"/>
        <w:tabs>
          <w:tab w:leader="none" w:pos="172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jc w:val="both"/>
        <w:ind w:left="1720" w:right="299" w:hanging="348"/>
        <w:spacing w:after="0" w:line="252" w:lineRule="auto"/>
        <w:tabs>
          <w:tab w:leader="none" w:pos="172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6" w:name="page217"/>
    <w:bookmarkEnd w:id="2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60" w:right="319" w:hanging="348"/>
        <w:spacing w:after="0" w:line="255" w:lineRule="auto"/>
        <w:tabs>
          <w:tab w:leader="none" w:pos="13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rFonts w:ascii="Times New Roman" w:cs="Times New Roman" w:eastAsia="Times New Roman" w:hAnsi="Times New Roman"/>
          <w:sz w:val="18"/>
          <w:szCs w:val="18"/>
          <w:color w:val="auto"/>
        </w:rPr>
      </w:pPr>
    </w:p>
    <w:p>
      <w:pPr>
        <w:ind w:left="1720" w:right="319" w:hanging="348"/>
        <w:spacing w:after="0" w:line="282" w:lineRule="auto"/>
        <w:tabs>
          <w:tab w:leader="none" w:pos="1720"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720" w:right="319" w:hanging="348"/>
        <w:spacing w:after="0" w:line="282" w:lineRule="auto"/>
        <w:tabs>
          <w:tab w:leader="none" w:pos="1720"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jc w:val="both"/>
        <w:ind w:left="1720" w:right="299" w:hanging="348"/>
        <w:spacing w:after="0" w:line="266" w:lineRule="auto"/>
        <w:tabs>
          <w:tab w:leader="none" w:pos="1720"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720" w:right="299" w:hanging="348"/>
        <w:spacing w:after="0" w:line="282" w:lineRule="auto"/>
        <w:tabs>
          <w:tab w:leader="none" w:pos="1720"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55" w:lineRule="auto"/>
        <w:tabs>
          <w:tab w:leader="none" w:pos="13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7" w:name="page218"/>
    <w:bookmarkEnd w:id="2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S-1 and has duly caused this Post-Effective Amendment No. 5 to Registration Statement to be signed on its behalf by the undersigned, thereunto duly authorized in the City of Irvine, State of California on September 3, 2024.</w:t>
      </w:r>
    </w:p>
    <w:p>
      <w:pPr>
        <w:spacing w:after="0" w:line="10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3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i w:val="1"/>
          <w:iCs w:val="1"/>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52705</wp:posOffset>
            </wp:positionV>
            <wp:extent cx="204851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7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1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Name: Douglas Francis</w:t>
      </w:r>
    </w:p>
    <w:p>
      <w:pPr>
        <w:spacing w:after="0" w:line="6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Title: Executive Chair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Douglas Francis and Susan Echard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 .</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Post-Effective Amendment No. 5 on Form S-1 has been signed by the following persons in the capacities and on the dates indicated.</w:t>
      </w:r>
    </w:p>
    <w:p>
      <w:pPr>
        <w:spacing w:after="0" w:line="7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8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80" w:type="dxa"/>
            <w:vAlign w:val="bottom"/>
          </w:tcPr>
          <w:p>
            <w:pPr>
              <w:spacing w:after="0"/>
              <w:rPr>
                <w:sz w:val="16"/>
                <w:szCs w:val="16"/>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7"/>
        </w:trPr>
        <w:tc>
          <w:tcPr>
            <w:tcW w:w="28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15"/>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 Douglas Francis</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Executive Chair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 2024</w:t>
            </w:r>
          </w:p>
        </w:tc>
        <w:tc>
          <w:tcPr>
            <w:tcW w:w="0" w:type="dxa"/>
            <w:vAlign w:val="bottom"/>
          </w:tcPr>
          <w:p>
            <w:pPr>
              <w:spacing w:after="0"/>
              <w:rPr>
                <w:sz w:val="1"/>
                <w:szCs w:val="1"/>
                <w:color w:val="auto"/>
              </w:rPr>
            </w:pPr>
          </w:p>
        </w:tc>
      </w:tr>
      <w:tr>
        <w:trPr>
          <w:trHeight w:val="72"/>
        </w:trPr>
        <w:tc>
          <w:tcPr>
            <w:tcW w:w="2820" w:type="dxa"/>
            <w:vAlign w:val="bottom"/>
            <w:tcBorders>
              <w:bottom w:val="single" w:sz="8" w:color="auto"/>
            </w:tcBorders>
          </w:tcPr>
          <w:p>
            <w:pPr>
              <w:spacing w:after="0"/>
              <w:rPr>
                <w:sz w:val="6"/>
                <w:szCs w:val="6"/>
                <w:color w:val="auto"/>
              </w:rPr>
            </w:pPr>
          </w:p>
        </w:tc>
        <w:tc>
          <w:tcPr>
            <w:tcW w:w="180" w:type="dxa"/>
            <w:vAlign w:val="bottom"/>
            <w:vMerge w:val="restart"/>
          </w:tcPr>
          <w:p>
            <w:pPr>
              <w:spacing w:after="0"/>
              <w:rPr>
                <w:sz w:val="6"/>
                <w:szCs w:val="6"/>
                <w:color w:val="auto"/>
              </w:rPr>
            </w:pPr>
          </w:p>
        </w:tc>
        <w:tc>
          <w:tcPr>
            <w:tcW w:w="3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180" w:type="dxa"/>
            <w:vAlign w:val="bottom"/>
            <w:vMerge w:val="continue"/>
          </w:tcPr>
          <w:p>
            <w:pPr>
              <w:spacing w:after="0"/>
              <w:rPr>
                <w:sz w:val="12"/>
                <w:szCs w:val="12"/>
                <w:color w:val="auto"/>
              </w:rPr>
            </w:pPr>
          </w:p>
        </w:tc>
        <w:tc>
          <w:tcPr>
            <w:tcW w:w="368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8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 Susan Echard</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Interim Chief Financial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 2024</w:t>
            </w:r>
          </w:p>
        </w:tc>
        <w:tc>
          <w:tcPr>
            <w:tcW w:w="0" w:type="dxa"/>
            <w:vAlign w:val="bottom"/>
          </w:tcPr>
          <w:p>
            <w:pPr>
              <w:spacing w:after="0"/>
              <w:rPr>
                <w:sz w:val="1"/>
                <w:szCs w:val="1"/>
                <w:color w:val="auto"/>
              </w:rPr>
            </w:pPr>
          </w:p>
        </w:tc>
      </w:tr>
      <w:tr>
        <w:trPr>
          <w:trHeight w:val="126"/>
        </w:trPr>
        <w:tc>
          <w:tcPr>
            <w:tcW w:w="2820" w:type="dxa"/>
            <w:vAlign w:val="bottom"/>
            <w:tcBorders>
              <w:bottom w:val="single" w:sz="8" w:color="auto"/>
            </w:tcBorders>
          </w:tcPr>
          <w:p>
            <w:pPr>
              <w:spacing w:after="0"/>
              <w:rPr>
                <w:sz w:val="10"/>
                <w:szCs w:val="10"/>
                <w:color w:val="auto"/>
              </w:rPr>
            </w:pPr>
          </w:p>
        </w:tc>
        <w:tc>
          <w:tcPr>
            <w:tcW w:w="180" w:type="dxa"/>
            <w:vAlign w:val="bottom"/>
            <w:vMerge w:val="restart"/>
          </w:tcPr>
          <w:p>
            <w:pPr>
              <w:spacing w:after="0"/>
              <w:rPr>
                <w:sz w:val="10"/>
                <w:szCs w:val="10"/>
                <w:color w:val="auto"/>
              </w:rPr>
            </w:pPr>
          </w:p>
        </w:tc>
        <w:tc>
          <w:tcPr>
            <w:tcW w:w="3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(Principal Financial Officer and Principal</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Susan Echard</w:t>
            </w:r>
          </w:p>
        </w:tc>
        <w:tc>
          <w:tcPr>
            <w:tcW w:w="180" w:type="dxa"/>
            <w:vAlign w:val="bottom"/>
            <w:vMerge w:val="continue"/>
          </w:tcPr>
          <w:p>
            <w:pPr>
              <w:spacing w:after="0"/>
              <w:rPr>
                <w:sz w:val="6"/>
                <w:szCs w:val="6"/>
                <w:color w:val="auto"/>
              </w:rPr>
            </w:pPr>
          </w:p>
        </w:tc>
        <w:tc>
          <w:tcPr>
            <w:tcW w:w="3680" w:type="dxa"/>
            <w:vAlign w:val="bottom"/>
            <w:gridSpan w:val="2"/>
            <w:vMerge w:val="continue"/>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8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3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Tony Aquila</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Anthony Bay</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Fiona Tan</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*By:  /s/ Douglas Francis</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34290</wp:posOffset>
            </wp:positionV>
            <wp:extent cx="204025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74">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8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Name: Douglas Francis, Attorney-in-Fact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9019"/>
          </w:cols>
          <w:pgMar w:left="1440" w:top="263" w:right="1440" w:bottom="731"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36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hereby consent to the use in this Post-Effective Amendment No. 5 to the Registration Statement (No. 333-257774) on Form S-1 of WM Technology, Inc. of our report dated March 16, 2023, relating to the consolidated financial statements, appearing in the Prospectus, which is part of this Registration Statement.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heading “Experts” in such Registration Statement.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consent to the use in this Post-Effective Amendment No. 5 to Registration Statement on Form S-1 (No. 333-257774) of WM Technology, Inc. (the “Company”) of our report dated May 24, 2024, relating to the consolidated financial statements of the Company as of and for the year ended December 31, 2023 (which report expresses an unqualified opinion and includes an explanatory paragraph relating a restatement of previously reported 2023 quarterly revenue and credit losses).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Moss Adams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26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F72B14"/>
    <w:multiLevelType w:val="hybridMultilevel"/>
    <w:lvl w:ilvl="0">
      <w:lvlJc w:val="left"/>
      <w:lvlText w:val="%1"/>
      <w:numFmt w:val="decimal"/>
      <w:start w:val="41"/>
    </w:lvl>
  </w:abstractNum>
  <w:abstractNum w:abstractNumId="1">
    <w:nsid w:val="11447B73"/>
    <w:multiLevelType w:val="hybridMultilevel"/>
    <w:lvl w:ilvl="0">
      <w:lvlJc w:val="left"/>
      <w:lvlText w:val="%1"/>
      <w:numFmt w:val="decimal"/>
      <w:start w:val="41"/>
    </w:lvl>
  </w:abstractNum>
  <w:abstractNum w:abstractNumId="2">
    <w:nsid w:val="42963E5A"/>
    <w:multiLevelType w:val="hybridMultilevel"/>
    <w:lvl w:ilvl="0">
      <w:lvlJc w:val="left"/>
      <w:lvlText w:val="(%1)"/>
      <w:numFmt w:val="lowerLetter"/>
      <w:start w:val="61"/>
    </w:lvl>
  </w:abstractNum>
  <w:abstractNum w:abstractNumId="3">
    <w:nsid w:val="A0382C5"/>
    <w:multiLevelType w:val="hybridMultilevel"/>
    <w:lvl w:ilvl="0">
      <w:lvlJc w:val="left"/>
      <w:lvlText w:val="(%1)"/>
      <w:numFmt w:val="lowerLetter"/>
      <w:start w:val="2"/>
    </w:lvl>
  </w:abstractNum>
  <w:abstractNum w:abstractNumId="4">
    <w:nsid w:val="8F2B15E"/>
    <w:multiLevelType w:val="hybridMultilevel"/>
    <w:lvl w:ilvl="0">
      <w:lvlJc w:val="left"/>
      <w:lvlText w:val="•"/>
      <w:numFmt w:val="bullet"/>
      <w:start w:val="1"/>
    </w:lvl>
  </w:abstractNum>
  <w:abstractNum w:abstractNumId="5">
    <w:nsid w:val="1A32234B"/>
    <w:multiLevelType w:val="hybridMultilevel"/>
    <w:lvl w:ilvl="0">
      <w:lvlJc w:val="left"/>
      <w:lvlText w:val="•"/>
      <w:numFmt w:val="bullet"/>
      <w:start w:val="1"/>
    </w:lvl>
  </w:abstractNum>
  <w:abstractNum w:abstractNumId="6">
    <w:nsid w:val="3B0FD379"/>
    <w:multiLevelType w:val="hybridMultilevel"/>
    <w:lvl w:ilvl="0">
      <w:lvlJc w:val="left"/>
      <w:lvlText w:val="•"/>
      <w:numFmt w:val="bullet"/>
      <w:start w:val="1"/>
    </w:lvl>
  </w:abstractNum>
  <w:abstractNum w:abstractNumId="7">
    <w:nsid w:val="68EB2F63"/>
    <w:multiLevelType w:val="hybridMultilevel"/>
    <w:lvl w:ilvl="0">
      <w:lvlJc w:val="left"/>
      <w:lvlText w:val="•"/>
      <w:numFmt w:val="bullet"/>
      <w:start w:val="1"/>
    </w:lvl>
  </w:abstractNum>
  <w:abstractNum w:abstractNumId="8">
    <w:nsid w:val="4962813B"/>
    <w:multiLevelType w:val="hybridMultilevel"/>
    <w:lvl w:ilvl="0">
      <w:lvlJc w:val="left"/>
      <w:lvlText w:val="•"/>
      <w:numFmt w:val="bullet"/>
      <w:start w:val="1"/>
    </w:lvl>
  </w:abstractNum>
  <w:abstractNum w:abstractNumId="9">
    <w:nsid w:val="60B6DF70"/>
    <w:multiLevelType w:val="hybridMultilevel"/>
    <w:lvl w:ilvl="0">
      <w:lvlJc w:val="left"/>
      <w:lvlText w:val="(%1)"/>
      <w:numFmt w:val="lowerRoman"/>
      <w:start w:val="2"/>
    </w:lvl>
  </w:abstractNum>
  <w:abstractNum w:abstractNumId="10">
    <w:nsid w:val="6A5EE64"/>
    <w:multiLevelType w:val="hybridMultilevel"/>
    <w:lvl w:ilvl="0">
      <w:lvlJc w:val="left"/>
      <w:lvlText w:val="(%1)"/>
      <w:numFmt w:val="lowerRoman"/>
      <w:start w:val="2"/>
    </w:lvl>
  </w:abstractNum>
  <w:abstractNum w:abstractNumId="11">
    <w:nsid w:val="14330624"/>
    <w:multiLevelType w:val="hybridMultilevel"/>
    <w:lvl w:ilvl="0">
      <w:lvlJc w:val="left"/>
      <w:lvlText w:val="•"/>
      <w:numFmt w:val="bullet"/>
      <w:start w:val="1"/>
    </w:lvl>
  </w:abstractNum>
  <w:abstractNum w:abstractNumId="12">
    <w:nsid w:val="7FFFCA11"/>
    <w:multiLevelType w:val="hybridMultilevel"/>
    <w:lvl w:ilvl="0">
      <w:lvlJc w:val="left"/>
      <w:lvlText w:val="•"/>
      <w:numFmt w:val="bullet"/>
      <w:start w:val="1"/>
    </w:lvl>
  </w:abstractNum>
  <w:abstractNum w:abstractNumId="13">
    <w:nsid w:val="1A27709E"/>
    <w:multiLevelType w:val="hybridMultilevel"/>
    <w:lvl w:ilvl="0">
      <w:lvlJc w:val="left"/>
      <w:lvlText w:val="1"/>
      <w:numFmt w:val="bullet"/>
      <w:start w:val="1"/>
    </w:lvl>
  </w:abstractNum>
  <w:abstractNum w:abstractNumId="14">
    <w:nsid w:val="71EA1109"/>
    <w:multiLevelType w:val="hybridMultilevel"/>
    <w:lvl w:ilvl="0">
      <w:lvlJc w:val="left"/>
      <w:lvlText w:val="•"/>
      <w:numFmt w:val="bullet"/>
      <w:start w:val="1"/>
    </w:lvl>
  </w:abstractNum>
  <w:abstractNum w:abstractNumId="15">
    <w:nsid w:val="100F59DC"/>
    <w:multiLevelType w:val="hybridMultilevel"/>
    <w:lvl w:ilvl="0">
      <w:lvlJc w:val="left"/>
      <w:lvlText w:val="•"/>
      <w:numFmt w:val="bullet"/>
      <w:start w:val="1"/>
    </w:lvl>
  </w:abstractNum>
  <w:abstractNum w:abstractNumId="16">
    <w:nsid w:val="7FB7E0AA"/>
    <w:multiLevelType w:val="hybridMultilevel"/>
    <w:lvl w:ilvl="0">
      <w:lvlJc w:val="left"/>
      <w:lvlText w:val="•"/>
      <w:numFmt w:val="bullet"/>
      <w:start w:val="1"/>
    </w:lvl>
  </w:abstractNum>
  <w:abstractNum w:abstractNumId="17">
    <w:nsid w:val="6EB5BD4"/>
    <w:multiLevelType w:val="hybridMultilevel"/>
    <w:lvl w:ilvl="0">
      <w:lvlJc w:val="left"/>
      <w:lvlText w:val="•"/>
      <w:numFmt w:val="bullet"/>
      <w:start w:val="1"/>
    </w:lvl>
  </w:abstractNum>
  <w:abstractNum w:abstractNumId="18">
    <w:nsid w:val="6F6DD9AC"/>
    <w:multiLevelType w:val="hybridMultilevel"/>
    <w:lvl w:ilvl="0">
      <w:lvlJc w:val="left"/>
      <w:lvlText w:val="•"/>
      <w:numFmt w:val="bullet"/>
      <w:start w:val="1"/>
    </w:lvl>
  </w:abstractNum>
  <w:abstractNum w:abstractNumId="19">
    <w:nsid w:val="94211F2"/>
    <w:multiLevelType w:val="hybridMultilevel"/>
    <w:lvl w:ilvl="0">
      <w:lvlJc w:val="left"/>
      <w:lvlText w:val="•"/>
      <w:numFmt w:val="bullet"/>
      <w:start w:val="1"/>
    </w:lvl>
  </w:abstractNum>
  <w:abstractNum w:abstractNumId="20">
    <w:nsid w:val="885E1B"/>
    <w:multiLevelType w:val="hybridMultilevel"/>
    <w:lvl w:ilvl="0">
      <w:lvlJc w:val="left"/>
      <w:lvlText w:val="•"/>
      <w:numFmt w:val="bullet"/>
      <w:start w:val="1"/>
    </w:lvl>
  </w:abstractNum>
  <w:abstractNum w:abstractNumId="21">
    <w:nsid w:val="76272110"/>
    <w:multiLevelType w:val="hybridMultilevel"/>
    <w:lvl w:ilvl="0">
      <w:lvlJc w:val="left"/>
      <w:lvlText w:val="•"/>
      <w:numFmt w:val="bullet"/>
      <w:start w:val="1"/>
    </w:lvl>
  </w:abstractNum>
  <w:abstractNum w:abstractNumId="22">
    <w:nsid w:val="4C04A8AF"/>
    <w:multiLevelType w:val="hybridMultilevel"/>
    <w:lvl w:ilvl="0">
      <w:lvlJc w:val="left"/>
      <w:lvlText w:val="•"/>
      <w:numFmt w:val="bullet"/>
      <w:start w:val="1"/>
    </w:lvl>
  </w:abstractNum>
  <w:abstractNum w:abstractNumId="23">
    <w:nsid w:val="1716703B"/>
    <w:multiLevelType w:val="hybridMultilevel"/>
    <w:lvl w:ilvl="0">
      <w:lvlJc w:val="left"/>
      <w:lvlText w:val="•"/>
      <w:numFmt w:val="bullet"/>
      <w:start w:val="1"/>
    </w:lvl>
  </w:abstractNum>
  <w:abstractNum w:abstractNumId="24">
    <w:nsid w:val="14E17E33"/>
    <w:multiLevelType w:val="hybridMultilevel"/>
    <w:lvl w:ilvl="0">
      <w:lvlJc w:val="left"/>
      <w:lvlText w:val="•"/>
      <w:numFmt w:val="bullet"/>
      <w:start w:val="1"/>
    </w:lvl>
  </w:abstractNum>
  <w:abstractNum w:abstractNumId="25">
    <w:nsid w:val="3222E7CD"/>
    <w:multiLevelType w:val="hybridMultilevel"/>
    <w:lvl w:ilvl="0">
      <w:lvlJc w:val="left"/>
      <w:lvlText w:val="•"/>
      <w:numFmt w:val="bullet"/>
      <w:start w:val="1"/>
    </w:lvl>
  </w:abstractNum>
  <w:abstractNum w:abstractNumId="26">
    <w:nsid w:val="74DE0EE3"/>
    <w:multiLevelType w:val="hybridMultilevel"/>
    <w:lvl w:ilvl="0">
      <w:lvlJc w:val="left"/>
      <w:lvlText w:val="•"/>
      <w:numFmt w:val="bullet"/>
      <w:start w:val="1"/>
    </w:lvl>
  </w:abstractNum>
  <w:abstractNum w:abstractNumId="27">
    <w:nsid w:val="68EBC550"/>
    <w:multiLevelType w:val="hybridMultilevel"/>
    <w:lvl w:ilvl="0">
      <w:lvlJc w:val="left"/>
      <w:lvlText w:val="•"/>
      <w:numFmt w:val="bullet"/>
      <w:start w:val="1"/>
    </w:lvl>
  </w:abstractNum>
  <w:abstractNum w:abstractNumId="28">
    <w:nsid w:val="2DF6D648"/>
    <w:multiLevelType w:val="hybridMultilevel"/>
    <w:lvl w:ilvl="0">
      <w:lvlJc w:val="left"/>
      <w:lvlText w:val="•"/>
      <w:numFmt w:val="bullet"/>
      <w:start w:val="1"/>
    </w:lvl>
  </w:abstractNum>
  <w:abstractNum w:abstractNumId="29">
    <w:nsid w:val="46B7D447"/>
    <w:multiLevelType w:val="hybridMultilevel"/>
    <w:lvl w:ilvl="0">
      <w:lvlJc w:val="left"/>
      <w:lvlText w:val="(%1)"/>
      <w:numFmt w:val="decimal"/>
      <w:start w:val="1"/>
    </w:lvl>
  </w:abstractNum>
  <w:abstractNum w:abstractNumId="30">
    <w:nsid w:val="4A2AC315"/>
    <w:multiLevelType w:val="hybridMultilevel"/>
    <w:lvl w:ilvl="0">
      <w:lvlJc w:val="left"/>
      <w:lvlText w:val="(%1)"/>
      <w:numFmt w:val="decimal"/>
      <w:start w:val="1"/>
    </w:lvl>
  </w:abstractNum>
  <w:abstractNum w:abstractNumId="31">
    <w:nsid w:val="39EE015C"/>
    <w:multiLevelType w:val="hybridMultilevel"/>
    <w:lvl w:ilvl="0">
      <w:lvlJc w:val="left"/>
      <w:lvlText w:val="•"/>
      <w:numFmt w:val="bullet"/>
      <w:start w:val="1"/>
    </w:lvl>
  </w:abstractNum>
  <w:abstractNum w:abstractNumId="32">
    <w:nsid w:val="57FC4FBB"/>
    <w:multiLevelType w:val="hybridMultilevel"/>
    <w:lvl w:ilvl="0">
      <w:lvlJc w:val="left"/>
      <w:lvlText w:val="%1."/>
      <w:numFmt w:val="decimal"/>
      <w:start w:val="1"/>
    </w:lvl>
  </w:abstractNum>
  <w:abstractNum w:abstractNumId="33">
    <w:nsid w:val="CC1016F"/>
    <w:multiLevelType w:val="hybridMultilevel"/>
    <w:lvl w:ilvl="0">
      <w:lvlJc w:val="left"/>
      <w:lvlText w:val="%1."/>
      <w:numFmt w:val="decimal"/>
      <w:start w:val="1"/>
    </w:lvl>
  </w:abstractNum>
  <w:abstractNum w:abstractNumId="34">
    <w:nsid w:val="43F18422"/>
    <w:multiLevelType w:val="hybridMultilevel"/>
    <w:lvl w:ilvl="0">
      <w:lvlJc w:val="left"/>
      <w:lvlText w:val="%1."/>
      <w:numFmt w:val="decimal"/>
      <w:start w:val="1"/>
    </w:lvl>
  </w:abstractNum>
  <w:abstractNum w:abstractNumId="35">
    <w:nsid w:val="60EF0119"/>
    <w:multiLevelType w:val="hybridMultilevel"/>
    <w:lvl w:ilvl="0">
      <w:lvlJc w:val="left"/>
      <w:lvlText w:val="%1."/>
      <w:numFmt w:val="decimal"/>
      <w:start w:val="1"/>
    </w:lvl>
  </w:abstractNum>
  <w:abstractNum w:abstractNumId="36">
    <w:nsid w:val="26F324BA"/>
    <w:multiLevelType w:val="hybridMultilevel"/>
    <w:lvl w:ilvl="0">
      <w:lvlJc w:val="left"/>
      <w:lvlText w:val="%1."/>
      <w:numFmt w:val="decimal"/>
      <w:start w:val="1"/>
    </w:lvl>
  </w:abstractNum>
  <w:abstractNum w:abstractNumId="37">
    <w:nsid w:val="7F01579B"/>
    <w:multiLevelType w:val="hybridMultilevel"/>
    <w:lvl w:ilvl="0">
      <w:lvlJc w:val="left"/>
      <w:lvlText w:val="%1."/>
      <w:numFmt w:val="decimal"/>
      <w:start w:val="1"/>
    </w:lvl>
  </w:abstractNum>
  <w:abstractNum w:abstractNumId="38">
    <w:nsid w:val="49DA307D"/>
    <w:multiLevelType w:val="hybridMultilevel"/>
    <w:lvl w:ilvl="0">
      <w:lvlJc w:val="left"/>
      <w:lvlText w:val="•"/>
      <w:numFmt w:val="bullet"/>
      <w:start w:val="1"/>
    </w:lvl>
  </w:abstractNum>
  <w:abstractNum w:abstractNumId="39">
    <w:nsid w:val="7055A5F5"/>
    <w:multiLevelType w:val="hybridMultilevel"/>
    <w:lvl w:ilvl="0">
      <w:lvlJc w:val="left"/>
      <w:lvlText w:val="2"/>
      <w:numFmt w:val="bullet"/>
      <w:start w:val="1"/>
    </w:lvl>
  </w:abstractNum>
  <w:abstractNum w:abstractNumId="40">
    <w:nsid w:val="5FB8370B"/>
    <w:multiLevelType w:val="hybridMultilevel"/>
    <w:lvl w:ilvl="0">
      <w:lvlJc w:val="left"/>
      <w:lvlText w:val="3"/>
      <w:numFmt w:val="bullet"/>
      <w:start w:val="1"/>
    </w:lvl>
  </w:abstractNum>
  <w:abstractNum w:abstractNumId="41">
    <w:nsid w:val="50801EE1"/>
    <w:multiLevelType w:val="hybridMultilevel"/>
    <w:lvl w:ilvl="0">
      <w:lvlJc w:val="left"/>
      <w:lvlText w:val="•"/>
      <w:numFmt w:val="bullet"/>
      <w:start w:val="1"/>
    </w:lvl>
  </w:abstractNum>
  <w:abstractNum w:abstractNumId="42">
    <w:nsid w:val="488AC1A"/>
    <w:multiLevelType w:val="hybridMultilevel"/>
    <w:lvl w:ilvl="0">
      <w:lvlJc w:val="left"/>
      <w:lvlText w:val="•"/>
      <w:numFmt w:val="bullet"/>
      <w:start w:val="1"/>
    </w:lvl>
  </w:abstractNum>
  <w:abstractNum w:abstractNumId="43">
    <w:nsid w:val="5FB8011C"/>
    <w:multiLevelType w:val="hybridMultilevel"/>
    <w:lvl w:ilvl="0">
      <w:lvlJc w:val="left"/>
      <w:lvlText w:val="•"/>
      <w:numFmt w:val="bullet"/>
      <w:start w:val="1"/>
    </w:lvl>
  </w:abstractNum>
  <w:abstractNum w:abstractNumId="44">
    <w:nsid w:val="6AA78F7F"/>
    <w:multiLevelType w:val="hybridMultilevel"/>
    <w:lvl w:ilvl="0">
      <w:lvlJc w:val="left"/>
      <w:lvlText w:val="•"/>
      <w:numFmt w:val="bullet"/>
      <w:start w:val="1"/>
    </w:lvl>
    <w:lvl w:ilvl="1">
      <w:lvlJc w:val="left"/>
      <w:lvlText w:val="○"/>
      <w:numFmt w:val="bullet"/>
      <w:start w:val="1"/>
    </w:lvl>
  </w:abstractNum>
  <w:abstractNum w:abstractNumId="45">
    <w:nsid w:val="7672BD23"/>
    <w:multiLevelType w:val="hybridMultilevel"/>
    <w:lvl w:ilvl="0">
      <w:lvlJc w:val="left"/>
      <w:lvlText w:val="•"/>
      <w:numFmt w:val="bullet"/>
      <w:start w:val="1"/>
    </w:lvl>
  </w:abstractNum>
  <w:abstractNum w:abstractNumId="46">
    <w:nsid w:val="6FC75AF8"/>
    <w:multiLevelType w:val="hybridMultilevel"/>
    <w:lvl w:ilvl="0">
      <w:lvlJc w:val="left"/>
      <w:lvlText w:val="•"/>
      <w:numFmt w:val="bullet"/>
      <w:start w:val="1"/>
    </w:lvl>
  </w:abstractNum>
  <w:abstractNum w:abstractNumId="47">
    <w:nsid w:val="6A5F7029"/>
    <w:multiLevelType w:val="hybridMultilevel"/>
    <w:lvl w:ilvl="0">
      <w:lvlJc w:val="left"/>
      <w:lvlText w:val="4"/>
      <w:numFmt w:val="bullet"/>
      <w:start w:val="1"/>
    </w:lvl>
  </w:abstractNum>
  <w:abstractNum w:abstractNumId="48">
    <w:nsid w:val="7D5E18F8"/>
    <w:multiLevelType w:val="hybridMultilevel"/>
    <w:lvl w:ilvl="0">
      <w:lvlJc w:val="left"/>
      <w:lvlText w:val="5"/>
      <w:numFmt w:val="bullet"/>
      <w:start w:val="1"/>
    </w:lvl>
  </w:abstractNum>
  <w:abstractNum w:abstractNumId="49">
    <w:nsid w:val="5F3534A4"/>
    <w:multiLevelType w:val="hybridMultilevel"/>
    <w:lvl w:ilvl="0">
      <w:lvlJc w:val="left"/>
      <w:lvlText w:val="•"/>
      <w:numFmt w:val="bullet"/>
      <w:start w:val="1"/>
    </w:lvl>
  </w:abstractNum>
  <w:abstractNum w:abstractNumId="50">
    <w:nsid w:val="73A1821B"/>
    <w:multiLevelType w:val="hybridMultilevel"/>
    <w:lvl w:ilvl="0">
      <w:lvlJc w:val="left"/>
      <w:lvlText w:val="•"/>
      <w:numFmt w:val="bullet"/>
      <w:start w:val="1"/>
    </w:lvl>
  </w:abstractNum>
  <w:abstractNum w:abstractNumId="51">
    <w:nsid w:val="7DE67713"/>
    <w:multiLevelType w:val="hybridMultilevel"/>
    <w:lvl w:ilvl="0">
      <w:lvlJc w:val="left"/>
      <w:lvlText w:val="*"/>
      <w:numFmt w:val="bullet"/>
      <w:start w:val="1"/>
    </w:lvl>
  </w:abstractNum>
  <w:abstractNum w:abstractNumId="52">
    <w:nsid w:val="555C55B5"/>
    <w:multiLevelType w:val="hybridMultilevel"/>
    <w:lvl w:ilvl="0">
      <w:lvlJc w:val="left"/>
      <w:lvlText w:val="*"/>
      <w:numFmt w:val="bullet"/>
      <w:start w:val="1"/>
    </w:lvl>
  </w:abstractNum>
  <w:abstractNum w:abstractNumId="53">
    <w:nsid w:val="3FA62ACA"/>
    <w:multiLevelType w:val="hybridMultilevel"/>
    <w:lvl w:ilvl="0">
      <w:lvlJc w:val="left"/>
      <w:lvlText w:val="**"/>
      <w:numFmt w:val="bullet"/>
      <w:start w:val="1"/>
    </w:lvl>
  </w:abstractNum>
  <w:abstractNum w:abstractNumId="54">
    <w:nsid w:val="14FCE74E"/>
    <w:multiLevelType w:val="hybridMultilevel"/>
    <w:lvl w:ilvl="0">
      <w:lvlJc w:val="left"/>
      <w:lvlText w:val="•"/>
      <w:numFmt w:val="bullet"/>
      <w:start w:val="1"/>
    </w:lvl>
  </w:abstractNum>
  <w:abstractNum w:abstractNumId="55">
    <w:nsid w:val="6A3DD3E8"/>
    <w:multiLevelType w:val="hybridMultilevel"/>
    <w:lvl w:ilvl="0">
      <w:lvlJc w:val="left"/>
      <w:lvlText w:val="•"/>
      <w:numFmt w:val="bullet"/>
      <w:start w:val="1"/>
    </w:lvl>
  </w:abstractNum>
  <w:abstractNum w:abstractNumId="56">
    <w:nsid w:val="71C91298"/>
    <w:multiLevelType w:val="hybridMultilevel"/>
    <w:lvl w:ilvl="0">
      <w:lvlJc w:val="left"/>
      <w:lvlText w:val="•"/>
      <w:numFmt w:val="bullet"/>
      <w:start w:val="1"/>
    </w:lvl>
  </w:abstractNum>
  <w:abstractNum w:abstractNumId="57">
    <w:nsid w:val="9DAF632"/>
    <w:multiLevelType w:val="hybridMultilevel"/>
    <w:lvl w:ilvl="0">
      <w:lvlJc w:val="left"/>
      <w:lvlText w:val="•"/>
      <w:numFmt w:val="bullet"/>
      <w:start w:val="1"/>
    </w:lvl>
  </w:abstractNum>
  <w:abstractNum w:abstractNumId="58">
    <w:nsid w:val="53299938"/>
    <w:multiLevelType w:val="hybridMultilevel"/>
    <w:lvl w:ilvl="0">
      <w:lvlJc w:val="left"/>
      <w:lvlText w:val="•"/>
      <w:numFmt w:val="bullet"/>
      <w:start w:val="1"/>
    </w:lvl>
  </w:abstractNum>
  <w:abstractNum w:abstractNumId="59">
    <w:nsid w:val="1FBFE8E0"/>
    <w:multiLevelType w:val="hybridMultilevel"/>
    <w:lvl w:ilvl="0">
      <w:lvlJc w:val="left"/>
      <w:lvlText w:val="•"/>
      <w:numFmt w:val="bullet"/>
      <w:start w:val="1"/>
    </w:lvl>
  </w:abstractNum>
  <w:abstractNum w:abstractNumId="60">
    <w:nsid w:val="5092CA79"/>
    <w:multiLevelType w:val="hybridMultilevel"/>
    <w:lvl w:ilvl="0">
      <w:lvlJc w:val="left"/>
      <w:lvlText w:val="•"/>
      <w:numFmt w:val="bullet"/>
      <w:start w:val="1"/>
    </w:lvl>
  </w:abstractNum>
  <w:abstractNum w:abstractNumId="61">
    <w:nsid w:val="1D545C4D"/>
    <w:multiLevelType w:val="hybridMultilevel"/>
    <w:lvl w:ilvl="0">
      <w:lvlJc w:val="left"/>
      <w:lvlText w:val="•"/>
      <w:numFmt w:val="bullet"/>
      <w:start w:val="1"/>
    </w:lvl>
  </w:abstractNum>
  <w:abstractNum w:abstractNumId="62">
    <w:nsid w:val="59ADEA3D"/>
    <w:multiLevelType w:val="hybridMultilevel"/>
    <w:lvl w:ilvl="0">
      <w:lvlJc w:val="left"/>
      <w:lvlText w:val="•"/>
      <w:numFmt w:val="bullet"/>
      <w:start w:val="1"/>
    </w:lvl>
  </w:abstractNum>
  <w:abstractNum w:abstractNumId="63">
    <w:nsid w:val="288F1A34"/>
    <w:multiLevelType w:val="hybridMultilevel"/>
    <w:lvl w:ilvl="0">
      <w:lvlJc w:val="left"/>
      <w:lvlText w:val="•"/>
      <w:numFmt w:val="bullet"/>
      <w:start w:val="1"/>
    </w:lvl>
  </w:abstractNum>
  <w:abstractNum w:abstractNumId="64">
    <w:nsid w:val="2A155DBC"/>
    <w:multiLevelType w:val="hybridMultilevel"/>
    <w:lvl w:ilvl="0">
      <w:lvlJc w:val="left"/>
      <w:lvlText w:val="•"/>
      <w:numFmt w:val="bullet"/>
      <w:start w:val="1"/>
    </w:lvl>
  </w:abstractNum>
  <w:abstractNum w:abstractNumId="65">
    <w:nsid w:val="1D9F6E5F"/>
    <w:multiLevelType w:val="hybridMultilevel"/>
    <w:lvl w:ilvl="0">
      <w:lvlJc w:val="left"/>
      <w:lvlText w:val="(%1)"/>
      <w:numFmt w:val="decimal"/>
      <w:start w:val="1"/>
    </w:lvl>
  </w:abstractNum>
  <w:abstractNum w:abstractNumId="66">
    <w:nsid w:val="97E1B4E"/>
    <w:multiLevelType w:val="hybridMultilevel"/>
    <w:lvl w:ilvl="0">
      <w:lvlJc w:val="left"/>
      <w:lvlText w:val="(%1)"/>
      <w:numFmt w:val="decimal"/>
      <w:start w:val="1"/>
    </w:lvl>
  </w:abstractNum>
  <w:abstractNum w:abstractNumId="67">
    <w:nsid w:val="51088277"/>
    <w:multiLevelType w:val="hybridMultilevel"/>
    <w:lvl w:ilvl="0">
      <w:lvlJc w:val="left"/>
      <w:lvlText w:val="(%1)"/>
      <w:numFmt w:val="decimal"/>
      <w:start w:val="1"/>
    </w:lvl>
  </w:abstractNum>
  <w:abstractNum w:abstractNumId="68">
    <w:nsid w:val="1CA0C5FA"/>
    <w:multiLevelType w:val="hybridMultilevel"/>
    <w:lvl w:ilvl="0">
      <w:lvlJc w:val="left"/>
      <w:lvlText w:val="•"/>
      <w:numFmt w:val="bullet"/>
      <w:start w:val="1"/>
    </w:lvl>
  </w:abstractNum>
  <w:abstractNum w:abstractNumId="69">
    <w:nsid w:val="53584BCB"/>
    <w:multiLevelType w:val="hybridMultilevel"/>
    <w:lvl w:ilvl="0">
      <w:lvlJc w:val="left"/>
      <w:lvlText w:val="%1."/>
      <w:numFmt w:val="decimal"/>
      <w:start w:val="1"/>
    </w:lvl>
    <w:lvl w:ilvl="1">
      <w:lvlJc w:val="left"/>
      <w:lvlText w:val="(%2)"/>
      <w:numFmt w:val="lowerRoman"/>
      <w:start w:val="2"/>
    </w:lvl>
  </w:abstractNum>
  <w:abstractNum w:abstractNumId="70">
    <w:nsid w:val="415E286C"/>
    <w:multiLevelType w:val="hybridMultilevel"/>
    <w:lvl w:ilvl="0">
      <w:lvlJc w:val="left"/>
      <w:lvlText w:val="%1."/>
      <w:numFmt w:val="decimal"/>
      <w:start w:val="1"/>
    </w:lvl>
  </w:abstractNum>
  <w:abstractNum w:abstractNumId="71">
    <w:nsid w:val="7C58FD05"/>
    <w:multiLevelType w:val="hybridMultilevel"/>
    <w:lvl w:ilvl="0">
      <w:lvlJc w:val="left"/>
      <w:lvlText w:val="(%1)"/>
      <w:numFmt w:val="lowerRoman"/>
      <w:start w:val="4"/>
    </w:lvl>
  </w:abstractNum>
  <w:abstractNum w:abstractNumId="72">
    <w:nsid w:val="23D86AAC"/>
    <w:multiLevelType w:val="hybridMultilevel"/>
    <w:lvl w:ilvl="0">
      <w:lvlJc w:val="left"/>
      <w:lvlText w:val="%1."/>
      <w:numFmt w:val="decimal"/>
      <w:start w:val="1"/>
    </w:lvl>
  </w:abstractNum>
  <w:abstractNum w:abstractNumId="73">
    <w:nsid w:val="45E6D486"/>
    <w:multiLevelType w:val="hybridMultilevel"/>
    <w:lvl w:ilvl="0">
      <w:lvlJc w:val="left"/>
      <w:lvlText w:val="%1."/>
      <w:numFmt w:val="decimal"/>
      <w:start w:val="1"/>
    </w:lvl>
  </w:abstractNum>
  <w:abstractNum w:abstractNumId="74">
    <w:nsid w:val="5C10FE21"/>
    <w:multiLevelType w:val="hybridMultilevel"/>
    <w:lvl w:ilvl="0">
      <w:lvlJc w:val="left"/>
      <w:lvlText w:val="%1."/>
      <w:numFmt w:val="decimal"/>
      <w:start w:val="1"/>
    </w:lvl>
  </w:abstractNum>
  <w:abstractNum w:abstractNumId="75">
    <w:nsid w:val="E7FFA2B"/>
    <w:multiLevelType w:val="hybridMultilevel"/>
    <w:lvl w:ilvl="0">
      <w:lvlJc w:val="left"/>
      <w:lvlText w:val="%1."/>
      <w:numFmt w:val="decimal"/>
      <w:start w:val="2"/>
    </w:lvl>
  </w:abstractNum>
  <w:abstractNum w:abstractNumId="76">
    <w:nsid w:val="3C5991AA"/>
    <w:multiLevelType w:val="hybridMultilevel"/>
    <w:lvl w:ilvl="0">
      <w:lvlJc w:val="left"/>
      <w:lvlText w:val="(%1)"/>
      <w:numFmt w:val="lowerRoman"/>
      <w:start w:val="1"/>
    </w:lvl>
  </w:abstractNum>
  <w:abstractNum w:abstractNumId="77">
    <w:nsid w:val="4BD8591A"/>
    <w:multiLevelType w:val="hybridMultilevel"/>
    <w:lvl w:ilvl="0">
      <w:lvlJc w:val="left"/>
      <w:lvlText w:val="•"/>
      <w:numFmt w:val="bullet"/>
      <w:start w:val="1"/>
    </w:lvl>
  </w:abstractNum>
  <w:abstractNum w:abstractNumId="78">
    <w:nsid w:val="78DF6A55"/>
    <w:multiLevelType w:val="hybridMultilevel"/>
    <w:lvl w:ilvl="0">
      <w:lvlJc w:val="left"/>
      <w:lvlText w:val="•"/>
      <w:numFmt w:val="bullet"/>
      <w:start w:val="1"/>
    </w:lvl>
  </w:abstractNum>
  <w:abstractNum w:abstractNumId="79">
    <w:nsid w:val="39B7AAA2"/>
    <w:multiLevelType w:val="hybridMultilevel"/>
    <w:lvl w:ilvl="0">
      <w:lvlJc w:val="left"/>
      <w:lvlText w:val="(%1)"/>
      <w:numFmt w:val="decimal"/>
      <w:start w:val="1"/>
    </w:lvl>
  </w:abstractNum>
  <w:abstractNum w:abstractNumId="80">
    <w:nsid w:val="2B0D8DBE"/>
    <w:multiLevelType w:val="hybridMultilevel"/>
    <w:lvl w:ilvl="0">
      <w:lvlJc w:val="left"/>
      <w:lvlText w:val="(%1)"/>
      <w:numFmt w:val="decimal"/>
      <w:start w:val="4"/>
    </w:lvl>
  </w:abstractNum>
  <w:abstractNum w:abstractNumId="81">
    <w:nsid w:val="6C80EC70"/>
    <w:multiLevelType w:val="hybridMultilevel"/>
    <w:lvl w:ilvl="0">
      <w:lvlJc w:val="left"/>
      <w:lvlText w:val="(%1)"/>
      <w:numFmt w:val="decimal"/>
      <w:start w:val="1"/>
    </w:lvl>
  </w:abstractNum>
  <w:abstractNum w:abstractNumId="82">
    <w:nsid w:val="379E21B5"/>
    <w:multiLevelType w:val="hybridMultilevel"/>
    <w:lvl w:ilvl="0">
      <w:lvlJc w:val="left"/>
      <w:lvlText w:val="(%1)"/>
      <w:numFmt w:val="decimal"/>
      <w:start w:val="9"/>
    </w:lvl>
  </w:abstractNum>
  <w:abstractNum w:abstractNumId="83">
    <w:nsid w:val="69E373"/>
    <w:multiLevelType w:val="hybridMultilevel"/>
    <w:lvl w:ilvl="0">
      <w:lvlJc w:val="left"/>
      <w:lvlText w:val="(%1)"/>
      <w:numFmt w:val="decimal"/>
      <w:start w:val="27"/>
    </w:lvl>
  </w:abstractNum>
  <w:abstractNum w:abstractNumId="84">
    <w:nsid w:val="2C27173B"/>
    <w:multiLevelType w:val="hybridMultilevel"/>
    <w:lvl w:ilvl="0">
      <w:lvlJc w:val="left"/>
      <w:lvlText w:val="(%1)"/>
      <w:numFmt w:val="decimal"/>
      <w:start w:val="49"/>
    </w:lvl>
  </w:abstractNum>
  <w:abstractNum w:abstractNumId="85">
    <w:nsid w:val="4C9B0904"/>
    <w:multiLevelType w:val="hybridMultilevel"/>
    <w:lvl w:ilvl="0">
      <w:lvlJc w:val="left"/>
      <w:lvlText w:val="(%1)"/>
      <w:numFmt w:val="lowerRoman"/>
      <w:start w:val="10"/>
    </w:lvl>
  </w:abstractNum>
  <w:abstractNum w:abstractNumId="86">
    <w:nsid w:val="6AA7B75C"/>
    <w:multiLevelType w:val="hybridMultilevel"/>
    <w:lvl w:ilvl="0">
      <w:lvlJc w:val="left"/>
      <w:lvlText w:val="•"/>
      <w:numFmt w:val="bullet"/>
      <w:start w:val="1"/>
    </w:lvl>
  </w:abstractNum>
  <w:abstractNum w:abstractNumId="87">
    <w:nsid w:val="1DF029D3"/>
    <w:multiLevelType w:val="hybridMultilevel"/>
    <w:lvl w:ilvl="0">
      <w:lvlJc w:val="left"/>
      <w:lvlText w:val="(%1)"/>
      <w:numFmt w:val="decimal"/>
      <w:start w:val="1"/>
    </w:lvl>
  </w:abstractNum>
  <w:abstractNum w:abstractNumId="88">
    <w:nsid w:val="5675FF36"/>
    <w:multiLevelType w:val="hybridMultilevel"/>
    <w:lvl w:ilvl="0">
      <w:lvlJc w:val="left"/>
      <w:lvlText w:val="•"/>
      <w:numFmt w:val="bullet"/>
      <w:start w:val="1"/>
    </w:lvl>
  </w:abstractNum>
  <w:abstractNum w:abstractNumId="89">
    <w:nsid w:val="3DD15094"/>
    <w:multiLevelType w:val="hybridMultilevel"/>
    <w:lvl w:ilvl="0">
      <w:lvlJc w:val="left"/>
      <w:lvlText w:val="•"/>
      <w:numFmt w:val="bullet"/>
      <w:start w:val="1"/>
    </w:lvl>
  </w:abstractNum>
  <w:abstractNum w:abstractNumId="90">
    <w:nsid w:val="3DB012B3"/>
    <w:multiLevelType w:val="hybridMultilevel"/>
    <w:lvl w:ilvl="0">
      <w:lvlJc w:val="left"/>
      <w:lvlText w:val="•"/>
      <w:numFmt w:val="bullet"/>
      <w:start w:val="1"/>
    </w:lvl>
  </w:abstractNum>
  <w:abstractNum w:abstractNumId="91">
    <w:nsid w:val="2708C9AF"/>
    <w:multiLevelType w:val="hybridMultilevel"/>
    <w:lvl w:ilvl="0">
      <w:lvlJc w:val="left"/>
      <w:lvlText w:val="•"/>
      <w:numFmt w:val="bullet"/>
      <w:start w:val="1"/>
    </w:lvl>
  </w:abstractNum>
  <w:abstractNum w:abstractNumId="92">
    <w:nsid w:val="5B25ACE2"/>
    <w:multiLevelType w:val="hybridMultilevel"/>
    <w:lvl w:ilvl="0">
      <w:lvlJc w:val="left"/>
      <w:lvlText w:val="•"/>
      <w:numFmt w:val="bullet"/>
      <w:start w:val="1"/>
    </w:lvl>
  </w:abstractNum>
  <w:abstractNum w:abstractNumId="93">
    <w:nsid w:val="175DFCF0"/>
    <w:multiLevelType w:val="hybridMultilevel"/>
    <w:lvl w:ilvl="0">
      <w:lvlJc w:val="left"/>
      <w:lvlText w:val="•"/>
      <w:numFmt w:val="bullet"/>
      <w:start w:val="1"/>
    </w:lvl>
  </w:abstractNum>
  <w:abstractNum w:abstractNumId="94">
    <w:nsid w:val="4F97E3E4"/>
    <w:multiLevelType w:val="hybridMultilevel"/>
    <w:lvl w:ilvl="0">
      <w:lvlJc w:val="left"/>
      <w:lvlText w:val="(%1)"/>
      <w:numFmt w:val="decimal"/>
      <w:start w:val="2"/>
    </w:lvl>
  </w:abstractNum>
  <w:abstractNum w:abstractNumId="95">
    <w:nsid w:val="53B0A9E"/>
    <w:multiLevelType w:val="hybridMultilevel"/>
    <w:lvl w:ilvl="0">
      <w:lvlJc w:val="left"/>
      <w:lvlText w:val="(%1)"/>
      <w:numFmt w:val="lowerLetter"/>
      <w:start w:val="1"/>
    </w:lvl>
  </w:abstractNum>
  <w:abstractNum w:abstractNumId="96">
    <w:nsid w:val="34FD6B4F"/>
    <w:multiLevelType w:val="hybridMultilevel"/>
    <w:lvl w:ilvl="0">
      <w:lvlJc w:val="left"/>
      <w:lvlText w:val="•"/>
      <w:numFmt w:val="bullet"/>
      <w:start w:val="1"/>
    </w:lvl>
  </w:abstractNum>
  <w:abstractNum w:abstractNumId="97">
    <w:nsid w:val="5915FF32"/>
    <w:multiLevelType w:val="hybridMultilevel"/>
    <w:lvl w:ilvl="0">
      <w:lvlJc w:val="left"/>
      <w:lvlText w:val="•"/>
      <w:numFmt w:val="bullet"/>
      <w:start w:val="1"/>
    </w:lvl>
  </w:abstractNum>
  <w:abstractNum w:abstractNumId="98">
    <w:nsid w:val="56438D15"/>
    <w:multiLevelType w:val="hybridMultilevel"/>
    <w:lvl w:ilvl="0">
      <w:lvlJc w:val="left"/>
      <w:lvlText w:val="%1."/>
      <w:numFmt w:val="decimal"/>
      <w:start w:val="1"/>
    </w:lvl>
  </w:abstractNum>
  <w:abstractNum w:abstractNumId="99">
    <w:nsid w:val="519E3149"/>
    <w:multiLevelType w:val="hybridMultilevel"/>
    <w:lvl w:ilvl="0">
      <w:lvlJc w:val="left"/>
      <w:lvlText w:val="%1."/>
      <w:numFmt w:val="decimal"/>
      <w:start w:val="1"/>
    </w:lvl>
  </w:abstractNum>
  <w:abstractNum w:abstractNumId="100">
    <w:nsid w:val="2C6E4AFD"/>
    <w:multiLevelType w:val="hybridMultilevel"/>
    <w:lvl w:ilvl="0">
      <w:lvlJc w:val="left"/>
      <w:lvlText w:val="%1."/>
      <w:numFmt w:val="decimal"/>
      <w:start w:val="1"/>
    </w:lvl>
  </w:abstractNum>
  <w:abstractNum w:abstractNumId="101">
    <w:nsid w:val="17A1B582"/>
    <w:multiLevelType w:val="hybridMultilevel"/>
    <w:lvl w:ilvl="0">
      <w:lvlJc w:val="left"/>
      <w:lvlText w:val="%1."/>
      <w:numFmt w:val="decimal"/>
      <w:start w:val="2"/>
    </w:lvl>
  </w:abstractNum>
  <w:abstractNum w:abstractNumId="102">
    <w:nsid w:val="4DF72E4E"/>
    <w:multiLevelType w:val="hybridMultilevel"/>
    <w:lvl w:ilvl="0">
      <w:lvlJc w:val="left"/>
      <w:lvlText w:val="1"/>
      <w:numFmt w:val="bullet"/>
      <w:start w:val="1"/>
    </w:lvl>
  </w:abstractNum>
  <w:abstractNum w:abstractNumId="103">
    <w:nsid w:val="5046B5A9"/>
    <w:multiLevelType w:val="hybridMultilevel"/>
    <w:lvl w:ilvl="0">
      <w:lvlJc w:val="left"/>
      <w:lvlText w:val="%1."/>
      <w:numFmt w:val="decimal"/>
      <w:start w:val="3"/>
    </w:lvl>
  </w:abstractNum>
  <w:abstractNum w:abstractNumId="104">
    <w:nsid w:val="5D888A08"/>
    <w:multiLevelType w:val="hybridMultilevel"/>
    <w:lvl w:ilvl="0">
      <w:lvlJc w:val="left"/>
      <w:lvlText w:val="•"/>
      <w:numFmt w:val="bullet"/>
      <w:start w:val="1"/>
    </w:lvl>
  </w:abstractNum>
  <w:abstractNum w:abstractNumId="105">
    <w:nsid w:val="2A082C70"/>
    <w:multiLevelType w:val="hybridMultilevel"/>
    <w:lvl w:ilvl="0">
      <w:lvlJc w:val="left"/>
      <w:lvlText w:val="•"/>
      <w:numFmt w:val="bullet"/>
      <w:start w:val="1"/>
    </w:lvl>
    <w:lvl w:ilvl="1">
      <w:lvlJc w:val="left"/>
      <w:lvlText w:val="○"/>
      <w:numFmt w:val="bullet"/>
      <w:start w:val="1"/>
    </w:lvl>
  </w:abstractNum>
  <w:abstractNum w:abstractNumId="106">
    <w:nsid w:val="5EC6AFD4"/>
    <w:multiLevelType w:val="hybridMultilevel"/>
    <w:lvl w:ilvl="0">
      <w:lvlJc w:val="left"/>
      <w:lvlText w:val="1"/>
      <w:numFmt w:val="bullet"/>
      <w:start w:val="1"/>
    </w:lvl>
  </w:abstractNum>
  <w:abstractNum w:abstractNumId="107">
    <w:nsid w:val="19E21BB2"/>
    <w:multiLevelType w:val="hybridMultilevel"/>
    <w:lvl w:ilvl="0">
      <w:lvlJc w:val="left"/>
      <w:lvlText w:val="2"/>
      <w:numFmt w:val="bullet"/>
      <w:start w:val="1"/>
    </w:lvl>
  </w:abstractNum>
  <w:abstractNum w:abstractNumId="108">
    <w:nsid w:val="75E0858A"/>
    <w:multiLevelType w:val="hybridMultilevel"/>
    <w:lvl w:ilvl="0">
      <w:lvlJc w:val="left"/>
      <w:lvlText w:val="%1."/>
      <w:numFmt w:val="decimal"/>
      <w:start w:val="4"/>
    </w:lvl>
  </w:abstractNum>
  <w:abstractNum w:abstractNumId="109">
    <w:nsid w:val="57A61A29"/>
    <w:multiLevelType w:val="hybridMultilevel"/>
    <w:lvl w:ilvl="0">
      <w:lvlJc w:val="left"/>
      <w:lvlText w:val="%1."/>
      <w:numFmt w:val="decimal"/>
      <w:start w:val="5"/>
    </w:lvl>
  </w:abstractNum>
  <w:abstractNum w:abstractNumId="110">
    <w:nsid w:val="5399C654"/>
    <w:multiLevelType w:val="hybridMultilevel"/>
    <w:lvl w:ilvl="0">
      <w:lvlJc w:val="left"/>
      <w:lvlText w:val="•"/>
      <w:numFmt w:val="bullet"/>
      <w:start w:val="1"/>
    </w:lvl>
  </w:abstractNum>
  <w:abstractNum w:abstractNumId="111">
    <w:nsid w:val="20EE1348"/>
    <w:multiLevelType w:val="hybridMultilevel"/>
    <w:lvl w:ilvl="0">
      <w:lvlJc w:val="left"/>
      <w:lvlText w:val="%1."/>
      <w:numFmt w:val="decimal"/>
      <w:start w:val="6"/>
    </w:lvl>
  </w:abstractNum>
  <w:abstractNum w:abstractNumId="112">
    <w:nsid w:val="4427069A"/>
    <w:multiLevelType w:val="hybridMultilevel"/>
    <w:lvl w:ilvl="0">
      <w:lvlJc w:val="left"/>
      <w:lvlText w:val="%1."/>
      <w:numFmt w:val="decimal"/>
      <w:start w:val="7"/>
    </w:lvl>
  </w:abstractNum>
  <w:abstractNum w:abstractNumId="113">
    <w:nsid w:val="B37E80A"/>
    <w:multiLevelType w:val="hybridMultilevel"/>
    <w:lvl w:ilvl="0">
      <w:lvlJc w:val="left"/>
      <w:lvlText w:val="%1."/>
      <w:numFmt w:val="decimal"/>
      <w:start w:val="8"/>
    </w:lvl>
  </w:abstractNum>
  <w:abstractNum w:abstractNumId="114">
    <w:nsid w:val="2157F6BC"/>
    <w:multiLevelType w:val="hybridMultilevel"/>
    <w:lvl w:ilvl="0">
      <w:lvlJc w:val="left"/>
      <w:lvlText w:val="%1."/>
      <w:numFmt w:val="decimal"/>
      <w:start w:val="9"/>
    </w:lvl>
  </w:abstractNum>
  <w:abstractNum w:abstractNumId="115">
    <w:nsid w:val="704E1DD5"/>
    <w:multiLevelType w:val="hybridMultilevel"/>
    <w:lvl w:ilvl="0">
      <w:lvlJc w:val="left"/>
      <w:lvlText w:val="¹"/>
      <w:numFmt w:val="bullet"/>
      <w:start w:val="1"/>
    </w:lvl>
  </w:abstractNum>
  <w:abstractNum w:abstractNumId="116">
    <w:nsid w:val="57D2F10E"/>
    <w:multiLevelType w:val="hybridMultilevel"/>
    <w:lvl w:ilvl="0">
      <w:lvlJc w:val="left"/>
      <w:lvlText w:val="(%1)"/>
      <w:numFmt w:val="decimal"/>
      <w:start w:val="1"/>
    </w:lvl>
  </w:abstractNum>
  <w:abstractNum w:abstractNumId="117">
    <w:nsid w:val="BFFAE18"/>
    <w:multiLevelType w:val="hybridMultilevel"/>
    <w:lvl w:ilvl="0">
      <w:lvlJc w:val="left"/>
      <w:lvlText w:val="•"/>
      <w:numFmt w:val="bullet"/>
      <w:start w:val="1"/>
    </w:lvl>
  </w:abstractNum>
  <w:abstractNum w:abstractNumId="118">
    <w:nsid w:val="E3E47A8"/>
    <w:multiLevelType w:val="hybridMultilevel"/>
    <w:lvl w:ilvl="0">
      <w:lvlJc w:val="left"/>
      <w:lvlText w:val="•"/>
      <w:numFmt w:val="bullet"/>
      <w:start w:val="1"/>
    </w:lvl>
  </w:abstractNum>
  <w:abstractNum w:abstractNumId="119">
    <w:nsid w:val="2E48F044"/>
    <w:multiLevelType w:val="hybridMultilevel"/>
    <w:lvl w:ilvl="0">
      <w:lvlJc w:val="left"/>
      <w:lvlText w:val="•"/>
      <w:numFmt w:val="bullet"/>
      <w:start w:val="1"/>
    </w:lvl>
  </w:abstractNum>
  <w:abstractNum w:abstractNumId="120">
    <w:nsid w:val="49D0FEAC"/>
    <w:multiLevelType w:val="hybridMultilevel"/>
    <w:lvl w:ilvl="0">
      <w:lvlJc w:val="left"/>
      <w:lvlText w:val="•"/>
      <w:numFmt w:val="bullet"/>
      <w:start w:val="1"/>
    </w:lvl>
  </w:abstractNum>
  <w:abstractNum w:abstractNumId="121">
    <w:nsid w:val="4BEE5A5B"/>
    <w:multiLevelType w:val="hybridMultilevel"/>
    <w:lvl w:ilvl="0">
      <w:lvlJc w:val="left"/>
      <w:lvlText w:val="%1."/>
      <w:numFmt w:val="decimal"/>
      <w:start w:val="1"/>
    </w:lvl>
  </w:abstractNum>
  <w:abstractNum w:abstractNumId="122">
    <w:nsid w:val="5551B9F3"/>
    <w:multiLevelType w:val="hybridMultilevel"/>
    <w:lvl w:ilvl="0">
      <w:lvlJc w:val="left"/>
      <w:lvlText w:val="%1."/>
      <w:numFmt w:val="decimal"/>
      <w:start w:val="2"/>
    </w:lvl>
  </w:abstractNum>
  <w:abstractNum w:abstractNumId="123">
    <w:nsid w:val="24F6AB8E"/>
    <w:multiLevelType w:val="hybridMultilevel"/>
    <w:lvl w:ilvl="0">
      <w:lvlJc w:val="left"/>
      <w:lvlText w:val="(%1)"/>
      <w:numFmt w:val="lowerRoman"/>
      <w:start w:val="2"/>
    </w:lvl>
  </w:abstractNum>
  <w:abstractNum w:abstractNumId="124">
    <w:nsid w:val="634C574C"/>
    <w:multiLevelType w:val="hybridMultilevel"/>
    <w:lvl w:ilvl="0">
      <w:lvlJc w:val="left"/>
      <w:lvlText w:val="%1."/>
      <w:numFmt w:val="decimal"/>
      <w:start w:val="3"/>
    </w:lvl>
  </w:abstractNum>
  <w:abstractNum w:abstractNumId="125">
    <w:nsid w:val="24E99DD7"/>
    <w:multiLevelType w:val="hybridMultilevel"/>
    <w:lvl w:ilvl="0">
      <w:lvlJc w:val="left"/>
      <w:lvlText w:val="•"/>
      <w:numFmt w:val="bullet"/>
      <w:start w:val="1"/>
    </w:lvl>
  </w:abstractNum>
  <w:abstractNum w:abstractNumId="126">
    <w:nsid w:val="2A31B62D"/>
    <w:multiLevelType w:val="hybridMultilevel"/>
    <w:lvl w:ilvl="0">
      <w:lvlJc w:val="left"/>
      <w:lvlText w:val="•"/>
      <w:numFmt w:val="bullet"/>
      <w:start w:val="1"/>
    </w:lvl>
  </w:abstractNum>
  <w:abstractNum w:abstractNumId="127">
    <w:nsid w:val="1849C29B"/>
    <w:multiLevelType w:val="hybridMultilevel"/>
    <w:lvl w:ilvl="0">
      <w:lvlJc w:val="left"/>
      <w:lvlText w:val="•"/>
      <w:numFmt w:val="bullet"/>
      <w:start w:val="1"/>
    </w:lvl>
    <w:lvl w:ilvl="1">
      <w:lvlJc w:val="left"/>
      <w:lvlText w:val="○"/>
      <w:numFmt w:val="bullet"/>
      <w:start w:val="1"/>
    </w:lvl>
  </w:abstractNum>
  <w:abstractNum w:abstractNumId="128">
    <w:nsid w:val="7DFF9D09"/>
    <w:multiLevelType w:val="hybridMultilevel"/>
    <w:lvl w:ilvl="0">
      <w:lvlJc w:val="left"/>
      <w:lvlText w:val="1"/>
      <w:numFmt w:val="bullet"/>
      <w:start w:val="1"/>
    </w:lvl>
  </w:abstractNum>
  <w:abstractNum w:abstractNumId="129">
    <w:nsid w:val="754342"/>
    <w:multiLevelType w:val="hybridMultilevel"/>
    <w:lvl w:ilvl="0">
      <w:lvlJc w:val="left"/>
      <w:lvlText w:val="%1."/>
      <w:numFmt w:val="decimal"/>
      <w:start w:val="4"/>
    </w:lvl>
  </w:abstractNum>
  <w:abstractNum w:abstractNumId="130">
    <w:nsid w:val="69E7F3E5"/>
    <w:multiLevelType w:val="hybridMultilevel"/>
    <w:lvl w:ilvl="0">
      <w:lvlJc w:val="left"/>
      <w:lvlText w:val="%1."/>
      <w:numFmt w:val="decimal"/>
      <w:start w:val="5"/>
    </w:lvl>
  </w:abstractNum>
  <w:abstractNum w:abstractNumId="131">
    <w:nsid w:val="2A6DE806"/>
    <w:multiLevelType w:val="hybridMultilevel"/>
    <w:lvl w:ilvl="0">
      <w:lvlJc w:val="left"/>
      <w:lvlText w:val="%1."/>
      <w:numFmt w:val="decimal"/>
      <w:start w:val="6"/>
    </w:lvl>
  </w:abstractNum>
  <w:abstractNum w:abstractNumId="132">
    <w:nsid w:val="1816F8C4"/>
    <w:multiLevelType w:val="hybridMultilevel"/>
    <w:lvl w:ilvl="0">
      <w:lvlJc w:val="left"/>
      <w:lvlText w:val="•"/>
      <w:numFmt w:val="bullet"/>
      <w:start w:val="1"/>
    </w:lvl>
  </w:abstractNum>
  <w:abstractNum w:abstractNumId="133">
    <w:nsid w:val="37DF2233"/>
    <w:multiLevelType w:val="hybridMultilevel"/>
    <w:lvl w:ilvl="0">
      <w:lvlJc w:val="left"/>
      <w:lvlText w:val="%1."/>
      <w:numFmt w:val="decimal"/>
      <w:start w:val="7"/>
    </w:lvl>
  </w:abstractNum>
  <w:abstractNum w:abstractNumId="134">
    <w:nsid w:val="7AB49DAF"/>
    <w:multiLevelType w:val="hybridMultilevel"/>
    <w:lvl w:ilvl="0">
      <w:lvlJc w:val="left"/>
      <w:lvlText w:val="•"/>
      <w:numFmt w:val="bullet"/>
      <w:start w:val="1"/>
    </w:lvl>
  </w:abstractNum>
  <w:abstractNum w:abstractNumId="135">
    <w:nsid w:val="759F82CD"/>
    <w:multiLevelType w:val="hybridMultilevel"/>
    <w:lvl w:ilvl="0">
      <w:lvlJc w:val="left"/>
      <w:lvlText w:val="•"/>
      <w:numFmt w:val="bullet"/>
      <w:start w:val="1"/>
    </w:lvl>
  </w:abstractNum>
  <w:abstractNum w:abstractNumId="136">
    <w:nsid w:val="61E74EA3"/>
    <w:multiLevelType w:val="hybridMultilevel"/>
    <w:lvl w:ilvl="0">
      <w:lvlJc w:val="left"/>
      <w:lvlText w:val="%1."/>
      <w:numFmt w:val="decimal"/>
      <w:start w:val="8"/>
    </w:lvl>
  </w:abstractNum>
  <w:abstractNum w:abstractNumId="137">
    <w:nsid w:val="597B4D84"/>
    <w:multiLevelType w:val="hybridMultilevel"/>
    <w:lvl w:ilvl="0">
      <w:lvlJc w:val="left"/>
      <w:lvlText w:val="(%1)"/>
      <w:numFmt w:val="decimal"/>
      <w:start w:val="1"/>
    </w:lvl>
  </w:abstractNum>
  <w:abstractNum w:abstractNumId="138">
    <w:nsid w:val="F819E7F"/>
    <w:multiLevelType w:val="hybridMultilevel"/>
    <w:lvl w:ilvl="0">
      <w:lvlJc w:val="left"/>
      <w:lvlText w:val="(%1)"/>
      <w:numFmt w:val="decimal"/>
      <w:start w:val="1"/>
    </w:lvl>
  </w:abstractNum>
  <w:abstractNum w:abstractNumId="139">
    <w:nsid w:val="57C7D42D"/>
    <w:multiLevelType w:val="hybridMultilevel"/>
    <w:lvl w:ilvl="0">
      <w:lvlJc w:val="left"/>
      <w:lvlText w:val="(%1)"/>
      <w:numFmt w:val="decimal"/>
      <w:start w:val="1"/>
    </w:lvl>
  </w:abstractNum>
  <w:abstractNum w:abstractNumId="140">
    <w:nsid w:val="312167AD"/>
    <w:multiLevelType w:val="hybridMultilevel"/>
    <w:lvl w:ilvl="0">
      <w:lvlJc w:val="left"/>
      <w:lvlText w:val="%1."/>
      <w:numFmt w:val="decimal"/>
      <w:start w:val="9"/>
    </w:lvl>
  </w:abstractNum>
  <w:abstractNum w:abstractNumId="141">
    <w:nsid w:val="631B64D4"/>
    <w:multiLevelType w:val="hybridMultilevel"/>
    <w:lvl w:ilvl="0">
      <w:lvlJc w:val="left"/>
      <w:lvlText w:val="¹"/>
      <w:numFmt w:val="bullet"/>
      <w:start w:val="1"/>
    </w:lvl>
  </w:abstractNum>
  <w:abstractNum w:abstractNumId="142">
    <w:nsid w:val="78B5E776"/>
    <w:multiLevelType w:val="hybridMultilevel"/>
    <w:lvl w:ilvl="0">
      <w:lvlJc w:val="left"/>
      <w:lvlText w:val="+"/>
      <w:numFmt w:val="bullet"/>
      <w:start w:val="1"/>
    </w:lvl>
  </w:abstractNum>
  <w:abstractNum w:abstractNumId="143">
    <w:nsid w:val="75486E47"/>
    <w:multiLevelType w:val="hybridMultilevel"/>
    <w:lvl w:ilvl="0">
      <w:lvlJc w:val="left"/>
      <w:lvlText w:val="*"/>
      <w:numFmt w:val="bullet"/>
      <w:start w:val="1"/>
    </w:lvl>
  </w:abstractNum>
  <w:abstractNum w:abstractNumId="144">
    <w:nsid w:val="6E534CDE"/>
    <w:multiLevelType w:val="hybridMultilevel"/>
    <w:lvl w:ilvl="0">
      <w:lvlJc w:val="left"/>
      <w:lvlText w:val="•"/>
      <w:numFmt w:val="bullet"/>
      <w:start w:val="1"/>
    </w:lvl>
  </w:abstractNum>
  <w:abstractNum w:abstractNumId="145">
    <w:nsid w:val="1A0DDE32"/>
    <w:multiLevelType w:val="hybridMultilevel"/>
    <w:lvl w:ilvl="0">
      <w:lvlJc w:val="left"/>
      <w:lvlText w:val="%1"/>
      <w:numFmt w:val="decimal"/>
      <w:start w:val="107"/>
    </w:lvl>
  </w:abstractNum>
  <w:abstractNum w:abstractNumId="146">
    <w:nsid w:val="65968C1C"/>
    <w:multiLevelType w:val="hybridMultilevel"/>
    <w:lvl w:ilvl="0">
      <w:lvlJc w:val="left"/>
      <w:lvlText w:val="+"/>
      <w:numFmt w:val="bullet"/>
      <w:start w:val="1"/>
    </w:lvl>
  </w:abstractNum>
  <w:abstractNum w:abstractNumId="147">
    <w:nsid w:val="46263DEC"/>
    <w:multiLevelType w:val="hybridMultilevel"/>
    <w:lvl w:ilvl="0">
      <w:lvlJc w:val="left"/>
      <w:lvlText w:val="#"/>
      <w:numFmt w:val="bullet"/>
      <w:start w:val="1"/>
    </w:lvl>
  </w:abstractNum>
  <w:abstractNum w:abstractNumId="148">
    <w:nsid w:val="260D8C4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9">
    <w:nsid w:val="73D4D3C4"/>
    <w:multiLevelType w:val="hybridMultilevel"/>
    <w:lvl w:ilvl="0">
      <w:lvlJc w:val="left"/>
      <w:lvlText w:val="(%1)"/>
      <w:numFmt w:val="decimal"/>
      <w:start w:val="2"/>
    </w:lvl>
    <w:lvl w:ilvl="1">
      <w:lvlJc w:val="left"/>
      <w:lvlText w:val="(%2)"/>
      <w:numFmt w:val="lowerRoman"/>
      <w:start w:val="1"/>
    </w:lvl>
  </w:abstractNum>
  <w:abstractNum w:abstractNumId="150">
    <w:nsid w:val="746F2E30"/>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51">
    <w:nsid w:val="6FDE8AF6"/>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52" Type="http://schemas.openxmlformats.org/officeDocument/2006/relationships/image" Target="media/image624.png"/><Relationship Id="rId667" Type="http://schemas.openxmlformats.org/officeDocument/2006/relationships/image" Target="media/image625.png"/><Relationship Id="rId668" Type="http://schemas.openxmlformats.org/officeDocument/2006/relationships/image" Target="media/image626.png"/><Relationship Id="rId669" Type="http://schemas.openxmlformats.org/officeDocument/2006/relationships/image" Target="media/image627.png"/><Relationship Id="rId670" Type="http://schemas.openxmlformats.org/officeDocument/2006/relationships/image" Target="media/image628.png"/><Relationship Id="rId671" Type="http://schemas.openxmlformats.org/officeDocument/2006/relationships/image" Target="media/image629.png"/><Relationship Id="rId672" Type="http://schemas.openxmlformats.org/officeDocument/2006/relationships/image" Target="media/image630.png"/><Relationship Id="rId673" Type="http://schemas.openxmlformats.org/officeDocument/2006/relationships/image" Target="media/image631.png"/><Relationship Id="rId674" Type="http://schemas.openxmlformats.org/officeDocument/2006/relationships/image" Target="media/image632.png"/><Relationship Id="rId675" Type="http://schemas.openxmlformats.org/officeDocument/2006/relationships/image" Target="media/image633.png"/><Relationship Id="rId676" Type="http://schemas.openxmlformats.org/officeDocument/2006/relationships/image" Target="media/image634.png"/><Relationship Id="rId677" Type="http://schemas.openxmlformats.org/officeDocument/2006/relationships/image" Target="media/image635.png"/><Relationship Id="rId678" Type="http://schemas.openxmlformats.org/officeDocument/2006/relationships/image" Target="media/image636.png"/><Relationship Id="rId631" Type="http://schemas.openxmlformats.org/officeDocument/2006/relationships/hyperlink" Target="https://www.sec.gov/Archives/edgar/data/1779474/000095010320024045/dp142700_ex0201.htm" TargetMode="External"/><Relationship Id="rId632" Type="http://schemas.openxmlformats.org/officeDocument/2006/relationships/hyperlink" Target="https://www.sec.gov/Archives/edgar/data/1779474/000114036121021785/brhc10025756_ex3-1.htm" TargetMode="External"/><Relationship Id="rId633" Type="http://schemas.openxmlformats.org/officeDocument/2006/relationships/hyperlink" Target="https://www.sec.gov/Archives/edgar/data/1779474/000114036121021785/brhc10025756_ex3-2.htm" TargetMode="External"/><Relationship Id="rId634" Type="http://schemas.openxmlformats.org/officeDocument/2006/relationships/hyperlink" Target="https://www.sec.gov/Archives/edgar/data/1779474/000114036121021785/brhc10025756_ex4-1.htm" TargetMode="External"/><Relationship Id="rId635" Type="http://schemas.openxmlformats.org/officeDocument/2006/relationships/hyperlink" Target="https://www.sec.gov/Archives/edgar/data/1779474/000114036121021785/brhc10025756_ex4-2.htm" TargetMode="External"/><Relationship Id="rId636" Type="http://schemas.openxmlformats.org/officeDocument/2006/relationships/hyperlink" Target="https://www.sec.gov/Archives/edgar/data/1779474/000095010319010751/dp111173_ex0401.htm" TargetMode="External"/><Relationship Id="rId637" Type="http://schemas.openxmlformats.org/officeDocument/2006/relationships/hyperlink" Target="https://www.sec.gov/Archives/edgar/data/1779474/000177947422000010/exhibit45descriptionofsecu.htm" TargetMode="External"/><Relationship Id="rId638" Type="http://schemas.openxmlformats.org/officeDocument/2006/relationships/hyperlink" Target="https://www.sec.gov/Archives/edgar/data/1779474/000114036121023775/nt10026588x1_ex5-1.htm" TargetMode="External"/><Relationship Id="rId639" Type="http://schemas.openxmlformats.org/officeDocument/2006/relationships/hyperlink" Target="https://www.sec.gov/Archives/edgar/data/1779474/000114036121021785/brhc10025756_ex10-1.htm" TargetMode="External"/><Relationship Id="rId640" Type="http://schemas.openxmlformats.org/officeDocument/2006/relationships/hyperlink" Target="https://www.sec.gov/Archives/edgar/data/1779474/000114036121021785/brhc10025756_ex10-2.htm" TargetMode="External"/><Relationship Id="rId641" Type="http://schemas.openxmlformats.org/officeDocument/2006/relationships/hyperlink" Target="https://www.sec.gov/Archives/edgar/data/1779474/000114036121021785/brhc10025756_ex10-3.htm" TargetMode="External"/><Relationship Id="rId642" Type="http://schemas.openxmlformats.org/officeDocument/2006/relationships/hyperlink" Target="https://www.sec.gov/Archives/edgar/data/1779474/000095010320024045/dp142700_ex1001.htm" TargetMode="External"/><Relationship Id="rId643" Type="http://schemas.openxmlformats.org/officeDocument/2006/relationships/hyperlink" Target="https://www.sec.gov/Archives/edgar/data/1779474/000114036121021785/brhc10025756_ex10-5.htm" TargetMode="External"/><Relationship Id="rId644" Type="http://schemas.openxmlformats.org/officeDocument/2006/relationships/hyperlink" Target="https://www.sec.gov/Archives/edgar/data/1779474/000114036121021785/brhc10025756_ex10-6.htm" TargetMode="External"/><Relationship Id="rId645" Type="http://schemas.openxmlformats.org/officeDocument/2006/relationships/hyperlink" Target="https://www.sec.gov/Archives/edgar/data/1779474/000114036121021785/brhc10025756_ex10-7.htm" TargetMode="External"/><Relationship Id="rId646" Type="http://schemas.openxmlformats.org/officeDocument/2006/relationships/hyperlink" Target="https://www.sec.gov/Archives/edgar/data/1779474/000114036121021785/brhc10025756_ex10-7a.htm" TargetMode="External"/><Relationship Id="rId647" Type="http://schemas.openxmlformats.org/officeDocument/2006/relationships/hyperlink" Target="https://www.sec.gov/Archives/edgar/data/1779474/000114036121021785/brhc10025756_ex10-7b.htm" TargetMode="External"/><Relationship Id="rId648" Type="http://schemas.openxmlformats.org/officeDocument/2006/relationships/hyperlink" Target="https://www.sec.gov/Archives/edgar/data/1779474/000114036121021785/brhc10025756_ex10-8.htm" TargetMode="External"/><Relationship Id="rId649" Type="http://schemas.openxmlformats.org/officeDocument/2006/relationships/hyperlink" Target="https://www.sec.gov/Archives/edgar/data/1779474/000114036121021785/brhc10025756_ex10-12.htm" TargetMode="External"/><Relationship Id="rId650" Type="http://schemas.openxmlformats.org/officeDocument/2006/relationships/hyperlink" Target="https://www.sec.gov/Archives/edgar/data/1779474/000114036121021785/brhc10025756_ex10-13.htm" TargetMode="External"/><Relationship Id="rId651" Type="http://schemas.openxmlformats.org/officeDocument/2006/relationships/hyperlink" Target="https://www.sec.gov/Archives/edgar/data/1779474/000114036121021785/brhc10025756_ex10-14.htm" TargetMode="External"/><Relationship Id="rId653" Type="http://schemas.openxmlformats.org/officeDocument/2006/relationships/hyperlink" Target="https://www.sec.gov/Archives/edgar/data/1779474/000114036121021785/brhc10025756_ex10-15.htm" TargetMode="External"/><Relationship Id="rId654" Type="http://schemas.openxmlformats.org/officeDocument/2006/relationships/hyperlink" Target="https://www.sec.gov/Archives/edgar/data/1779474/000114036121021785/brhc10025756_ex10-16.htm" TargetMode="External"/><Relationship Id="rId655" Type="http://schemas.openxmlformats.org/officeDocument/2006/relationships/hyperlink" Target="https://www.sec.gov/Archives/edgar/data/1779474/000177947421000027/exhibit101.htm" TargetMode="External"/><Relationship Id="rId656" Type="http://schemas.openxmlformats.org/officeDocument/2006/relationships/hyperlink" Target="https://www.sec.gov/Archives/edgar/data/1779474/000177947423000072/exhibit102amendedandrestat.htm" TargetMode="External"/><Relationship Id="rId657" Type="http://schemas.openxmlformats.org/officeDocument/2006/relationships/hyperlink" Target="https://www.sec.gov/Archives/edgar/data/1779474/000177947423000023/exhibit1019dgrazier_offerl.htm" TargetMode="External"/><Relationship Id="rId658" Type="http://schemas.openxmlformats.org/officeDocument/2006/relationships/hyperlink" Target="https://www.sec.gov/Archives/edgar/data/1779474/000177947423000072/exhibit101retentionagreeme.htm" TargetMode="External"/><Relationship Id="rId659" Type="http://schemas.openxmlformats.org/officeDocument/2006/relationships/hyperlink" Target="https://www.sec.gov/Archives/edgar/data/1779474/000177947423000066/exhibit101dougsemploymenta.htm" TargetMode="External"/><Relationship Id="rId660" Type="http://schemas.openxmlformats.org/officeDocument/2006/relationships/hyperlink" Target="https://www.sec.gov/Archives/edgar/data/1779474/000177947424000023/exhibit1020briancamiresoff.htm" TargetMode="External"/><Relationship Id="rId661" Type="http://schemas.openxmlformats.org/officeDocument/2006/relationships/hyperlink" Target="https://www.sec.gov/Archives/edgar/data/1779474/000177947423000062/exhibit101q223.htm" TargetMode="External"/><Relationship Id="rId662" Type="http://schemas.openxmlformats.org/officeDocument/2006/relationships/hyperlink" Target="https://www.sec.gov/Archives/edgar/data/1779474/000177947423000076/exhibit105randasseperation.htm" TargetMode="External"/><Relationship Id="rId663" Type="http://schemas.openxmlformats.org/officeDocument/2006/relationships/hyperlink" Target="https://www.sec.gov/Archives/edgar/data/1779474/000177947424000023/exhibit1023seatonhillresou.htm" TargetMode="External"/><Relationship Id="rId664" Type="http://schemas.openxmlformats.org/officeDocument/2006/relationships/hyperlink" Target="https://www.sec.gov/Archives/edgar/data/1779474/000177947424000023/exhibit211listofsubsidiari.htm" TargetMode="External"/><Relationship Id="rId665" Type="http://schemas.openxmlformats.org/officeDocument/2006/relationships/hyperlink" Target="https://www.sec.gov/Archives/edgar/data/1779474/000114036121040114/brhc10031383_ex5-1.htm" TargetMode="External"/><Relationship Id="rId666" Type="http://schemas.openxmlformats.org/officeDocument/2006/relationships/hyperlink" Target="https://www.sec.gov/Archives/edgar/data/1779474/000114036121023775/nt10026588x1_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2024-09-04T05:50:48Z</dcterms:created>
  <dcterms:modified xsi:type="dcterms:W3CDTF">2024-09-04T05:50:48Z</dcterms:modified>
</cp:coreProperties>
</file>