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30"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6"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sectPr>
      </w:pPr>
    </w:p>
    <w:p>
      <w:pPr>
        <w:spacing w:after="0" w:line="81"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8"/>
          <w:szCs w:val="18"/>
          <w:color w:val="auto"/>
        </w:rPr>
        <w:t>MAPS</w:t>
      </w:r>
      <w:r>
        <w:rPr>
          <w:sz w:val="20"/>
          <w:szCs w:val="20"/>
          <w:color w:val="auto"/>
        </w:rPr>
        <w:tab/>
      </w:r>
      <w:r>
        <w:rPr>
          <w:rFonts w:ascii="Times New Roman" w:cs="Times New Roman" w:eastAsia="Times New Roman" w:hAnsi="Times New Roman"/>
          <w:sz w:val="18"/>
          <w:szCs w:val="18"/>
          <w:color w:val="auto"/>
        </w:rPr>
        <w:t>The OTCQX Best Market</w:t>
      </w:r>
    </w:p>
    <w:p>
      <w:pPr>
        <w:spacing w:after="0" w:line="63"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OTCID Basic Market</w:t>
      </w:r>
    </w:p>
    <w:p>
      <w:pPr>
        <w:spacing w:after="0" w:line="706" w:lineRule="exact"/>
        <w:rPr>
          <w:sz w:val="24"/>
          <w:szCs w:val="24"/>
          <w:color w:val="auto"/>
        </w:rPr>
      </w:pPr>
    </w:p>
    <w:p>
      <w:pPr>
        <w:sectPr>
          <w:pgSz w:w="11900" w:h="16838" w:orient="portrait"/>
          <w:cols w:equalWidth="0" w:num="2">
            <w:col w:w="4934" w:space="720"/>
            <w:col w:w="5360"/>
          </w:cols>
          <w:pgMar w:left="346" w:top="1137" w:right="539" w:bottom="1054"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304165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11, 2026, WM Technology, Inc. announced its financial results for the first quarter ended March 31, 2026. The full text of the press release issued in connection with the announcement is furnished as Exhibit 99.1 to this Current Report on Form 8-K and is incorporated by reference.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6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11, 2026</w:t>
      </w:r>
    </w:p>
    <w:p>
      <w:pPr>
        <w:spacing w:after="0" w:line="6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56"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88265</wp:posOffset>
            </wp:positionV>
            <wp:extent cx="214312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WM Technology, Inc. Reports First Quarter 2026 Financial Results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 xml:space="preserve">Q1 2026 Revenue of $43.6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20"/>
          <w:szCs w:val="20"/>
          <w:i w:val="1"/>
          <w:iCs w:val="1"/>
          <w:color w:val="auto"/>
        </w:rPr>
        <w:t xml:space="preserve"> Net Income was $1.7 million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Sustains Consecutive Quarters of Adjusted EBITDA Profitability</w:t>
      </w:r>
    </w:p>
    <w:p>
      <w:pPr>
        <w:spacing w:after="0" w:line="1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IRVINE, Calif.--(BUSINESS WIRE)--May 11, 2026 --</w:t>
      </w:r>
      <w:r>
        <w:rPr>
          <w:rFonts w:ascii="Times New Roman" w:cs="Times New Roman" w:eastAsia="Times New Roman" w:hAnsi="Times New Roman"/>
          <w:sz w:val="18"/>
          <w:szCs w:val="18"/>
          <w:color w:val="auto"/>
        </w:rPr>
        <w:t>WM Technology, Inc. (“WM Technology” or the “Company”) (OTC: MAPS),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marketplace and technology solutions provider to the cannabis industry, today announced its financial results for the first quarter ended March 31, 2026.</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encouraged by the recent rescheduling of medical cannabis, which represents a meaningful federal step forward for the industry and for the millions of patients who rely on medical cannabis,” said Doug Francis, CEO and Chairman of WM Technology. “While the full impact of this change will take time to unfold, including how it may affect our business and the broader cannabis ecosystem and adult-use markets, we view any federal progress as constructive. We are pairing that long-term optimism with disciplined execution across the business by investing in product enhancements, sharpening our go-to-market efforts, and continuing to build a stronger marketplace for clients and consumers.”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first quarter results reflected steady execution, with revenue coming in ahead of our guidance range,” said Susan Echard, CFO of WM Technology. “We remain focused on disciplined expense and working capital management, aligning our cost structure with the current operating environment, and maintaining the financial flexibility needed to support the business and invest selectively against our long-term priorities.”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108" w:lineRule="exact"/>
        <w:rPr>
          <w:sz w:val="20"/>
          <w:szCs w:val="20"/>
          <w:color w:val="auto"/>
        </w:rPr>
      </w:pPr>
    </w:p>
    <w:p>
      <w:pPr>
        <w:jc w:val="both"/>
        <w:ind w:left="660" w:hanging="328"/>
        <w:spacing w:after="0" w:line="239" w:lineRule="auto"/>
        <w:tabs>
          <w:tab w:leader="none" w:pos="655"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Revenues for the first quarter ended March 31, 2026 were $43.6 million as compared to $44.6 million in the prior year period. The decrease was primarily driven by continued softness across core markets, as challenging operating conditions for cannabis operators weighed on advertising spend.</w:t>
      </w:r>
    </w:p>
    <w:p>
      <w:pPr>
        <w:spacing w:after="0" w:line="78" w:lineRule="exact"/>
        <w:rPr>
          <w:rFonts w:ascii="Times New Roman" w:cs="Times New Roman" w:eastAsia="Times New Roman" w:hAnsi="Times New Roman"/>
          <w:sz w:val="22"/>
          <w:szCs w:val="22"/>
          <w:b w:val="1"/>
          <w:bCs w:val="1"/>
          <w:i w:val="1"/>
          <w:iCs w:val="1"/>
          <w:color w:val="auto"/>
        </w:rPr>
      </w:pPr>
    </w:p>
    <w:p>
      <w:pPr>
        <w:ind w:left="1300" w:right="20" w:hanging="320"/>
        <w:spacing w:after="0" w:line="236" w:lineRule="auto"/>
        <w:tabs>
          <w:tab w:leader="none" w:pos="1323"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4,983 decreased from 5,179 in the prior year period, largely due to churn in more established markets, partially offset by new client acquisitions across certain developing markets.</w:t>
      </w:r>
    </w:p>
    <w:p>
      <w:pPr>
        <w:spacing w:after="0" w:line="73" w:lineRule="exact"/>
        <w:rPr>
          <w:rFonts w:ascii="Times New Roman" w:cs="Times New Roman" w:eastAsia="Times New Roman" w:hAnsi="Times New Roman"/>
          <w:sz w:val="22"/>
          <w:szCs w:val="22"/>
          <w:color w:val="auto"/>
        </w:rPr>
      </w:pPr>
    </w:p>
    <w:p>
      <w:pPr>
        <w:ind w:left="1300" w:hanging="320"/>
        <w:spacing w:after="0" w:line="230" w:lineRule="auto"/>
        <w:tabs>
          <w:tab w:leader="none" w:pos="1309"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revenues per paying client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increased to $2,914 from $2,871 in the prior year period, primarily reflecting a positive mix impact from churn among clients with below-average spend levels.</w:t>
      </w:r>
    </w:p>
    <w:p>
      <w:pPr>
        <w:spacing w:after="0" w:line="5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Net income decreased to $1.7 million from $2.5 million in the prior year period.</w:t>
      </w:r>
    </w:p>
    <w:p>
      <w:pPr>
        <w:spacing w:after="0" w:line="32" w:lineRule="exact"/>
        <w:rPr>
          <w:rFonts w:ascii="Times New Roman" w:cs="Times New Roman" w:eastAsia="Times New Roman" w:hAnsi="Times New Roman"/>
          <w:sz w:val="22"/>
          <w:szCs w:val="22"/>
          <w:b w:val="1"/>
          <w:bCs w:val="1"/>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decreased to $5.9 million from $10.1 million in the prior year period.</w:t>
      </w:r>
    </w:p>
    <w:p>
      <w:pPr>
        <w:spacing w:after="0" w:line="28"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shares outstanding across Class A and Class V Common Stock were 159.0 million as of March 31, 2026.</w:t>
      </w:r>
    </w:p>
    <w:p>
      <w:pPr>
        <w:spacing w:after="0" w:line="43" w:lineRule="exact"/>
        <w:rPr>
          <w:rFonts w:ascii="Times New Roman" w:cs="Times New Roman" w:eastAsia="Times New Roman" w:hAnsi="Times New Roman"/>
          <w:sz w:val="18"/>
          <w:szCs w:val="18"/>
          <w:b w:val="1"/>
          <w:bCs w:val="1"/>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cash equivalent and marketable securities increased to $57.0 million as of March 31, 2026, as compared to $53.3 million as of March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Average monthly revenues per paying client is defined as the average monthly revenues for any particular period divided by the average monthly paying clients in the same respective period.</w:t>
      </w:r>
    </w:p>
    <w:p>
      <w:pPr>
        <w:spacing w:after="0" w:line="123"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14"/>
          <w:szCs w:val="14"/>
          <w:color w:val="auto"/>
        </w:rPr>
        <w:t>For further information about how we calculate EBITDA and Adjusted EBITDA as well as limitations of their use and a reconciliation of EBITDA and Adjusted EBITDA to net income, see “Reconciliation of Net Income to EBITDA and Adjusted EBITDA” below.</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jc w:val="both"/>
        <w:ind w:right="20" w:firstLine="13"/>
        <w:spacing w:after="0" w:line="282" w:lineRule="auto"/>
        <w:rPr>
          <w:sz w:val="20"/>
          <w:szCs w:val="20"/>
          <w:color w:val="auto"/>
        </w:rPr>
      </w:pPr>
      <w:r>
        <w:rPr>
          <w:rFonts w:ascii="Times New Roman" w:cs="Times New Roman" w:eastAsia="Times New Roman" w:hAnsi="Times New Roman"/>
          <w:sz w:val="18"/>
          <w:szCs w:val="18"/>
          <w:color w:val="auto"/>
        </w:rPr>
        <w:t>Based on information available as of May 11, 2026, the Company expects second quarter 2026 revenue to decline by low-single digit percentages sequentially from the first quarter.</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guidance provided above is only an estimate of what we believe is realizable as of the date of this release.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host a conference call and webcast today, Monday, May 11, 2026, at 2:00 p.m. Pacific Time (5:00 p.m. Eastern Time) at https://edge.media-server.com/mmc/p/3i4b62xw. A webcast replay will also be archived at ir.weedmaps.com.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used, and intend to continue to use, the investor relations portion of our website as a means of disclosing material non-public information and for complying with disclosure obligations under Regulation FD.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 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18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Headquartered in Irvine, California, the Company is committed to advocating for full U.S. legalization, industry-wide social equity, and continued education about the plant through key partnerships and cannabis subject matter experts. Visit us at www.weedmaps.com.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performance for the second quarter of 2026 and the potential impact of federal rescheduling of cannabis.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those related market reactions or impacts resulting from the Company’s delisting of its Class A Common Stock and warrants from the Nasdaq Stock Market LLC and deregistration of its Class A Common Stock and warrants under Section 12(b) of the Securities Exchange Act of 1934, including the impact on the Company’s liquidity and the price of its Class A common stock and warrants; the Company’s ability to maintain its listing on the OTC Markets Group, Inc. (“OTC”); the possibility that trading in the Company’s securities on the OTC markets may be significantly less liquid and/or have greater price volatility;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impact of the material weaknesses in the Company’s internal controls and ability to remediate these material weaknesses in the timing the Company anticipates, or at all;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and military conflicts,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3"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 on Form 10-K for the fiscal year ended December 31, 2025, filed with the SEC on March 12, 2026.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including net income, are prepared in accordance with principles generally accepted in the United States of America (“GAAP”).</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settlements and other legal costs, loss contingency, one-time asset sales, reduction in force expense, change in the TRA liability and other non-cash, unusual and/or infrequent costs in the case of Adjusted EBITDA. Below we have provided a reconciliation of net income (the most directly comparable GAAP financial measure) to EBITDA; and from EBITDA to Adjusted EBITDA.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and our other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62,401</w:t>
            </w:r>
          </w:p>
        </w:tc>
        <w:tc>
          <w:tcPr>
            <w:tcW w:w="0" w:type="dxa"/>
            <w:vAlign w:val="bottom"/>
          </w:tcPr>
          <w:p>
            <w:pPr>
              <w:spacing w:after="0"/>
              <w:rPr>
                <w:sz w:val="1"/>
                <w:szCs w:val="1"/>
                <w:color w:val="auto"/>
              </w:rPr>
            </w:pP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84,920</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61,274</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190,667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Warrant liability, current</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58,867</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March 31, 2026 and December 31, 2025</w:t>
            </w:r>
          </w:p>
        </w:tc>
        <w:tc>
          <w:tcPr>
            <w:tcW w:w="26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111,187,614</w:t>
            </w: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0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March 31, 2026 and 109,990,343 shares issued and</w:t>
            </w:r>
          </w:p>
        </w:tc>
        <w:tc>
          <w:tcPr>
            <w:tcW w:w="2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6"/>
        </w:trPr>
        <w:tc>
          <w:tcPr>
            <w:tcW w:w="7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47,852,652 shares</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outstanding at March 31, 2026 and 47,852,652 shares issued and outstanding at</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112,076</w:t>
            </w:r>
          </w:p>
        </w:tc>
        <w:tc>
          <w:tcPr>
            <w:tcW w:w="0" w:type="dxa"/>
            <w:vAlign w:val="bottom"/>
          </w:tcPr>
          <w:p>
            <w:pPr>
              <w:spacing w:after="0"/>
              <w:rPr>
                <w:sz w:val="1"/>
                <w:szCs w:val="1"/>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(54,917)</w:t>
            </w:r>
          </w:p>
        </w:tc>
        <w:tc>
          <w:tcPr>
            <w:tcW w:w="0" w:type="dxa"/>
            <w:vAlign w:val="bottom"/>
          </w:tcPr>
          <w:p>
            <w:pPr>
              <w:spacing w:after="0"/>
              <w:rPr>
                <w:sz w:val="1"/>
                <w:szCs w:val="1"/>
                <w:color w:val="auto"/>
              </w:rPr>
            </w:pP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57,175</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131,800</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190,667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8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44,612</w:t>
            </w:r>
          </w:p>
        </w:tc>
      </w:tr>
      <w:tr>
        <w:trPr>
          <w:trHeight w:val="257"/>
        </w:trPr>
        <w:tc>
          <w:tcPr>
            <w:tcW w:w="7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 below)</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w:t>
            </w: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w:t>
            </w:r>
          </w:p>
        </w:tc>
      </w:tr>
      <w:tr>
        <w:trPr>
          <w:trHeight w:val="229"/>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4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9"/>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29"/>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48"/>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WM Technology, Inc.</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56"/>
        </w:trPr>
        <w:tc>
          <w:tcPr>
            <w:tcW w:w="7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110,588,979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104,041,260</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110,801,379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106,991,698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-4053840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3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338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26"/>
        </w:trPr>
        <w:tc>
          <w:tcPr>
            <w:tcW w:w="72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r>
      <w:tr>
        <w:trPr>
          <w:trHeight w:val="19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Pr>
          <w:p>
            <w:pPr>
              <w:jc w:val="right"/>
              <w:ind w:right="1097"/>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80" w:type="dxa"/>
            <w:vAlign w:val="bottom"/>
          </w:tcPr>
          <w:p>
            <w:pPr>
              <w:spacing w:after="0"/>
              <w:rPr>
                <w:sz w:val="18"/>
                <w:szCs w:val="18"/>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tax receivable agreement liability</w:t>
            </w:r>
          </w:p>
        </w:tc>
        <w:tc>
          <w:tcPr>
            <w:tcW w:w="1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lease assets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sale of domain name</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contingency</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reconciling items included in net income</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r>
      <w:tr>
        <w:trPr>
          <w:trHeight w:val="20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5,664</w:t>
            </w:r>
          </w:p>
        </w:tc>
      </w:tr>
      <w:tr>
        <w:trPr>
          <w:trHeight w:val="239"/>
        </w:trPr>
        <w:tc>
          <w:tcPr>
            <w:tcW w:w="7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1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8"/>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Capitalized software and expenditures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sale of domain name</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(13,023)</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(3,650)</w:t>
            </w:r>
          </w:p>
        </w:tc>
      </w:tr>
      <w:tr>
        <w:trPr>
          <w:trHeight w:val="239"/>
        </w:trPr>
        <w:tc>
          <w:tcPr>
            <w:tcW w:w="7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1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financing activities</w:t>
            </w: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8"/>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Distributions</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repayment of related party note</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Tax receivable agreement payment</w:t>
            </w: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39"/>
        </w:trPr>
        <w:tc>
          <w:tcPr>
            <w:tcW w:w="7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(16,882)</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1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62,401</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51,966</w:t>
            </w:r>
          </w:p>
        </w:tc>
      </w:tr>
      <w:tr>
        <w:trPr>
          <w:trHeight w:val="23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280" w:type="dxa"/>
            <w:vAlign w:val="bottom"/>
            <w:tcBorders>
              <w:bottom w:val="single" w:sz="8" w:color="auto"/>
            </w:tcBorders>
            <w:shd w:val="clear" w:color="auto" w:fill="CCEEFF"/>
          </w:tcPr>
          <w:p>
            <w:pPr>
              <w:jc w:val="right"/>
              <w:ind w:right="1097"/>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45,519</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-5219700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3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3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7200" w:type="dxa"/>
            <w:vAlign w:val="bottom"/>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r>
      <w:tr>
        <w:trPr>
          <w:trHeight w:val="223"/>
        </w:trPr>
        <w:tc>
          <w:tcPr>
            <w:tcW w:w="7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Pr>
          <w:p>
            <w:pPr>
              <w:spacing w:after="0"/>
              <w:rPr>
                <w:sz w:val="19"/>
                <w:szCs w:val="19"/>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29"/>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2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29"/>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2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domain name</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Legal settlements and other legal costs</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30"/>
        </w:trPr>
        <w:tc>
          <w:tcPr>
            <w:tcW w:w="72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Reduction in force expense</w:t>
            </w:r>
            <w:r>
              <w:rPr>
                <w:rFonts w:ascii="Times New Roman" w:cs="Times New Roman" w:eastAsia="Times New Roman" w:hAnsi="Times New Roman"/>
                <w:sz w:val="23"/>
                <w:szCs w:val="23"/>
                <w:color w:val="auto"/>
                <w:vertAlign w:val="superscript"/>
              </w:rPr>
              <w:t>(2)</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contingency</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3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48"/>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30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80" w:hanging="72"/>
        <w:spacing w:after="0" w:line="213" w:lineRule="auto"/>
        <w:tabs>
          <w:tab w:leader="none" w:pos="8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Represents legal and advisory fees related to ongoing litigation related to shareholder derivative actions. See Note 5, “Commitments and Contingencies” of our condensed consolidated financial statement included in the Form 10-Q for the period ended March 31, 2026 filed with the SEC.</w:t>
      </w:r>
    </w:p>
    <w:p>
      <w:pPr>
        <w:spacing w:after="0" w:line="88" w:lineRule="exact"/>
        <w:rPr>
          <w:sz w:val="20"/>
          <w:szCs w:val="20"/>
          <w:color w:val="auto"/>
        </w:rPr>
      </w:pPr>
    </w:p>
    <w:p>
      <w:pPr>
        <w:ind w:left="80" w:hanging="72"/>
        <w:spacing w:after="0" w:line="254" w:lineRule="auto"/>
        <w:tabs>
          <w:tab w:leader="none" w:pos="78"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severance charges related to certain reduction in force actions taken by our management. These reduction in force actions are designed to enhance operational efficiency and align resources with strategic priorities in our corporate technology and marketing divisions.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investors@weedmaps.com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Contract: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press@weedmaps.com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2026-05-11T15:30:56Z</dcterms:created>
  <dcterms:modified xsi:type="dcterms:W3CDTF">2026-05-11T15:30:56Z</dcterms:modified>
</cp:coreProperties>
</file>