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2024, WM Technology, Inc, (the “Company”) held its 2024 Annual Meeting of Stockholders (the “Annual Meeting”). As of May 28, 2024, the record date for the Annual Meeting (the “Record Date”), 150,538,096 shares of the Company’s common stock were outstanding and entitled to vote at the Annual Meeting. A summary of the matters voted upon by stockholders at the Annual Meeting is set forth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108,235,218 shares of the Company’s common stock were present at the Annual Meeting in person, by virtual attendance, or by proxy, which represents approximately 72% of the shares of the Company’s common stock outstanding as of the Record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three persons listed below as Class II Directors, each to serve until the Company’s 2026 Annual Meeting of Stockholders or until their successors are duly elected and qualified or until their earlier death, resignation or removal. The final voting results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rPr>
              <w:t>Douglas Francis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68,732,279</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8,436,763</w:t>
            </w:r>
          </w:p>
        </w:tc>
        <w:tc>
          <w:tcPr>
            <w:tcW w:w="7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29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Scott Gordon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62,194,151</w:t>
            </w:r>
          </w:p>
        </w:tc>
        <w:tc>
          <w:tcPr>
            <w:tcW w:w="700" w:type="dxa"/>
            <w:vAlign w:val="bottom"/>
          </w:tcPr>
          <w:p>
            <w:pPr>
              <w:spacing w:after="0"/>
              <w:rPr>
                <w:sz w:val="21"/>
                <w:szCs w:val="21"/>
                <w:color w:val="auto"/>
              </w:rPr>
            </w:pPr>
          </w:p>
        </w:tc>
        <w:tc>
          <w:tcPr>
            <w:tcW w:w="2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14,974,891</w:t>
            </w:r>
          </w:p>
        </w:tc>
        <w:tc>
          <w:tcPr>
            <w:tcW w:w="7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 Advisory Vote, on an Non-Binding Basis, to approve the Compensation of the Company’s Named Executive Officers for the Year Ended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definitive proxy statement relating to the Annual Meeting. The final voting results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75,623,311</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1,367,477</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178,254</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31,066,176</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Selection of Independent Registered Public Accounting Firm.</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Moss Adams LLP by the Audit Committee of the Board as the Company’s independent registered public accounting firm for the fiscal year ending December 31, 2024. The final voting results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r>
      <w:tr>
        <w:trPr>
          <w:trHeight w:val="244"/>
        </w:trPr>
        <w:tc>
          <w:tcPr>
            <w:tcW w:w="222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106,546,321</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1,149,302</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539,595</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r>
      <w:tr>
        <w:trPr>
          <w:trHeight w:val="1330"/>
        </w:trPr>
        <w:tc>
          <w:tcPr>
            <w:tcW w:w="2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2024-07-29T16:08:17Z</dcterms:created>
  <dcterms:modified xsi:type="dcterms:W3CDTF">2024-07-29T16:08:17Z</dcterms:modified>
</cp:coreProperties>
</file>